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spacing w:line="276" w:lineRule="auto"/>
        <w:rPr>
          <w:rFonts w:ascii="宋体" w:hAnsi="宋体"/>
          <w:b/>
          <w:sz w:val="52"/>
          <w:szCs w:val="52"/>
        </w:rPr>
      </w:pPr>
    </w:p>
    <w:p>
      <w:pPr>
        <w:snapToGrid w:val="0"/>
        <w:spacing w:line="276" w:lineRule="auto"/>
        <w:jc w:val="center"/>
        <w:rPr>
          <w:rFonts w:ascii="宋体" w:hAnsi="宋体"/>
          <w:b/>
          <w:sz w:val="52"/>
          <w:szCs w:val="52"/>
        </w:rPr>
      </w:pPr>
    </w:p>
    <w:p>
      <w:pPr>
        <w:adjustRightInd w:val="0"/>
        <w:snapToGrid w:val="0"/>
        <w:spacing w:before="120" w:line="360" w:lineRule="auto"/>
        <w:jc w:val="center"/>
        <w:rPr>
          <w:rFonts w:ascii="宋体" w:hAnsi="宋体" w:eastAsia="宋体"/>
          <w:b/>
          <w:sz w:val="52"/>
          <w:szCs w:val="52"/>
        </w:rPr>
      </w:pPr>
      <w:r>
        <w:rPr>
          <w:rFonts w:hint="eastAsia" w:ascii="宋体" w:hAnsi="宋体" w:eastAsia="宋体"/>
          <w:b/>
          <w:sz w:val="52"/>
          <w:szCs w:val="52"/>
        </w:rPr>
        <w:t>月浦基地综合服务</w:t>
      </w:r>
    </w:p>
    <w:p>
      <w:pPr>
        <w:adjustRightInd w:val="0"/>
        <w:snapToGrid w:val="0"/>
        <w:spacing w:before="120" w:line="360" w:lineRule="auto"/>
        <w:jc w:val="center"/>
        <w:rPr>
          <w:rFonts w:ascii="宋体" w:hAnsi="宋体"/>
          <w:b/>
          <w:bCs/>
          <w:spacing w:val="40"/>
          <w:sz w:val="72"/>
          <w:szCs w:val="72"/>
        </w:rPr>
      </w:pPr>
      <w:r>
        <w:rPr>
          <w:rFonts w:hint="eastAsia" w:ascii="宋体" w:hAnsi="宋体"/>
          <w:b/>
          <w:bCs/>
          <w:spacing w:val="40"/>
          <w:sz w:val="72"/>
          <w:szCs w:val="72"/>
        </w:rPr>
        <w:t>公开询价文件</w:t>
      </w:r>
    </w:p>
    <w:p>
      <w:pPr>
        <w:adjustRightInd w:val="0"/>
        <w:snapToGrid w:val="0"/>
        <w:spacing w:before="120" w:line="360" w:lineRule="auto"/>
        <w:jc w:val="center"/>
        <w:rPr>
          <w:rFonts w:ascii="宋体" w:hAnsi="宋体"/>
          <w:b/>
          <w:bCs/>
          <w:spacing w:val="40"/>
          <w:sz w:val="84"/>
          <w:szCs w:val="84"/>
          <w:highlight w:val="yellow"/>
        </w:rPr>
      </w:pPr>
      <w:r>
        <w:rPr>
          <w:rFonts w:hint="eastAsia" w:ascii="宋体" w:hAnsi="宋体"/>
          <w:b/>
          <w:bCs/>
          <w:spacing w:val="40"/>
          <w:sz w:val="28"/>
          <w:szCs w:val="28"/>
          <w:highlight w:val="yellow"/>
        </w:rPr>
        <w:t>项目编号：CCL2025DHPS002GM</w:t>
      </w:r>
    </w:p>
    <w:p>
      <w:pPr>
        <w:snapToGrid w:val="0"/>
        <w:spacing w:line="276" w:lineRule="auto"/>
        <w:jc w:val="center"/>
        <w:rPr>
          <w:rFonts w:ascii="宋体" w:hAnsi="宋体"/>
          <w:b/>
          <w:sz w:val="52"/>
          <w:szCs w:val="52"/>
        </w:rPr>
      </w:pPr>
    </w:p>
    <w:p>
      <w:pPr>
        <w:snapToGrid w:val="0"/>
        <w:spacing w:line="276" w:lineRule="auto"/>
        <w:jc w:val="center"/>
      </w:pPr>
      <w:r>
        <w:rPr>
          <w:rFonts w:ascii="宋体" w:hAnsi="宋体"/>
        </w:rPr>
        <w:object>
          <v:shape id="_x0000_i1025" o:spt="75" type="#_x0000_t75" style="height:81.75pt;width:93.75pt;" o:ole="t" filled="f" o:preferrelative="t" stroked="f" coordsize="21600,21600">
            <v:path/>
            <v:fill on="f" focussize="0,0"/>
            <v:stroke on="f" joinstyle="miter"/>
            <v:imagedata r:id="rId13" cropleft="-2204f" croptop="-1811f" cropright="-2204f" cropbottom="-1811f" o:title=""/>
            <o:lock v:ext="edit" aspectratio="t"/>
            <w10:wrap type="none"/>
            <w10:anchorlock/>
          </v:shape>
          <o:OLEObject Type="Embed" ProgID="MSDraw" ShapeID="_x0000_i1025" DrawAspect="Content" ObjectID="_1468075725" r:id="rId12">
            <o:LockedField>false</o:LockedField>
          </o:OLEObject>
        </w:object>
      </w:r>
    </w:p>
    <w:p>
      <w:pPr>
        <w:snapToGrid w:val="0"/>
        <w:spacing w:line="276" w:lineRule="auto"/>
        <w:jc w:val="center"/>
      </w:pPr>
    </w:p>
    <w:p>
      <w:pPr>
        <w:snapToGrid w:val="0"/>
        <w:spacing w:line="276" w:lineRule="auto"/>
        <w:jc w:val="center"/>
        <w:rPr>
          <w:rFonts w:ascii="宋体" w:hAnsi="宋体"/>
          <w:b/>
          <w:sz w:val="52"/>
          <w:szCs w:val="52"/>
        </w:rPr>
      </w:pPr>
    </w:p>
    <w:p>
      <w:pPr>
        <w:snapToGrid w:val="0"/>
        <w:spacing w:line="276" w:lineRule="auto"/>
        <w:jc w:val="center"/>
        <w:rPr>
          <w:rFonts w:ascii="宋体" w:hAnsi="宋体"/>
          <w:b/>
          <w:sz w:val="52"/>
          <w:szCs w:val="52"/>
        </w:rPr>
      </w:pPr>
    </w:p>
    <w:p>
      <w:pPr>
        <w:snapToGrid w:val="0"/>
        <w:spacing w:line="276" w:lineRule="auto"/>
        <w:jc w:val="center"/>
        <w:rPr>
          <w:rFonts w:ascii="宋体" w:hAnsi="宋体"/>
          <w:b/>
          <w:sz w:val="52"/>
          <w:szCs w:val="52"/>
        </w:rPr>
      </w:pPr>
    </w:p>
    <w:p>
      <w:pPr>
        <w:spacing w:line="360" w:lineRule="auto"/>
        <w:jc w:val="center"/>
        <w:rPr>
          <w:rFonts w:ascii="宋体" w:hAnsi="宋体"/>
          <w:b/>
          <w:sz w:val="32"/>
          <w:szCs w:val="32"/>
        </w:rPr>
      </w:pPr>
      <w:r>
        <w:rPr>
          <w:rFonts w:hint="eastAsia" w:ascii="宋体" w:hAnsi="宋体"/>
          <w:b/>
          <w:sz w:val="32"/>
          <w:szCs w:val="32"/>
        </w:rPr>
        <w:t>中国海洋石油东海有限公司</w:t>
      </w: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eastAsia="宋体"/>
          <w:b/>
          <w:bCs/>
          <w:spacing w:val="40"/>
          <w:sz w:val="28"/>
          <w:szCs w:val="28"/>
        </w:rPr>
        <w:t>12月</w:t>
      </w:r>
      <w:r>
        <w:rPr>
          <w:rFonts w:ascii="宋体" w:hAnsi="宋体"/>
          <w:b/>
          <w:sz w:val="32"/>
          <w:szCs w:val="32"/>
        </w:rPr>
        <w:br w:type="page"/>
      </w:r>
      <w:bookmarkStart w:id="0" w:name="OLE_LINK3"/>
    </w:p>
    <w:p>
      <w:pPr>
        <w:pStyle w:val="44"/>
      </w:pPr>
      <w:bookmarkStart w:id="1" w:name="_Toc30793"/>
      <w:bookmarkStart w:id="2" w:name="_Toc32196"/>
      <w:bookmarkStart w:id="3" w:name="_Toc46998321"/>
      <w:bookmarkStart w:id="4" w:name="_Toc7159"/>
      <w:bookmarkStart w:id="5" w:name="_Toc2946"/>
      <w:bookmarkStart w:id="6" w:name="_Toc876"/>
      <w:bookmarkStart w:id="7" w:name="_Toc49169690"/>
      <w:bookmarkStart w:id="8" w:name="_Toc10072"/>
      <w:bookmarkStart w:id="9" w:name="_Toc14553"/>
      <w:bookmarkStart w:id="10" w:name="_Toc82595781"/>
      <w:bookmarkStart w:id="11" w:name="_Toc1232"/>
      <w:bookmarkStart w:id="12" w:name="_Toc16982"/>
      <w:bookmarkStart w:id="13" w:name="_Toc30964"/>
      <w:bookmarkStart w:id="14" w:name="_Toc17343"/>
      <w:bookmarkStart w:id="15" w:name="OLE_LINK4"/>
      <w:r>
        <w:rPr>
          <w:rFonts w:hint="eastAsia"/>
        </w:rPr>
        <w:t>目    录</w:t>
      </w:r>
      <w:bookmarkEnd w:id="1"/>
      <w:bookmarkEnd w:id="2"/>
      <w:bookmarkEnd w:id="3"/>
      <w:bookmarkEnd w:id="4"/>
      <w:bookmarkEnd w:id="5"/>
      <w:bookmarkEnd w:id="6"/>
      <w:bookmarkEnd w:id="7"/>
      <w:bookmarkEnd w:id="8"/>
      <w:bookmarkEnd w:id="9"/>
      <w:bookmarkEnd w:id="10"/>
      <w:bookmarkEnd w:id="11"/>
      <w:bookmarkEnd w:id="12"/>
      <w:bookmarkEnd w:id="13"/>
      <w:bookmarkEnd w:id="14"/>
    </w:p>
    <w:p>
      <w:pPr>
        <w:pStyle w:val="33"/>
        <w:tabs>
          <w:tab w:val="right" w:leader="dot" w:pos="8406"/>
        </w:tabs>
      </w:pPr>
      <w:bookmarkStart w:id="16" w:name="_第1章_投标须知"/>
      <w:bookmarkEnd w:id="16"/>
      <w:r>
        <w:rPr>
          <w:rFonts w:ascii="宋体" w:hAnsi="宋体"/>
          <w:b w:val="0"/>
          <w:u w:val="single"/>
        </w:rPr>
        <w:fldChar w:fldCharType="begin"/>
      </w:r>
      <w:r>
        <w:rPr>
          <w:rFonts w:ascii="宋体" w:hAnsi="宋体"/>
          <w:u w:val="single"/>
          <w:lang w:eastAsia="zh-CN"/>
        </w:rPr>
        <w:instrText xml:space="preserve"> TOC \o "1-2" \h \z \u </w:instrText>
      </w:r>
      <w:r>
        <w:rPr>
          <w:rFonts w:ascii="宋体" w:hAnsi="宋体"/>
          <w:b w:val="0"/>
          <w:u w:val="single"/>
        </w:rPr>
        <w:fldChar w:fldCharType="separate"/>
      </w:r>
      <w:r>
        <w:fldChar w:fldCharType="begin"/>
      </w:r>
      <w:r>
        <w:instrText xml:space="preserve"> HYPERLINK \l "_Toc32196" </w:instrText>
      </w:r>
      <w:r>
        <w:fldChar w:fldCharType="separate"/>
      </w:r>
      <w:r>
        <w:rPr>
          <w:rFonts w:hint="eastAsia"/>
        </w:rPr>
        <w:t>目    录</w:t>
      </w:r>
      <w:r>
        <w:tab/>
      </w:r>
      <w:r>
        <w:fldChar w:fldCharType="begin"/>
      </w:r>
      <w:r>
        <w:instrText xml:space="preserve"> PAGEREF _Toc32196 \h </w:instrText>
      </w:r>
      <w:r>
        <w:fldChar w:fldCharType="separate"/>
      </w:r>
      <w:r>
        <w:t>2</w:t>
      </w:r>
      <w:r>
        <w:fldChar w:fldCharType="end"/>
      </w:r>
      <w:r>
        <w:fldChar w:fldCharType="end"/>
      </w:r>
    </w:p>
    <w:p>
      <w:pPr>
        <w:pStyle w:val="33"/>
        <w:tabs>
          <w:tab w:val="right" w:leader="dot" w:pos="8406"/>
        </w:tabs>
      </w:pPr>
      <w:r>
        <w:fldChar w:fldCharType="begin"/>
      </w:r>
      <w:r>
        <w:instrText xml:space="preserve"> HYPERLINK \l "_Toc5272" </w:instrText>
      </w:r>
      <w:r>
        <w:fldChar w:fldCharType="separate"/>
      </w:r>
      <w:r>
        <w:rPr>
          <w:rFonts w:hint="eastAsia"/>
          <w:szCs w:val="30"/>
        </w:rPr>
        <w:t xml:space="preserve">第一章 </w:t>
      </w:r>
      <w:r>
        <w:rPr>
          <w:rFonts w:hint="eastAsia"/>
          <w:lang w:eastAsia="zh-CN"/>
        </w:rPr>
        <w:t>公开询价</w:t>
      </w:r>
      <w:r>
        <w:rPr>
          <w:rFonts w:hint="eastAsia"/>
        </w:rPr>
        <w:t>(重新询价)公告</w:t>
      </w:r>
      <w:r>
        <w:tab/>
      </w:r>
      <w:r>
        <w:fldChar w:fldCharType="begin"/>
      </w:r>
      <w:r>
        <w:instrText xml:space="preserve"> PAGEREF _Toc5272 \h </w:instrText>
      </w:r>
      <w:r>
        <w:fldChar w:fldCharType="separate"/>
      </w:r>
      <w:r>
        <w:t>3</w:t>
      </w:r>
      <w:r>
        <w:fldChar w:fldCharType="end"/>
      </w:r>
      <w:r>
        <w:fldChar w:fldCharType="end"/>
      </w:r>
    </w:p>
    <w:p>
      <w:pPr>
        <w:pStyle w:val="33"/>
        <w:tabs>
          <w:tab w:val="right" w:leader="dot" w:pos="8406"/>
        </w:tabs>
      </w:pPr>
      <w:r>
        <w:fldChar w:fldCharType="begin"/>
      </w:r>
      <w:r>
        <w:instrText xml:space="preserve"> HYPERLINK \l "_Toc16885" </w:instrText>
      </w:r>
      <w:r>
        <w:fldChar w:fldCharType="separate"/>
      </w:r>
      <w:r>
        <w:rPr>
          <w:rFonts w:hint="eastAsia"/>
          <w:szCs w:val="30"/>
          <w:lang w:val="zh-CN"/>
        </w:rPr>
        <w:t xml:space="preserve">第二章 </w:t>
      </w:r>
      <w:r>
        <w:rPr>
          <w:lang w:val="zh-CN"/>
        </w:rPr>
        <w:t>报价须知</w:t>
      </w:r>
      <w:r>
        <w:tab/>
      </w:r>
      <w:r>
        <w:fldChar w:fldCharType="begin"/>
      </w:r>
      <w:r>
        <w:instrText xml:space="preserve"> PAGEREF _Toc16885 \h </w:instrText>
      </w:r>
      <w:r>
        <w:fldChar w:fldCharType="separate"/>
      </w:r>
      <w:r>
        <w:t>6</w:t>
      </w:r>
      <w:r>
        <w:fldChar w:fldCharType="end"/>
      </w:r>
      <w:r>
        <w:fldChar w:fldCharType="end"/>
      </w:r>
    </w:p>
    <w:p>
      <w:pPr>
        <w:pStyle w:val="38"/>
        <w:tabs>
          <w:tab w:val="right" w:leader="dot" w:pos="8406"/>
        </w:tabs>
      </w:pPr>
      <w:r>
        <w:fldChar w:fldCharType="begin"/>
      </w:r>
      <w:r>
        <w:instrText xml:space="preserve"> HYPERLINK \l "_Toc9477" </w:instrText>
      </w:r>
      <w:r>
        <w:fldChar w:fldCharType="separate"/>
      </w:r>
      <w:r>
        <w:rPr>
          <w:rFonts w:hint="eastAsia"/>
        </w:rPr>
        <w:t>2.1 报价须知前附表</w:t>
      </w:r>
      <w:r>
        <w:tab/>
      </w:r>
      <w:r>
        <w:fldChar w:fldCharType="begin"/>
      </w:r>
      <w:r>
        <w:instrText xml:space="preserve"> PAGEREF _Toc9477 \h </w:instrText>
      </w:r>
      <w:r>
        <w:fldChar w:fldCharType="separate"/>
      </w:r>
      <w:r>
        <w:t>6</w:t>
      </w:r>
      <w:r>
        <w:fldChar w:fldCharType="end"/>
      </w:r>
      <w:r>
        <w:fldChar w:fldCharType="end"/>
      </w:r>
    </w:p>
    <w:p>
      <w:pPr>
        <w:pStyle w:val="38"/>
        <w:tabs>
          <w:tab w:val="right" w:leader="dot" w:pos="8406"/>
        </w:tabs>
      </w:pPr>
      <w:r>
        <w:fldChar w:fldCharType="begin"/>
      </w:r>
      <w:r>
        <w:instrText xml:space="preserve"> HYPERLINK \l "_Toc14415" </w:instrText>
      </w:r>
      <w:r>
        <w:fldChar w:fldCharType="separate"/>
      </w:r>
      <w:r>
        <w:rPr>
          <w:rFonts w:hint="eastAsia"/>
        </w:rPr>
        <w:t>2.2 报价须知</w:t>
      </w:r>
      <w:r>
        <w:tab/>
      </w:r>
      <w:r>
        <w:fldChar w:fldCharType="begin"/>
      </w:r>
      <w:r>
        <w:instrText xml:space="preserve"> PAGEREF _Toc14415 \h </w:instrText>
      </w:r>
      <w:r>
        <w:fldChar w:fldCharType="separate"/>
      </w:r>
      <w:r>
        <w:t>7</w:t>
      </w:r>
      <w:r>
        <w:fldChar w:fldCharType="end"/>
      </w:r>
      <w:r>
        <w:fldChar w:fldCharType="end"/>
      </w:r>
    </w:p>
    <w:p>
      <w:pPr>
        <w:pStyle w:val="33"/>
        <w:tabs>
          <w:tab w:val="right" w:leader="dot" w:pos="8406"/>
        </w:tabs>
      </w:pPr>
      <w:r>
        <w:fldChar w:fldCharType="begin"/>
      </w:r>
      <w:r>
        <w:instrText xml:space="preserve"> HYPERLINK \l "_Toc3885" </w:instrText>
      </w:r>
      <w:r>
        <w:fldChar w:fldCharType="separate"/>
      </w:r>
      <w:r>
        <w:rPr>
          <w:rFonts w:hint="eastAsia"/>
          <w:szCs w:val="30"/>
        </w:rPr>
        <w:t xml:space="preserve">第三章 </w:t>
      </w:r>
      <w:r>
        <w:rPr>
          <w:rFonts w:hint="eastAsia"/>
        </w:rPr>
        <w:t>应答文件的评审</w:t>
      </w:r>
      <w:r>
        <w:tab/>
      </w:r>
      <w:r>
        <w:fldChar w:fldCharType="begin"/>
      </w:r>
      <w:r>
        <w:instrText xml:space="preserve"> PAGEREF _Toc3885 \h </w:instrText>
      </w:r>
      <w:r>
        <w:fldChar w:fldCharType="separate"/>
      </w:r>
      <w:r>
        <w:t>11</w:t>
      </w:r>
      <w:r>
        <w:fldChar w:fldCharType="end"/>
      </w:r>
      <w:r>
        <w:fldChar w:fldCharType="end"/>
      </w:r>
    </w:p>
    <w:p>
      <w:pPr>
        <w:pStyle w:val="38"/>
        <w:tabs>
          <w:tab w:val="right" w:leader="dot" w:pos="8406"/>
        </w:tabs>
      </w:pPr>
      <w:r>
        <w:fldChar w:fldCharType="begin"/>
      </w:r>
      <w:r>
        <w:instrText xml:space="preserve"> HYPERLINK \l "_Toc17871" </w:instrText>
      </w:r>
      <w:r>
        <w:fldChar w:fldCharType="separate"/>
      </w:r>
      <w:r>
        <w:rPr>
          <w:rFonts w:hint="eastAsia"/>
        </w:rPr>
        <w:t>3.1 评审方法</w:t>
      </w:r>
      <w:r>
        <w:tab/>
      </w:r>
      <w:r>
        <w:fldChar w:fldCharType="begin"/>
      </w:r>
      <w:r>
        <w:instrText xml:space="preserve"> PAGEREF _Toc17871 \h </w:instrText>
      </w:r>
      <w:r>
        <w:fldChar w:fldCharType="separate"/>
      </w:r>
      <w:r>
        <w:t>11</w:t>
      </w:r>
      <w:r>
        <w:fldChar w:fldCharType="end"/>
      </w:r>
      <w:r>
        <w:fldChar w:fldCharType="end"/>
      </w:r>
    </w:p>
    <w:p>
      <w:pPr>
        <w:pStyle w:val="38"/>
        <w:tabs>
          <w:tab w:val="right" w:leader="dot" w:pos="8406"/>
        </w:tabs>
      </w:pPr>
      <w:r>
        <w:fldChar w:fldCharType="begin"/>
      </w:r>
      <w:r>
        <w:instrText xml:space="preserve"> HYPERLINK \l "_Toc26602" </w:instrText>
      </w:r>
      <w:r>
        <w:fldChar w:fldCharType="separate"/>
      </w:r>
      <w:r>
        <w:rPr>
          <w:rFonts w:hint="eastAsia"/>
        </w:rPr>
        <w:t>3.2 评审标准</w:t>
      </w:r>
      <w:r>
        <w:tab/>
      </w:r>
      <w:r>
        <w:fldChar w:fldCharType="begin"/>
      </w:r>
      <w:r>
        <w:instrText xml:space="preserve"> PAGEREF _Toc26602 \h </w:instrText>
      </w:r>
      <w:r>
        <w:fldChar w:fldCharType="separate"/>
      </w:r>
      <w:r>
        <w:t>11</w:t>
      </w:r>
      <w:r>
        <w:fldChar w:fldCharType="end"/>
      </w:r>
      <w:r>
        <w:fldChar w:fldCharType="end"/>
      </w:r>
    </w:p>
    <w:p>
      <w:pPr>
        <w:pStyle w:val="38"/>
        <w:tabs>
          <w:tab w:val="right" w:leader="dot" w:pos="8406"/>
        </w:tabs>
      </w:pPr>
      <w:r>
        <w:fldChar w:fldCharType="begin"/>
      </w:r>
      <w:r>
        <w:instrText xml:space="preserve"> HYPERLINK \l "_Toc2181" </w:instrText>
      </w:r>
      <w:r>
        <w:fldChar w:fldCharType="separate"/>
      </w:r>
      <w:r>
        <w:rPr>
          <w:rFonts w:hint="eastAsia"/>
        </w:rPr>
        <w:t>3.3 价格评审</w:t>
      </w:r>
      <w:r>
        <w:tab/>
      </w:r>
      <w:r>
        <w:fldChar w:fldCharType="begin"/>
      </w:r>
      <w:r>
        <w:instrText xml:space="preserve"> PAGEREF _Toc2181 \h </w:instrText>
      </w:r>
      <w:r>
        <w:fldChar w:fldCharType="separate"/>
      </w:r>
      <w:r>
        <w:t>11</w:t>
      </w:r>
      <w:r>
        <w:fldChar w:fldCharType="end"/>
      </w:r>
      <w:r>
        <w:fldChar w:fldCharType="end"/>
      </w:r>
    </w:p>
    <w:p>
      <w:pPr>
        <w:pStyle w:val="38"/>
        <w:tabs>
          <w:tab w:val="right" w:leader="dot" w:pos="8406"/>
        </w:tabs>
      </w:pPr>
      <w:r>
        <w:fldChar w:fldCharType="begin"/>
      </w:r>
      <w:r>
        <w:instrText xml:space="preserve"> HYPERLINK \l "_Toc18209" </w:instrText>
      </w:r>
      <w:r>
        <w:fldChar w:fldCharType="separate"/>
      </w:r>
      <w:r>
        <w:rPr>
          <w:rFonts w:hint="eastAsia"/>
        </w:rPr>
        <w:t>3.4 评审结果</w:t>
      </w:r>
      <w:r>
        <w:tab/>
      </w:r>
      <w:r>
        <w:fldChar w:fldCharType="begin"/>
      </w:r>
      <w:r>
        <w:instrText xml:space="preserve"> PAGEREF _Toc18209 \h </w:instrText>
      </w:r>
      <w:r>
        <w:fldChar w:fldCharType="separate"/>
      </w:r>
      <w:r>
        <w:t>12</w:t>
      </w:r>
      <w:r>
        <w:fldChar w:fldCharType="end"/>
      </w:r>
      <w:r>
        <w:fldChar w:fldCharType="end"/>
      </w:r>
    </w:p>
    <w:p>
      <w:pPr>
        <w:pStyle w:val="33"/>
        <w:tabs>
          <w:tab w:val="right" w:leader="dot" w:pos="8406"/>
        </w:tabs>
      </w:pPr>
      <w:r>
        <w:fldChar w:fldCharType="begin"/>
      </w:r>
      <w:r>
        <w:instrText xml:space="preserve"> HYPERLINK \l "_Toc19061" </w:instrText>
      </w:r>
      <w:r>
        <w:fldChar w:fldCharType="separate"/>
      </w:r>
      <w:r>
        <w:rPr>
          <w:rFonts w:hint="eastAsia" w:ascii="宋体" w:hAnsi="宋体"/>
          <w:szCs w:val="30"/>
        </w:rPr>
        <w:t xml:space="preserve">第四章 </w:t>
      </w:r>
      <w:r>
        <w:t>工作内容及</w:t>
      </w:r>
      <w:r>
        <w:rPr>
          <w:rFonts w:hint="eastAsia"/>
          <w:lang w:eastAsia="zh-CN"/>
        </w:rPr>
        <w:t>技术</w:t>
      </w:r>
      <w:r>
        <w:t>要求</w:t>
      </w:r>
      <w:r>
        <w:tab/>
      </w:r>
      <w:r>
        <w:fldChar w:fldCharType="begin"/>
      </w:r>
      <w:r>
        <w:instrText xml:space="preserve"> PAGEREF _Toc19061 \h </w:instrText>
      </w:r>
      <w:r>
        <w:fldChar w:fldCharType="separate"/>
      </w:r>
      <w:r>
        <w:t>18</w:t>
      </w:r>
      <w:r>
        <w:fldChar w:fldCharType="end"/>
      </w:r>
      <w:r>
        <w:fldChar w:fldCharType="end"/>
      </w:r>
    </w:p>
    <w:p>
      <w:pPr>
        <w:pStyle w:val="33"/>
        <w:tabs>
          <w:tab w:val="right" w:leader="dot" w:pos="8406"/>
        </w:tabs>
      </w:pPr>
      <w:r>
        <w:fldChar w:fldCharType="begin"/>
      </w:r>
      <w:r>
        <w:instrText xml:space="preserve"> HYPERLINK \l "_Toc25009" </w:instrText>
      </w:r>
      <w:r>
        <w:fldChar w:fldCharType="separate"/>
      </w:r>
      <w:r>
        <w:rPr>
          <w:rFonts w:hint="eastAsia"/>
          <w:szCs w:val="30"/>
        </w:rPr>
        <w:t xml:space="preserve">第五章 </w:t>
      </w:r>
      <w:r>
        <w:rPr>
          <w:rFonts w:hint="eastAsia"/>
        </w:rPr>
        <w:t>应答文件内容及格式</w:t>
      </w:r>
      <w:r>
        <w:tab/>
      </w:r>
      <w:r>
        <w:fldChar w:fldCharType="begin"/>
      </w:r>
      <w:r>
        <w:instrText xml:space="preserve"> PAGEREF _Toc25009 \h </w:instrText>
      </w:r>
      <w:r>
        <w:fldChar w:fldCharType="separate"/>
      </w:r>
      <w:r>
        <w:t>25</w:t>
      </w:r>
      <w:r>
        <w:fldChar w:fldCharType="end"/>
      </w:r>
      <w:r>
        <w:fldChar w:fldCharType="end"/>
      </w:r>
    </w:p>
    <w:p>
      <w:pPr>
        <w:pStyle w:val="38"/>
        <w:tabs>
          <w:tab w:val="right" w:leader="dot" w:pos="8406"/>
        </w:tabs>
      </w:pPr>
      <w:r>
        <w:fldChar w:fldCharType="begin"/>
      </w:r>
      <w:r>
        <w:instrText xml:space="preserve"> HYPERLINK \l "_Toc23620" </w:instrText>
      </w:r>
      <w:r>
        <w:fldChar w:fldCharType="separate"/>
      </w:r>
      <w:r>
        <w:rPr>
          <w:rFonts w:hint="eastAsia"/>
        </w:rPr>
        <w:t>5.1 商务文件内容及格式</w:t>
      </w:r>
      <w:r>
        <w:tab/>
      </w:r>
      <w:r>
        <w:fldChar w:fldCharType="begin"/>
      </w:r>
      <w:r>
        <w:instrText xml:space="preserve"> PAGEREF _Toc23620 \h </w:instrText>
      </w:r>
      <w:r>
        <w:fldChar w:fldCharType="separate"/>
      </w:r>
      <w:r>
        <w:t>25</w:t>
      </w:r>
      <w:r>
        <w:fldChar w:fldCharType="end"/>
      </w:r>
      <w:r>
        <w:fldChar w:fldCharType="end"/>
      </w:r>
    </w:p>
    <w:p>
      <w:pPr>
        <w:pStyle w:val="38"/>
        <w:tabs>
          <w:tab w:val="right" w:leader="dot" w:pos="8406"/>
        </w:tabs>
      </w:pPr>
      <w:r>
        <w:fldChar w:fldCharType="begin"/>
      </w:r>
      <w:r>
        <w:instrText xml:space="preserve"> HYPERLINK \l "_Toc32740" </w:instrText>
      </w:r>
      <w:r>
        <w:fldChar w:fldCharType="separate"/>
      </w:r>
      <w:r>
        <w:rPr>
          <w:rFonts w:hint="eastAsia"/>
        </w:rPr>
        <w:t>5.2 技术文件内容及格式</w:t>
      </w:r>
      <w:r>
        <w:tab/>
      </w:r>
      <w:r>
        <w:fldChar w:fldCharType="begin"/>
      </w:r>
      <w:r>
        <w:instrText xml:space="preserve"> PAGEREF _Toc32740 \h </w:instrText>
      </w:r>
      <w:r>
        <w:fldChar w:fldCharType="separate"/>
      </w:r>
      <w:r>
        <w:t>25</w:t>
      </w:r>
      <w:r>
        <w:fldChar w:fldCharType="end"/>
      </w:r>
      <w:r>
        <w:fldChar w:fldCharType="end"/>
      </w:r>
    </w:p>
    <w:p>
      <w:pPr>
        <w:pStyle w:val="38"/>
        <w:tabs>
          <w:tab w:val="right" w:leader="dot" w:pos="8406"/>
        </w:tabs>
      </w:pPr>
      <w:r>
        <w:fldChar w:fldCharType="begin"/>
      </w:r>
      <w:r>
        <w:instrText xml:space="preserve"> HYPERLINK \l "_Toc7783" </w:instrText>
      </w:r>
      <w:r>
        <w:fldChar w:fldCharType="separate"/>
      </w:r>
      <w:r>
        <w:rPr>
          <w:rFonts w:hint="eastAsia"/>
        </w:rPr>
        <w:t>5.3 价格文件内容及格式</w:t>
      </w:r>
      <w:r>
        <w:tab/>
      </w:r>
      <w:r>
        <w:fldChar w:fldCharType="begin"/>
      </w:r>
      <w:r>
        <w:instrText xml:space="preserve"> PAGEREF _Toc7783 \h </w:instrText>
      </w:r>
      <w:r>
        <w:fldChar w:fldCharType="separate"/>
      </w:r>
      <w:r>
        <w:t>25</w:t>
      </w:r>
      <w:r>
        <w:fldChar w:fldCharType="end"/>
      </w:r>
      <w:r>
        <w:fldChar w:fldCharType="end"/>
      </w:r>
    </w:p>
    <w:p>
      <w:pPr>
        <w:pStyle w:val="38"/>
        <w:tabs>
          <w:tab w:val="right" w:leader="dot" w:pos="8406"/>
        </w:tabs>
      </w:pPr>
      <w:r>
        <w:fldChar w:fldCharType="begin"/>
      </w:r>
      <w:r>
        <w:instrText xml:space="preserve"> HYPERLINK \l "_Toc7274" </w:instrText>
      </w:r>
      <w:r>
        <w:fldChar w:fldCharType="separate"/>
      </w:r>
      <w:r>
        <w:rPr>
          <w:rFonts w:hint="eastAsia"/>
          <w:szCs w:val="32"/>
          <w:lang w:eastAsia="zh-CN"/>
        </w:rPr>
        <w:t>5.4 应答</w:t>
      </w:r>
      <w:r>
        <w:rPr>
          <w:rFonts w:hint="eastAsia"/>
          <w:szCs w:val="32"/>
        </w:rPr>
        <w:t>商务</w:t>
      </w:r>
      <w:r>
        <w:rPr>
          <w:rFonts w:hint="eastAsia"/>
          <w:szCs w:val="32"/>
          <w:lang w:eastAsia="zh-CN"/>
        </w:rPr>
        <w:t>文件格式</w:t>
      </w:r>
      <w:r>
        <w:tab/>
      </w:r>
      <w:r>
        <w:fldChar w:fldCharType="begin"/>
      </w:r>
      <w:r>
        <w:instrText xml:space="preserve"> PAGEREF _Toc7274 \h </w:instrText>
      </w:r>
      <w:r>
        <w:fldChar w:fldCharType="separate"/>
      </w:r>
      <w:r>
        <w:t>26</w:t>
      </w:r>
      <w:r>
        <w:fldChar w:fldCharType="end"/>
      </w:r>
      <w:r>
        <w:fldChar w:fldCharType="end"/>
      </w:r>
    </w:p>
    <w:p>
      <w:pPr>
        <w:pStyle w:val="38"/>
        <w:tabs>
          <w:tab w:val="right" w:leader="dot" w:pos="8406"/>
        </w:tabs>
      </w:pPr>
      <w:r>
        <w:fldChar w:fldCharType="begin"/>
      </w:r>
      <w:r>
        <w:instrText xml:space="preserve"> HYPERLINK \l "_Toc29871" </w:instrText>
      </w:r>
      <w:r>
        <w:fldChar w:fldCharType="separate"/>
      </w:r>
      <w:r>
        <w:rPr>
          <w:rFonts w:hint="eastAsia" w:eastAsia="黑体"/>
          <w:bCs/>
          <w:snapToGrid w:val="0"/>
          <w:szCs w:val="24"/>
          <w:lang w:val="zh-CN" w:eastAsia="zh-CN"/>
        </w:rPr>
        <w:t>5.5 应答</w:t>
      </w:r>
      <w:r>
        <w:rPr>
          <w:rFonts w:hint="eastAsia" w:eastAsia="黑体"/>
          <w:bCs/>
          <w:snapToGrid w:val="0"/>
          <w:szCs w:val="24"/>
          <w:lang w:eastAsia="zh-CN"/>
        </w:rPr>
        <w:t>技术</w:t>
      </w:r>
      <w:r>
        <w:rPr>
          <w:rFonts w:hint="eastAsia" w:eastAsia="黑体"/>
          <w:bCs/>
          <w:snapToGrid w:val="0"/>
          <w:szCs w:val="24"/>
          <w:lang w:val="zh-CN" w:eastAsia="zh-CN"/>
        </w:rPr>
        <w:t>文件格式</w:t>
      </w:r>
      <w:r>
        <w:tab/>
      </w:r>
      <w:r>
        <w:fldChar w:fldCharType="begin"/>
      </w:r>
      <w:r>
        <w:instrText xml:space="preserve"> PAGEREF _Toc29871 \h </w:instrText>
      </w:r>
      <w:r>
        <w:fldChar w:fldCharType="separate"/>
      </w:r>
      <w:r>
        <w:t>32</w:t>
      </w:r>
      <w:r>
        <w:fldChar w:fldCharType="end"/>
      </w:r>
      <w:r>
        <w:fldChar w:fldCharType="end"/>
      </w:r>
    </w:p>
    <w:p>
      <w:pPr>
        <w:pStyle w:val="38"/>
        <w:tabs>
          <w:tab w:val="right" w:leader="dot" w:pos="8406"/>
        </w:tabs>
      </w:pPr>
      <w:r>
        <w:fldChar w:fldCharType="begin"/>
      </w:r>
      <w:r>
        <w:instrText xml:space="preserve"> HYPERLINK \l "_Toc6179" </w:instrText>
      </w:r>
      <w:r>
        <w:fldChar w:fldCharType="separate"/>
      </w:r>
      <w:r>
        <w:rPr>
          <w:rFonts w:hint="eastAsia" w:ascii="宋体" w:hAnsi="宋体"/>
        </w:rPr>
        <w:t xml:space="preserve">5.6 </w:t>
      </w:r>
      <w:r>
        <w:rPr>
          <w:rFonts w:hint="eastAsia" w:eastAsia="黑体"/>
          <w:bCs/>
          <w:snapToGrid w:val="0"/>
          <w:szCs w:val="32"/>
          <w:lang w:val="zh-CN" w:eastAsia="zh-CN"/>
        </w:rPr>
        <w:t>应答</w:t>
      </w:r>
      <w:r>
        <w:rPr>
          <w:rFonts w:hint="eastAsia"/>
          <w:bCs/>
          <w:snapToGrid w:val="0"/>
          <w:szCs w:val="32"/>
          <w:lang w:val="zh-CN" w:eastAsia="zh-CN"/>
        </w:rPr>
        <w:t>价格</w:t>
      </w:r>
      <w:r>
        <w:rPr>
          <w:rFonts w:hint="eastAsia" w:eastAsia="黑体"/>
          <w:bCs/>
          <w:snapToGrid w:val="0"/>
          <w:szCs w:val="32"/>
          <w:lang w:val="zh-CN" w:eastAsia="zh-CN"/>
        </w:rPr>
        <w:t>文件格式</w:t>
      </w:r>
      <w:r>
        <w:tab/>
      </w:r>
      <w:r>
        <w:fldChar w:fldCharType="begin"/>
      </w:r>
      <w:r>
        <w:instrText xml:space="preserve"> PAGEREF _Toc6179 \h </w:instrText>
      </w:r>
      <w:r>
        <w:fldChar w:fldCharType="separate"/>
      </w:r>
      <w:r>
        <w:t>34</w:t>
      </w:r>
      <w:r>
        <w:fldChar w:fldCharType="end"/>
      </w:r>
      <w:r>
        <w:fldChar w:fldCharType="end"/>
      </w:r>
    </w:p>
    <w:p>
      <w:pPr>
        <w:pStyle w:val="33"/>
        <w:tabs>
          <w:tab w:val="right" w:leader="dot" w:pos="8406"/>
        </w:tabs>
      </w:pPr>
      <w:r>
        <w:fldChar w:fldCharType="begin"/>
      </w:r>
      <w:r>
        <w:instrText xml:space="preserve"> HYPERLINK \l "_Toc32623" </w:instrText>
      </w:r>
      <w:r>
        <w:fldChar w:fldCharType="separate"/>
      </w:r>
      <w:r>
        <w:rPr>
          <w:rFonts w:hint="eastAsia"/>
          <w:szCs w:val="30"/>
        </w:rPr>
        <w:t xml:space="preserve">第六章 </w:t>
      </w:r>
      <w:r>
        <w:rPr>
          <w:rFonts w:hint="eastAsia"/>
        </w:rPr>
        <w:t>标准合同</w:t>
      </w:r>
      <w:r>
        <w:tab/>
      </w:r>
      <w:r>
        <w:fldChar w:fldCharType="begin"/>
      </w:r>
      <w:r>
        <w:instrText xml:space="preserve"> PAGEREF _Toc32623 \h </w:instrText>
      </w:r>
      <w:r>
        <w:fldChar w:fldCharType="separate"/>
      </w:r>
      <w:r>
        <w:t>38</w:t>
      </w:r>
      <w:r>
        <w:fldChar w:fldCharType="end"/>
      </w:r>
      <w:r>
        <w:fldChar w:fldCharType="end"/>
      </w:r>
    </w:p>
    <w:p>
      <w:pPr>
        <w:pStyle w:val="33"/>
        <w:tabs>
          <w:tab w:val="right" w:leader="dot" w:pos="8406"/>
        </w:tabs>
      </w:pPr>
      <w:r>
        <w:fldChar w:fldCharType="begin"/>
      </w:r>
      <w:r>
        <w:instrText xml:space="preserve"> HYPERLINK \l "_Toc4419" </w:instrText>
      </w:r>
      <w:r>
        <w:fldChar w:fldCharType="separate"/>
      </w:r>
      <w:r>
        <w:rPr>
          <w:rFonts w:hint="eastAsia" w:ascii="宋体" w:hAnsi="宋体"/>
          <w:bCs/>
          <w:szCs w:val="24"/>
          <w:lang w:eastAsia="zh-CN"/>
        </w:rPr>
        <w:t>附件1：任职情况说明反馈表</w:t>
      </w:r>
      <w:r>
        <w:tab/>
      </w:r>
      <w:r>
        <w:fldChar w:fldCharType="begin"/>
      </w:r>
      <w:r>
        <w:instrText xml:space="preserve"> PAGEREF _Toc4419 \h </w:instrText>
      </w:r>
      <w:r>
        <w:fldChar w:fldCharType="separate"/>
      </w:r>
      <w:r>
        <w:t>39</w:t>
      </w:r>
      <w:r>
        <w:fldChar w:fldCharType="end"/>
      </w:r>
      <w:r>
        <w:fldChar w:fldCharType="end"/>
      </w:r>
    </w:p>
    <w:p>
      <w:pPr>
        <w:pStyle w:val="33"/>
        <w:tabs>
          <w:tab w:val="right" w:leader="dot" w:pos="8406"/>
        </w:tabs>
      </w:pPr>
      <w:r>
        <w:fldChar w:fldCharType="begin"/>
      </w:r>
      <w:r>
        <w:instrText xml:space="preserve"> HYPERLINK \l "_Toc3724" </w:instrText>
      </w:r>
      <w:r>
        <w:fldChar w:fldCharType="separate"/>
      </w:r>
      <w:r>
        <w:rPr>
          <w:rFonts w:hint="eastAsia" w:ascii="宋体" w:hAnsi="宋体"/>
          <w:bCs/>
          <w:szCs w:val="24"/>
          <w:lang w:eastAsia="zh-CN"/>
        </w:rPr>
        <w:t>附件2: 不参与围标串标承诺书（格式）</w:t>
      </w:r>
      <w:r>
        <w:tab/>
      </w:r>
      <w:r>
        <w:fldChar w:fldCharType="begin"/>
      </w:r>
      <w:r>
        <w:instrText xml:space="preserve"> PAGEREF _Toc3724 \h </w:instrText>
      </w:r>
      <w:r>
        <w:fldChar w:fldCharType="separate"/>
      </w:r>
      <w:r>
        <w:t>40</w:t>
      </w:r>
      <w:r>
        <w:fldChar w:fldCharType="end"/>
      </w:r>
      <w:r>
        <w:fldChar w:fldCharType="end"/>
      </w:r>
    </w:p>
    <w:p>
      <w:pPr>
        <w:pStyle w:val="33"/>
        <w:tabs>
          <w:tab w:val="right" w:leader="dot" w:pos="8406"/>
        </w:tabs>
      </w:pPr>
      <w:r>
        <w:fldChar w:fldCharType="begin"/>
      </w:r>
      <w:r>
        <w:instrText xml:space="preserve"> HYPERLINK \l "_Toc8345" </w:instrText>
      </w:r>
      <w:r>
        <w:fldChar w:fldCharType="separate"/>
      </w:r>
      <w:r>
        <w:rPr>
          <w:rFonts w:hint="eastAsia" w:ascii="宋体" w:hAnsi="宋体"/>
          <w:bCs/>
          <w:szCs w:val="24"/>
          <w:lang w:eastAsia="zh-CN"/>
        </w:rPr>
        <w:t>附件3：名录供应商企业划分级别确认函</w:t>
      </w:r>
      <w:r>
        <w:tab/>
      </w:r>
      <w:r>
        <w:fldChar w:fldCharType="begin"/>
      </w:r>
      <w:r>
        <w:instrText xml:space="preserve"> PAGEREF _Toc8345 \h </w:instrText>
      </w:r>
      <w:r>
        <w:fldChar w:fldCharType="separate"/>
      </w:r>
      <w:r>
        <w:t>41</w:t>
      </w:r>
      <w:r>
        <w:fldChar w:fldCharType="end"/>
      </w:r>
      <w:r>
        <w:fldChar w:fldCharType="end"/>
      </w:r>
    </w:p>
    <w:p>
      <w:pPr>
        <w:pStyle w:val="120"/>
        <w:spacing w:before="93" w:after="93"/>
        <w:ind w:firstLine="480"/>
      </w:pPr>
      <w:r>
        <w:fldChar w:fldCharType="end"/>
      </w:r>
    </w:p>
    <w:p/>
    <w:p/>
    <w:p>
      <w:pPr>
        <w:tabs>
          <w:tab w:val="left" w:pos="4770"/>
        </w:tabs>
      </w:pPr>
      <w:r>
        <w:tab/>
      </w:r>
    </w:p>
    <w:p/>
    <w:p/>
    <w:p/>
    <w:p>
      <w:pPr>
        <w:tabs>
          <w:tab w:val="center" w:pos="4203"/>
        </w:tabs>
        <w:sectPr>
          <w:footerReference r:id="rId6" w:type="first"/>
          <w:headerReference r:id="rId3" w:type="default"/>
          <w:footerReference r:id="rId5" w:type="default"/>
          <w:headerReference r:id="rId4" w:type="even"/>
          <w:pgSz w:w="11906" w:h="16838"/>
          <w:pgMar w:top="1440" w:right="1700" w:bottom="1440" w:left="1800" w:header="851" w:footer="992" w:gutter="0"/>
          <w:cols w:space="720" w:num="1"/>
          <w:docGrid w:type="lines" w:linePitch="312" w:charSpace="0"/>
        </w:sectPr>
      </w:pPr>
    </w:p>
    <w:p>
      <w:pPr>
        <w:pStyle w:val="253"/>
        <w:rPr>
          <w:szCs w:val="32"/>
        </w:rPr>
      </w:pPr>
      <w:bookmarkStart w:id="17" w:name="_Toc27597"/>
      <w:bookmarkStart w:id="18" w:name="_Toc5597"/>
      <w:bookmarkStart w:id="19" w:name="_Toc16175"/>
      <w:bookmarkStart w:id="20" w:name="_Toc10895"/>
      <w:bookmarkStart w:id="21" w:name="_Toc13456"/>
      <w:bookmarkStart w:id="22" w:name="_Toc20998"/>
      <w:bookmarkStart w:id="23" w:name="_Toc7827"/>
      <w:bookmarkStart w:id="24" w:name="_Toc32089"/>
      <w:bookmarkStart w:id="25" w:name="_Toc675"/>
      <w:bookmarkStart w:id="26" w:name="_Toc5272"/>
      <w:bookmarkStart w:id="27" w:name="_Toc9708"/>
      <w:bookmarkStart w:id="28" w:name="OLE_LINK5"/>
      <w:r>
        <w:rPr>
          <w:rFonts w:hint="eastAsia"/>
          <w:lang w:val="en-US"/>
        </w:rPr>
        <w:t>公开询价</w:t>
      </w:r>
      <w:r>
        <w:rPr>
          <w:rFonts w:hint="eastAsia"/>
        </w:rPr>
        <w:t>公告</w:t>
      </w:r>
      <w:bookmarkEnd w:id="17"/>
      <w:bookmarkEnd w:id="18"/>
      <w:bookmarkEnd w:id="19"/>
      <w:bookmarkEnd w:id="20"/>
      <w:bookmarkEnd w:id="21"/>
      <w:bookmarkEnd w:id="22"/>
      <w:bookmarkEnd w:id="23"/>
      <w:bookmarkEnd w:id="24"/>
      <w:bookmarkEnd w:id="25"/>
      <w:bookmarkEnd w:id="26"/>
      <w:bookmarkEnd w:id="27"/>
    </w:p>
    <w:bookmarkEnd w:id="0"/>
    <w:p>
      <w:pPr>
        <w:adjustRightInd w:val="0"/>
        <w:snapToGrid w:val="0"/>
        <w:spacing w:line="360" w:lineRule="auto"/>
        <w:ind w:firstLine="429" w:firstLineChars="179"/>
        <w:rPr>
          <w:rFonts w:ascii="宋体" w:hAnsi="宋体"/>
          <w:bCs/>
          <w:sz w:val="24"/>
        </w:rPr>
      </w:pPr>
      <w:bookmarkStart w:id="29" w:name="OLE_LINK1"/>
      <w:bookmarkStart w:id="30" w:name="OLE_LINK2"/>
      <w:r>
        <w:rPr>
          <w:rFonts w:hint="eastAsia" w:ascii="宋体" w:hAnsi="宋体"/>
          <w:bCs/>
          <w:sz w:val="24"/>
        </w:rPr>
        <w:t>项目名称：月浦基地综合服务</w:t>
      </w:r>
      <w:r>
        <w:rPr>
          <w:rFonts w:hint="eastAsia" w:ascii="宋体" w:hAnsi="宋体"/>
          <w:bCs/>
          <w:sz w:val="24"/>
          <w:highlight w:val="yellow"/>
        </w:rPr>
        <w:t>标段（包）编号：CCL2025DHPS002GM/01</w:t>
      </w:r>
    </w:p>
    <w:p>
      <w:pPr>
        <w:adjustRightInd w:val="0"/>
        <w:snapToGrid w:val="0"/>
        <w:spacing w:line="360" w:lineRule="auto"/>
        <w:ind w:firstLine="429" w:firstLineChars="179"/>
        <w:rPr>
          <w:rFonts w:ascii="宋体" w:hAnsi="宋体"/>
          <w:bCs/>
          <w:sz w:val="24"/>
        </w:rPr>
      </w:pPr>
      <w:r>
        <w:rPr>
          <w:rFonts w:hint="eastAsia" w:ascii="宋体" w:hAnsi="宋体"/>
          <w:bCs/>
          <w:sz w:val="24"/>
        </w:rPr>
        <w:t>发标日期：2024年</w:t>
      </w:r>
      <w:r>
        <w:rPr>
          <w:rFonts w:hint="eastAsia" w:ascii="宋体" w:hAnsi="宋体"/>
          <w:bCs/>
          <w:sz w:val="24"/>
          <w:highlight w:val="yellow"/>
        </w:rPr>
        <w:t>12月</w:t>
      </w:r>
      <w:r>
        <w:rPr>
          <w:rFonts w:hint="eastAsia" w:ascii="宋体" w:hAnsi="宋体"/>
          <w:bCs/>
          <w:sz w:val="24"/>
          <w:highlight w:val="yellow"/>
          <w:lang w:val="en-US" w:eastAsia="zh-CN"/>
        </w:rPr>
        <w:t>24</w:t>
      </w:r>
      <w:r>
        <w:rPr>
          <w:rFonts w:hint="eastAsia" w:ascii="宋体" w:hAnsi="宋体"/>
          <w:bCs/>
          <w:sz w:val="24"/>
          <w:highlight w:val="yellow"/>
        </w:rPr>
        <w:t>日</w:t>
      </w:r>
      <w:r>
        <w:rPr>
          <w:rFonts w:hint="eastAsia" w:ascii="宋体" w:hAnsi="宋体"/>
          <w:bCs/>
          <w:sz w:val="24"/>
        </w:rPr>
        <w:t>中国海洋石油东海有限公司就月浦基地综合服务进行</w:t>
      </w:r>
      <w:r>
        <w:rPr>
          <w:rFonts w:hint="eastAsia" w:ascii="宋体" w:hAnsi="宋体"/>
          <w:bCs/>
          <w:sz w:val="24"/>
          <w:u w:val="single"/>
        </w:rPr>
        <w:t>公开询价</w:t>
      </w:r>
      <w:r>
        <w:rPr>
          <w:rFonts w:hint="eastAsia" w:ascii="宋体" w:hAnsi="宋体"/>
          <w:bCs/>
          <w:sz w:val="24"/>
        </w:rPr>
        <w:t>。现邀请合格投标人对下列项目投标：</w:t>
      </w:r>
    </w:p>
    <w:p>
      <w:pPr>
        <w:adjustRightInd w:val="0"/>
        <w:snapToGrid w:val="0"/>
        <w:spacing w:line="360" w:lineRule="auto"/>
        <w:ind w:firstLine="429" w:firstLineChars="179"/>
        <w:rPr>
          <w:rFonts w:ascii="宋体" w:hAnsi="宋体"/>
          <w:bCs/>
          <w:sz w:val="24"/>
        </w:rPr>
      </w:pPr>
      <w:r>
        <w:rPr>
          <w:rFonts w:hint="eastAsia" w:ascii="宋体" w:hAnsi="宋体"/>
          <w:bCs/>
          <w:sz w:val="24"/>
        </w:rPr>
        <w:t>项目名称：月浦基地综合服务；</w:t>
      </w:r>
    </w:p>
    <w:p>
      <w:pPr>
        <w:adjustRightInd w:val="0"/>
        <w:snapToGrid w:val="0"/>
        <w:spacing w:line="360" w:lineRule="auto"/>
        <w:ind w:firstLine="429" w:firstLineChars="179"/>
        <w:rPr>
          <w:rFonts w:ascii="宋体" w:hAnsi="宋体"/>
          <w:bCs/>
          <w:sz w:val="24"/>
        </w:rPr>
      </w:pPr>
      <w:r>
        <w:rPr>
          <w:rFonts w:hint="eastAsia" w:ascii="宋体" w:hAnsi="宋体"/>
          <w:bCs/>
          <w:sz w:val="24"/>
        </w:rPr>
        <w:t>合同模式：固定总价+费率。</w:t>
      </w:r>
    </w:p>
    <w:p>
      <w:pPr>
        <w:adjustRightInd w:val="0"/>
        <w:snapToGrid w:val="0"/>
        <w:spacing w:line="360" w:lineRule="auto"/>
        <w:ind w:firstLine="429" w:firstLineChars="179"/>
        <w:rPr>
          <w:rFonts w:ascii="宋体" w:hAnsi="宋体"/>
          <w:bCs/>
          <w:sz w:val="24"/>
        </w:rPr>
      </w:pPr>
      <w:r>
        <w:rPr>
          <w:rFonts w:hint="eastAsia" w:ascii="宋体" w:hAnsi="宋体"/>
          <w:bCs/>
          <w:sz w:val="24"/>
        </w:rPr>
        <w:t>项目概况：</w:t>
      </w:r>
      <w:r>
        <w:rPr>
          <w:rFonts w:hint="eastAsia" w:ascii="宋体" w:hAnsi="宋体"/>
          <w:sz w:val="24"/>
        </w:rPr>
        <w:t>中国海洋石油东海有限公司拟针对月浦基地综合服务进行公开询价，诚邀具有价格竞争力、质量优势和良好信誉的企业报名参加。标的物描述：月浦基地综合服务</w:t>
      </w:r>
      <w:r>
        <w:rPr>
          <w:rFonts w:ascii="宋体" w:hAnsi="宋体"/>
          <w:sz w:val="24"/>
        </w:rPr>
        <w:t>,</w:t>
      </w:r>
      <w:r>
        <w:rPr>
          <w:rFonts w:hint="eastAsia" w:ascii="宋体" w:hAnsi="宋体"/>
          <w:sz w:val="24"/>
        </w:rPr>
        <w:t xml:space="preserve"> 采购人将对报名企业进行资格评审，合格企业方能参加评标。对于报名企业提供的资质、业绩、财务状况等，采购人将视情况进行实地见证。</w:t>
      </w:r>
    </w:p>
    <w:p>
      <w:pPr>
        <w:adjustRightInd w:val="0"/>
        <w:snapToGrid w:val="0"/>
        <w:spacing w:line="360" w:lineRule="auto"/>
        <w:ind w:firstLine="429" w:firstLineChars="179"/>
        <w:rPr>
          <w:rFonts w:ascii="宋体" w:hAnsi="宋体"/>
          <w:bCs/>
          <w:sz w:val="24"/>
        </w:rPr>
      </w:pPr>
      <w:r>
        <w:rPr>
          <w:rFonts w:hint="eastAsia" w:ascii="宋体" w:hAnsi="宋体"/>
          <w:bCs/>
          <w:sz w:val="24"/>
        </w:rPr>
        <w:t>项目所在地：上海市宝山区月罗公路202号。</w:t>
      </w:r>
    </w:p>
    <w:p>
      <w:pPr>
        <w:adjustRightInd w:val="0"/>
        <w:snapToGrid w:val="0"/>
        <w:spacing w:line="360" w:lineRule="auto"/>
        <w:ind w:firstLine="429" w:firstLineChars="179"/>
        <w:rPr>
          <w:rFonts w:ascii="宋体" w:hAnsi="宋体"/>
          <w:bCs/>
          <w:sz w:val="24"/>
        </w:rPr>
      </w:pPr>
      <w:r>
        <w:rPr>
          <w:rFonts w:hint="eastAsia" w:ascii="宋体" w:hAnsi="宋体"/>
          <w:bCs/>
          <w:sz w:val="24"/>
        </w:rPr>
        <w:t>采购内容简介：月浦基地综合服务，具体内容以技术要求为准。</w:t>
      </w:r>
    </w:p>
    <w:p>
      <w:pPr>
        <w:adjustRightInd w:val="0"/>
        <w:snapToGrid w:val="0"/>
        <w:spacing w:line="360" w:lineRule="auto"/>
        <w:ind w:firstLine="429" w:firstLineChars="179"/>
        <w:rPr>
          <w:rFonts w:ascii="宋体" w:hAnsi="宋体"/>
          <w:bCs/>
          <w:sz w:val="24"/>
        </w:rPr>
      </w:pPr>
      <w:r>
        <w:rPr>
          <w:rFonts w:hint="eastAsia" w:ascii="宋体" w:hAnsi="宋体"/>
          <w:bCs/>
          <w:sz w:val="24"/>
        </w:rPr>
        <w:t>资金来源：</w:t>
      </w:r>
      <w:r>
        <w:rPr>
          <w:rFonts w:hint="eastAsia" w:ascii="宋体" w:hAnsi="宋体"/>
          <w:bCs/>
          <w:sz w:val="24"/>
        </w:rPr>
        <w:tab/>
      </w:r>
      <w:r>
        <w:rPr>
          <w:rFonts w:hint="eastAsia" w:ascii="宋体" w:hAnsi="宋体"/>
          <w:bCs/>
          <w:sz w:val="24"/>
        </w:rPr>
        <w:t>企业自筹</w:t>
      </w:r>
    </w:p>
    <w:p>
      <w:pPr>
        <w:adjustRightInd w:val="0"/>
        <w:snapToGrid w:val="0"/>
        <w:spacing w:line="360" w:lineRule="auto"/>
        <w:ind w:firstLine="429" w:firstLineChars="179"/>
        <w:rPr>
          <w:rFonts w:ascii="宋体" w:hAnsi="宋体"/>
          <w:bCs/>
          <w:sz w:val="24"/>
        </w:rPr>
      </w:pPr>
      <w:r>
        <w:rPr>
          <w:rFonts w:hint="eastAsia" w:ascii="宋体" w:hAnsi="宋体"/>
          <w:bCs/>
          <w:sz w:val="24"/>
        </w:rPr>
        <w:t>资金落实情况：已落实</w:t>
      </w:r>
    </w:p>
    <w:p>
      <w:pPr>
        <w:adjustRightInd w:val="0"/>
        <w:snapToGrid w:val="0"/>
        <w:spacing w:line="360" w:lineRule="auto"/>
        <w:ind w:firstLine="429" w:firstLineChars="179"/>
        <w:rPr>
          <w:rFonts w:ascii="宋体" w:hAnsi="宋体"/>
          <w:bCs/>
          <w:sz w:val="24"/>
        </w:rPr>
      </w:pPr>
      <w:r>
        <w:rPr>
          <w:rFonts w:hint="eastAsia" w:ascii="宋体" w:hAnsi="宋体"/>
          <w:bCs/>
          <w:sz w:val="24"/>
        </w:rPr>
        <w:t>资格要求：</w:t>
      </w:r>
    </w:p>
    <w:p>
      <w:pPr>
        <w:numPr>
          <w:ilvl w:val="0"/>
          <w:numId w:val="25"/>
        </w:numPr>
        <w:adjustRightInd w:val="0"/>
        <w:snapToGrid w:val="0"/>
        <w:spacing w:line="360" w:lineRule="auto"/>
        <w:rPr>
          <w:rFonts w:ascii="宋体" w:hAnsi="宋体"/>
          <w:bCs/>
          <w:sz w:val="24"/>
        </w:rPr>
      </w:pPr>
      <w:r>
        <w:rPr>
          <w:rFonts w:hint="eastAsia" w:ascii="宋体" w:hAnsi="宋体"/>
          <w:bCs/>
          <w:sz w:val="24"/>
        </w:rPr>
        <w:t xml:space="preserve">投标主体： 投标人具有合法有效的企业法人营业执照、税务登记证及组织机构代码证或证照合一的营业执照，投标时需提供原件扫描件（原件备查）。 投标人为事业单位的，应具有合法有效的事业单位法人证书，投标时需提供原件扫描件（原件备查）。 投标人为分公司的，应具有合法有效的营业执照和上级法人单位授权书，分公司与上级法人单位只可一家参与投标，同时参与投标的，投标均无效。具有独立订立及履行合同的能力；包括但不限于：投标人提供至投标截止日连续6个月缴纳不少于3人的社保文件证明；注册资金实缴不低于50万人民币的证明文件。  </w:t>
      </w:r>
    </w:p>
    <w:p>
      <w:pPr>
        <w:numPr>
          <w:ilvl w:val="0"/>
          <w:numId w:val="25"/>
        </w:numPr>
        <w:adjustRightInd w:val="0"/>
        <w:snapToGrid w:val="0"/>
        <w:spacing w:line="360" w:lineRule="auto"/>
        <w:rPr>
          <w:rFonts w:ascii="宋体" w:hAnsi="宋体"/>
          <w:bCs/>
          <w:sz w:val="24"/>
        </w:rPr>
      </w:pPr>
      <w:r>
        <w:rPr>
          <w:rFonts w:hint="eastAsia" w:ascii="宋体" w:hAnsi="宋体"/>
          <w:bCs/>
          <w:sz w:val="24"/>
        </w:rPr>
        <w:t>2021年1月1日起至投标截止日前有物业服务相关业绩，需提供两个（含）以上的业绩证明且至少一个合同金额大于40万元（证明材料不限于结算单、验收单、合同等任一能证明合作双方确认工作量及金额的方式）。</w:t>
      </w:r>
    </w:p>
    <w:p>
      <w:pPr>
        <w:numPr>
          <w:ilvl w:val="0"/>
          <w:numId w:val="25"/>
        </w:numPr>
        <w:adjustRightInd w:val="0"/>
        <w:snapToGrid w:val="0"/>
        <w:spacing w:line="360" w:lineRule="auto"/>
        <w:rPr>
          <w:rFonts w:ascii="宋体" w:hAnsi="宋体"/>
          <w:bCs/>
          <w:sz w:val="24"/>
        </w:rPr>
      </w:pPr>
      <w:r>
        <w:rPr>
          <w:rFonts w:hint="eastAsia" w:ascii="宋体" w:hAnsi="宋体"/>
          <w:bCs/>
          <w:sz w:val="24"/>
        </w:rPr>
        <w:t>投标人不得存在的情形：</w:t>
      </w:r>
    </w:p>
    <w:p>
      <w:pPr>
        <w:numPr>
          <w:ilvl w:val="0"/>
          <w:numId w:val="26"/>
        </w:numPr>
        <w:adjustRightInd w:val="0"/>
        <w:snapToGrid w:val="0"/>
        <w:spacing w:line="360" w:lineRule="auto"/>
        <w:ind w:left="638" w:hanging="638" w:hangingChars="266"/>
        <w:rPr>
          <w:rFonts w:ascii="宋体" w:hAnsi="宋体"/>
          <w:bCs/>
          <w:sz w:val="24"/>
        </w:rPr>
      </w:pPr>
      <w:r>
        <w:rPr>
          <w:rFonts w:hint="eastAsia" w:ascii="宋体" w:hAnsi="宋体"/>
          <w:bCs/>
          <w:sz w:val="24"/>
        </w:rPr>
        <w:t>自2021年1月1日起至投标截止时间止（以事故书面认定材料出具时 间为准） 所承担的服务项目出现重大及以上生产安全事故， 且经过官方机构或第三方权威机构调查并出具了明确的书面证据， 认定应由投标人承担重大及以上安全事故责任并对投标人进行处理的；</w:t>
      </w:r>
    </w:p>
    <w:p>
      <w:pPr>
        <w:numPr>
          <w:ilvl w:val="0"/>
          <w:numId w:val="26"/>
        </w:numPr>
        <w:adjustRightInd w:val="0"/>
        <w:snapToGrid w:val="0"/>
        <w:spacing w:line="360" w:lineRule="auto"/>
        <w:ind w:left="638" w:hanging="638" w:hangingChars="266"/>
        <w:rPr>
          <w:rFonts w:ascii="宋体" w:hAnsi="宋体"/>
          <w:bCs/>
          <w:sz w:val="24"/>
        </w:rPr>
      </w:pPr>
      <w:r>
        <w:rPr>
          <w:rFonts w:hint="eastAsia" w:ascii="宋体" w:hAnsi="宋体"/>
          <w:bCs/>
          <w:sz w:val="24"/>
        </w:rPr>
        <w:t>投标人或投标人本次招标相关业务范围被中国海洋石油集团有限公司或本次招标的所属单位禁用的；在处罚期或处罚期满但在系统中的供应商档案中的“档 案状态”为“采购冻结”或“业务状态”为“冻结”的；</w:t>
      </w:r>
    </w:p>
    <w:p>
      <w:pPr>
        <w:numPr>
          <w:ilvl w:val="0"/>
          <w:numId w:val="26"/>
        </w:numPr>
        <w:adjustRightInd w:val="0"/>
        <w:snapToGrid w:val="0"/>
        <w:spacing w:line="360" w:lineRule="auto"/>
        <w:ind w:left="638" w:hanging="638" w:hangingChars="266"/>
        <w:rPr>
          <w:rFonts w:ascii="宋体" w:hAnsi="宋体"/>
          <w:bCs/>
          <w:sz w:val="24"/>
        </w:rPr>
      </w:pPr>
      <w:r>
        <w:rPr>
          <w:rFonts w:hint="eastAsia" w:ascii="宋体" w:hAnsi="宋体"/>
          <w:bCs/>
          <w:sz w:val="24"/>
        </w:rPr>
        <w:t>投标人 a)处于责令整顿、停业或 b)财产已被接管、冻结或 c)处于破产状态的；</w:t>
      </w:r>
    </w:p>
    <w:p>
      <w:pPr>
        <w:numPr>
          <w:ilvl w:val="0"/>
          <w:numId w:val="26"/>
        </w:numPr>
        <w:adjustRightInd w:val="0"/>
        <w:snapToGrid w:val="0"/>
        <w:spacing w:line="360" w:lineRule="auto"/>
        <w:ind w:left="638" w:hanging="638" w:hangingChars="266"/>
        <w:rPr>
          <w:rFonts w:ascii="宋体" w:hAnsi="宋体"/>
          <w:bCs/>
          <w:sz w:val="24"/>
        </w:rPr>
      </w:pPr>
      <w:r>
        <w:rPr>
          <w:rFonts w:hint="eastAsia" w:ascii="宋体" w:hAnsi="宋体"/>
          <w:bCs/>
          <w:sz w:val="24"/>
        </w:rPr>
        <w:t>投标人在“信用中国”网站（https://www.creditchina.gov.cn/）被列入严重失信主体名单；</w:t>
      </w:r>
    </w:p>
    <w:p>
      <w:pPr>
        <w:numPr>
          <w:ilvl w:val="0"/>
          <w:numId w:val="26"/>
        </w:numPr>
        <w:adjustRightInd w:val="0"/>
        <w:snapToGrid w:val="0"/>
        <w:spacing w:line="360" w:lineRule="auto"/>
        <w:ind w:left="638" w:hanging="638" w:hangingChars="266"/>
        <w:rPr>
          <w:rFonts w:ascii="宋体" w:hAnsi="宋体"/>
          <w:bCs/>
          <w:sz w:val="24"/>
        </w:rPr>
      </w:pPr>
      <w:r>
        <w:rPr>
          <w:rFonts w:hint="eastAsia" w:ascii="宋体" w:hAnsi="宋体"/>
          <w:bCs/>
          <w:sz w:val="24"/>
        </w:rPr>
        <w:t>投标人在全国企业信用信息公示系统（http://www.gsxt.gov.cn）被列入严重违法失信名单（黑名单）信息或营业执照登记状态为吊销或注销的；</w:t>
      </w:r>
    </w:p>
    <w:p>
      <w:pPr>
        <w:numPr>
          <w:ilvl w:val="0"/>
          <w:numId w:val="26"/>
        </w:numPr>
        <w:adjustRightInd w:val="0"/>
        <w:snapToGrid w:val="0"/>
        <w:spacing w:line="360" w:lineRule="auto"/>
        <w:ind w:left="638" w:hanging="638" w:hangingChars="266"/>
        <w:rPr>
          <w:rFonts w:ascii="宋体" w:hAnsi="宋体"/>
          <w:bCs/>
          <w:sz w:val="24"/>
        </w:rPr>
      </w:pPr>
      <w:r>
        <w:rPr>
          <w:rFonts w:hint="eastAsia" w:ascii="宋体" w:hAnsi="宋体"/>
          <w:bCs/>
          <w:sz w:val="24"/>
        </w:rPr>
        <w:t>投标人在“中国执行信息公开网”网站（http://zxgk.court.gov.cn/）被列入失信被执行人名单；</w:t>
      </w:r>
    </w:p>
    <w:p>
      <w:pPr>
        <w:numPr>
          <w:ilvl w:val="0"/>
          <w:numId w:val="26"/>
        </w:numPr>
        <w:adjustRightInd w:val="0"/>
        <w:snapToGrid w:val="0"/>
        <w:spacing w:line="360" w:lineRule="auto"/>
        <w:ind w:left="638" w:hanging="638" w:hangingChars="266"/>
        <w:rPr>
          <w:rFonts w:ascii="宋体" w:hAnsi="宋体"/>
          <w:bCs/>
          <w:sz w:val="24"/>
        </w:rPr>
      </w:pPr>
      <w:r>
        <w:rPr>
          <w:rFonts w:hint="eastAsia" w:ascii="宋体" w:hAnsi="宋体"/>
          <w:bCs/>
          <w:sz w:val="24"/>
        </w:rPr>
        <w:t>投标人在“中国裁判文书网”（http://wenshu.court.gov.cn）列入投标人公司法人或法定代表人或拟委任的项目负责人有行贿犯罪行为的；</w:t>
      </w:r>
    </w:p>
    <w:p>
      <w:pPr>
        <w:numPr>
          <w:ilvl w:val="0"/>
          <w:numId w:val="26"/>
        </w:numPr>
        <w:adjustRightInd w:val="0"/>
        <w:snapToGrid w:val="0"/>
        <w:spacing w:line="360" w:lineRule="auto"/>
        <w:ind w:left="638" w:hanging="638" w:hangingChars="266"/>
        <w:rPr>
          <w:rFonts w:ascii="宋体" w:hAnsi="宋体"/>
          <w:bCs/>
          <w:sz w:val="24"/>
        </w:rPr>
      </w:pPr>
      <w:r>
        <w:rPr>
          <w:rFonts w:hint="eastAsia" w:ascii="宋体" w:hAnsi="宋体"/>
          <w:bCs/>
          <w:sz w:val="24"/>
        </w:rPr>
        <w:t>投标人与本招标项目其他投标人单位负责人为同一人或存在控股、管理关系 的；</w:t>
      </w:r>
    </w:p>
    <w:p>
      <w:pPr>
        <w:numPr>
          <w:ilvl w:val="0"/>
          <w:numId w:val="26"/>
        </w:numPr>
        <w:adjustRightInd w:val="0"/>
        <w:snapToGrid w:val="0"/>
        <w:spacing w:line="360" w:lineRule="auto"/>
        <w:ind w:left="638" w:hanging="638" w:hangingChars="266"/>
        <w:rPr>
          <w:rFonts w:ascii="宋体" w:hAnsi="宋体"/>
          <w:bCs/>
          <w:sz w:val="24"/>
        </w:rPr>
      </w:pPr>
      <w:r>
        <w:rPr>
          <w:rFonts w:hint="eastAsia" w:ascii="宋体" w:hAnsi="宋体"/>
          <w:bCs/>
          <w:sz w:val="24"/>
        </w:rPr>
        <w:t>投标人与招标人、招标机构有利害关系且可能影响招标公正性的；</w:t>
      </w:r>
    </w:p>
    <w:p>
      <w:pPr>
        <w:numPr>
          <w:ilvl w:val="0"/>
          <w:numId w:val="26"/>
        </w:numPr>
        <w:adjustRightInd w:val="0"/>
        <w:snapToGrid w:val="0"/>
        <w:spacing w:line="360" w:lineRule="auto"/>
        <w:ind w:left="638" w:hanging="638" w:hangingChars="266"/>
        <w:rPr>
          <w:rFonts w:ascii="宋体" w:hAnsi="宋体"/>
          <w:bCs/>
          <w:sz w:val="24"/>
        </w:rPr>
      </w:pPr>
      <w:r>
        <w:rPr>
          <w:rFonts w:hint="eastAsia" w:ascii="宋体" w:hAnsi="宋体"/>
          <w:bCs/>
          <w:sz w:val="24"/>
        </w:rPr>
        <w:t>投标人存在危害国家安全和损害中海油合法权益的情形，在涉及国家机密或商业秘密的项目中存在不遵守相关法律法规及政府主管部门要求的情形；</w:t>
      </w:r>
    </w:p>
    <w:p>
      <w:pPr>
        <w:numPr>
          <w:ilvl w:val="0"/>
          <w:numId w:val="25"/>
        </w:numPr>
        <w:adjustRightInd w:val="0"/>
        <w:snapToGrid w:val="0"/>
        <w:spacing w:line="360" w:lineRule="auto"/>
        <w:rPr>
          <w:rFonts w:ascii="宋体" w:hAnsi="宋体"/>
          <w:bCs/>
          <w:sz w:val="24"/>
        </w:rPr>
      </w:pPr>
      <w:r>
        <w:rPr>
          <w:rFonts w:hint="eastAsia" w:ascii="宋体" w:hAnsi="宋体"/>
          <w:bCs/>
          <w:sz w:val="24"/>
        </w:rPr>
        <w:t>不接受联合体投标。</w:t>
      </w:r>
    </w:p>
    <w:p>
      <w:pPr>
        <w:adjustRightInd w:val="0"/>
        <w:snapToGrid w:val="0"/>
        <w:spacing w:line="360" w:lineRule="auto"/>
        <w:ind w:firstLine="429" w:firstLineChars="179"/>
        <w:rPr>
          <w:rFonts w:ascii="宋体" w:hAnsi="宋体"/>
          <w:bCs/>
          <w:sz w:val="24"/>
        </w:rPr>
      </w:pPr>
      <w:r>
        <w:rPr>
          <w:rFonts w:hint="eastAsia" w:ascii="宋体" w:hAnsi="宋体"/>
          <w:bCs/>
          <w:sz w:val="24"/>
        </w:rPr>
        <w:t>是否允许联合体投标：</w:t>
      </w:r>
      <w:r>
        <w:rPr>
          <w:rFonts w:hint="eastAsia" w:ascii="宋体" w:hAnsi="宋体"/>
          <w:bCs/>
          <w:sz w:val="24"/>
        </w:rPr>
        <w:tab/>
      </w:r>
      <w:r>
        <w:rPr>
          <w:rFonts w:hint="eastAsia" w:ascii="宋体" w:hAnsi="宋体"/>
          <w:bCs/>
          <w:sz w:val="24"/>
        </w:rPr>
        <w:t>否</w:t>
      </w:r>
    </w:p>
    <w:p>
      <w:pPr>
        <w:adjustRightInd w:val="0"/>
        <w:snapToGrid w:val="0"/>
        <w:spacing w:line="360" w:lineRule="auto"/>
        <w:ind w:firstLine="429" w:firstLineChars="179"/>
        <w:rPr>
          <w:rFonts w:ascii="宋体" w:hAnsi="宋体"/>
          <w:bCs/>
          <w:sz w:val="24"/>
        </w:rPr>
      </w:pPr>
      <w:r>
        <w:rPr>
          <w:rFonts w:hint="eastAsia" w:ascii="宋体" w:hAnsi="宋体"/>
          <w:bCs/>
          <w:sz w:val="24"/>
        </w:rPr>
        <w:t>询价文件领取时间：2024年</w:t>
      </w:r>
      <w:r>
        <w:rPr>
          <w:rFonts w:hint="eastAsia" w:ascii="宋体" w:hAnsi="宋体"/>
          <w:bCs/>
          <w:sz w:val="24"/>
          <w:highlight w:val="yellow"/>
        </w:rPr>
        <w:t>12月</w:t>
      </w:r>
      <w:r>
        <w:rPr>
          <w:rFonts w:hint="eastAsia" w:ascii="宋体" w:hAnsi="宋体"/>
          <w:bCs/>
          <w:sz w:val="24"/>
          <w:highlight w:val="yellow"/>
          <w:lang w:val="en-US" w:eastAsia="zh-CN"/>
        </w:rPr>
        <w:t>24</w:t>
      </w:r>
      <w:r>
        <w:rPr>
          <w:rFonts w:hint="eastAsia" w:ascii="宋体" w:hAnsi="宋体"/>
          <w:bCs/>
          <w:sz w:val="24"/>
          <w:highlight w:val="yellow"/>
        </w:rPr>
        <w:t>日到</w:t>
      </w:r>
      <w:r>
        <w:rPr>
          <w:rFonts w:hint="eastAsia" w:ascii="宋体" w:hAnsi="宋体"/>
          <w:bCs/>
          <w:sz w:val="24"/>
          <w:highlight w:val="yellow"/>
          <w:lang w:val="en-US" w:eastAsia="zh-CN"/>
        </w:rPr>
        <w:t>2025年1</w:t>
      </w:r>
      <w:r>
        <w:rPr>
          <w:rFonts w:hint="eastAsia" w:ascii="宋体" w:hAnsi="宋体"/>
          <w:bCs/>
          <w:sz w:val="24"/>
          <w:highlight w:val="yellow"/>
        </w:rPr>
        <w:t>月</w:t>
      </w:r>
      <w:r>
        <w:rPr>
          <w:rFonts w:hint="eastAsia" w:ascii="宋体" w:hAnsi="宋体"/>
          <w:bCs/>
          <w:sz w:val="24"/>
          <w:highlight w:val="yellow"/>
          <w:lang w:val="en-US" w:eastAsia="zh-CN"/>
        </w:rPr>
        <w:t>6</w:t>
      </w:r>
      <w:r>
        <w:rPr>
          <w:rFonts w:hint="eastAsia" w:ascii="宋体" w:hAnsi="宋体"/>
          <w:bCs/>
          <w:sz w:val="24"/>
          <w:highlight w:val="yellow"/>
        </w:rPr>
        <w:t>日</w:t>
      </w:r>
      <w:r>
        <w:rPr>
          <w:rFonts w:hint="eastAsia" w:ascii="宋体" w:hAnsi="宋体"/>
          <w:bCs/>
          <w:sz w:val="24"/>
        </w:rPr>
        <w:t>（以供应链数字化平台时间为准）</w:t>
      </w:r>
    </w:p>
    <w:p>
      <w:pPr>
        <w:adjustRightInd w:val="0"/>
        <w:snapToGrid w:val="0"/>
        <w:spacing w:line="360" w:lineRule="auto"/>
        <w:ind w:firstLine="429" w:firstLineChars="179"/>
        <w:rPr>
          <w:rFonts w:ascii="宋体" w:hAnsi="宋体"/>
          <w:bCs/>
          <w:sz w:val="24"/>
        </w:rPr>
      </w:pPr>
      <w:r>
        <w:rPr>
          <w:rFonts w:hint="eastAsia" w:ascii="宋体" w:hAnsi="宋体"/>
          <w:bCs/>
          <w:sz w:val="24"/>
        </w:rPr>
        <w:t xml:space="preserve">询价文件领取方法：请登录中海油供应链数字化平台（https://bid.cnooc.com.cn）的招标公告页面进行购买。首次登录必须先进行注册（免费），注册成功后，投标人可自行下载询价文件。如未在系统中领购询价文件，不可参加投标。（无CA锁的必须办理CA锁，否则无法投标）  </w:t>
      </w:r>
    </w:p>
    <w:p>
      <w:pPr>
        <w:adjustRightInd w:val="0"/>
        <w:snapToGrid w:val="0"/>
        <w:spacing w:line="360" w:lineRule="auto"/>
        <w:ind w:firstLine="429" w:firstLineChars="179"/>
        <w:rPr>
          <w:rFonts w:ascii="宋体" w:hAnsi="宋体"/>
          <w:bCs/>
          <w:sz w:val="24"/>
        </w:rPr>
      </w:pPr>
      <w:r>
        <w:rPr>
          <w:rFonts w:hint="eastAsia" w:ascii="宋体" w:hAnsi="宋体"/>
          <w:bCs/>
          <w:sz w:val="24"/>
        </w:rPr>
        <w:t>询价文件价格：0元；</w:t>
      </w:r>
    </w:p>
    <w:p>
      <w:pPr>
        <w:adjustRightInd w:val="0"/>
        <w:snapToGrid w:val="0"/>
        <w:spacing w:line="360" w:lineRule="auto"/>
        <w:ind w:firstLine="429" w:firstLineChars="179"/>
        <w:rPr>
          <w:rFonts w:ascii="宋体" w:hAnsi="宋体"/>
          <w:bCs/>
          <w:sz w:val="24"/>
        </w:rPr>
      </w:pPr>
      <w:r>
        <w:rPr>
          <w:rFonts w:hint="eastAsia" w:ascii="宋体" w:hAnsi="宋体"/>
          <w:bCs/>
          <w:sz w:val="24"/>
        </w:rPr>
        <w:t>投标文件递交截止时间：202</w:t>
      </w:r>
      <w:r>
        <w:rPr>
          <w:rFonts w:hint="eastAsia" w:ascii="宋体" w:hAnsi="宋体"/>
          <w:bCs/>
          <w:sz w:val="24"/>
          <w:lang w:val="en-US" w:eastAsia="zh-CN"/>
        </w:rPr>
        <w:t>5</w:t>
      </w:r>
      <w:r>
        <w:rPr>
          <w:rFonts w:hint="eastAsia" w:ascii="宋体" w:hAnsi="宋体"/>
          <w:bCs/>
          <w:sz w:val="24"/>
        </w:rPr>
        <w:t>年</w:t>
      </w:r>
      <w:r>
        <w:rPr>
          <w:rFonts w:hint="eastAsia" w:ascii="宋体" w:hAnsi="宋体"/>
          <w:bCs/>
          <w:sz w:val="24"/>
          <w:highlight w:val="yellow"/>
        </w:rPr>
        <w:t>1月</w:t>
      </w:r>
      <w:r>
        <w:rPr>
          <w:rFonts w:hint="eastAsia" w:ascii="宋体" w:hAnsi="宋体"/>
          <w:bCs/>
          <w:sz w:val="24"/>
          <w:highlight w:val="yellow"/>
          <w:lang w:val="en-US" w:eastAsia="zh-CN"/>
        </w:rPr>
        <w:t>8</w:t>
      </w:r>
      <w:r>
        <w:rPr>
          <w:rFonts w:hint="eastAsia" w:ascii="宋体" w:hAnsi="宋体"/>
          <w:bCs/>
          <w:sz w:val="24"/>
          <w:highlight w:val="yellow"/>
        </w:rPr>
        <w:t>日</w:t>
      </w:r>
      <w:r>
        <w:rPr>
          <w:rFonts w:hint="eastAsia" w:ascii="宋体" w:hAnsi="宋体"/>
          <w:bCs/>
          <w:sz w:val="24"/>
        </w:rPr>
        <w:t>14时00分（以中海油供应链数字化平台时间为准）</w:t>
      </w:r>
    </w:p>
    <w:p>
      <w:pPr>
        <w:adjustRightInd w:val="0"/>
        <w:snapToGrid w:val="0"/>
        <w:spacing w:line="360" w:lineRule="auto"/>
        <w:ind w:firstLine="429" w:firstLineChars="179"/>
        <w:rPr>
          <w:rFonts w:ascii="宋体" w:hAnsi="宋体"/>
          <w:bCs/>
          <w:sz w:val="24"/>
        </w:rPr>
      </w:pPr>
      <w:r>
        <w:rPr>
          <w:rFonts w:hint="eastAsia" w:ascii="宋体" w:hAnsi="宋体"/>
          <w:bCs/>
          <w:sz w:val="24"/>
        </w:rPr>
        <w:t>投标文件递交地点：所有的投标文件必须在投标文件递交截止时间前在线提交</w:t>
      </w:r>
    </w:p>
    <w:p>
      <w:pPr>
        <w:adjustRightInd w:val="0"/>
        <w:snapToGrid w:val="0"/>
        <w:spacing w:line="360" w:lineRule="auto"/>
        <w:ind w:firstLine="429" w:firstLineChars="179"/>
        <w:rPr>
          <w:rFonts w:ascii="宋体" w:hAnsi="宋体"/>
          <w:bCs/>
          <w:sz w:val="24"/>
        </w:rPr>
      </w:pPr>
      <w:r>
        <w:rPr>
          <w:rFonts w:hint="eastAsia" w:ascii="宋体" w:hAnsi="宋体"/>
          <w:bCs/>
          <w:sz w:val="24"/>
        </w:rPr>
        <w:t>投标文件递交方法：所有的投标文件必须在投标文件递交截止时间前在线提交。</w:t>
      </w:r>
    </w:p>
    <w:p>
      <w:pPr>
        <w:adjustRightInd w:val="0"/>
        <w:snapToGrid w:val="0"/>
        <w:spacing w:line="360" w:lineRule="auto"/>
        <w:ind w:firstLine="429" w:firstLineChars="179"/>
        <w:rPr>
          <w:rFonts w:ascii="宋体" w:hAnsi="宋体"/>
          <w:bCs/>
          <w:sz w:val="24"/>
        </w:rPr>
      </w:pPr>
      <w:r>
        <w:rPr>
          <w:rFonts w:hint="eastAsia" w:ascii="宋体" w:hAnsi="宋体"/>
          <w:bCs/>
          <w:sz w:val="24"/>
        </w:rPr>
        <w:t>开标时间：</w:t>
      </w:r>
      <w:r>
        <w:rPr>
          <w:rFonts w:hint="eastAsia" w:ascii="宋体" w:hAnsi="宋体"/>
          <w:bCs/>
          <w:sz w:val="24"/>
          <w:lang w:val="en-US" w:eastAsia="zh-CN"/>
        </w:rPr>
        <w:t>2025年</w:t>
      </w:r>
      <w:r>
        <w:rPr>
          <w:rFonts w:hint="eastAsia" w:ascii="宋体" w:hAnsi="宋体"/>
          <w:bCs/>
          <w:sz w:val="24"/>
          <w:highlight w:val="yellow"/>
          <w:lang w:val="en-US" w:eastAsia="zh-CN"/>
        </w:rPr>
        <w:t>1</w:t>
      </w:r>
      <w:r>
        <w:rPr>
          <w:rFonts w:hint="eastAsia" w:ascii="宋体" w:hAnsi="宋体"/>
          <w:bCs/>
          <w:sz w:val="24"/>
          <w:highlight w:val="yellow"/>
        </w:rPr>
        <w:t>月</w:t>
      </w:r>
      <w:r>
        <w:rPr>
          <w:rFonts w:hint="eastAsia" w:ascii="宋体" w:hAnsi="宋体"/>
          <w:bCs/>
          <w:sz w:val="24"/>
          <w:highlight w:val="yellow"/>
          <w:lang w:val="en-US" w:eastAsia="zh-CN"/>
        </w:rPr>
        <w:t>8</w:t>
      </w:r>
      <w:r>
        <w:rPr>
          <w:rFonts w:hint="eastAsia" w:ascii="宋体" w:hAnsi="宋体"/>
          <w:bCs/>
          <w:sz w:val="24"/>
          <w:highlight w:val="yellow"/>
        </w:rPr>
        <w:t>日14时00分</w:t>
      </w:r>
    </w:p>
    <w:p>
      <w:pPr>
        <w:adjustRightInd w:val="0"/>
        <w:snapToGrid w:val="0"/>
        <w:spacing w:line="360" w:lineRule="auto"/>
        <w:ind w:firstLine="429" w:firstLineChars="179"/>
        <w:rPr>
          <w:rFonts w:ascii="宋体" w:hAnsi="宋体"/>
          <w:bCs/>
          <w:sz w:val="24"/>
        </w:rPr>
      </w:pPr>
      <w:r>
        <w:rPr>
          <w:rFonts w:hint="eastAsia" w:ascii="宋体" w:hAnsi="宋体"/>
          <w:bCs/>
          <w:sz w:val="24"/>
        </w:rPr>
        <w:t>开标地点：</w:t>
      </w:r>
      <w:r>
        <w:rPr>
          <w:rFonts w:hint="eastAsia" w:ascii="宋体" w:hAnsi="宋体"/>
          <w:bCs/>
          <w:sz w:val="24"/>
        </w:rPr>
        <w:tab/>
      </w:r>
      <w:r>
        <w:rPr>
          <w:rFonts w:hint="eastAsia" w:ascii="宋体" w:hAnsi="宋体"/>
          <w:bCs/>
          <w:sz w:val="24"/>
        </w:rPr>
        <w:t>本项目开标将在线进行，投标人须在中海油供应链数字化平台中的虚拟开标大厅参加开标。</w:t>
      </w:r>
    </w:p>
    <w:p>
      <w:pPr>
        <w:adjustRightInd w:val="0"/>
        <w:snapToGrid w:val="0"/>
        <w:spacing w:line="360" w:lineRule="auto"/>
        <w:ind w:firstLine="429" w:firstLineChars="179"/>
        <w:rPr>
          <w:rFonts w:ascii="宋体" w:hAnsi="宋体"/>
          <w:bCs/>
          <w:sz w:val="24"/>
        </w:rPr>
      </w:pPr>
      <w:r>
        <w:rPr>
          <w:rFonts w:hint="eastAsia" w:ascii="宋体" w:hAnsi="宋体"/>
          <w:bCs/>
          <w:sz w:val="24"/>
        </w:rPr>
        <w:t>发布媒介：</w:t>
      </w:r>
      <w:r>
        <w:rPr>
          <w:rFonts w:hint="eastAsia" w:ascii="宋体" w:hAnsi="宋体"/>
          <w:bCs/>
          <w:sz w:val="24"/>
        </w:rPr>
        <w:tab/>
      </w:r>
      <w:r>
        <w:rPr>
          <w:rFonts w:hint="eastAsia" w:ascii="宋体" w:hAnsi="宋体"/>
          <w:bCs/>
          <w:sz w:val="24"/>
        </w:rPr>
        <w:t>中国招标投标公共服务平台，中国海洋石油集团有限公司供应链数字化平台</w:t>
      </w:r>
    </w:p>
    <w:p>
      <w:pPr>
        <w:adjustRightInd w:val="0"/>
        <w:snapToGrid w:val="0"/>
        <w:spacing w:line="360" w:lineRule="auto"/>
        <w:ind w:firstLine="431" w:firstLineChars="179"/>
        <w:rPr>
          <w:rFonts w:ascii="宋体" w:hAnsi="宋体"/>
          <w:b/>
          <w:bCs/>
          <w:sz w:val="24"/>
        </w:rPr>
      </w:pPr>
      <w:r>
        <w:rPr>
          <w:rFonts w:hint="eastAsia" w:ascii="宋体" w:hAnsi="宋体"/>
          <w:b/>
          <w:bCs/>
          <w:sz w:val="24"/>
        </w:rPr>
        <w:t>特殊说明：</w:t>
      </w:r>
    </w:p>
    <w:p>
      <w:pPr>
        <w:numPr>
          <w:ilvl w:val="0"/>
          <w:numId w:val="27"/>
        </w:numPr>
        <w:adjustRightInd w:val="0"/>
        <w:snapToGrid w:val="0"/>
        <w:spacing w:line="360" w:lineRule="auto"/>
        <w:ind w:left="559" w:hanging="558" w:hangingChars="266"/>
        <w:rPr>
          <w:rFonts w:ascii="宋体" w:hAnsi="宋体"/>
          <w:bCs/>
          <w:szCs w:val="21"/>
        </w:rPr>
      </w:pPr>
      <w:r>
        <w:rPr>
          <w:rFonts w:hint="eastAsia" w:ascii="宋体" w:hAnsi="宋体"/>
          <w:bCs/>
          <w:szCs w:val="21"/>
        </w:rPr>
        <w:t>投标人必须使用系统提供的投标文件制作软件（门户首页＞下载专区）导入招标文件（如有招标文件澄清，须重新导入最后一次澄清文件）后编制投标文件。相关操作详见《中国海油供应链数字化平台-供应商操作手册》（门户首页＞下载专区）。超过投标截止时间送达的投标文件，系统将予以拒收。</w:t>
      </w:r>
    </w:p>
    <w:p>
      <w:pPr>
        <w:numPr>
          <w:ilvl w:val="0"/>
          <w:numId w:val="27"/>
        </w:numPr>
        <w:adjustRightInd w:val="0"/>
        <w:snapToGrid w:val="0"/>
        <w:spacing w:line="360" w:lineRule="auto"/>
        <w:ind w:left="559" w:hanging="558" w:hangingChars="266"/>
        <w:rPr>
          <w:rFonts w:ascii="宋体" w:hAnsi="宋体"/>
          <w:bCs/>
          <w:szCs w:val="21"/>
        </w:rPr>
      </w:pPr>
      <w:r>
        <w:rPr>
          <w:rFonts w:hint="eastAsia" w:ascii="宋体" w:hAnsi="宋体"/>
          <w:bCs/>
          <w:szCs w:val="21"/>
        </w:rPr>
        <w:t>中国海油严厉打击串通投标、弄虚作假等违法违规行为，每个招标项目均对投标人的文件制作机器码、文件创建标识码和投标电脑MAC地址、IP地址、投标文件内容进行查验。请各投标人高度重视投标工作，在本单位办公所在地、使用办公IP下载招标文件并自行独立编制、上传投标文件。出现不同投标人的“文件制作机器码、文件创建标识码和投标电脑MAC地址”内容任何一项一致的，将直接视为“投标人相互串通投标”。被认定为“属于投标人相互串通投标”“视为投标人相互串通投标”或“提供虚假投标资料”的供应商，将按照中国海油相关制度规定，对围标串标的投标人处于禁用两年及以上的处理，对提供虚假投标资料的投标人处于禁用一年及以上的处理，处理期内不能参与新的投标活动。评标结束后投标人可以在中标候选人公示期间提出异议，进一步可通过投诉寻求行政救济，由行政监督部门做出认定。</w:t>
      </w:r>
    </w:p>
    <w:p>
      <w:pPr>
        <w:adjustRightInd w:val="0"/>
        <w:snapToGrid w:val="0"/>
        <w:spacing w:line="360" w:lineRule="auto"/>
        <w:ind w:firstLine="431" w:firstLineChars="179"/>
        <w:rPr>
          <w:rFonts w:ascii="宋体" w:hAnsi="宋体"/>
          <w:b/>
          <w:sz w:val="24"/>
        </w:rPr>
      </w:pPr>
      <w:r>
        <w:rPr>
          <w:rFonts w:hint="eastAsia" w:ascii="宋体" w:hAnsi="宋体"/>
          <w:b/>
          <w:sz w:val="24"/>
        </w:rPr>
        <w:t>联系方式：</w:t>
      </w:r>
    </w:p>
    <w:p>
      <w:pPr>
        <w:adjustRightInd w:val="0"/>
        <w:snapToGrid w:val="0"/>
        <w:spacing w:line="360" w:lineRule="auto"/>
        <w:ind w:firstLine="375" w:firstLineChars="179"/>
        <w:rPr>
          <w:rFonts w:ascii="宋体" w:hAnsi="宋体"/>
          <w:bCs/>
          <w:szCs w:val="21"/>
        </w:rPr>
      </w:pPr>
      <w:r>
        <w:rPr>
          <w:rFonts w:hint="eastAsia" w:ascii="宋体" w:hAnsi="宋体"/>
          <w:bCs/>
          <w:szCs w:val="21"/>
        </w:rPr>
        <w:t>招标人：</w:t>
      </w:r>
      <w:r>
        <w:rPr>
          <w:rFonts w:hint="eastAsia" w:ascii="宋体" w:hAnsi="宋体"/>
          <w:szCs w:val="21"/>
          <w:lang w:val="zh-CN"/>
        </w:rPr>
        <w:t>中国海洋石油东海有限公司</w:t>
      </w:r>
      <w:r>
        <w:rPr>
          <w:rFonts w:hint="eastAsia" w:ascii="宋体" w:hAnsi="宋体"/>
          <w:bCs/>
          <w:szCs w:val="21"/>
        </w:rPr>
        <w:t>地址：上海市通协路3</w:t>
      </w:r>
      <w:r>
        <w:rPr>
          <w:rFonts w:ascii="宋体" w:hAnsi="宋体"/>
          <w:bCs/>
          <w:szCs w:val="21"/>
        </w:rPr>
        <w:t>88</w:t>
      </w:r>
      <w:r>
        <w:rPr>
          <w:rFonts w:hint="eastAsia" w:ascii="宋体" w:hAnsi="宋体"/>
          <w:bCs/>
          <w:szCs w:val="21"/>
        </w:rPr>
        <w:t>号A座856</w:t>
      </w:r>
      <w:r>
        <w:rPr>
          <w:rFonts w:ascii="宋体" w:hAnsi="宋体"/>
          <w:bCs/>
          <w:szCs w:val="21"/>
        </w:rPr>
        <w:t>室</w:t>
      </w:r>
    </w:p>
    <w:p>
      <w:pPr>
        <w:adjustRightInd w:val="0"/>
        <w:snapToGrid w:val="0"/>
        <w:spacing w:line="360" w:lineRule="auto"/>
        <w:ind w:firstLine="375" w:firstLineChars="179"/>
        <w:rPr>
          <w:rFonts w:ascii="宋体" w:hAnsi="宋体"/>
          <w:bCs/>
          <w:szCs w:val="21"/>
        </w:rPr>
      </w:pPr>
      <w:r>
        <w:rPr>
          <w:rFonts w:hint="eastAsia" w:ascii="宋体" w:hAnsi="宋体"/>
          <w:bCs/>
          <w:szCs w:val="21"/>
        </w:rPr>
        <w:t>联系人：张鲁燕</w:t>
      </w:r>
    </w:p>
    <w:p>
      <w:pPr>
        <w:adjustRightInd w:val="0"/>
        <w:snapToGrid w:val="0"/>
        <w:spacing w:line="360" w:lineRule="auto"/>
        <w:ind w:firstLine="375" w:firstLineChars="179"/>
        <w:rPr>
          <w:rFonts w:ascii="宋体" w:hAnsi="宋体"/>
          <w:bCs/>
          <w:szCs w:val="21"/>
        </w:rPr>
      </w:pPr>
      <w:r>
        <w:rPr>
          <w:rFonts w:hint="eastAsia" w:ascii="宋体" w:hAnsi="宋体"/>
          <w:bCs/>
          <w:szCs w:val="21"/>
        </w:rPr>
        <w:t>电子邮箱：ex_zhangly15@cnooc.com.cn</w:t>
      </w:r>
    </w:p>
    <w:p>
      <w:pPr>
        <w:adjustRightInd w:val="0"/>
        <w:snapToGrid w:val="0"/>
        <w:spacing w:line="360" w:lineRule="auto"/>
        <w:ind w:firstLine="375" w:firstLineChars="179"/>
        <w:rPr>
          <w:rFonts w:ascii="宋体" w:hAnsi="宋体"/>
          <w:bCs/>
          <w:szCs w:val="21"/>
        </w:rPr>
      </w:pPr>
      <w:r>
        <w:rPr>
          <w:rFonts w:hint="eastAsia" w:ascii="宋体" w:hAnsi="宋体"/>
          <w:bCs/>
          <w:szCs w:val="21"/>
        </w:rPr>
        <w:t>电话：</w:t>
      </w:r>
      <w:r>
        <w:rPr>
          <w:rFonts w:ascii="宋体" w:hAnsi="宋体"/>
          <w:bCs/>
          <w:szCs w:val="21"/>
        </w:rPr>
        <w:t>021-228303</w:t>
      </w:r>
      <w:r>
        <w:rPr>
          <w:rFonts w:hint="eastAsia" w:ascii="宋体" w:hAnsi="宋体"/>
          <w:bCs/>
          <w:szCs w:val="21"/>
        </w:rPr>
        <w:t>19</w:t>
      </w:r>
    </w:p>
    <w:p>
      <w:pPr>
        <w:adjustRightInd w:val="0"/>
        <w:snapToGrid w:val="0"/>
        <w:spacing w:line="360" w:lineRule="auto"/>
        <w:ind w:firstLine="375" w:firstLineChars="179"/>
        <w:rPr>
          <w:rFonts w:hint="eastAsia" w:ascii="宋体" w:hAnsi="宋体" w:eastAsiaTheme="minorEastAsia"/>
          <w:szCs w:val="21"/>
          <w:lang w:eastAsia="zh-CN"/>
        </w:rPr>
      </w:pPr>
      <w:r>
        <w:rPr>
          <w:rFonts w:hint="eastAsia" w:ascii="宋体" w:hAnsi="宋体"/>
          <w:szCs w:val="21"/>
        </w:rPr>
        <w:t>异议受理人：</w:t>
      </w:r>
      <w:r>
        <w:rPr>
          <w:rFonts w:hint="eastAsia" w:ascii="宋体" w:hAnsi="宋体"/>
          <w:szCs w:val="21"/>
          <w:lang w:val="en-US" w:eastAsia="zh-CN"/>
        </w:rPr>
        <w:t>张鲁燕</w:t>
      </w:r>
    </w:p>
    <w:p>
      <w:pPr>
        <w:adjustRightInd w:val="0"/>
        <w:snapToGrid w:val="0"/>
        <w:spacing w:line="360" w:lineRule="auto"/>
        <w:ind w:firstLine="375" w:firstLineChars="179"/>
        <w:rPr>
          <w:rFonts w:hint="eastAsia" w:ascii="宋体" w:hAnsi="宋体"/>
          <w:bCs/>
          <w:szCs w:val="21"/>
        </w:rPr>
      </w:pPr>
      <w:r>
        <w:rPr>
          <w:rFonts w:hint="eastAsia" w:ascii="宋体" w:hAnsi="宋体"/>
          <w:szCs w:val="21"/>
        </w:rPr>
        <w:t>异议受理人联系电话：</w:t>
      </w:r>
      <w:r>
        <w:rPr>
          <w:rFonts w:ascii="宋体" w:hAnsi="宋体"/>
          <w:szCs w:val="21"/>
        </w:rPr>
        <w:t>021-2</w:t>
      </w:r>
      <w:r>
        <w:rPr>
          <w:rFonts w:ascii="宋体" w:hAnsi="宋体"/>
          <w:bCs/>
          <w:szCs w:val="21"/>
        </w:rPr>
        <w:t>28303</w:t>
      </w:r>
      <w:r>
        <w:rPr>
          <w:rFonts w:hint="eastAsia" w:ascii="宋体" w:hAnsi="宋体"/>
          <w:bCs/>
          <w:szCs w:val="21"/>
          <w:lang w:val="en-US" w:eastAsia="zh-CN"/>
        </w:rPr>
        <w:t>19</w:t>
      </w:r>
      <w:r>
        <w:rPr>
          <w:rFonts w:hint="eastAsia" w:ascii="宋体" w:hAnsi="宋体"/>
          <w:bCs/>
          <w:szCs w:val="21"/>
        </w:rPr>
        <w:t>;电子邮箱：ex_zhangly15@cnooc.com.cn</w:t>
      </w:r>
    </w:p>
    <w:p>
      <w:pPr>
        <w:widowControl/>
        <w:numPr>
          <w:ilvl w:val="255"/>
          <w:numId w:val="0"/>
        </w:numPr>
        <w:adjustRightInd w:val="0"/>
        <w:snapToGrid w:val="0"/>
        <w:spacing w:line="360" w:lineRule="auto"/>
        <w:ind w:firstLine="375" w:firstLineChars="179"/>
        <w:jc w:val="left"/>
        <w:rPr>
          <w:rFonts w:ascii="宋体" w:hAnsi="宋体"/>
          <w:bCs/>
          <w:szCs w:val="21"/>
        </w:rPr>
      </w:pPr>
      <w:r>
        <w:rPr>
          <w:rFonts w:hint="eastAsia" w:ascii="宋体" w:hAnsi="宋体"/>
          <w:bCs/>
          <w:szCs w:val="21"/>
        </w:rPr>
        <w:t>投诉处理联系人：徐臻杰；</w:t>
      </w:r>
    </w:p>
    <w:p>
      <w:pPr>
        <w:widowControl/>
        <w:numPr>
          <w:ilvl w:val="255"/>
          <w:numId w:val="0"/>
        </w:numPr>
        <w:adjustRightInd w:val="0"/>
        <w:snapToGrid w:val="0"/>
        <w:spacing w:line="360" w:lineRule="auto"/>
        <w:ind w:firstLine="375" w:firstLineChars="179"/>
        <w:jc w:val="left"/>
        <w:rPr>
          <w:rFonts w:ascii="宋体" w:hAnsi="宋体"/>
          <w:bCs/>
          <w:szCs w:val="21"/>
        </w:rPr>
      </w:pPr>
      <w:r>
        <w:rPr>
          <w:rFonts w:hint="eastAsia" w:ascii="宋体" w:hAnsi="宋体"/>
          <w:bCs/>
          <w:szCs w:val="21"/>
        </w:rPr>
        <w:t>投诉处理联系电话：021-22830921;电子邮箱：xuzhj4@cnooc.com.cn</w:t>
      </w:r>
    </w:p>
    <w:p>
      <w:pPr>
        <w:adjustRightInd w:val="0"/>
        <w:snapToGrid w:val="0"/>
        <w:spacing w:line="360" w:lineRule="auto"/>
        <w:ind w:firstLine="429" w:firstLineChars="179"/>
        <w:jc w:val="center"/>
        <w:rPr>
          <w:rFonts w:ascii="宋体" w:hAnsi="宋体"/>
          <w:sz w:val="24"/>
        </w:rPr>
      </w:pPr>
    </w:p>
    <w:p>
      <w:pPr>
        <w:adjustRightInd w:val="0"/>
        <w:snapToGrid w:val="0"/>
        <w:spacing w:line="360" w:lineRule="auto"/>
        <w:ind w:firstLine="375" w:firstLineChars="179"/>
        <w:jc w:val="center"/>
        <w:rPr>
          <w:rFonts w:ascii="宋体" w:hAnsi="宋体"/>
          <w:szCs w:val="21"/>
          <w:lang w:val="zh-CN"/>
        </w:rPr>
      </w:pPr>
      <w:r>
        <w:rPr>
          <w:rFonts w:hint="eastAsia" w:ascii="宋体" w:hAnsi="宋体"/>
          <w:szCs w:val="21"/>
          <w:lang w:val="zh-CN"/>
        </w:rPr>
        <w:t xml:space="preserve">中国海洋石油东海有限公司 </w:t>
      </w:r>
    </w:p>
    <w:p>
      <w:pPr>
        <w:jc w:val="left"/>
        <w:rPr>
          <w:rFonts w:ascii="宋体" w:hAnsi="宋体"/>
          <w:sz w:val="24"/>
          <w:lang w:val="zh-CN"/>
        </w:rPr>
      </w:pPr>
      <w:r>
        <w:rPr>
          <w:rFonts w:ascii="宋体" w:hAnsi="宋体"/>
          <w:sz w:val="24"/>
          <w:lang w:val="zh-CN"/>
        </w:rPr>
        <w:br w:type="page"/>
      </w:r>
    </w:p>
    <w:p>
      <w:pPr>
        <w:adjustRightInd w:val="0"/>
        <w:snapToGrid w:val="0"/>
        <w:spacing w:line="360" w:lineRule="auto"/>
        <w:ind w:firstLine="429" w:firstLineChars="179"/>
        <w:jc w:val="center"/>
        <w:rPr>
          <w:rFonts w:ascii="宋体" w:hAnsi="宋体" w:cs="宋体"/>
          <w:kern w:val="0"/>
          <w:sz w:val="24"/>
        </w:rPr>
      </w:pPr>
    </w:p>
    <w:bookmarkEnd w:id="28"/>
    <w:bookmarkEnd w:id="29"/>
    <w:bookmarkEnd w:id="30"/>
    <w:p>
      <w:pPr>
        <w:pStyle w:val="253"/>
      </w:pPr>
      <w:bookmarkStart w:id="31" w:name="_Toc30111"/>
      <w:bookmarkStart w:id="32" w:name="_Toc28503"/>
      <w:bookmarkStart w:id="33" w:name="_Toc19252"/>
      <w:bookmarkStart w:id="34" w:name="_Toc16181"/>
      <w:bookmarkStart w:id="35" w:name="_Toc16137"/>
      <w:bookmarkStart w:id="36" w:name="_Toc8377"/>
      <w:bookmarkStart w:id="37" w:name="_Toc12252"/>
      <w:bookmarkStart w:id="38" w:name="_Toc14312"/>
      <w:bookmarkStart w:id="39" w:name="_Toc421626565"/>
      <w:bookmarkStart w:id="40" w:name="_Toc2375"/>
      <w:bookmarkStart w:id="41" w:name="_Toc29938"/>
      <w:bookmarkStart w:id="42" w:name="_Toc16885"/>
      <w:r>
        <w:t>报价须知</w:t>
      </w:r>
      <w:bookmarkEnd w:id="31"/>
      <w:bookmarkEnd w:id="32"/>
      <w:bookmarkEnd w:id="33"/>
      <w:bookmarkEnd w:id="34"/>
      <w:bookmarkEnd w:id="35"/>
      <w:bookmarkEnd w:id="36"/>
      <w:bookmarkEnd w:id="37"/>
      <w:bookmarkEnd w:id="38"/>
      <w:bookmarkEnd w:id="39"/>
      <w:bookmarkEnd w:id="40"/>
      <w:bookmarkEnd w:id="41"/>
      <w:bookmarkEnd w:id="42"/>
    </w:p>
    <w:p>
      <w:pPr>
        <w:pStyle w:val="254"/>
        <w:spacing w:before="156"/>
      </w:pPr>
      <w:bookmarkStart w:id="43" w:name="_Toc4467"/>
      <w:bookmarkStart w:id="44" w:name="_Toc30352"/>
      <w:bookmarkStart w:id="45" w:name="_Toc19478"/>
      <w:bookmarkStart w:id="46" w:name="_Toc711"/>
      <w:bookmarkStart w:id="47" w:name="_Toc12369"/>
      <w:bookmarkStart w:id="48" w:name="_Toc14698"/>
      <w:bookmarkStart w:id="49" w:name="_Toc9477"/>
      <w:bookmarkStart w:id="50" w:name="_Toc421626566"/>
      <w:bookmarkStart w:id="51" w:name="_Toc16625"/>
      <w:bookmarkStart w:id="52" w:name="_Toc9703"/>
      <w:bookmarkStart w:id="53" w:name="_Toc1696"/>
      <w:bookmarkStart w:id="54" w:name="_Toc28983"/>
      <w:r>
        <w:rPr>
          <w:rFonts w:hint="eastAsia"/>
        </w:rPr>
        <w:t>报价须知前附表</w:t>
      </w:r>
      <w:bookmarkEnd w:id="43"/>
      <w:bookmarkEnd w:id="44"/>
      <w:bookmarkEnd w:id="45"/>
      <w:bookmarkEnd w:id="46"/>
      <w:bookmarkEnd w:id="47"/>
      <w:bookmarkEnd w:id="48"/>
      <w:bookmarkEnd w:id="49"/>
      <w:bookmarkEnd w:id="50"/>
      <w:bookmarkEnd w:id="51"/>
      <w:bookmarkEnd w:id="52"/>
      <w:bookmarkEnd w:id="53"/>
      <w:bookmarkEnd w:id="54"/>
    </w:p>
    <w:tbl>
      <w:tblPr>
        <w:tblStyle w:val="46"/>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265"/>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669" w:type="dxa"/>
            <w:vAlign w:val="center"/>
          </w:tcPr>
          <w:p>
            <w:pPr>
              <w:jc w:val="center"/>
              <w:rPr>
                <w:rFonts w:ascii="宋体" w:hAnsi="宋体"/>
                <w:b/>
                <w:kern w:val="0"/>
                <w:szCs w:val="21"/>
              </w:rPr>
            </w:pPr>
            <w:r>
              <w:rPr>
                <w:rFonts w:hint="eastAsia" w:ascii="宋体" w:hAnsi="宋体"/>
                <w:b/>
                <w:kern w:val="0"/>
                <w:szCs w:val="21"/>
              </w:rPr>
              <w:t>序号</w:t>
            </w:r>
          </w:p>
        </w:tc>
        <w:tc>
          <w:tcPr>
            <w:tcW w:w="2265" w:type="dxa"/>
            <w:vAlign w:val="center"/>
          </w:tcPr>
          <w:p>
            <w:pPr>
              <w:jc w:val="center"/>
              <w:rPr>
                <w:rFonts w:ascii="宋体" w:hAnsi="宋体"/>
                <w:b/>
                <w:kern w:val="0"/>
                <w:szCs w:val="21"/>
              </w:rPr>
            </w:pPr>
            <w:r>
              <w:rPr>
                <w:rFonts w:hint="eastAsia" w:ascii="宋体" w:hAnsi="宋体"/>
                <w:b/>
                <w:kern w:val="0"/>
                <w:szCs w:val="21"/>
              </w:rPr>
              <w:t>名称</w:t>
            </w:r>
          </w:p>
        </w:tc>
        <w:tc>
          <w:tcPr>
            <w:tcW w:w="6164" w:type="dxa"/>
            <w:vAlign w:val="center"/>
          </w:tcPr>
          <w:p>
            <w:pPr>
              <w:jc w:val="center"/>
              <w:rPr>
                <w:rFonts w:ascii="宋体" w:hAnsi="宋体"/>
                <w:b/>
                <w:kern w:val="0"/>
                <w:szCs w:val="21"/>
              </w:rPr>
            </w:pPr>
            <w:r>
              <w:rPr>
                <w:rFonts w:hint="eastAsia" w:ascii="宋体" w:hAnsi="宋体"/>
                <w:b/>
                <w:kern w:val="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69" w:type="dxa"/>
            <w:vAlign w:val="center"/>
          </w:tcPr>
          <w:p>
            <w:pPr>
              <w:numPr>
                <w:ilvl w:val="0"/>
                <w:numId w:val="28"/>
              </w:numPr>
              <w:spacing w:line="360" w:lineRule="auto"/>
              <w:ind w:left="284" w:hanging="284"/>
              <w:jc w:val="center"/>
              <w:rPr>
                <w:rFonts w:ascii="宋体" w:hAnsi="宋体"/>
                <w:kern w:val="0"/>
                <w:szCs w:val="21"/>
              </w:rPr>
            </w:pPr>
          </w:p>
        </w:tc>
        <w:tc>
          <w:tcPr>
            <w:tcW w:w="2265" w:type="dxa"/>
            <w:vAlign w:val="center"/>
          </w:tcPr>
          <w:p>
            <w:pPr>
              <w:rPr>
                <w:rFonts w:ascii="宋体" w:hAnsi="宋体"/>
                <w:kern w:val="0"/>
                <w:szCs w:val="21"/>
              </w:rPr>
            </w:pPr>
            <w:r>
              <w:rPr>
                <w:rFonts w:hint="eastAsia" w:ascii="宋体" w:hAnsi="宋体"/>
                <w:kern w:val="0"/>
                <w:szCs w:val="21"/>
              </w:rPr>
              <w:t>工作项目名称</w:t>
            </w:r>
          </w:p>
        </w:tc>
        <w:tc>
          <w:tcPr>
            <w:tcW w:w="6164" w:type="dxa"/>
            <w:vAlign w:val="center"/>
          </w:tcPr>
          <w:p>
            <w:pPr>
              <w:rPr>
                <w:rFonts w:ascii="宋体" w:hAnsi="宋体"/>
                <w:kern w:val="0"/>
                <w:szCs w:val="21"/>
              </w:rPr>
            </w:pPr>
            <w:r>
              <w:rPr>
                <w:rFonts w:hint="eastAsia" w:ascii="宋体" w:hAnsi="宋体"/>
                <w:kern w:val="0"/>
                <w:szCs w:val="21"/>
              </w:rPr>
              <w:t>月浦基地综合服务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69" w:type="dxa"/>
            <w:vAlign w:val="center"/>
          </w:tcPr>
          <w:p>
            <w:pPr>
              <w:numPr>
                <w:ilvl w:val="0"/>
                <w:numId w:val="28"/>
              </w:numPr>
              <w:spacing w:line="360" w:lineRule="auto"/>
              <w:ind w:left="284" w:hanging="284"/>
              <w:jc w:val="center"/>
              <w:rPr>
                <w:rFonts w:ascii="宋体" w:hAnsi="宋体"/>
                <w:kern w:val="0"/>
                <w:szCs w:val="21"/>
              </w:rPr>
            </w:pPr>
          </w:p>
        </w:tc>
        <w:tc>
          <w:tcPr>
            <w:tcW w:w="2265" w:type="dxa"/>
            <w:vAlign w:val="center"/>
          </w:tcPr>
          <w:p>
            <w:pPr>
              <w:rPr>
                <w:rFonts w:ascii="宋体" w:hAnsi="宋体"/>
                <w:kern w:val="0"/>
                <w:szCs w:val="21"/>
              </w:rPr>
            </w:pPr>
            <w:r>
              <w:rPr>
                <w:rFonts w:ascii="宋体" w:hAnsi="宋体"/>
                <w:kern w:val="0"/>
                <w:szCs w:val="21"/>
              </w:rPr>
              <w:t>工作</w:t>
            </w:r>
            <w:r>
              <w:rPr>
                <w:rFonts w:hint="eastAsia" w:ascii="宋体" w:hAnsi="宋体"/>
                <w:kern w:val="0"/>
                <w:szCs w:val="21"/>
              </w:rPr>
              <w:t>范围</w:t>
            </w:r>
          </w:p>
        </w:tc>
        <w:tc>
          <w:tcPr>
            <w:tcW w:w="6164" w:type="dxa"/>
            <w:vAlign w:val="center"/>
          </w:tcPr>
          <w:p>
            <w:pPr>
              <w:rPr>
                <w:rFonts w:ascii="宋体" w:hAnsi="宋体"/>
                <w:kern w:val="0"/>
                <w:szCs w:val="21"/>
              </w:rPr>
            </w:pPr>
            <w:r>
              <w:rPr>
                <w:rFonts w:hint="eastAsia" w:ascii="宋体" w:hAnsi="宋体"/>
                <w:kern w:val="0"/>
                <w:szCs w:val="21"/>
              </w:rPr>
              <w:t>详见</w:t>
            </w:r>
            <w:r>
              <w:rPr>
                <w:rFonts w:ascii="宋体" w:hAnsi="宋体"/>
                <w:kern w:val="0"/>
                <w:szCs w:val="21"/>
              </w:rPr>
              <w:t>第</w:t>
            </w:r>
            <w:r>
              <w:rPr>
                <w:rFonts w:hint="eastAsia" w:ascii="宋体" w:hAnsi="宋体"/>
                <w:kern w:val="0"/>
                <w:szCs w:val="21"/>
              </w:rPr>
              <w:t>四</w:t>
            </w:r>
            <w:r>
              <w:rPr>
                <w:rFonts w:ascii="宋体" w:hAnsi="宋体"/>
                <w:kern w:val="0"/>
                <w:szCs w:val="21"/>
              </w:rPr>
              <w:t>章</w:t>
            </w:r>
            <w:r>
              <w:rPr>
                <w:rFonts w:hint="eastAsia" w:ascii="宋体" w:hAnsi="宋体"/>
                <w:kern w:val="0"/>
                <w:szCs w:val="21"/>
              </w:rPr>
              <w:t>：工作内容及技术要求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69" w:type="dxa"/>
            <w:vAlign w:val="center"/>
          </w:tcPr>
          <w:p>
            <w:pPr>
              <w:numPr>
                <w:ilvl w:val="0"/>
                <w:numId w:val="28"/>
              </w:numPr>
              <w:spacing w:line="360" w:lineRule="auto"/>
              <w:ind w:left="284" w:hanging="284"/>
              <w:jc w:val="center"/>
              <w:rPr>
                <w:rFonts w:ascii="宋体" w:hAnsi="宋体"/>
                <w:kern w:val="0"/>
                <w:szCs w:val="21"/>
              </w:rPr>
            </w:pPr>
          </w:p>
        </w:tc>
        <w:tc>
          <w:tcPr>
            <w:tcW w:w="2265" w:type="dxa"/>
            <w:vAlign w:val="center"/>
          </w:tcPr>
          <w:p>
            <w:pPr>
              <w:rPr>
                <w:rFonts w:ascii="宋体" w:hAnsi="宋体"/>
                <w:kern w:val="0"/>
                <w:szCs w:val="21"/>
              </w:rPr>
            </w:pPr>
            <w:r>
              <w:rPr>
                <w:rFonts w:hint="eastAsia" w:ascii="宋体" w:hAnsi="宋体"/>
                <w:kern w:val="0"/>
                <w:szCs w:val="21"/>
              </w:rPr>
              <w:t>报价方费用</w:t>
            </w:r>
          </w:p>
        </w:tc>
        <w:tc>
          <w:tcPr>
            <w:tcW w:w="6164" w:type="dxa"/>
            <w:vAlign w:val="center"/>
          </w:tcPr>
          <w:p>
            <w:pPr>
              <w:rPr>
                <w:rFonts w:ascii="宋体" w:hAnsi="宋体"/>
                <w:kern w:val="0"/>
                <w:szCs w:val="21"/>
              </w:rPr>
            </w:pPr>
            <w:r>
              <w:rPr>
                <w:rFonts w:hint="eastAsia" w:ascii="宋体" w:hAnsi="宋体"/>
                <w:kern w:val="0"/>
                <w:szCs w:val="21"/>
              </w:rPr>
              <w:t>投标人应承担因进行报价活动所发生的一切费用。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9" w:type="dxa"/>
            <w:vAlign w:val="center"/>
          </w:tcPr>
          <w:p>
            <w:pPr>
              <w:numPr>
                <w:ilvl w:val="0"/>
                <w:numId w:val="28"/>
              </w:numPr>
              <w:spacing w:line="360" w:lineRule="auto"/>
              <w:ind w:left="284" w:hanging="284"/>
              <w:jc w:val="center"/>
              <w:rPr>
                <w:rFonts w:ascii="宋体" w:hAnsi="宋体"/>
                <w:kern w:val="0"/>
                <w:szCs w:val="21"/>
              </w:rPr>
            </w:pPr>
          </w:p>
        </w:tc>
        <w:tc>
          <w:tcPr>
            <w:tcW w:w="2265" w:type="dxa"/>
            <w:vAlign w:val="center"/>
          </w:tcPr>
          <w:p>
            <w:pPr>
              <w:rPr>
                <w:rFonts w:ascii="宋体" w:hAnsi="宋体"/>
                <w:kern w:val="0"/>
                <w:szCs w:val="21"/>
              </w:rPr>
            </w:pPr>
            <w:r>
              <w:rPr>
                <w:rFonts w:hint="eastAsia" w:ascii="宋体" w:hAnsi="宋体"/>
                <w:kern w:val="0"/>
                <w:szCs w:val="21"/>
              </w:rPr>
              <w:t>报价有效期</w:t>
            </w:r>
          </w:p>
        </w:tc>
        <w:tc>
          <w:tcPr>
            <w:tcW w:w="6164" w:type="dxa"/>
            <w:vAlign w:val="center"/>
          </w:tcPr>
          <w:p>
            <w:pPr>
              <w:rPr>
                <w:rFonts w:ascii="宋体" w:hAnsi="宋体"/>
                <w:kern w:val="0"/>
                <w:szCs w:val="21"/>
              </w:rPr>
            </w:pPr>
            <w:r>
              <w:rPr>
                <w:rFonts w:hint="eastAsia" w:ascii="宋体" w:hAnsi="宋体" w:eastAsia="宋体"/>
                <w:b/>
                <w:bCs/>
                <w:spacing w:val="40"/>
                <w:sz w:val="28"/>
                <w:szCs w:val="28"/>
              </w:rPr>
              <w:t>【</w:t>
            </w:r>
            <w:r>
              <w:rPr>
                <w:rFonts w:ascii="宋体" w:hAnsi="宋体"/>
                <w:kern w:val="0"/>
                <w:szCs w:val="21"/>
              </w:rPr>
              <w:t>60</w:t>
            </w:r>
            <w:r>
              <w:rPr>
                <w:rFonts w:hint="eastAsia" w:ascii="宋体" w:hAnsi="宋体" w:eastAsia="宋体"/>
                <w:b/>
                <w:bCs/>
                <w:spacing w:val="40"/>
                <w:sz w:val="28"/>
                <w:szCs w:val="28"/>
              </w:rPr>
              <w:t>】</w:t>
            </w:r>
            <w:r>
              <w:rPr>
                <w:rFonts w:hint="eastAsia" w:ascii="宋体" w:hAnsi="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69" w:type="dxa"/>
            <w:vAlign w:val="center"/>
          </w:tcPr>
          <w:p>
            <w:pPr>
              <w:numPr>
                <w:ilvl w:val="0"/>
                <w:numId w:val="28"/>
              </w:numPr>
              <w:spacing w:line="360" w:lineRule="auto"/>
              <w:ind w:left="284" w:hanging="284"/>
              <w:jc w:val="center"/>
              <w:rPr>
                <w:rFonts w:ascii="宋体" w:hAnsi="宋体"/>
                <w:kern w:val="0"/>
                <w:szCs w:val="21"/>
              </w:rPr>
            </w:pPr>
          </w:p>
        </w:tc>
        <w:tc>
          <w:tcPr>
            <w:tcW w:w="2265" w:type="dxa"/>
            <w:vAlign w:val="center"/>
          </w:tcPr>
          <w:p>
            <w:pPr>
              <w:rPr>
                <w:rFonts w:ascii="宋体" w:hAnsi="宋体"/>
                <w:kern w:val="0"/>
                <w:szCs w:val="21"/>
              </w:rPr>
            </w:pPr>
            <w:r>
              <w:rPr>
                <w:rFonts w:hint="eastAsia" w:ascii="宋体" w:hAnsi="宋体"/>
                <w:kern w:val="0"/>
                <w:szCs w:val="21"/>
              </w:rPr>
              <w:t>投标保证金</w:t>
            </w:r>
          </w:p>
        </w:tc>
        <w:tc>
          <w:tcPr>
            <w:tcW w:w="6164" w:type="dxa"/>
            <w:vAlign w:val="center"/>
          </w:tcPr>
          <w:p>
            <w:pPr>
              <w:spacing w:beforeLines="50"/>
              <w:rPr>
                <w:rFonts w:ascii="宋体" w:hAnsi="宋体"/>
                <w:kern w:val="0"/>
                <w:szCs w:val="21"/>
              </w:rPr>
            </w:pPr>
            <w:r>
              <w:rPr>
                <w:rFonts w:hint="eastAsia" w:ascii="宋体" w:hAnsi="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69" w:type="dxa"/>
            <w:vAlign w:val="center"/>
          </w:tcPr>
          <w:p>
            <w:pPr>
              <w:numPr>
                <w:ilvl w:val="0"/>
                <w:numId w:val="28"/>
              </w:numPr>
              <w:spacing w:line="360" w:lineRule="auto"/>
              <w:ind w:left="284" w:hanging="284"/>
              <w:jc w:val="center"/>
              <w:rPr>
                <w:rFonts w:ascii="宋体" w:hAnsi="宋体"/>
                <w:kern w:val="0"/>
                <w:szCs w:val="21"/>
              </w:rPr>
            </w:pPr>
          </w:p>
        </w:tc>
        <w:tc>
          <w:tcPr>
            <w:tcW w:w="2265" w:type="dxa"/>
            <w:vAlign w:val="center"/>
          </w:tcPr>
          <w:p>
            <w:pPr>
              <w:rPr>
                <w:rFonts w:ascii="宋体" w:hAnsi="宋体"/>
                <w:kern w:val="0"/>
                <w:szCs w:val="21"/>
              </w:rPr>
            </w:pPr>
            <w:r>
              <w:rPr>
                <w:rFonts w:hint="eastAsia" w:ascii="宋体" w:hAnsi="宋体"/>
                <w:kern w:val="0"/>
                <w:szCs w:val="21"/>
              </w:rPr>
              <w:t>应答文件递交地点</w:t>
            </w:r>
          </w:p>
        </w:tc>
        <w:tc>
          <w:tcPr>
            <w:tcW w:w="6164" w:type="dxa"/>
            <w:vAlign w:val="center"/>
          </w:tcPr>
          <w:p>
            <w:pPr>
              <w:jc w:val="left"/>
              <w:rPr>
                <w:rFonts w:ascii="宋体" w:hAnsi="宋体"/>
                <w:kern w:val="0"/>
                <w:szCs w:val="21"/>
              </w:rPr>
            </w:pPr>
            <w:r>
              <w:rPr>
                <w:rFonts w:hint="eastAsia" w:ascii="宋体" w:hAnsi="宋体"/>
                <w:kern w:val="0"/>
                <w:szCs w:val="21"/>
              </w:rPr>
              <w:t>中海油供应链数字化平台（https://bid.cnooc.com.cn）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69" w:type="dxa"/>
            <w:vAlign w:val="center"/>
          </w:tcPr>
          <w:p>
            <w:pPr>
              <w:numPr>
                <w:ilvl w:val="0"/>
                <w:numId w:val="28"/>
              </w:numPr>
              <w:spacing w:line="360" w:lineRule="auto"/>
              <w:ind w:left="284" w:hanging="284"/>
              <w:jc w:val="center"/>
              <w:rPr>
                <w:rFonts w:ascii="宋体" w:hAnsi="宋体"/>
                <w:kern w:val="0"/>
                <w:szCs w:val="21"/>
              </w:rPr>
            </w:pPr>
          </w:p>
        </w:tc>
        <w:tc>
          <w:tcPr>
            <w:tcW w:w="2265" w:type="dxa"/>
            <w:vAlign w:val="center"/>
          </w:tcPr>
          <w:p>
            <w:pPr>
              <w:rPr>
                <w:rFonts w:ascii="宋体" w:hAnsi="宋体"/>
                <w:kern w:val="0"/>
                <w:szCs w:val="21"/>
              </w:rPr>
            </w:pPr>
            <w:r>
              <w:rPr>
                <w:rFonts w:hint="eastAsia" w:ascii="宋体" w:hAnsi="宋体"/>
                <w:kern w:val="0"/>
                <w:szCs w:val="21"/>
              </w:rPr>
              <w:t>应答文件递交截止时间</w:t>
            </w:r>
          </w:p>
        </w:tc>
        <w:tc>
          <w:tcPr>
            <w:tcW w:w="6164" w:type="dxa"/>
            <w:vAlign w:val="center"/>
          </w:tcPr>
          <w:p>
            <w:pPr>
              <w:rPr>
                <w:rFonts w:ascii="宋体" w:hAnsi="宋体"/>
                <w:kern w:val="0"/>
                <w:szCs w:val="21"/>
              </w:rPr>
            </w:pPr>
            <w:r>
              <w:rPr>
                <w:rFonts w:hint="eastAsia" w:ascii="宋体" w:hAnsi="宋体"/>
                <w:kern w:val="0"/>
                <w:szCs w:val="21"/>
              </w:rPr>
              <w:t>详见系统时间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69" w:type="dxa"/>
            <w:vAlign w:val="center"/>
          </w:tcPr>
          <w:p>
            <w:pPr>
              <w:numPr>
                <w:ilvl w:val="0"/>
                <w:numId w:val="28"/>
              </w:numPr>
              <w:spacing w:line="360" w:lineRule="auto"/>
              <w:ind w:left="284" w:hanging="284"/>
              <w:jc w:val="center"/>
              <w:rPr>
                <w:rFonts w:ascii="宋体" w:hAnsi="宋体"/>
                <w:kern w:val="0"/>
                <w:szCs w:val="21"/>
              </w:rPr>
            </w:pPr>
          </w:p>
        </w:tc>
        <w:tc>
          <w:tcPr>
            <w:tcW w:w="2265" w:type="dxa"/>
            <w:vAlign w:val="center"/>
          </w:tcPr>
          <w:p>
            <w:pPr>
              <w:rPr>
                <w:rFonts w:ascii="宋体" w:hAnsi="宋体"/>
                <w:kern w:val="0"/>
                <w:szCs w:val="21"/>
              </w:rPr>
            </w:pPr>
            <w:r>
              <w:rPr>
                <w:rFonts w:hint="eastAsia" w:ascii="宋体" w:hAnsi="宋体"/>
                <w:kern w:val="0"/>
                <w:szCs w:val="21"/>
              </w:rPr>
              <w:t>应答文件开启时间</w:t>
            </w:r>
          </w:p>
        </w:tc>
        <w:tc>
          <w:tcPr>
            <w:tcW w:w="6164" w:type="dxa"/>
            <w:vAlign w:val="center"/>
          </w:tcPr>
          <w:p>
            <w:pPr>
              <w:rPr>
                <w:rFonts w:ascii="宋体" w:hAnsi="宋体"/>
                <w:kern w:val="0"/>
                <w:szCs w:val="21"/>
              </w:rPr>
            </w:pPr>
            <w:r>
              <w:rPr>
                <w:rFonts w:hint="eastAsia" w:ascii="宋体" w:hAnsi="宋体"/>
                <w:kern w:val="0"/>
                <w:szCs w:val="21"/>
              </w:rPr>
              <w:t>详见系统时间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669" w:type="dxa"/>
            <w:vAlign w:val="center"/>
          </w:tcPr>
          <w:p>
            <w:pPr>
              <w:numPr>
                <w:ilvl w:val="0"/>
                <w:numId w:val="28"/>
              </w:numPr>
              <w:spacing w:line="360" w:lineRule="auto"/>
              <w:ind w:left="284" w:hanging="284"/>
              <w:jc w:val="center"/>
              <w:rPr>
                <w:rFonts w:ascii="宋体" w:hAnsi="宋体"/>
                <w:kern w:val="0"/>
                <w:szCs w:val="21"/>
              </w:rPr>
            </w:pPr>
          </w:p>
        </w:tc>
        <w:tc>
          <w:tcPr>
            <w:tcW w:w="2265" w:type="dxa"/>
            <w:vAlign w:val="center"/>
          </w:tcPr>
          <w:p>
            <w:pPr>
              <w:pStyle w:val="14"/>
              <w:adjustRightInd/>
              <w:spacing w:line="360" w:lineRule="auto"/>
              <w:jc w:val="both"/>
              <w:rPr>
                <w:rFonts w:ascii="宋体" w:hAnsi="宋体"/>
                <w:sz w:val="21"/>
                <w:szCs w:val="21"/>
                <w:lang w:eastAsia="zh-CN"/>
              </w:rPr>
            </w:pPr>
            <w:r>
              <w:rPr>
                <w:rFonts w:hint="eastAsia" w:ascii="宋体" w:hAnsi="宋体"/>
                <w:sz w:val="21"/>
                <w:szCs w:val="21"/>
                <w:lang w:eastAsia="zh-CN"/>
              </w:rPr>
              <w:t>评审办法</w:t>
            </w:r>
          </w:p>
        </w:tc>
        <w:tc>
          <w:tcPr>
            <w:tcW w:w="6164" w:type="dxa"/>
            <w:vAlign w:val="center"/>
          </w:tcPr>
          <w:p>
            <w:pPr>
              <w:jc w:val="left"/>
              <w:rPr>
                <w:rFonts w:ascii="宋体" w:hAnsi="宋体"/>
                <w:kern w:val="0"/>
                <w:szCs w:val="21"/>
              </w:rPr>
            </w:pPr>
            <w:r>
              <w:rPr>
                <w:rFonts w:hint="eastAsia" w:ascii="宋体" w:hAnsi="宋体"/>
                <w:kern w:val="0"/>
                <w:szCs w:val="21"/>
              </w:rPr>
              <w:t>（1）经评审最低投标价法；</w:t>
            </w:r>
          </w:p>
          <w:p>
            <w:pPr>
              <w:jc w:val="left"/>
              <w:rPr>
                <w:rFonts w:ascii="宋体" w:hAnsi="宋体"/>
                <w:kern w:val="0"/>
                <w:szCs w:val="21"/>
              </w:rPr>
            </w:pPr>
            <w:r>
              <w:rPr>
                <w:rFonts w:hint="eastAsia" w:ascii="宋体" w:hAnsi="宋体"/>
                <w:kern w:val="0"/>
                <w:szCs w:val="21"/>
              </w:rPr>
              <w:t>（2）只有符合性检查合格的报价文件，才进行商务技术评议。依此类推，完成各项评议。</w:t>
            </w:r>
          </w:p>
          <w:p>
            <w:pPr>
              <w:jc w:val="left"/>
              <w:rPr>
                <w:rFonts w:ascii="宋体" w:hAnsi="宋体"/>
                <w:kern w:val="0"/>
                <w:szCs w:val="21"/>
              </w:rPr>
            </w:pPr>
            <w:r>
              <w:rPr>
                <w:rFonts w:hint="eastAsia" w:ascii="宋体" w:hAnsi="宋体"/>
                <w:kern w:val="0"/>
                <w:szCs w:val="21"/>
              </w:rPr>
              <w:t>（3）评审小组会对有效报价进行评审，经评审最低者推荐为成交人。</w:t>
            </w:r>
          </w:p>
          <w:p>
            <w:pPr>
              <w:jc w:val="left"/>
              <w:rPr>
                <w:rFonts w:ascii="宋体" w:hAnsi="宋体"/>
                <w:kern w:val="0"/>
                <w:szCs w:val="21"/>
              </w:rPr>
            </w:pPr>
            <w:r>
              <w:rPr>
                <w:rFonts w:hint="eastAsia" w:ascii="宋体" w:hAnsi="宋体"/>
                <w:kern w:val="0"/>
                <w:szCs w:val="21"/>
              </w:rPr>
              <w:t>（</w:t>
            </w:r>
            <w:r>
              <w:fldChar w:fldCharType="begin"/>
            </w:r>
            <w:r>
              <w:instrText xml:space="preserve"> HYPERLINK \l "_评标方法" </w:instrText>
            </w:r>
            <w:r>
              <w:fldChar w:fldCharType="separate"/>
            </w:r>
            <w:r>
              <w:rPr>
                <w:rFonts w:hint="eastAsia" w:ascii="宋体" w:hAnsi="宋体"/>
                <w:kern w:val="0"/>
                <w:szCs w:val="21"/>
              </w:rPr>
              <w:t>详见本询价文件第五章《应答文件的评审》</w:t>
            </w:r>
            <w:r>
              <w:rPr>
                <w:rFonts w:hint="eastAsia" w:ascii="宋体" w:hAnsi="宋体"/>
                <w:kern w:val="0"/>
                <w:szCs w:val="21"/>
              </w:rPr>
              <w:fldChar w:fldCharType="end"/>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9" w:type="dxa"/>
            <w:vAlign w:val="center"/>
          </w:tcPr>
          <w:p>
            <w:pPr>
              <w:numPr>
                <w:ilvl w:val="0"/>
                <w:numId w:val="28"/>
              </w:numPr>
              <w:spacing w:line="360" w:lineRule="auto"/>
              <w:ind w:left="284" w:hanging="284"/>
              <w:jc w:val="center"/>
              <w:rPr>
                <w:rFonts w:ascii="宋体" w:hAnsi="宋体"/>
                <w:kern w:val="0"/>
                <w:szCs w:val="21"/>
              </w:rPr>
            </w:pPr>
          </w:p>
        </w:tc>
        <w:tc>
          <w:tcPr>
            <w:tcW w:w="2265" w:type="dxa"/>
            <w:vAlign w:val="center"/>
          </w:tcPr>
          <w:p>
            <w:pPr>
              <w:pStyle w:val="14"/>
              <w:adjustRightInd/>
              <w:spacing w:line="360" w:lineRule="auto"/>
              <w:jc w:val="both"/>
              <w:rPr>
                <w:rFonts w:ascii="宋体" w:hAnsi="宋体"/>
                <w:sz w:val="21"/>
                <w:szCs w:val="21"/>
                <w:lang w:eastAsia="zh-CN"/>
              </w:rPr>
            </w:pPr>
            <w:r>
              <w:rPr>
                <w:rFonts w:hint="eastAsia" w:ascii="宋体" w:hAnsi="宋体"/>
                <w:sz w:val="21"/>
                <w:szCs w:val="21"/>
                <w:lang w:eastAsia="zh-CN"/>
              </w:rPr>
              <w:t>澄清</w:t>
            </w:r>
          </w:p>
        </w:tc>
        <w:tc>
          <w:tcPr>
            <w:tcW w:w="6164" w:type="dxa"/>
            <w:vAlign w:val="center"/>
          </w:tcPr>
          <w:p>
            <w:pPr>
              <w:jc w:val="left"/>
              <w:rPr>
                <w:rFonts w:ascii="宋体" w:hAnsi="宋体"/>
                <w:szCs w:val="21"/>
              </w:rPr>
            </w:pPr>
            <w:r>
              <w:rPr>
                <w:rFonts w:hint="eastAsia" w:ascii="宋体" w:hAnsi="宋体"/>
                <w:szCs w:val="21"/>
              </w:rPr>
              <w:t>评审过程中，评审小组有权要求各投标人对其应答文件进行澄清，投标人代表须及时回复答疑。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9" w:hRule="atLeast"/>
          <w:jc w:val="center"/>
        </w:trPr>
        <w:tc>
          <w:tcPr>
            <w:tcW w:w="669" w:type="dxa"/>
            <w:vAlign w:val="center"/>
          </w:tcPr>
          <w:p>
            <w:pPr>
              <w:numPr>
                <w:ilvl w:val="0"/>
                <w:numId w:val="28"/>
              </w:numPr>
              <w:spacing w:line="360" w:lineRule="auto"/>
              <w:ind w:left="284" w:hanging="284"/>
              <w:jc w:val="center"/>
              <w:rPr>
                <w:rFonts w:ascii="宋体" w:hAnsi="宋体"/>
                <w:kern w:val="0"/>
                <w:szCs w:val="21"/>
              </w:rPr>
            </w:pPr>
          </w:p>
        </w:tc>
        <w:tc>
          <w:tcPr>
            <w:tcW w:w="2265" w:type="dxa"/>
            <w:vAlign w:val="center"/>
          </w:tcPr>
          <w:p>
            <w:pPr>
              <w:pStyle w:val="14"/>
              <w:adjustRightInd/>
              <w:spacing w:line="360" w:lineRule="auto"/>
              <w:jc w:val="both"/>
              <w:rPr>
                <w:rFonts w:ascii="宋体" w:hAnsi="宋体"/>
                <w:sz w:val="21"/>
                <w:szCs w:val="21"/>
                <w:lang w:eastAsia="zh-CN"/>
              </w:rPr>
            </w:pPr>
            <w:r>
              <w:rPr>
                <w:rFonts w:hint="eastAsia" w:ascii="宋体" w:hAnsi="Calibri"/>
                <w:sz w:val="24"/>
                <w:szCs w:val="24"/>
                <w:lang w:eastAsia="zh-CN"/>
              </w:rPr>
              <w:t>★</w:t>
            </w:r>
            <w:r>
              <w:rPr>
                <w:rFonts w:hint="eastAsia" w:ascii="宋体" w:hAnsi="宋体"/>
                <w:sz w:val="21"/>
                <w:szCs w:val="21"/>
                <w:lang w:eastAsia="zh-CN"/>
              </w:rPr>
              <w:t>投标被拒绝的情形</w:t>
            </w:r>
          </w:p>
        </w:tc>
        <w:tc>
          <w:tcPr>
            <w:tcW w:w="6164" w:type="dxa"/>
            <w:vAlign w:val="center"/>
          </w:tcPr>
          <w:p>
            <w:pPr>
              <w:numPr>
                <w:ilvl w:val="255"/>
                <w:numId w:val="0"/>
              </w:numPr>
              <w:rPr>
                <w:rFonts w:ascii="宋体" w:hAnsi="宋体" w:eastAsia="宋体" w:cs="Times New Roman"/>
                <w:kern w:val="0"/>
                <w:szCs w:val="21"/>
              </w:rPr>
            </w:pPr>
            <w:r>
              <w:rPr>
                <w:rFonts w:hint="eastAsia" w:ascii="宋体" w:hAnsi="宋体" w:eastAsia="宋体" w:cs="Times New Roman"/>
                <w:kern w:val="0"/>
                <w:szCs w:val="21"/>
              </w:rPr>
              <w:t>投标人如存在下述情况之一，招标人可拒绝其投标：</w:t>
            </w:r>
          </w:p>
          <w:p>
            <w:pPr>
              <w:numPr>
                <w:ilvl w:val="0"/>
                <w:numId w:val="29"/>
              </w:numPr>
              <w:rPr>
                <w:rFonts w:ascii="宋体" w:hAnsi="宋体" w:eastAsia="宋体" w:cs="Times New Roman"/>
                <w:kern w:val="0"/>
                <w:szCs w:val="21"/>
              </w:rPr>
            </w:pPr>
            <w:r>
              <w:rPr>
                <w:rFonts w:hint="eastAsia" w:ascii="宋体" w:hAnsi="宋体" w:eastAsia="宋体" w:cs="Times New Roman"/>
                <w:kern w:val="0"/>
                <w:szCs w:val="21"/>
              </w:rPr>
              <w:t>自 2021 年 1 月 1 日起至投标截止时间止（以事故书面认定材料出具时 间为准） 所承担的服务项目出现重大及以上生产安全事故， 且经过官方机构或第 三方权威机构调查并出具了明确的书面证据， 认定应由投标人承担重大及以上安 全事故责任并对投标人进行处理的；</w:t>
            </w:r>
          </w:p>
          <w:p>
            <w:pPr>
              <w:numPr>
                <w:ilvl w:val="0"/>
                <w:numId w:val="29"/>
              </w:numPr>
              <w:rPr>
                <w:rFonts w:ascii="宋体" w:hAnsi="宋体" w:eastAsia="宋体" w:cs="Times New Roman"/>
                <w:kern w:val="0"/>
                <w:szCs w:val="21"/>
              </w:rPr>
            </w:pPr>
            <w:r>
              <w:rPr>
                <w:rFonts w:hint="eastAsia" w:ascii="宋体" w:hAnsi="宋体" w:eastAsia="宋体" w:cs="Times New Roman"/>
                <w:kern w:val="0"/>
                <w:szCs w:val="21"/>
              </w:rPr>
              <w:t>投标人或投标人本次询价相关业务范围被中国海洋石油集团有限公司或本次招标的所属单位禁用的；在处罚期或处罚期满但在系统中的供应商档案中的“档 案状态”为“采购冻结”或“业务状态”为“冻结”的；</w:t>
            </w:r>
          </w:p>
          <w:p>
            <w:pPr>
              <w:numPr>
                <w:ilvl w:val="0"/>
                <w:numId w:val="29"/>
              </w:numPr>
              <w:rPr>
                <w:rFonts w:ascii="宋体" w:hAnsi="宋体" w:eastAsia="宋体" w:cs="Times New Roman"/>
                <w:kern w:val="0"/>
                <w:szCs w:val="21"/>
              </w:rPr>
            </w:pPr>
            <w:r>
              <w:rPr>
                <w:rFonts w:hint="eastAsia" w:ascii="宋体" w:hAnsi="宋体" w:eastAsia="宋体" w:cs="Times New Roman"/>
                <w:kern w:val="0"/>
                <w:szCs w:val="21"/>
              </w:rPr>
              <w:t>投标人 a)处于责令整顿、停业或 b)财产已被接管、冻结或 c)处于破产状态的；</w:t>
            </w:r>
          </w:p>
          <w:p>
            <w:pPr>
              <w:numPr>
                <w:ilvl w:val="0"/>
                <w:numId w:val="29"/>
              </w:numPr>
              <w:rPr>
                <w:rFonts w:ascii="宋体" w:hAnsi="宋体" w:eastAsia="宋体" w:cs="Times New Roman"/>
                <w:kern w:val="0"/>
                <w:szCs w:val="21"/>
              </w:rPr>
            </w:pPr>
            <w:r>
              <w:rPr>
                <w:rFonts w:hint="eastAsia" w:ascii="宋体" w:hAnsi="宋体" w:eastAsia="宋体" w:cs="Times New Roman"/>
                <w:kern w:val="0"/>
                <w:szCs w:val="21"/>
              </w:rPr>
              <w:t>投标人在“信用中国”网站（https://www.creditchina.gov.cn）被列入严重失信主体名单；</w:t>
            </w:r>
          </w:p>
          <w:p>
            <w:pPr>
              <w:numPr>
                <w:ilvl w:val="0"/>
                <w:numId w:val="29"/>
              </w:numPr>
              <w:rPr>
                <w:rFonts w:ascii="宋体" w:hAnsi="宋体" w:eastAsia="宋体" w:cs="Times New Roman"/>
                <w:kern w:val="0"/>
                <w:szCs w:val="21"/>
              </w:rPr>
            </w:pPr>
            <w:r>
              <w:rPr>
                <w:rFonts w:hint="eastAsia" w:ascii="宋体" w:hAnsi="宋体" w:eastAsia="宋体" w:cs="Times New Roman"/>
                <w:kern w:val="0"/>
                <w:szCs w:val="21"/>
              </w:rPr>
              <w:t>投标人在全国企业信用信息公示系统（http://www.gsxt.gov.cn）被列入严重违法失信名单（黑名单） 信息或营业执照登记状态为吊销或注销的；</w:t>
            </w:r>
          </w:p>
          <w:p>
            <w:pPr>
              <w:numPr>
                <w:ilvl w:val="0"/>
                <w:numId w:val="29"/>
              </w:numPr>
              <w:rPr>
                <w:rFonts w:ascii="宋体" w:hAnsi="宋体" w:eastAsia="宋体" w:cs="Times New Roman"/>
                <w:kern w:val="0"/>
                <w:szCs w:val="21"/>
              </w:rPr>
            </w:pPr>
            <w:r>
              <w:rPr>
                <w:rFonts w:hint="eastAsia" w:ascii="宋体" w:hAnsi="宋体" w:eastAsia="宋体" w:cs="Times New Roman"/>
                <w:kern w:val="0"/>
                <w:szCs w:val="21"/>
              </w:rPr>
              <w:t>投标人在“中国执行信息公开网”网站（http://zxgk.court.gov.cn/）被列入失信被执行人名单；</w:t>
            </w:r>
          </w:p>
          <w:p>
            <w:pPr>
              <w:numPr>
                <w:ilvl w:val="0"/>
                <w:numId w:val="29"/>
              </w:numPr>
              <w:rPr>
                <w:rFonts w:ascii="宋体" w:hAnsi="宋体" w:eastAsia="宋体" w:cs="Times New Roman"/>
                <w:kern w:val="0"/>
                <w:szCs w:val="21"/>
              </w:rPr>
            </w:pPr>
            <w:r>
              <w:rPr>
                <w:rFonts w:hint="eastAsia" w:ascii="宋体" w:hAnsi="宋体" w:eastAsia="宋体" w:cs="Times New Roman"/>
                <w:kern w:val="0"/>
                <w:szCs w:val="21"/>
              </w:rPr>
              <w:t>投标人在“中国裁判文书网”（http://wenshu.court.gov.cn）列入投标人公司法人或法定代表人或拟委任的项目负责人有行贿犯罪行为的；</w:t>
            </w:r>
          </w:p>
          <w:p>
            <w:pPr>
              <w:numPr>
                <w:ilvl w:val="0"/>
                <w:numId w:val="29"/>
              </w:numPr>
              <w:rPr>
                <w:rFonts w:ascii="宋体" w:hAnsi="宋体" w:eastAsia="宋体" w:cs="Times New Roman"/>
                <w:kern w:val="0"/>
                <w:szCs w:val="21"/>
              </w:rPr>
            </w:pPr>
            <w:r>
              <w:rPr>
                <w:rFonts w:hint="eastAsia" w:ascii="宋体" w:hAnsi="宋体" w:eastAsia="宋体" w:cs="Times New Roman"/>
                <w:kern w:val="0"/>
                <w:szCs w:val="21"/>
              </w:rPr>
              <w:t>投标人与本招标项目其他投标人单位负责人为同一人或存在控股、管理关系的；</w:t>
            </w:r>
          </w:p>
          <w:p>
            <w:pPr>
              <w:numPr>
                <w:ilvl w:val="0"/>
                <w:numId w:val="29"/>
              </w:numPr>
              <w:rPr>
                <w:rFonts w:ascii="宋体" w:hAnsi="宋体" w:eastAsia="宋体" w:cs="Times New Roman"/>
                <w:kern w:val="0"/>
                <w:szCs w:val="21"/>
              </w:rPr>
            </w:pPr>
            <w:r>
              <w:rPr>
                <w:rFonts w:hint="eastAsia" w:ascii="宋体" w:hAnsi="宋体" w:eastAsia="宋体" w:cs="Times New Roman"/>
                <w:kern w:val="0"/>
                <w:szCs w:val="21"/>
              </w:rPr>
              <w:t>投标人与招标人、招标机构有利害关系且可能影响招标公正性的；</w:t>
            </w:r>
          </w:p>
          <w:p>
            <w:pPr>
              <w:numPr>
                <w:ilvl w:val="0"/>
                <w:numId w:val="29"/>
              </w:numPr>
              <w:rPr>
                <w:rFonts w:ascii="宋体" w:hAnsi="宋体" w:eastAsia="宋体" w:cs="Times New Roman"/>
                <w:kern w:val="0"/>
                <w:szCs w:val="21"/>
              </w:rPr>
            </w:pPr>
            <w:r>
              <w:rPr>
                <w:rFonts w:hint="eastAsia" w:ascii="宋体" w:hAnsi="宋体" w:eastAsia="宋体" w:cs="Times New Roman"/>
                <w:kern w:val="0"/>
                <w:szCs w:val="21"/>
              </w:rPr>
              <w:t>投标人存在危害国家安全和损害中海油合法权益的情形， 在涉及国家机密或 商业秘密的项目中存在不遵守相关法律法规及政府主管部门要求的情形；</w:t>
            </w:r>
          </w:p>
        </w:tc>
      </w:tr>
    </w:tbl>
    <w:p>
      <w:pPr>
        <w:widowControl/>
        <w:rPr>
          <w:rFonts w:ascii="宋体" w:hAnsi="宋体"/>
          <w:kern w:val="0"/>
          <w:szCs w:val="21"/>
        </w:rPr>
      </w:pPr>
    </w:p>
    <w:p>
      <w:pPr>
        <w:pStyle w:val="254"/>
        <w:spacing w:before="156"/>
      </w:pPr>
      <w:bookmarkStart w:id="55" w:name="控制价"/>
      <w:bookmarkEnd w:id="55"/>
      <w:bookmarkStart w:id="56" w:name="_Toc18810"/>
      <w:bookmarkStart w:id="57" w:name="_Toc17539"/>
      <w:bookmarkStart w:id="58" w:name="_Toc421626567"/>
      <w:bookmarkStart w:id="59" w:name="_Toc27230"/>
      <w:bookmarkStart w:id="60" w:name="_Toc7818"/>
      <w:bookmarkStart w:id="61" w:name="_Toc27377"/>
      <w:bookmarkStart w:id="62" w:name="_Toc11926"/>
      <w:bookmarkStart w:id="63" w:name="_Toc14415"/>
      <w:bookmarkStart w:id="64" w:name="_Toc9805"/>
      <w:bookmarkStart w:id="65" w:name="_Toc24783"/>
      <w:bookmarkStart w:id="66" w:name="_Toc4835"/>
      <w:bookmarkStart w:id="67" w:name="_Toc16867"/>
      <w:r>
        <w:rPr>
          <w:rFonts w:hint="eastAsia"/>
        </w:rPr>
        <w:t>报价须知</w:t>
      </w:r>
      <w:bookmarkEnd w:id="56"/>
      <w:bookmarkEnd w:id="57"/>
      <w:bookmarkEnd w:id="58"/>
      <w:bookmarkEnd w:id="59"/>
      <w:bookmarkEnd w:id="60"/>
      <w:bookmarkEnd w:id="61"/>
      <w:bookmarkEnd w:id="62"/>
      <w:bookmarkEnd w:id="63"/>
      <w:bookmarkEnd w:id="64"/>
      <w:bookmarkEnd w:id="65"/>
      <w:bookmarkEnd w:id="66"/>
      <w:bookmarkEnd w:id="67"/>
    </w:p>
    <w:p>
      <w:pPr>
        <w:pStyle w:val="255"/>
        <w:spacing w:before="156"/>
      </w:pPr>
      <w:r>
        <w:rPr>
          <w:rFonts w:hint="eastAsia"/>
        </w:rPr>
        <w:t>项目概况</w:t>
      </w:r>
    </w:p>
    <w:p>
      <w:pPr>
        <w:numPr>
          <w:ilvl w:val="0"/>
          <w:numId w:val="30"/>
        </w:numPr>
        <w:autoSpaceDE w:val="0"/>
        <w:autoSpaceDN w:val="0"/>
        <w:adjustRightInd w:val="0"/>
        <w:spacing w:afterLines="50" w:line="360" w:lineRule="auto"/>
        <w:ind w:left="709" w:hanging="642"/>
        <w:jc w:val="left"/>
        <w:rPr>
          <w:rFonts w:ascii="宋体" w:hAnsi="宋体"/>
        </w:rPr>
      </w:pPr>
      <w:r>
        <w:rPr>
          <w:rFonts w:hint="eastAsia" w:ascii="宋体" w:hAnsi="宋体"/>
        </w:rPr>
        <w:t>月浦基地综合服务</w:t>
      </w:r>
      <w:r>
        <w:rPr>
          <w:rFonts w:ascii="宋体" w:hAnsi="宋体"/>
        </w:rPr>
        <w:t>项目</w:t>
      </w:r>
      <w:r>
        <w:rPr>
          <w:rFonts w:hint="eastAsia" w:ascii="宋体" w:hAnsi="宋体"/>
        </w:rPr>
        <w:t>进行询价。</w:t>
      </w:r>
    </w:p>
    <w:p>
      <w:pPr>
        <w:numPr>
          <w:ilvl w:val="0"/>
          <w:numId w:val="30"/>
        </w:numPr>
        <w:autoSpaceDE w:val="0"/>
        <w:autoSpaceDN w:val="0"/>
        <w:adjustRightInd w:val="0"/>
        <w:spacing w:afterLines="50" w:line="360" w:lineRule="auto"/>
        <w:ind w:left="709" w:hanging="642"/>
        <w:jc w:val="left"/>
        <w:rPr>
          <w:rFonts w:ascii="宋体" w:hAnsi="宋体"/>
        </w:rPr>
      </w:pPr>
      <w:r>
        <w:rPr>
          <w:rFonts w:hint="eastAsia" w:ascii="宋体" w:hAnsi="宋体"/>
        </w:rPr>
        <w:t>工作范围及内容：</w:t>
      </w:r>
      <w:r>
        <w:rPr>
          <w:rFonts w:hint="eastAsia"/>
        </w:rPr>
        <w:t>（</w:t>
      </w:r>
      <w:r>
        <w:t>详见第</w:t>
      </w:r>
      <w:r>
        <w:rPr>
          <w:rFonts w:hint="eastAsia"/>
        </w:rPr>
        <w:t>四</w:t>
      </w:r>
      <w:r>
        <w:t>章</w:t>
      </w:r>
      <w:r>
        <w:rPr>
          <w:rFonts w:hint="eastAsia"/>
        </w:rPr>
        <w:t>）</w:t>
      </w:r>
      <w:r>
        <w:rPr>
          <w:rFonts w:hint="eastAsia" w:ascii="宋体" w:hAnsi="宋体"/>
        </w:rPr>
        <w:t>。</w:t>
      </w:r>
    </w:p>
    <w:p>
      <w:pPr>
        <w:pStyle w:val="255"/>
        <w:spacing w:before="156"/>
      </w:pPr>
      <w:r>
        <w:rPr>
          <w:rFonts w:hint="eastAsia"/>
        </w:rPr>
        <w:t>询价文件</w:t>
      </w:r>
    </w:p>
    <w:p>
      <w:pPr>
        <w:numPr>
          <w:ilvl w:val="0"/>
          <w:numId w:val="31"/>
        </w:numPr>
        <w:autoSpaceDE w:val="0"/>
        <w:autoSpaceDN w:val="0"/>
        <w:adjustRightInd w:val="0"/>
        <w:spacing w:afterLines="50" w:line="360" w:lineRule="auto"/>
        <w:ind w:left="709" w:hanging="642"/>
        <w:jc w:val="left"/>
        <w:rPr>
          <w:rFonts w:ascii="宋体" w:hAnsi="宋体"/>
        </w:rPr>
      </w:pPr>
      <w:r>
        <w:rPr>
          <w:rFonts w:hint="eastAsia" w:ascii="宋体" w:hAnsi="宋体"/>
        </w:rPr>
        <w:t>投标人</w:t>
      </w:r>
      <w:r>
        <w:rPr>
          <w:rFonts w:ascii="宋体" w:hAnsi="宋体"/>
        </w:rPr>
        <w:t>获取</w:t>
      </w:r>
      <w:r>
        <w:rPr>
          <w:rFonts w:hint="eastAsia" w:ascii="宋体" w:hAnsi="宋体"/>
        </w:rPr>
        <w:t>询价</w:t>
      </w:r>
      <w:r>
        <w:rPr>
          <w:rFonts w:ascii="宋体" w:hAnsi="宋体"/>
        </w:rPr>
        <w:t>文件后，应仔细检查</w:t>
      </w:r>
      <w:r>
        <w:rPr>
          <w:rFonts w:hint="eastAsia" w:ascii="宋体" w:hAnsi="宋体"/>
        </w:rPr>
        <w:t>询价</w:t>
      </w:r>
      <w:r>
        <w:rPr>
          <w:rFonts w:ascii="宋体" w:hAnsi="宋体"/>
        </w:rPr>
        <w:t>文件的所有内容，如有残缺等问题应在获得</w:t>
      </w:r>
      <w:r>
        <w:rPr>
          <w:rFonts w:hint="eastAsia" w:ascii="宋体" w:hAnsi="宋体"/>
        </w:rPr>
        <w:t>询价</w:t>
      </w:r>
      <w:r>
        <w:rPr>
          <w:rFonts w:ascii="宋体" w:hAnsi="宋体"/>
        </w:rPr>
        <w:t>文件</w:t>
      </w:r>
      <w:r>
        <w:rPr>
          <w:rFonts w:hint="eastAsia" w:ascii="宋体" w:hAnsi="宋体"/>
        </w:rPr>
        <w:t>24小时</w:t>
      </w:r>
      <w:r>
        <w:rPr>
          <w:rFonts w:ascii="宋体" w:hAnsi="宋体"/>
        </w:rPr>
        <w:t>内以书面形式向采购人提出，否则由此引起的损失由</w:t>
      </w:r>
      <w:r>
        <w:rPr>
          <w:rFonts w:hint="eastAsia" w:ascii="宋体" w:hAnsi="宋体"/>
        </w:rPr>
        <w:t>投标人</w:t>
      </w:r>
      <w:r>
        <w:rPr>
          <w:rFonts w:ascii="宋体" w:hAnsi="宋体"/>
        </w:rPr>
        <w:t>自己承担。</w:t>
      </w:r>
    </w:p>
    <w:p>
      <w:pPr>
        <w:numPr>
          <w:ilvl w:val="0"/>
          <w:numId w:val="31"/>
        </w:numPr>
        <w:autoSpaceDE w:val="0"/>
        <w:autoSpaceDN w:val="0"/>
        <w:adjustRightInd w:val="0"/>
        <w:spacing w:afterLines="50" w:line="360" w:lineRule="auto"/>
        <w:ind w:left="709" w:hanging="642"/>
        <w:jc w:val="left"/>
        <w:rPr>
          <w:rFonts w:ascii="宋体" w:hAnsi="宋体"/>
        </w:rPr>
      </w:pPr>
      <w:r>
        <w:rPr>
          <w:rFonts w:hint="eastAsia" w:ascii="宋体" w:hAnsi="宋体"/>
        </w:rPr>
        <w:t>投标人如对询价文件所述内容有疑问，</w:t>
      </w:r>
      <w:r>
        <w:rPr>
          <w:rFonts w:ascii="宋体" w:hAnsi="宋体"/>
        </w:rPr>
        <w:t>应于</w:t>
      </w:r>
      <w:r>
        <w:rPr>
          <w:rFonts w:hint="eastAsia" w:ascii="宋体" w:hAnsi="宋体"/>
        </w:rPr>
        <w:t>应答文件递交截止日</w:t>
      </w:r>
      <w:r>
        <w:t>1</w:t>
      </w:r>
      <w:r>
        <w:rPr>
          <w:rFonts w:hint="eastAsia" w:ascii="宋体" w:hAnsi="宋体"/>
        </w:rPr>
        <w:t>天前在系统内或以书面形式</w:t>
      </w:r>
      <w:r>
        <w:rPr>
          <w:rFonts w:ascii="宋体" w:hAnsi="宋体"/>
        </w:rPr>
        <w:t>向采购人提出</w:t>
      </w:r>
      <w:r>
        <w:rPr>
          <w:rFonts w:hint="eastAsia" w:ascii="宋体" w:hAnsi="宋体"/>
        </w:rPr>
        <w:t>。采购人将对投标人提出的问题在系统内进行解释和澄清，投标人应在收到解释和澄清的24小时内以书面形式予以确认，投标人未及时予以确认则默认其收到解释和澄清文件。此后采购人将不再接受投标人对询价文件的任何疑问。</w:t>
      </w:r>
    </w:p>
    <w:p>
      <w:pPr>
        <w:numPr>
          <w:ilvl w:val="0"/>
          <w:numId w:val="31"/>
        </w:numPr>
        <w:autoSpaceDE w:val="0"/>
        <w:autoSpaceDN w:val="0"/>
        <w:adjustRightInd w:val="0"/>
        <w:spacing w:afterLines="50" w:line="360" w:lineRule="auto"/>
        <w:ind w:left="709" w:hanging="642"/>
        <w:jc w:val="left"/>
        <w:rPr>
          <w:rFonts w:ascii="宋体" w:hAnsi="宋体"/>
        </w:rPr>
      </w:pPr>
      <w:r>
        <w:rPr>
          <w:rFonts w:ascii="宋体" w:hAnsi="宋体"/>
        </w:rPr>
        <w:t>发出后</w:t>
      </w:r>
      <w:r>
        <w:rPr>
          <w:rFonts w:hint="eastAsia" w:ascii="宋体" w:hAnsi="宋体"/>
        </w:rPr>
        <w:t>询价</w:t>
      </w:r>
      <w:r>
        <w:rPr>
          <w:rFonts w:ascii="宋体" w:hAnsi="宋体"/>
        </w:rPr>
        <w:t>文件的修改将以书面或系统澄清的形式发送</w:t>
      </w:r>
      <w:r>
        <w:rPr>
          <w:rFonts w:hint="eastAsia" w:ascii="宋体" w:hAnsi="宋体"/>
        </w:rPr>
        <w:t>至</w:t>
      </w:r>
      <w:r>
        <w:rPr>
          <w:rFonts w:ascii="宋体" w:hAnsi="宋体"/>
        </w:rPr>
        <w:t>所有</w:t>
      </w:r>
      <w:r>
        <w:rPr>
          <w:rFonts w:hint="eastAsia" w:ascii="宋体" w:hAnsi="宋体"/>
        </w:rPr>
        <w:t>投标人</w:t>
      </w:r>
      <w:r>
        <w:rPr>
          <w:rFonts w:ascii="宋体" w:hAnsi="宋体"/>
        </w:rPr>
        <w:t>，</w:t>
      </w:r>
      <w:r>
        <w:rPr>
          <w:rFonts w:hint="eastAsia" w:ascii="宋体" w:hAnsi="宋体"/>
        </w:rPr>
        <w:t>投标人</w:t>
      </w:r>
      <w:r>
        <w:rPr>
          <w:rFonts w:ascii="宋体" w:hAnsi="宋体"/>
        </w:rPr>
        <w:t>应于收到该修改文件后</w:t>
      </w:r>
      <w:r>
        <w:rPr>
          <w:rFonts w:hint="eastAsia" w:ascii="宋体" w:hAnsi="宋体"/>
        </w:rPr>
        <w:t>24小时</w:t>
      </w:r>
      <w:r>
        <w:rPr>
          <w:rFonts w:ascii="宋体" w:hAnsi="宋体"/>
        </w:rPr>
        <w:t>内以书面形式给予确认</w:t>
      </w:r>
      <w:r>
        <w:rPr>
          <w:rFonts w:hint="eastAsia" w:ascii="宋体" w:hAnsi="宋体"/>
        </w:rPr>
        <w:t>，投标人</w:t>
      </w:r>
      <w:r>
        <w:rPr>
          <w:rFonts w:ascii="宋体" w:hAnsi="宋体"/>
        </w:rPr>
        <w:t>未及时予以确认则默认其收到修改后的</w:t>
      </w:r>
      <w:r>
        <w:rPr>
          <w:rFonts w:hint="eastAsia" w:ascii="宋体" w:hAnsi="宋体"/>
        </w:rPr>
        <w:t>询价</w:t>
      </w:r>
      <w:r>
        <w:rPr>
          <w:rFonts w:ascii="宋体" w:hAnsi="宋体"/>
        </w:rPr>
        <w:t>文件。</w:t>
      </w:r>
      <w:r>
        <w:rPr>
          <w:rFonts w:hint="eastAsia" w:ascii="宋体" w:hAnsi="宋体"/>
        </w:rPr>
        <w:t>询价</w:t>
      </w:r>
      <w:r>
        <w:rPr>
          <w:rFonts w:ascii="宋体" w:hAnsi="宋体"/>
        </w:rPr>
        <w:t>文件的修改内容作为</w:t>
      </w:r>
      <w:r>
        <w:rPr>
          <w:rFonts w:hint="eastAsia" w:ascii="宋体" w:hAnsi="宋体"/>
        </w:rPr>
        <w:t>询价</w:t>
      </w:r>
      <w:r>
        <w:rPr>
          <w:rFonts w:ascii="宋体" w:hAnsi="宋体"/>
        </w:rPr>
        <w:t>文件的组成部分。当</w:t>
      </w:r>
      <w:r>
        <w:rPr>
          <w:rFonts w:hint="eastAsia" w:ascii="宋体" w:hAnsi="宋体"/>
        </w:rPr>
        <w:t>询价</w:t>
      </w:r>
      <w:r>
        <w:rPr>
          <w:rFonts w:ascii="宋体" w:hAnsi="宋体"/>
        </w:rPr>
        <w:t>文件、</w:t>
      </w:r>
      <w:r>
        <w:rPr>
          <w:rFonts w:hint="eastAsia" w:ascii="宋体" w:hAnsi="宋体"/>
        </w:rPr>
        <w:t>询价</w:t>
      </w:r>
      <w:r>
        <w:rPr>
          <w:rFonts w:ascii="宋体" w:hAnsi="宋体"/>
        </w:rPr>
        <w:t>文件的澄清、修改、补充等在同一内容的表述上不一致时，以最后发出的书面文件为准。</w:t>
      </w:r>
    </w:p>
    <w:p>
      <w:pPr>
        <w:pStyle w:val="255"/>
        <w:spacing w:before="156"/>
      </w:pPr>
      <w:r>
        <w:rPr>
          <w:rFonts w:hint="eastAsia"/>
        </w:rPr>
        <w:t>应答文件的编制及要求</w:t>
      </w:r>
    </w:p>
    <w:p>
      <w:pPr>
        <w:numPr>
          <w:ilvl w:val="0"/>
          <w:numId w:val="32"/>
        </w:numPr>
        <w:autoSpaceDE w:val="0"/>
        <w:autoSpaceDN w:val="0"/>
        <w:adjustRightInd w:val="0"/>
        <w:spacing w:afterLines="50" w:line="360" w:lineRule="auto"/>
        <w:ind w:left="709" w:hanging="642"/>
        <w:jc w:val="left"/>
        <w:rPr>
          <w:rFonts w:ascii="宋体" w:hAnsi="宋体"/>
        </w:rPr>
      </w:pPr>
      <w:r>
        <w:rPr>
          <w:rFonts w:ascii="宋体" w:hAnsi="宋体"/>
        </w:rPr>
        <w:t>应答文件和与</w:t>
      </w:r>
      <w:r>
        <w:rPr>
          <w:rFonts w:hint="eastAsia" w:ascii="宋体" w:hAnsi="宋体"/>
        </w:rPr>
        <w:t>应答</w:t>
      </w:r>
      <w:r>
        <w:rPr>
          <w:rFonts w:ascii="宋体" w:hAnsi="宋体"/>
        </w:rPr>
        <w:t>有关的所有文件均应使用</w:t>
      </w:r>
      <w:r>
        <w:rPr>
          <w:rFonts w:hint="eastAsia" w:ascii="宋体" w:hAnsi="宋体"/>
        </w:rPr>
        <w:t>中文。</w:t>
      </w:r>
    </w:p>
    <w:p>
      <w:pPr>
        <w:numPr>
          <w:ilvl w:val="0"/>
          <w:numId w:val="32"/>
        </w:numPr>
        <w:autoSpaceDE w:val="0"/>
        <w:autoSpaceDN w:val="0"/>
        <w:adjustRightInd w:val="0"/>
        <w:spacing w:afterLines="50" w:line="360" w:lineRule="auto"/>
        <w:ind w:left="709" w:hanging="642"/>
        <w:jc w:val="left"/>
        <w:rPr>
          <w:rFonts w:ascii="宋体" w:hAnsi="宋体"/>
        </w:rPr>
      </w:pPr>
      <w:r>
        <w:rPr>
          <w:rFonts w:ascii="宋体" w:hAnsi="宋体"/>
        </w:rPr>
        <w:t>应答文件使用的度量衡单位，均采用中华人民共和国法定计量单位。</w:t>
      </w:r>
    </w:p>
    <w:p>
      <w:pPr>
        <w:numPr>
          <w:ilvl w:val="0"/>
          <w:numId w:val="32"/>
        </w:numPr>
        <w:autoSpaceDE w:val="0"/>
        <w:autoSpaceDN w:val="0"/>
        <w:adjustRightInd w:val="0"/>
        <w:spacing w:afterLines="50" w:line="360" w:lineRule="auto"/>
        <w:ind w:left="709" w:hanging="642"/>
        <w:jc w:val="left"/>
        <w:rPr>
          <w:rFonts w:ascii="宋体" w:hAnsi="宋体"/>
        </w:rPr>
      </w:pPr>
      <w:r>
        <w:rPr>
          <w:rFonts w:hint="eastAsia" w:ascii="宋体" w:hAnsi="宋体"/>
        </w:rPr>
        <w:t>应答文件应按本询价文件的格式和要求编写。（详见第五章）</w:t>
      </w:r>
    </w:p>
    <w:p>
      <w:pPr>
        <w:numPr>
          <w:ilvl w:val="0"/>
          <w:numId w:val="32"/>
        </w:numPr>
        <w:autoSpaceDE w:val="0"/>
        <w:autoSpaceDN w:val="0"/>
        <w:adjustRightInd w:val="0"/>
        <w:spacing w:afterLines="50" w:line="360" w:lineRule="auto"/>
        <w:ind w:left="709" w:hanging="642"/>
        <w:jc w:val="left"/>
        <w:rPr>
          <w:rFonts w:ascii="宋体" w:hAnsi="宋体"/>
        </w:rPr>
      </w:pPr>
      <w:r>
        <w:rPr>
          <w:rFonts w:hint="eastAsia" w:ascii="宋体" w:hAnsi="宋体"/>
        </w:rPr>
        <w:t>采购人有权</w:t>
      </w:r>
      <w:r>
        <w:rPr>
          <w:rFonts w:ascii="宋体" w:hAnsi="宋体"/>
        </w:rPr>
        <w:t>延长报价有效期，</w:t>
      </w:r>
      <w:r>
        <w:rPr>
          <w:rFonts w:hint="eastAsia" w:ascii="宋体" w:hAnsi="宋体"/>
        </w:rPr>
        <w:t>投标人如不同意</w:t>
      </w:r>
      <w:r>
        <w:rPr>
          <w:rFonts w:ascii="宋体" w:hAnsi="宋体"/>
        </w:rPr>
        <w:t>，</w:t>
      </w:r>
      <w:r>
        <w:rPr>
          <w:rFonts w:hint="eastAsia" w:ascii="宋体" w:hAnsi="宋体"/>
        </w:rPr>
        <w:t>则视为放弃本次报价。</w:t>
      </w:r>
      <w:r>
        <w:rPr>
          <w:rFonts w:ascii="宋体" w:hAnsi="宋体"/>
        </w:rPr>
        <w:t>同意延长报价有效期的</w:t>
      </w:r>
      <w:r>
        <w:rPr>
          <w:rFonts w:hint="eastAsia" w:ascii="宋体" w:hAnsi="宋体"/>
        </w:rPr>
        <w:t>投标人</w:t>
      </w:r>
      <w:r>
        <w:rPr>
          <w:rFonts w:ascii="宋体" w:hAnsi="宋体"/>
        </w:rPr>
        <w:t>不能修改其报价文件</w:t>
      </w:r>
      <w:r>
        <w:rPr>
          <w:rFonts w:hint="eastAsia" w:ascii="宋体" w:hAnsi="宋体"/>
        </w:rPr>
        <w:t>。</w:t>
      </w:r>
    </w:p>
    <w:p>
      <w:pPr>
        <w:numPr>
          <w:ilvl w:val="0"/>
          <w:numId w:val="32"/>
        </w:numPr>
        <w:autoSpaceDE w:val="0"/>
        <w:autoSpaceDN w:val="0"/>
        <w:adjustRightInd w:val="0"/>
        <w:spacing w:afterLines="50" w:line="360" w:lineRule="auto"/>
        <w:ind w:left="709" w:hanging="642"/>
        <w:jc w:val="left"/>
        <w:rPr>
          <w:rFonts w:ascii="宋体" w:hAnsi="宋体"/>
        </w:rPr>
      </w:pPr>
      <w:r>
        <w:rPr>
          <w:rFonts w:hint="eastAsia" w:ascii="宋体" w:hAnsi="宋体"/>
        </w:rPr>
        <w:t>本次询价不接受投标人</w:t>
      </w:r>
      <w:r>
        <w:rPr>
          <w:rFonts w:ascii="宋体" w:hAnsi="宋体"/>
        </w:rPr>
        <w:t>提交</w:t>
      </w:r>
      <w:r>
        <w:rPr>
          <w:rFonts w:hint="eastAsia" w:ascii="宋体" w:hAnsi="宋体"/>
        </w:rPr>
        <w:t>替代方案，不接受分包，不接受联合体投标。</w:t>
      </w:r>
    </w:p>
    <w:p>
      <w:pPr>
        <w:pStyle w:val="255"/>
        <w:spacing w:before="156"/>
      </w:pPr>
      <w:r>
        <w:rPr>
          <w:rFonts w:hint="eastAsia"/>
        </w:rPr>
        <w:t>应答</w:t>
      </w:r>
      <w:r>
        <w:t>文件的标记</w:t>
      </w:r>
    </w:p>
    <w:p>
      <w:pPr>
        <w:numPr>
          <w:ilvl w:val="0"/>
          <w:numId w:val="33"/>
        </w:numPr>
        <w:autoSpaceDE w:val="0"/>
        <w:autoSpaceDN w:val="0"/>
        <w:adjustRightInd w:val="0"/>
        <w:spacing w:afterLines="50" w:line="360" w:lineRule="auto"/>
        <w:ind w:left="709" w:hanging="642"/>
        <w:jc w:val="left"/>
        <w:rPr>
          <w:rFonts w:ascii="宋体" w:hAnsi="宋体"/>
        </w:rPr>
      </w:pPr>
      <w:r>
        <w:rPr>
          <w:rFonts w:hint="eastAsia" w:ascii="宋体" w:hAnsi="宋体"/>
          <w:lang w:val="zh-CN"/>
        </w:rPr>
        <w:t>应答</w:t>
      </w:r>
      <w:r>
        <w:rPr>
          <w:rFonts w:hint="eastAsia" w:ascii="宋体" w:hAnsi="宋体"/>
        </w:rPr>
        <w:t>文件包含商务文件、技术文件、价格文件三部分。</w:t>
      </w:r>
    </w:p>
    <w:p>
      <w:pPr>
        <w:numPr>
          <w:ilvl w:val="0"/>
          <w:numId w:val="33"/>
        </w:numPr>
        <w:autoSpaceDE w:val="0"/>
        <w:autoSpaceDN w:val="0"/>
        <w:adjustRightInd w:val="0"/>
        <w:spacing w:afterLines="50" w:line="360" w:lineRule="auto"/>
        <w:ind w:left="709" w:hanging="642"/>
        <w:jc w:val="left"/>
        <w:rPr>
          <w:rFonts w:ascii="宋体" w:hAnsi="宋体"/>
        </w:rPr>
      </w:pPr>
      <w:r>
        <w:rPr>
          <w:rFonts w:hint="eastAsia" w:ascii="宋体" w:hAnsi="宋体"/>
        </w:rPr>
        <w:t>采购人如在采办业务信息系统发起应答截止变更，变更提交报价文件的截止时间，投标人的所有权利和义务以及投标人受制约的截止时间，均相应变更</w:t>
      </w:r>
      <w:r>
        <w:rPr>
          <w:rFonts w:ascii="宋体" w:hAnsi="宋体"/>
        </w:rPr>
        <w:t>。</w:t>
      </w:r>
    </w:p>
    <w:p>
      <w:pPr>
        <w:pStyle w:val="255"/>
        <w:spacing w:before="156"/>
      </w:pPr>
      <w:r>
        <w:rPr>
          <w:rFonts w:hint="eastAsia"/>
        </w:rPr>
        <w:t>应答文件的递交</w:t>
      </w:r>
    </w:p>
    <w:p>
      <w:pPr>
        <w:numPr>
          <w:ilvl w:val="0"/>
          <w:numId w:val="34"/>
        </w:numPr>
        <w:autoSpaceDE w:val="0"/>
        <w:autoSpaceDN w:val="0"/>
        <w:adjustRightInd w:val="0"/>
        <w:spacing w:afterLines="50" w:line="360" w:lineRule="auto"/>
        <w:ind w:left="709" w:hanging="642"/>
        <w:jc w:val="left"/>
        <w:rPr>
          <w:rFonts w:ascii="宋体" w:hAnsi="宋体"/>
        </w:rPr>
      </w:pPr>
      <w:r>
        <w:rPr>
          <w:rFonts w:hint="eastAsia" w:ascii="宋体" w:hAnsi="宋体"/>
        </w:rPr>
        <w:t>应答</w:t>
      </w:r>
      <w:r>
        <w:rPr>
          <w:rFonts w:ascii="宋体" w:hAnsi="宋体"/>
        </w:rPr>
        <w:t>截止时间</w:t>
      </w:r>
      <w:r>
        <w:rPr>
          <w:rFonts w:hint="eastAsia" w:ascii="宋体" w:hAnsi="宋体"/>
        </w:rPr>
        <w:t>后，</w:t>
      </w:r>
      <w:r>
        <w:rPr>
          <w:rFonts w:ascii="宋体" w:hAnsi="宋体"/>
        </w:rPr>
        <w:t>采购人拒绝</w:t>
      </w:r>
      <w:r>
        <w:rPr>
          <w:rFonts w:hint="eastAsia" w:ascii="宋体" w:hAnsi="宋体"/>
        </w:rPr>
        <w:t>接收任何应答</w:t>
      </w:r>
      <w:r>
        <w:rPr>
          <w:rFonts w:ascii="宋体" w:hAnsi="宋体"/>
        </w:rPr>
        <w:t>文件</w:t>
      </w:r>
      <w:r>
        <w:rPr>
          <w:rFonts w:hint="eastAsia" w:ascii="宋体" w:hAnsi="宋体"/>
        </w:rPr>
        <w:t>。</w:t>
      </w:r>
    </w:p>
    <w:p>
      <w:pPr>
        <w:numPr>
          <w:ilvl w:val="0"/>
          <w:numId w:val="34"/>
        </w:numPr>
        <w:autoSpaceDE w:val="0"/>
        <w:autoSpaceDN w:val="0"/>
        <w:adjustRightInd w:val="0"/>
        <w:spacing w:afterLines="50" w:line="360" w:lineRule="auto"/>
        <w:ind w:left="709" w:hanging="642"/>
        <w:jc w:val="left"/>
        <w:rPr>
          <w:rFonts w:ascii="宋体" w:hAnsi="宋体"/>
        </w:rPr>
      </w:pPr>
      <w:r>
        <w:rPr>
          <w:rFonts w:hint="eastAsia" w:ascii="宋体" w:hAnsi="宋体"/>
        </w:rPr>
        <w:t>开启应答文件时，采购人将检查应答文件的投递情况，报价文件有下列情况之一的，为无效报价文件：</w:t>
      </w:r>
    </w:p>
    <w:p>
      <w:pPr>
        <w:numPr>
          <w:ilvl w:val="0"/>
          <w:numId w:val="35"/>
        </w:numPr>
        <w:autoSpaceDE w:val="0"/>
        <w:autoSpaceDN w:val="0"/>
        <w:adjustRightInd w:val="0"/>
        <w:spacing w:afterLines="50" w:line="360" w:lineRule="auto"/>
        <w:ind w:left="851" w:hanging="420"/>
        <w:jc w:val="left"/>
        <w:rPr>
          <w:rFonts w:ascii="宋体" w:hAnsi="宋体"/>
        </w:rPr>
      </w:pPr>
      <w:r>
        <w:rPr>
          <w:rFonts w:hint="eastAsia" w:ascii="宋体" w:hAnsi="宋体"/>
        </w:rPr>
        <w:t>逾期未上传系统报价文件的；</w:t>
      </w:r>
    </w:p>
    <w:p>
      <w:pPr>
        <w:numPr>
          <w:ilvl w:val="0"/>
          <w:numId w:val="35"/>
        </w:numPr>
        <w:autoSpaceDE w:val="0"/>
        <w:autoSpaceDN w:val="0"/>
        <w:adjustRightInd w:val="0"/>
        <w:spacing w:afterLines="50" w:line="360" w:lineRule="auto"/>
        <w:ind w:left="851" w:hanging="420"/>
        <w:jc w:val="left"/>
        <w:rPr>
          <w:rFonts w:ascii="宋体" w:hAnsi="宋体"/>
        </w:rPr>
      </w:pPr>
      <w:r>
        <w:rPr>
          <w:rFonts w:hint="eastAsia" w:ascii="宋体" w:hAnsi="宋体"/>
        </w:rPr>
        <w:t>未按询价文件要求盖章或签署的；</w:t>
      </w:r>
    </w:p>
    <w:p>
      <w:pPr>
        <w:numPr>
          <w:ilvl w:val="0"/>
          <w:numId w:val="35"/>
        </w:numPr>
        <w:autoSpaceDE w:val="0"/>
        <w:autoSpaceDN w:val="0"/>
        <w:adjustRightInd w:val="0"/>
        <w:spacing w:afterLines="50" w:line="360" w:lineRule="auto"/>
        <w:ind w:left="851" w:hanging="420"/>
        <w:jc w:val="left"/>
        <w:rPr>
          <w:rFonts w:ascii="宋体" w:hAnsi="宋体"/>
        </w:rPr>
      </w:pPr>
      <w:r>
        <w:rPr>
          <w:rFonts w:hint="eastAsia" w:ascii="宋体" w:hAnsi="宋体"/>
        </w:rPr>
        <w:t>递交两份或多份内容不同的应答文件。</w:t>
      </w:r>
    </w:p>
    <w:p>
      <w:pPr>
        <w:pStyle w:val="255"/>
        <w:spacing w:before="156"/>
      </w:pPr>
      <w:r>
        <w:rPr>
          <w:rFonts w:hint="eastAsia"/>
        </w:rPr>
        <w:t>应答</w:t>
      </w:r>
      <w:r>
        <w:t>文件的补充、修改与撤回</w:t>
      </w:r>
    </w:p>
    <w:p>
      <w:pPr>
        <w:numPr>
          <w:ilvl w:val="0"/>
          <w:numId w:val="36"/>
        </w:numPr>
        <w:autoSpaceDE w:val="0"/>
        <w:autoSpaceDN w:val="0"/>
        <w:adjustRightInd w:val="0"/>
        <w:spacing w:afterLines="50" w:line="360" w:lineRule="auto"/>
        <w:ind w:left="709" w:hanging="642"/>
        <w:jc w:val="left"/>
        <w:rPr>
          <w:rFonts w:ascii="宋体" w:hAnsi="宋体"/>
        </w:rPr>
      </w:pPr>
      <w:r>
        <w:rPr>
          <w:rFonts w:hint="eastAsia" w:ascii="宋体" w:hAnsi="宋体"/>
        </w:rPr>
        <w:t>投标人</w:t>
      </w:r>
      <w:r>
        <w:rPr>
          <w:rFonts w:ascii="宋体" w:hAnsi="宋体"/>
        </w:rPr>
        <w:t>在</w:t>
      </w:r>
      <w:r>
        <w:rPr>
          <w:rFonts w:hint="eastAsia" w:ascii="宋体" w:hAnsi="宋体"/>
        </w:rPr>
        <w:t>应答</w:t>
      </w:r>
      <w:r>
        <w:rPr>
          <w:rFonts w:ascii="宋体" w:hAnsi="宋体"/>
        </w:rPr>
        <w:t>截止时间之前，可以补充修改或撤回已提交的</w:t>
      </w:r>
      <w:r>
        <w:rPr>
          <w:rFonts w:hint="eastAsia" w:ascii="宋体" w:hAnsi="宋体"/>
        </w:rPr>
        <w:t>应答</w:t>
      </w:r>
      <w:r>
        <w:rPr>
          <w:rFonts w:ascii="宋体" w:hAnsi="宋体"/>
        </w:rPr>
        <w:t>文件</w:t>
      </w:r>
      <w:r>
        <w:rPr>
          <w:rFonts w:hint="eastAsia" w:ascii="宋体" w:hAnsi="宋体"/>
        </w:rPr>
        <w:t>。</w:t>
      </w:r>
    </w:p>
    <w:p>
      <w:pPr>
        <w:numPr>
          <w:ilvl w:val="0"/>
          <w:numId w:val="36"/>
        </w:numPr>
        <w:autoSpaceDE w:val="0"/>
        <w:autoSpaceDN w:val="0"/>
        <w:adjustRightInd w:val="0"/>
        <w:spacing w:afterLines="50" w:line="360" w:lineRule="auto"/>
        <w:ind w:left="709" w:hanging="642"/>
        <w:jc w:val="left"/>
        <w:rPr>
          <w:rFonts w:ascii="宋体" w:hAnsi="宋体"/>
        </w:rPr>
      </w:pPr>
      <w:r>
        <w:rPr>
          <w:rFonts w:hint="eastAsia" w:ascii="宋体" w:hAnsi="宋体"/>
        </w:rPr>
        <w:t>投标人</w:t>
      </w:r>
      <w:r>
        <w:rPr>
          <w:rFonts w:ascii="宋体" w:hAnsi="宋体"/>
        </w:rPr>
        <w:t>的补充、修改</w:t>
      </w:r>
      <w:r>
        <w:rPr>
          <w:rFonts w:hint="eastAsia" w:ascii="宋体" w:hAnsi="宋体"/>
        </w:rPr>
        <w:t>文件</w:t>
      </w:r>
      <w:r>
        <w:rPr>
          <w:rFonts w:ascii="宋体" w:hAnsi="宋体"/>
        </w:rPr>
        <w:t>应</w:t>
      </w:r>
      <w:r>
        <w:rPr>
          <w:rFonts w:hint="eastAsia" w:ascii="宋体" w:hAnsi="宋体"/>
        </w:rPr>
        <w:t>同样按询价文件</w:t>
      </w:r>
      <w:r>
        <w:rPr>
          <w:rFonts w:ascii="宋体" w:hAnsi="宋体"/>
        </w:rPr>
        <w:t>规定</w:t>
      </w:r>
      <w:r>
        <w:rPr>
          <w:rFonts w:hint="eastAsia" w:ascii="宋体" w:hAnsi="宋体"/>
        </w:rPr>
        <w:t>的要求</w:t>
      </w:r>
      <w:r>
        <w:rPr>
          <w:rFonts w:ascii="宋体" w:hAnsi="宋体"/>
        </w:rPr>
        <w:t>提交。</w:t>
      </w:r>
    </w:p>
    <w:p>
      <w:pPr>
        <w:pStyle w:val="255"/>
        <w:spacing w:before="156"/>
      </w:pPr>
      <w:r>
        <w:rPr>
          <w:rFonts w:hint="eastAsia"/>
        </w:rPr>
        <w:t>应答文件开启</w:t>
      </w:r>
    </w:p>
    <w:p>
      <w:pPr>
        <w:numPr>
          <w:ilvl w:val="0"/>
          <w:numId w:val="37"/>
        </w:numPr>
        <w:autoSpaceDE w:val="0"/>
        <w:autoSpaceDN w:val="0"/>
        <w:adjustRightInd w:val="0"/>
        <w:spacing w:afterLines="50" w:line="360" w:lineRule="auto"/>
        <w:ind w:left="709" w:hanging="642"/>
        <w:jc w:val="left"/>
        <w:rPr>
          <w:rFonts w:ascii="宋体" w:hAnsi="宋体"/>
        </w:rPr>
      </w:pPr>
      <w:r>
        <w:rPr>
          <w:rFonts w:hint="eastAsia" w:ascii="宋体" w:hAnsi="宋体"/>
          <w:lang w:val="zh-CN"/>
        </w:rPr>
        <w:t>开标</w:t>
      </w:r>
      <w:r>
        <w:rPr>
          <w:rFonts w:hint="eastAsia" w:ascii="宋体" w:hAnsi="宋体"/>
        </w:rPr>
        <w:t>在询价文件规定的时间在系统上公开进行。开标按照系统随机排序进行。</w:t>
      </w:r>
    </w:p>
    <w:p>
      <w:pPr>
        <w:numPr>
          <w:ilvl w:val="0"/>
          <w:numId w:val="37"/>
        </w:numPr>
        <w:autoSpaceDE w:val="0"/>
        <w:autoSpaceDN w:val="0"/>
        <w:adjustRightInd w:val="0"/>
        <w:spacing w:afterLines="50" w:line="360" w:lineRule="auto"/>
        <w:ind w:left="709" w:hanging="642"/>
        <w:jc w:val="left"/>
        <w:rPr>
          <w:rFonts w:ascii="宋体" w:hAnsi="宋体"/>
        </w:rPr>
      </w:pPr>
      <w:r>
        <w:rPr>
          <w:rFonts w:hint="eastAsia" w:ascii="宋体" w:hAnsi="宋体"/>
        </w:rPr>
        <w:t>采购人将检查应答文件以确定它们是否完整，是否正确地签署了应答文件。</w:t>
      </w:r>
    </w:p>
    <w:p>
      <w:pPr>
        <w:pStyle w:val="255"/>
        <w:spacing w:before="156"/>
      </w:pPr>
      <w:r>
        <w:rPr>
          <w:rFonts w:hint="eastAsia"/>
        </w:rPr>
        <w:t>应答文件的评审</w:t>
      </w:r>
    </w:p>
    <w:p>
      <w:pPr>
        <w:autoSpaceDE w:val="0"/>
        <w:autoSpaceDN w:val="0"/>
        <w:adjustRightInd w:val="0"/>
        <w:spacing w:afterLines="50"/>
        <w:ind w:firstLine="441" w:firstLineChars="210"/>
        <w:rPr>
          <w:rFonts w:ascii="宋体" w:hAnsi="宋体"/>
        </w:rPr>
      </w:pPr>
      <w:r>
        <w:rPr>
          <w:rFonts w:hint="eastAsia" w:ascii="宋体" w:hAnsi="宋体"/>
        </w:rPr>
        <w:t>开标</w:t>
      </w:r>
      <w:r>
        <w:rPr>
          <w:rFonts w:ascii="宋体" w:hAnsi="宋体"/>
        </w:rPr>
        <w:t>结束后，开始</w:t>
      </w:r>
      <w:r>
        <w:rPr>
          <w:rFonts w:hint="eastAsia" w:ascii="宋体" w:hAnsi="宋体"/>
        </w:rPr>
        <w:t>应答</w:t>
      </w:r>
      <w:r>
        <w:rPr>
          <w:rFonts w:ascii="宋体" w:hAnsi="宋体"/>
        </w:rPr>
        <w:t>文件的评审，</w:t>
      </w:r>
      <w:r>
        <w:rPr>
          <w:rFonts w:hint="eastAsia" w:ascii="宋体" w:hAnsi="宋体"/>
        </w:rPr>
        <w:t>评审</w:t>
      </w:r>
      <w:r>
        <w:rPr>
          <w:rFonts w:ascii="宋体" w:hAnsi="宋体"/>
        </w:rPr>
        <w:t>采用保密方式进行。</w:t>
      </w:r>
    </w:p>
    <w:p>
      <w:pPr>
        <w:numPr>
          <w:ilvl w:val="0"/>
          <w:numId w:val="38"/>
        </w:numPr>
        <w:autoSpaceDE w:val="0"/>
        <w:autoSpaceDN w:val="0"/>
        <w:adjustRightInd w:val="0"/>
        <w:spacing w:afterLines="50" w:line="360" w:lineRule="auto"/>
        <w:ind w:left="630" w:hanging="630"/>
        <w:jc w:val="left"/>
        <w:rPr>
          <w:rFonts w:ascii="宋体" w:hAnsi="宋体"/>
        </w:rPr>
      </w:pPr>
      <w:r>
        <w:rPr>
          <w:rFonts w:hint="eastAsia" w:ascii="宋体" w:hAnsi="宋体"/>
        </w:rPr>
        <w:t>评审</w:t>
      </w:r>
      <w:r>
        <w:rPr>
          <w:rFonts w:ascii="宋体" w:hAnsi="宋体"/>
        </w:rPr>
        <w:t>过程的保密</w:t>
      </w:r>
    </w:p>
    <w:p>
      <w:pPr>
        <w:numPr>
          <w:ilvl w:val="0"/>
          <w:numId w:val="39"/>
        </w:numPr>
        <w:autoSpaceDE w:val="0"/>
        <w:autoSpaceDN w:val="0"/>
        <w:adjustRightInd w:val="0"/>
        <w:spacing w:line="360" w:lineRule="auto"/>
        <w:ind w:left="709" w:hanging="359"/>
        <w:jc w:val="left"/>
        <w:rPr>
          <w:rFonts w:ascii="宋体" w:hAnsi="宋体"/>
        </w:rPr>
      </w:pPr>
      <w:r>
        <w:rPr>
          <w:rFonts w:ascii="宋体" w:hAnsi="宋体"/>
        </w:rPr>
        <w:t>凡属对</w:t>
      </w:r>
      <w:r>
        <w:rPr>
          <w:rFonts w:hint="eastAsia" w:ascii="宋体" w:hAnsi="宋体"/>
        </w:rPr>
        <w:t>应答</w:t>
      </w:r>
      <w:r>
        <w:rPr>
          <w:rFonts w:ascii="宋体" w:hAnsi="宋体"/>
        </w:rPr>
        <w:t>文件的审查、澄清、评价和比较的有关资料以及成交候选人的推荐情况，与评审有关的其他任何情况均严格保密。</w:t>
      </w:r>
    </w:p>
    <w:p>
      <w:pPr>
        <w:numPr>
          <w:ilvl w:val="0"/>
          <w:numId w:val="39"/>
        </w:numPr>
        <w:autoSpaceDE w:val="0"/>
        <w:autoSpaceDN w:val="0"/>
        <w:adjustRightInd w:val="0"/>
        <w:spacing w:line="360" w:lineRule="auto"/>
        <w:ind w:left="709" w:hanging="359"/>
        <w:jc w:val="left"/>
        <w:rPr>
          <w:rFonts w:ascii="宋体" w:hAnsi="宋体"/>
        </w:rPr>
      </w:pPr>
      <w:r>
        <w:rPr>
          <w:rFonts w:hint="eastAsia" w:ascii="宋体" w:hAnsi="宋体"/>
        </w:rPr>
        <w:t>投标人</w:t>
      </w:r>
      <w:r>
        <w:rPr>
          <w:rFonts w:ascii="宋体" w:hAnsi="宋体"/>
        </w:rPr>
        <w:t>向采购人和</w:t>
      </w:r>
      <w:r>
        <w:rPr>
          <w:rFonts w:hint="eastAsia" w:ascii="宋体" w:hAnsi="宋体"/>
        </w:rPr>
        <w:t>评审</w:t>
      </w:r>
      <w:r>
        <w:rPr>
          <w:rFonts w:ascii="宋体" w:hAnsi="宋体"/>
        </w:rPr>
        <w:t>小组施加影响的任何行为，都将会导致其报价被拒绝。</w:t>
      </w:r>
    </w:p>
    <w:p>
      <w:pPr>
        <w:numPr>
          <w:ilvl w:val="0"/>
          <w:numId w:val="38"/>
        </w:numPr>
        <w:autoSpaceDE w:val="0"/>
        <w:autoSpaceDN w:val="0"/>
        <w:adjustRightInd w:val="0"/>
        <w:spacing w:afterLines="50" w:line="360" w:lineRule="auto"/>
        <w:ind w:left="630" w:hanging="630"/>
        <w:jc w:val="left"/>
        <w:rPr>
          <w:rFonts w:ascii="宋体" w:hAnsi="宋体"/>
        </w:rPr>
      </w:pPr>
      <w:r>
        <w:rPr>
          <w:rFonts w:hint="eastAsia" w:ascii="宋体" w:hAnsi="宋体"/>
        </w:rPr>
        <w:t>澄清</w:t>
      </w:r>
    </w:p>
    <w:p>
      <w:pPr>
        <w:autoSpaceDE w:val="0"/>
        <w:autoSpaceDN w:val="0"/>
        <w:adjustRightInd w:val="0"/>
        <w:spacing w:line="360" w:lineRule="auto"/>
        <w:ind w:firstLine="420" w:firstLineChars="200"/>
        <w:jc w:val="left"/>
        <w:rPr>
          <w:rFonts w:ascii="宋体" w:hAnsi="宋体"/>
        </w:rPr>
      </w:pPr>
      <w:r>
        <w:rPr>
          <w:rFonts w:hint="eastAsia" w:ascii="宋体" w:hAnsi="宋体"/>
        </w:rPr>
        <w:t>评审小组可以要求投标人对应答文件含义不明确的内容作必要的澄清或说明，投标人应以书面形式进行澄清或说明，但不得超出应答文件的范围或改变应答文件的实质性内容。</w:t>
      </w:r>
    </w:p>
    <w:p>
      <w:pPr>
        <w:numPr>
          <w:ilvl w:val="0"/>
          <w:numId w:val="38"/>
        </w:numPr>
        <w:autoSpaceDE w:val="0"/>
        <w:autoSpaceDN w:val="0"/>
        <w:adjustRightInd w:val="0"/>
        <w:spacing w:afterLines="50" w:line="360" w:lineRule="auto"/>
        <w:ind w:left="630" w:hanging="630"/>
        <w:jc w:val="left"/>
        <w:rPr>
          <w:rFonts w:ascii="宋体" w:hAnsi="宋体"/>
        </w:rPr>
      </w:pPr>
      <w:r>
        <w:rPr>
          <w:rFonts w:hint="eastAsia" w:ascii="宋体" w:hAnsi="宋体"/>
        </w:rPr>
        <w:t>原件查验</w:t>
      </w:r>
    </w:p>
    <w:p>
      <w:pPr>
        <w:autoSpaceDE w:val="0"/>
        <w:autoSpaceDN w:val="0"/>
        <w:adjustRightInd w:val="0"/>
        <w:spacing w:line="360" w:lineRule="auto"/>
        <w:ind w:firstLine="420" w:firstLineChars="200"/>
        <w:jc w:val="left"/>
        <w:rPr>
          <w:rFonts w:ascii="宋体" w:hAnsi="宋体"/>
        </w:rPr>
      </w:pPr>
      <w:r>
        <w:rPr>
          <w:rFonts w:hint="eastAsia" w:ascii="宋体" w:hAnsi="宋体"/>
        </w:rPr>
        <w:t>评审小组可以在评审过程中要求投标人提交询价文件规定的有关资信文件的原件，以便核验。</w:t>
      </w:r>
    </w:p>
    <w:p>
      <w:pPr>
        <w:numPr>
          <w:ilvl w:val="0"/>
          <w:numId w:val="38"/>
        </w:numPr>
        <w:autoSpaceDE w:val="0"/>
        <w:autoSpaceDN w:val="0"/>
        <w:adjustRightInd w:val="0"/>
        <w:spacing w:afterLines="50" w:line="360" w:lineRule="auto"/>
        <w:ind w:left="630" w:hanging="630"/>
        <w:jc w:val="left"/>
        <w:rPr>
          <w:rFonts w:ascii="宋体" w:hAnsi="宋体"/>
        </w:rPr>
      </w:pPr>
      <w:r>
        <w:rPr>
          <w:rFonts w:hint="eastAsia" w:ascii="宋体" w:hAnsi="宋体"/>
        </w:rPr>
        <w:t>报价文件的初步评审</w:t>
      </w:r>
    </w:p>
    <w:p>
      <w:pPr>
        <w:autoSpaceDE w:val="0"/>
        <w:autoSpaceDN w:val="0"/>
        <w:adjustRightInd w:val="0"/>
        <w:spacing w:afterLines="50"/>
        <w:ind w:left="269" w:leftChars="128" w:firstLine="210" w:firstLineChars="100"/>
        <w:rPr>
          <w:rFonts w:ascii="宋体" w:hAnsi="宋体"/>
        </w:rPr>
      </w:pPr>
      <w:r>
        <w:rPr>
          <w:rFonts w:hint="eastAsia" w:ascii="宋体" w:hAnsi="宋体"/>
        </w:rPr>
        <w:t>经审查符合本须知有关规定的应答文件，才能提交评审小组进行评审。</w:t>
      </w:r>
    </w:p>
    <w:p>
      <w:pPr>
        <w:numPr>
          <w:ilvl w:val="0"/>
          <w:numId w:val="38"/>
        </w:numPr>
        <w:autoSpaceDE w:val="0"/>
        <w:autoSpaceDN w:val="0"/>
        <w:adjustRightInd w:val="0"/>
        <w:spacing w:afterLines="50" w:line="360" w:lineRule="auto"/>
        <w:ind w:left="630" w:hanging="630"/>
        <w:jc w:val="left"/>
        <w:rPr>
          <w:rFonts w:ascii="宋体" w:hAnsi="宋体"/>
        </w:rPr>
      </w:pPr>
      <w:r>
        <w:rPr>
          <w:rFonts w:hint="eastAsia" w:ascii="宋体" w:hAnsi="宋体"/>
        </w:rPr>
        <w:t>应答文件可能</w:t>
      </w:r>
      <w:r>
        <w:rPr>
          <w:rFonts w:ascii="宋体" w:hAnsi="宋体"/>
        </w:rPr>
        <w:t>被拒绝的情形</w:t>
      </w:r>
    </w:p>
    <w:p>
      <w:pPr>
        <w:autoSpaceDE w:val="0"/>
        <w:autoSpaceDN w:val="0"/>
        <w:adjustRightInd w:val="0"/>
        <w:spacing w:afterLines="50"/>
        <w:ind w:firstLine="441" w:firstLineChars="210"/>
        <w:rPr>
          <w:rFonts w:ascii="宋体" w:hAnsi="宋体"/>
        </w:rPr>
      </w:pPr>
      <w:r>
        <w:rPr>
          <w:rFonts w:hint="eastAsia" w:ascii="宋体" w:hAnsi="宋体"/>
        </w:rPr>
        <w:t>评审时，凡应答文件经评审小组认定有下列情形之一者，其应答文件将被拒绝：</w:t>
      </w:r>
    </w:p>
    <w:p>
      <w:pPr>
        <w:numPr>
          <w:ilvl w:val="0"/>
          <w:numId w:val="40"/>
        </w:numPr>
        <w:autoSpaceDE w:val="0"/>
        <w:autoSpaceDN w:val="0"/>
        <w:adjustRightInd w:val="0"/>
        <w:spacing w:line="360" w:lineRule="auto"/>
        <w:ind w:left="709" w:hanging="359"/>
        <w:jc w:val="left"/>
        <w:rPr>
          <w:rFonts w:ascii="宋体" w:hAnsi="宋体"/>
        </w:rPr>
      </w:pPr>
      <w:r>
        <w:rPr>
          <w:rFonts w:hint="eastAsia" w:ascii="宋体" w:hAnsi="宋体"/>
        </w:rPr>
        <w:t>应答文件非法定代表人签署时，所提供的授权书不符合询价文件的规定；</w:t>
      </w:r>
    </w:p>
    <w:p>
      <w:pPr>
        <w:numPr>
          <w:ilvl w:val="0"/>
          <w:numId w:val="40"/>
        </w:numPr>
        <w:autoSpaceDE w:val="0"/>
        <w:autoSpaceDN w:val="0"/>
        <w:adjustRightInd w:val="0"/>
        <w:spacing w:line="360" w:lineRule="auto"/>
        <w:ind w:left="709" w:hanging="359"/>
        <w:jc w:val="left"/>
        <w:rPr>
          <w:rFonts w:ascii="宋体" w:hAnsi="宋体"/>
        </w:rPr>
      </w:pPr>
      <w:r>
        <w:rPr>
          <w:rFonts w:hint="eastAsia" w:ascii="宋体" w:hAnsi="宋体"/>
        </w:rPr>
        <w:t>应答文件未按规定的格式填写，应答文件字迹模糊，无法辨认，从而影响到对应答文件做出准确判断和进行评审；</w:t>
      </w:r>
    </w:p>
    <w:p>
      <w:pPr>
        <w:numPr>
          <w:ilvl w:val="0"/>
          <w:numId w:val="40"/>
        </w:numPr>
        <w:autoSpaceDE w:val="0"/>
        <w:autoSpaceDN w:val="0"/>
        <w:adjustRightInd w:val="0"/>
        <w:spacing w:line="360" w:lineRule="auto"/>
        <w:ind w:left="709" w:hanging="359"/>
        <w:jc w:val="left"/>
        <w:rPr>
          <w:rFonts w:ascii="宋体" w:hAnsi="宋体"/>
        </w:rPr>
      </w:pPr>
      <w:r>
        <w:rPr>
          <w:rFonts w:hint="eastAsia" w:ascii="宋体" w:hAnsi="宋体"/>
        </w:rPr>
        <w:t>应答文件中承诺的服务期和支付条件不符合询价文件要求；</w:t>
      </w:r>
    </w:p>
    <w:p>
      <w:pPr>
        <w:numPr>
          <w:ilvl w:val="0"/>
          <w:numId w:val="40"/>
        </w:numPr>
        <w:autoSpaceDE w:val="0"/>
        <w:autoSpaceDN w:val="0"/>
        <w:adjustRightInd w:val="0"/>
        <w:spacing w:line="360" w:lineRule="auto"/>
        <w:ind w:left="709" w:hanging="359"/>
        <w:jc w:val="left"/>
        <w:rPr>
          <w:rFonts w:ascii="宋体" w:hAnsi="宋体"/>
        </w:rPr>
      </w:pPr>
      <w:r>
        <w:rPr>
          <w:rFonts w:hint="eastAsia" w:ascii="宋体" w:hAnsi="宋体"/>
        </w:rPr>
        <w:t>应答文件中出现了一个以上报价或有选择性报价；</w:t>
      </w:r>
    </w:p>
    <w:p>
      <w:pPr>
        <w:numPr>
          <w:ilvl w:val="0"/>
          <w:numId w:val="40"/>
        </w:numPr>
        <w:autoSpaceDE w:val="0"/>
        <w:autoSpaceDN w:val="0"/>
        <w:adjustRightInd w:val="0"/>
        <w:spacing w:line="360" w:lineRule="auto"/>
        <w:ind w:left="709" w:hanging="359"/>
        <w:jc w:val="left"/>
        <w:rPr>
          <w:rFonts w:ascii="宋体" w:hAnsi="宋体"/>
        </w:rPr>
      </w:pPr>
      <w:r>
        <w:rPr>
          <w:rFonts w:hint="eastAsia" w:ascii="宋体" w:hAnsi="宋体"/>
        </w:rPr>
        <w:t>投标人拒不接受评审小组的要求对其应答文件进行澄清、说明及不按本询价文件要求修正报价文件计算错误的；</w:t>
      </w:r>
    </w:p>
    <w:p>
      <w:pPr>
        <w:numPr>
          <w:ilvl w:val="0"/>
          <w:numId w:val="40"/>
        </w:numPr>
        <w:autoSpaceDE w:val="0"/>
        <w:autoSpaceDN w:val="0"/>
        <w:adjustRightInd w:val="0"/>
        <w:spacing w:line="360" w:lineRule="auto"/>
        <w:ind w:left="709" w:hanging="359"/>
        <w:jc w:val="left"/>
        <w:rPr>
          <w:rFonts w:ascii="宋体" w:hAnsi="宋体"/>
        </w:rPr>
      </w:pPr>
      <w:r>
        <w:rPr>
          <w:rFonts w:hint="eastAsia" w:ascii="宋体" w:hAnsi="宋体"/>
        </w:rPr>
        <w:t>应答文件中的人员配置及方案不能满足询价文件要求的；</w:t>
      </w:r>
    </w:p>
    <w:p>
      <w:pPr>
        <w:numPr>
          <w:ilvl w:val="0"/>
          <w:numId w:val="40"/>
        </w:numPr>
        <w:autoSpaceDE w:val="0"/>
        <w:autoSpaceDN w:val="0"/>
        <w:adjustRightInd w:val="0"/>
        <w:spacing w:line="360" w:lineRule="auto"/>
        <w:ind w:left="709" w:hanging="359"/>
        <w:jc w:val="left"/>
        <w:rPr>
          <w:rFonts w:ascii="宋体" w:hAnsi="宋体"/>
        </w:rPr>
      </w:pPr>
      <w:r>
        <w:rPr>
          <w:rFonts w:hint="eastAsia" w:ascii="宋体" w:hAnsi="宋体"/>
        </w:rPr>
        <w:t>有证据显示投标人以他人名义应答、与他人串通应答、围标或以行贿等手段企图谋取中标的；</w:t>
      </w:r>
    </w:p>
    <w:p>
      <w:pPr>
        <w:numPr>
          <w:ilvl w:val="0"/>
          <w:numId w:val="40"/>
        </w:numPr>
        <w:autoSpaceDE w:val="0"/>
        <w:autoSpaceDN w:val="0"/>
        <w:adjustRightInd w:val="0"/>
        <w:spacing w:line="360" w:lineRule="auto"/>
        <w:ind w:left="709" w:hanging="359"/>
        <w:jc w:val="left"/>
        <w:rPr>
          <w:rFonts w:ascii="宋体" w:hAnsi="宋体"/>
        </w:rPr>
      </w:pPr>
      <w:r>
        <w:rPr>
          <w:rFonts w:hint="eastAsia" w:ascii="宋体" w:hAnsi="宋体"/>
        </w:rPr>
        <w:t>投标人隐瞒真实情况、弄虚作假的；</w:t>
      </w:r>
    </w:p>
    <w:p>
      <w:pPr>
        <w:numPr>
          <w:ilvl w:val="0"/>
          <w:numId w:val="40"/>
        </w:numPr>
        <w:autoSpaceDE w:val="0"/>
        <w:autoSpaceDN w:val="0"/>
        <w:adjustRightInd w:val="0"/>
        <w:spacing w:line="360" w:lineRule="auto"/>
        <w:ind w:left="709" w:hanging="359"/>
        <w:jc w:val="left"/>
        <w:rPr>
          <w:rFonts w:ascii="宋体" w:hAnsi="宋体"/>
        </w:rPr>
      </w:pPr>
      <w:r>
        <w:rPr>
          <w:rFonts w:hint="eastAsia" w:ascii="宋体" w:hAnsi="宋体"/>
        </w:rPr>
        <w:t>应答文件中附有为采购人不能接受的条件；</w:t>
      </w:r>
    </w:p>
    <w:p>
      <w:pPr>
        <w:numPr>
          <w:ilvl w:val="0"/>
          <w:numId w:val="40"/>
        </w:numPr>
        <w:autoSpaceDE w:val="0"/>
        <w:autoSpaceDN w:val="0"/>
        <w:adjustRightInd w:val="0"/>
        <w:spacing w:line="360" w:lineRule="auto"/>
        <w:ind w:left="709" w:hanging="359"/>
        <w:jc w:val="left"/>
        <w:rPr>
          <w:rFonts w:ascii="宋体" w:hAnsi="宋体"/>
        </w:rPr>
      </w:pPr>
      <w:r>
        <w:rPr>
          <w:rFonts w:hint="eastAsia" w:ascii="宋体" w:hAnsi="宋体"/>
        </w:rPr>
        <w:t>应答文件不符合询价文件中规定的其它实质性要求的。</w:t>
      </w:r>
    </w:p>
    <w:p>
      <w:pPr>
        <w:numPr>
          <w:ilvl w:val="0"/>
          <w:numId w:val="38"/>
        </w:numPr>
        <w:autoSpaceDE w:val="0"/>
        <w:autoSpaceDN w:val="0"/>
        <w:adjustRightInd w:val="0"/>
        <w:spacing w:afterLines="50" w:line="360" w:lineRule="auto"/>
        <w:ind w:left="630" w:hanging="630"/>
        <w:jc w:val="left"/>
        <w:rPr>
          <w:rFonts w:ascii="宋体" w:hAnsi="宋体"/>
        </w:rPr>
      </w:pPr>
      <w:bookmarkStart w:id="68" w:name="_Toc29356228"/>
      <w:r>
        <w:rPr>
          <w:rFonts w:hint="eastAsia" w:ascii="宋体" w:hAnsi="宋体"/>
        </w:rPr>
        <w:t>应答文件的评审、比较和否决</w:t>
      </w:r>
      <w:bookmarkEnd w:id="68"/>
    </w:p>
    <w:p>
      <w:pPr>
        <w:autoSpaceDE w:val="0"/>
        <w:autoSpaceDN w:val="0"/>
        <w:adjustRightInd w:val="0"/>
        <w:spacing w:afterLines="50" w:line="360" w:lineRule="auto"/>
        <w:ind w:firstLine="441" w:firstLineChars="210"/>
        <w:rPr>
          <w:rFonts w:ascii="宋体" w:hAnsi="宋体"/>
        </w:rPr>
      </w:pPr>
      <w:r>
        <w:rPr>
          <w:rFonts w:hint="eastAsia" w:ascii="宋体" w:hAnsi="宋体"/>
        </w:rPr>
        <w:t>评审小组依据本询价文件规定的评审标准和方法，对应答文件进行评审和比较，向公司提出书面评审报告，并推荐合格的成交候选人。本项目采取经评审合格并按价格排序由低到高选取成交候选单位。评审小组经评审，认为所有的应答文件都不符合询价文件要求的，采购人应当重新开展采购活动。</w:t>
      </w:r>
    </w:p>
    <w:p>
      <w:pPr>
        <w:pStyle w:val="255"/>
        <w:spacing w:before="156"/>
      </w:pPr>
      <w:r>
        <w:t>成交</w:t>
      </w:r>
      <w:r>
        <w:rPr>
          <w:rFonts w:hint="eastAsia"/>
        </w:rPr>
        <w:t>通知书</w:t>
      </w:r>
    </w:p>
    <w:p>
      <w:pPr>
        <w:autoSpaceDE w:val="0"/>
        <w:autoSpaceDN w:val="0"/>
        <w:adjustRightInd w:val="0"/>
        <w:spacing w:afterLines="50" w:line="360" w:lineRule="auto"/>
        <w:ind w:firstLine="441" w:firstLineChars="210"/>
        <w:rPr>
          <w:rFonts w:ascii="宋体" w:hAnsi="宋体"/>
        </w:rPr>
      </w:pPr>
      <w:r>
        <w:rPr>
          <w:rFonts w:hint="eastAsia" w:ascii="宋体" w:hAnsi="宋体"/>
        </w:rPr>
        <w:t>确定成交人后，采购人应在系统内向成交人发出《成交通知书》，同时将成交结果通知所有未中标的投标人。</w:t>
      </w:r>
    </w:p>
    <w:p>
      <w:pPr>
        <w:pStyle w:val="255"/>
        <w:spacing w:before="156"/>
      </w:pPr>
      <w:r>
        <w:rPr>
          <w:rFonts w:hint="eastAsia"/>
        </w:rPr>
        <w:t xml:space="preserve"> 成交服务费（无）</w:t>
      </w:r>
    </w:p>
    <w:p>
      <w:pPr>
        <w:pStyle w:val="255"/>
        <w:spacing w:before="156"/>
      </w:pPr>
      <w:r>
        <w:rPr>
          <w:rFonts w:hint="eastAsia"/>
        </w:rPr>
        <w:t>合同的签订</w:t>
      </w:r>
    </w:p>
    <w:p>
      <w:pPr>
        <w:autoSpaceDE w:val="0"/>
        <w:autoSpaceDN w:val="0"/>
        <w:adjustRightInd w:val="0"/>
        <w:spacing w:afterLines="50" w:line="360" w:lineRule="auto"/>
        <w:ind w:firstLine="441" w:firstLineChars="210"/>
        <w:rPr>
          <w:rFonts w:ascii="宋体" w:hAnsi="宋体"/>
        </w:rPr>
      </w:pPr>
      <w:r>
        <w:rPr>
          <w:rFonts w:hint="eastAsia" w:ascii="宋体" w:hAnsi="宋体"/>
        </w:rPr>
        <w:t>成交通知书发出后</w:t>
      </w:r>
      <w:r>
        <w:rPr>
          <w:rFonts w:ascii="宋体" w:hAnsi="宋体"/>
        </w:rPr>
        <w:t>30</w:t>
      </w:r>
      <w:r>
        <w:rPr>
          <w:rFonts w:hint="eastAsia" w:ascii="宋体" w:hAnsi="宋体"/>
        </w:rPr>
        <w:t>日内，采购人与成交人订立不得背离询价文件实质内容的合同。成交人如不按期与采购人订立合同，将被取消成交资格并依法承担相应法律责任。</w:t>
      </w:r>
    </w:p>
    <w:p>
      <w:pPr>
        <w:pStyle w:val="255"/>
        <w:spacing w:before="156"/>
      </w:pPr>
      <w:r>
        <w:t>供应商库</w:t>
      </w:r>
    </w:p>
    <w:p>
      <w:pPr>
        <w:autoSpaceDE w:val="0"/>
        <w:autoSpaceDN w:val="0"/>
        <w:adjustRightInd w:val="0"/>
        <w:spacing w:afterLines="50" w:line="360" w:lineRule="auto"/>
        <w:ind w:firstLine="441" w:firstLineChars="210"/>
        <w:rPr>
          <w:rFonts w:ascii="宋体" w:hAnsi="宋体"/>
        </w:rPr>
      </w:pPr>
      <w:r>
        <w:rPr>
          <w:rFonts w:ascii="宋体" w:hAnsi="宋体"/>
        </w:rPr>
        <w:t>中标成交人如不在</w:t>
      </w:r>
      <w:r>
        <w:rPr>
          <w:rFonts w:hint="eastAsia" w:ascii="宋体" w:hAnsi="宋体"/>
        </w:rPr>
        <w:t>中海石油（中国）有限公司上海分公司名录供应商库内，应在合同签署前，需得到上海分公司质量健康安全环保部颁发《承包商健康安全环保资格审查证书》后，成为有限上海分公司名录供应商，否则，采购人无法完成合同签署审批流程。</w:t>
      </w:r>
    </w:p>
    <w:p>
      <w:pPr>
        <w:rPr>
          <w:rFonts w:ascii="宋体" w:hAnsi="宋体"/>
        </w:rPr>
      </w:pPr>
      <w:r>
        <w:rPr>
          <w:rFonts w:ascii="宋体" w:hAnsi="宋体"/>
        </w:rPr>
        <w:br w:type="page"/>
      </w:r>
    </w:p>
    <w:p>
      <w:pPr>
        <w:pStyle w:val="253"/>
      </w:pPr>
      <w:bookmarkStart w:id="69" w:name="_Toc25920"/>
      <w:bookmarkStart w:id="70" w:name="_Toc3885"/>
      <w:bookmarkStart w:id="71" w:name="_Toc19740"/>
      <w:bookmarkStart w:id="72" w:name="_Toc4303"/>
      <w:bookmarkStart w:id="73" w:name="_Toc20723"/>
      <w:bookmarkStart w:id="74" w:name="_Toc23559"/>
      <w:bookmarkStart w:id="75" w:name="_Toc421626573"/>
      <w:bookmarkStart w:id="76" w:name="_Toc26291"/>
      <w:bookmarkStart w:id="77" w:name="_Toc16888"/>
      <w:bookmarkStart w:id="78" w:name="_Toc14406"/>
      <w:bookmarkStart w:id="79" w:name="_Toc31496"/>
      <w:bookmarkStart w:id="80" w:name="_Toc23793"/>
      <w:bookmarkStart w:id="81" w:name="_Toc29356233"/>
      <w:r>
        <w:rPr>
          <w:rFonts w:hint="eastAsia"/>
        </w:rPr>
        <w:t>应答文件的评审</w:t>
      </w:r>
      <w:bookmarkEnd w:id="69"/>
      <w:bookmarkEnd w:id="70"/>
      <w:bookmarkEnd w:id="71"/>
      <w:bookmarkEnd w:id="72"/>
      <w:bookmarkEnd w:id="73"/>
      <w:bookmarkEnd w:id="74"/>
      <w:bookmarkEnd w:id="75"/>
      <w:bookmarkEnd w:id="76"/>
      <w:bookmarkEnd w:id="77"/>
      <w:bookmarkEnd w:id="78"/>
      <w:bookmarkEnd w:id="79"/>
      <w:bookmarkEnd w:id="80"/>
    </w:p>
    <w:p>
      <w:pPr>
        <w:pStyle w:val="254"/>
        <w:spacing w:beforeLines="0"/>
      </w:pPr>
      <w:bookmarkStart w:id="82" w:name="_Toc10124"/>
      <w:bookmarkStart w:id="83" w:name="_Toc11112"/>
      <w:bookmarkStart w:id="84" w:name="_Toc30809"/>
      <w:bookmarkStart w:id="85" w:name="_Toc2832"/>
      <w:bookmarkStart w:id="86" w:name="_Toc17871"/>
      <w:bookmarkStart w:id="87" w:name="_Toc16222"/>
      <w:bookmarkStart w:id="88" w:name="_Toc19697729"/>
      <w:bookmarkStart w:id="89" w:name="_Toc22701"/>
      <w:bookmarkStart w:id="90" w:name="_Toc9988"/>
      <w:bookmarkStart w:id="91" w:name="_Toc5647"/>
      <w:bookmarkStart w:id="92" w:name="_Toc21959"/>
      <w:bookmarkStart w:id="93" w:name="_Toc256000032"/>
      <w:bookmarkStart w:id="94" w:name="_Toc22143622"/>
      <w:bookmarkStart w:id="95" w:name="_Toc29443"/>
      <w:r>
        <w:rPr>
          <w:rFonts w:hint="eastAsia"/>
        </w:rPr>
        <w:t>评审方法</w:t>
      </w:r>
      <w:bookmarkEnd w:id="82"/>
      <w:bookmarkEnd w:id="83"/>
      <w:bookmarkEnd w:id="84"/>
      <w:bookmarkEnd w:id="85"/>
      <w:bookmarkEnd w:id="86"/>
      <w:bookmarkEnd w:id="87"/>
      <w:bookmarkEnd w:id="88"/>
      <w:bookmarkEnd w:id="89"/>
      <w:bookmarkEnd w:id="90"/>
      <w:bookmarkEnd w:id="91"/>
      <w:bookmarkEnd w:id="92"/>
      <w:bookmarkEnd w:id="93"/>
      <w:bookmarkEnd w:id="94"/>
      <w:bookmarkEnd w:id="95"/>
    </w:p>
    <w:p>
      <w:pPr>
        <w:pStyle w:val="301"/>
        <w:spacing w:before="0" w:after="0" w:line="360" w:lineRule="auto"/>
        <w:ind w:firstLine="422"/>
        <w:rPr>
          <w:b w:val="0"/>
          <w:sz w:val="21"/>
          <w:szCs w:val="21"/>
          <w:lang w:eastAsia="zh-CN"/>
        </w:rPr>
      </w:pPr>
      <w:r>
        <w:rPr>
          <w:rFonts w:hint="eastAsia"/>
          <w:sz w:val="21"/>
          <w:szCs w:val="21"/>
          <w:lang w:eastAsia="zh-CN"/>
        </w:rPr>
        <w:t>此次评审以投标不含税总价（不含增值税）为基准价，采用经评审最低投标价法。</w:t>
      </w:r>
      <w:r>
        <w:rPr>
          <w:rFonts w:hint="eastAsia"/>
          <w:b w:val="0"/>
          <w:sz w:val="21"/>
          <w:szCs w:val="21"/>
          <w:lang w:eastAsia="zh-CN"/>
        </w:rPr>
        <w:t xml:space="preserve">只有符合性审查合格的应答文件，才进行商务评议。只有商务评议合格的应答文件，才进行技术评议，依此类推，完成各项评议。评审小组按照本章规定的评审标准进行评议，并按报价由低到高顺序推荐成交候选人。报价相同时由评审小组研究讨论确定名次。 </w:t>
      </w:r>
    </w:p>
    <w:p>
      <w:pPr>
        <w:pStyle w:val="300"/>
        <w:spacing w:line="360" w:lineRule="auto"/>
        <w:rPr>
          <w:kern w:val="2"/>
          <w:sz w:val="21"/>
          <w:szCs w:val="22"/>
        </w:rPr>
      </w:pPr>
      <w:r>
        <w:rPr>
          <w:rFonts w:hint="eastAsia"/>
          <w:kern w:val="2"/>
          <w:sz w:val="21"/>
          <w:szCs w:val="22"/>
        </w:rPr>
        <w:t>符合性审查、商务、技术评议中，如有一项不满足加注星号（“★”）的主要指标，其结论即为不合格，该投标文件将被判定为无效标。</w:t>
      </w:r>
    </w:p>
    <w:p>
      <w:pPr>
        <w:pStyle w:val="254"/>
        <w:spacing w:beforeLines="0"/>
      </w:pPr>
      <w:bookmarkStart w:id="96" w:name="_Toc29228"/>
      <w:bookmarkStart w:id="97" w:name="_Toc4043"/>
      <w:bookmarkStart w:id="98" w:name="_Toc11396"/>
      <w:bookmarkStart w:id="99" w:name="_Toc24039"/>
      <w:bookmarkStart w:id="100" w:name="_Toc23437"/>
      <w:bookmarkStart w:id="101" w:name="_Toc26602"/>
      <w:bookmarkStart w:id="102" w:name="_Toc4091"/>
      <w:bookmarkStart w:id="103" w:name="_Toc8040"/>
      <w:bookmarkStart w:id="104" w:name="_Toc19697730"/>
      <w:bookmarkStart w:id="105" w:name="_Toc17262"/>
      <w:bookmarkStart w:id="106" w:name="_Toc256000033"/>
      <w:bookmarkStart w:id="107" w:name="_Toc841"/>
      <w:bookmarkStart w:id="108" w:name="_Toc27032"/>
      <w:bookmarkStart w:id="109" w:name="_Toc22143623"/>
      <w:r>
        <w:rPr>
          <w:rFonts w:hint="eastAsia"/>
        </w:rPr>
        <w:t>评审标准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301"/>
        <w:spacing w:before="0" w:after="0" w:line="360" w:lineRule="auto"/>
        <w:ind w:firstLine="422"/>
        <w:rPr>
          <w:b w:val="0"/>
          <w:sz w:val="21"/>
          <w:szCs w:val="21"/>
          <w:lang w:eastAsia="zh-CN"/>
        </w:rPr>
      </w:pPr>
      <w:r>
        <w:rPr>
          <w:rFonts w:hint="eastAsia"/>
          <w:b w:val="0"/>
          <w:sz w:val="21"/>
          <w:szCs w:val="21"/>
          <w:lang w:eastAsia="zh-CN"/>
        </w:rPr>
        <w:t>评审标准详见：</w:t>
      </w:r>
      <w:r>
        <w:rPr>
          <w:b w:val="0"/>
          <w:sz w:val="21"/>
          <w:szCs w:val="21"/>
          <w:lang w:eastAsia="zh-CN"/>
        </w:rPr>
        <w:t>符合性审查、</w:t>
      </w:r>
      <w:r>
        <w:rPr>
          <w:rFonts w:hint="eastAsia"/>
          <w:b w:val="0"/>
          <w:sz w:val="21"/>
          <w:szCs w:val="21"/>
          <w:lang w:eastAsia="zh-CN"/>
        </w:rPr>
        <w:t>商务评议标准</w:t>
      </w:r>
      <w:r>
        <w:rPr>
          <w:b w:val="0"/>
          <w:sz w:val="21"/>
          <w:szCs w:val="21"/>
          <w:lang w:eastAsia="zh-CN"/>
        </w:rPr>
        <w:t>、技术评议标准</w:t>
      </w:r>
      <w:r>
        <w:rPr>
          <w:rFonts w:hint="eastAsia"/>
          <w:b w:val="0"/>
          <w:sz w:val="21"/>
          <w:szCs w:val="21"/>
          <w:lang w:eastAsia="zh-CN"/>
        </w:rPr>
        <w:t>。</w:t>
      </w:r>
    </w:p>
    <w:p>
      <w:pPr>
        <w:pStyle w:val="254"/>
        <w:spacing w:beforeLines="0"/>
      </w:pPr>
      <w:bookmarkStart w:id="110" w:name="_Toc24535"/>
      <w:bookmarkStart w:id="111" w:name="_Toc12522"/>
      <w:bookmarkStart w:id="112" w:name="_Toc19546"/>
      <w:bookmarkStart w:id="113" w:name="_Toc256000034"/>
      <w:bookmarkStart w:id="114" w:name="_Toc26517"/>
      <w:bookmarkStart w:id="115" w:name="_Toc24108"/>
      <w:bookmarkStart w:id="116" w:name="_Toc2181"/>
      <w:bookmarkStart w:id="117" w:name="_Toc24936"/>
      <w:bookmarkStart w:id="118" w:name="_Toc14421"/>
      <w:bookmarkStart w:id="119" w:name="_Toc7439"/>
      <w:bookmarkStart w:id="120" w:name="_Toc10601"/>
      <w:bookmarkStart w:id="121" w:name="_Toc24426"/>
      <w:bookmarkStart w:id="122" w:name="_Toc22143624"/>
      <w:r>
        <w:rPr>
          <w:rFonts w:hint="eastAsia"/>
        </w:rPr>
        <w:t>价格评审</w:t>
      </w:r>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303"/>
        <w:spacing w:before="0" w:after="0" w:line="360" w:lineRule="auto"/>
        <w:ind w:firstLine="480"/>
        <w:rPr>
          <w:b w:val="0"/>
          <w:lang w:eastAsia="zh-CN"/>
        </w:rPr>
      </w:pPr>
      <w:r>
        <w:rPr>
          <w:rFonts w:hint="eastAsia"/>
          <w:b w:val="0"/>
          <w:sz w:val="21"/>
          <w:szCs w:val="21"/>
          <w:lang w:eastAsia="zh-CN"/>
        </w:rPr>
        <w:t>如投标人报价文件经过评审，存在计算错误及缺漏项等情况，修正及调整等原则如下：</w:t>
      </w:r>
    </w:p>
    <w:p>
      <w:pPr>
        <w:pStyle w:val="299"/>
        <w:spacing w:line="360" w:lineRule="auto"/>
        <w:ind w:firstLine="420" w:firstLineChars="200"/>
      </w:pPr>
      <w:r>
        <w:rPr>
          <w:rFonts w:hint="eastAsia" w:ascii="宋体" w:hAnsi="宋体" w:cs="宋体"/>
        </w:rPr>
        <w:t>①</w:t>
      </w:r>
      <w:r>
        <w:rPr>
          <w:rFonts w:hint="eastAsia"/>
        </w:rPr>
        <w:t>算数修正原则：当小写数额与大写数额不一致时，以大写数额为准；当总价金额与单价金额合计不一致时，以单价金额合计得出金额为准，但单价金额小数点有明显错误的除外。对修正后的报价文件的金额，只要无明显错误，应对投标人起约束作用，如果投标人拒绝接受，采购人询价评审小组将拒绝投标人的应答文件。除非投标人报价时存在折扣声明，且优惠后的价格低于算术修正后的价格。</w:t>
      </w:r>
    </w:p>
    <w:p>
      <w:pPr>
        <w:pStyle w:val="299"/>
        <w:spacing w:line="360" w:lineRule="auto"/>
        <w:ind w:firstLine="630" w:firstLineChars="300"/>
      </w:pPr>
      <w:r>
        <w:rPr>
          <w:rFonts w:hint="eastAsia" w:ascii="宋体" w:hAnsi="宋体" w:cs="宋体"/>
        </w:rPr>
        <w:t>②</w:t>
      </w:r>
      <w:r>
        <w:rPr>
          <w:rFonts w:hint="eastAsia"/>
        </w:rPr>
        <w:t>价格调整原则：投标人的报价经过评审存在缺漏项情况，采购人询价评审小组会要求该投标人确认缺漏项对应费用是否包含在报价总价中，确认包含的，将其他有效应答文件中该项的最高价计入其评标总价，并依据此作为调整后的报价总价，如经缺漏项调整后的报价总价仍为最低价，在与该投标人签订合同时以该投标人原始报价总价为合同签约价格。投标人确认缺漏项对应费用不包含于报价总价中的，询价评审小组将拒决其应答文件。</w:t>
      </w:r>
    </w:p>
    <w:p>
      <w:pPr>
        <w:pStyle w:val="299"/>
        <w:spacing w:line="360" w:lineRule="auto"/>
        <w:ind w:firstLine="630" w:firstLineChars="300"/>
        <w:rPr>
          <w:rFonts w:ascii="宋体" w:hAnsi="宋体" w:cs="宋体"/>
        </w:rPr>
      </w:pPr>
      <w:r>
        <w:rPr>
          <w:rFonts w:hint="eastAsia" w:ascii="宋体" w:hAnsi="宋体" w:cs="宋体"/>
        </w:rPr>
        <w:t>③评审标准：不含税总价。</w:t>
      </w:r>
    </w:p>
    <w:p>
      <w:pPr>
        <w:pStyle w:val="299"/>
        <w:spacing w:line="360" w:lineRule="auto"/>
        <w:ind w:firstLine="630" w:firstLineChars="300"/>
        <w:rPr>
          <w:rFonts w:ascii="宋体" w:hAnsi="宋体" w:cs="宋体"/>
        </w:rPr>
      </w:pPr>
      <w:r>
        <w:rPr>
          <w:rFonts w:hint="eastAsia" w:ascii="宋体" w:hAnsi="宋体" w:cs="宋体"/>
        </w:rPr>
        <w:t>④税率调整：投标人依据增值税及“营改增”法律法规规定，选择适用的税率。即，在税率的选择上，取决于投标人对自身业务的判断，若中标，在合同执行中投标人应能够出具对应税率的增值税专用发票。若投标时所报税率错误，投标人应承担错用税率的税务风险，对于错用低税率造成需要补交税款的，需要承担相应的滞纳金及罚款。</w:t>
      </w:r>
    </w:p>
    <w:p>
      <w:pPr>
        <w:pStyle w:val="299"/>
        <w:spacing w:line="360" w:lineRule="auto"/>
        <w:ind w:firstLine="630" w:firstLineChars="300"/>
        <w:rPr>
          <w:rFonts w:ascii="宋体" w:hAnsi="宋体" w:cs="宋体"/>
        </w:rPr>
      </w:pPr>
      <w:r>
        <w:rPr>
          <w:rFonts w:hint="eastAsia" w:ascii="宋体" w:hAnsi="宋体" w:cs="宋体"/>
        </w:rPr>
        <w:t>⑤评审的最低价（不含税总价）相同时处理方式：价格评审阶段，出现2家以上投标人不含税总价相同且为最低价时，以其中工期较短的投标人为成交候选人。</w:t>
      </w:r>
    </w:p>
    <w:p>
      <w:pPr>
        <w:rPr>
          <w:rFonts w:ascii="宋体" w:hAnsi="宋体" w:cs="宋体"/>
        </w:rPr>
      </w:pPr>
      <w:r>
        <w:rPr>
          <w:rFonts w:hint="eastAsia" w:ascii="宋体" w:hAnsi="宋体" w:cs="宋体"/>
        </w:rPr>
        <w:br w:type="page"/>
      </w:r>
    </w:p>
    <w:p>
      <w:pPr>
        <w:pStyle w:val="299"/>
        <w:spacing w:line="360" w:lineRule="auto"/>
        <w:ind w:firstLine="630" w:firstLineChars="300"/>
        <w:rPr>
          <w:rFonts w:ascii="宋体" w:hAnsi="宋体" w:cs="宋体"/>
        </w:rPr>
      </w:pPr>
    </w:p>
    <w:p>
      <w:pPr>
        <w:pStyle w:val="254"/>
        <w:spacing w:beforeLines="0"/>
      </w:pPr>
      <w:bookmarkStart w:id="123" w:name="_Toc15048"/>
      <w:bookmarkStart w:id="124" w:name="_Toc16361"/>
      <w:bookmarkStart w:id="125" w:name="_Toc4820"/>
      <w:bookmarkStart w:id="126" w:name="_Toc19697731"/>
      <w:bookmarkStart w:id="127" w:name="_Toc10185"/>
      <w:bookmarkStart w:id="128" w:name="_Toc23306"/>
      <w:bookmarkStart w:id="129" w:name="_Toc256000035"/>
      <w:bookmarkStart w:id="130" w:name="_Toc23406"/>
      <w:bookmarkStart w:id="131" w:name="_Toc12894"/>
      <w:bookmarkStart w:id="132" w:name="_Toc9697"/>
      <w:bookmarkStart w:id="133" w:name="_Toc22143625"/>
      <w:bookmarkStart w:id="134" w:name="_Toc18209"/>
      <w:bookmarkStart w:id="135" w:name="_Toc27121"/>
      <w:bookmarkStart w:id="136" w:name="_Toc2444"/>
      <w:r>
        <w:rPr>
          <w:rFonts w:hint="eastAsia"/>
        </w:rPr>
        <w:t>评审结果</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adjustRightInd w:val="0"/>
        <w:snapToGrid w:val="0"/>
        <w:spacing w:line="360" w:lineRule="auto"/>
        <w:ind w:left="840" w:leftChars="400" w:firstLine="422" w:firstLineChars="200"/>
        <w:jc w:val="left"/>
        <w:rPr>
          <w:rFonts w:ascii="宋体" w:hAnsi="宋体" w:cs="宋体"/>
          <w:kern w:val="0"/>
          <w:sz w:val="24"/>
        </w:rPr>
      </w:pPr>
      <w:r>
        <w:rPr>
          <w:rFonts w:hint="eastAsia"/>
          <w:b/>
          <w:szCs w:val="21"/>
        </w:rPr>
        <w:t>评审小组按下述附表审查标准完成评审后，向采购人提交评审报告并推荐成交候选人。</w:t>
      </w:r>
    </w:p>
    <w:p>
      <w:pPr>
        <w:pStyle w:val="5"/>
        <w:spacing w:before="0" w:after="0" w:line="360" w:lineRule="auto"/>
        <w:ind w:hanging="425"/>
        <w:rPr>
          <w:lang w:eastAsia="zh-CN"/>
        </w:rPr>
      </w:pPr>
      <w:r>
        <w:rPr>
          <w:rFonts w:hint="eastAsia"/>
          <w:lang w:eastAsia="zh-CN"/>
        </w:rPr>
        <w:t>附表3</w:t>
      </w:r>
      <w:r>
        <w:rPr>
          <w:lang w:eastAsia="zh-CN"/>
        </w:rPr>
        <w:t>.</w:t>
      </w:r>
      <w:r>
        <w:rPr>
          <w:rFonts w:hint="eastAsia"/>
          <w:lang w:eastAsia="zh-CN"/>
        </w:rPr>
        <w:t>4-1：符合</w:t>
      </w:r>
      <w:r>
        <w:rPr>
          <w:lang w:eastAsia="zh-CN"/>
        </w:rPr>
        <w:t>性审查标准</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2571"/>
        <w:gridCol w:w="5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 w:type="pct"/>
            <w:vMerge w:val="restart"/>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491" w:type="pct"/>
            <w:vMerge w:val="restart"/>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审查内容</w:t>
            </w:r>
          </w:p>
        </w:tc>
        <w:tc>
          <w:tcPr>
            <w:tcW w:w="3255" w:type="pct"/>
            <w:vMerge w:val="restart"/>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 w:type="pct"/>
            <w:vMerge w:val="continue"/>
            <w:vAlign w:val="center"/>
          </w:tcPr>
          <w:p>
            <w:pPr>
              <w:widowControl/>
              <w:rPr>
                <w:rFonts w:ascii="宋体" w:hAnsi="宋体" w:cs="宋体"/>
                <w:b/>
                <w:bCs/>
                <w:kern w:val="0"/>
                <w:szCs w:val="21"/>
              </w:rPr>
            </w:pPr>
          </w:p>
        </w:tc>
        <w:tc>
          <w:tcPr>
            <w:tcW w:w="1491" w:type="pct"/>
            <w:vMerge w:val="continue"/>
            <w:vAlign w:val="center"/>
          </w:tcPr>
          <w:p>
            <w:pPr>
              <w:widowControl/>
              <w:rPr>
                <w:rFonts w:ascii="宋体" w:hAnsi="宋体" w:cs="宋体"/>
                <w:b/>
                <w:bCs/>
                <w:kern w:val="0"/>
                <w:szCs w:val="21"/>
              </w:rPr>
            </w:pPr>
          </w:p>
        </w:tc>
        <w:tc>
          <w:tcPr>
            <w:tcW w:w="3255" w:type="pct"/>
            <w:vMerge w:val="continue"/>
            <w:vAlign w:val="center"/>
          </w:tcPr>
          <w:p>
            <w:pPr>
              <w:widowControl/>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91" w:type="pct"/>
            <w:shd w:val="clear" w:color="auto" w:fill="auto"/>
            <w:vAlign w:val="center"/>
          </w:tcPr>
          <w:p>
            <w:pPr>
              <w:widowControl/>
              <w:jc w:val="left"/>
              <w:rPr>
                <w:rFonts w:ascii="宋体" w:hAnsi="宋体" w:cs="宋体"/>
                <w:kern w:val="0"/>
                <w:szCs w:val="21"/>
              </w:rPr>
            </w:pPr>
            <w:r>
              <w:rPr>
                <w:rFonts w:ascii="宋体" w:hAnsi="宋体" w:cs="宋体"/>
                <w:kern w:val="0"/>
                <w:szCs w:val="21"/>
              </w:rPr>
              <w:t>应答</w:t>
            </w:r>
            <w:r>
              <w:rPr>
                <w:rFonts w:hint="eastAsia" w:ascii="宋体" w:hAnsi="宋体" w:cs="宋体"/>
                <w:kern w:val="0"/>
                <w:szCs w:val="21"/>
              </w:rPr>
              <w:t>文件上传</w:t>
            </w:r>
          </w:p>
        </w:tc>
        <w:tc>
          <w:tcPr>
            <w:tcW w:w="3255" w:type="pct"/>
            <w:shd w:val="clear" w:color="auto" w:fill="auto"/>
            <w:noWrap/>
            <w:vAlign w:val="center"/>
          </w:tcPr>
          <w:p>
            <w:pPr>
              <w:widowControl/>
              <w:rPr>
                <w:rFonts w:ascii="宋体" w:hAnsi="宋体" w:cs="宋体"/>
                <w:kern w:val="0"/>
                <w:szCs w:val="21"/>
              </w:rPr>
            </w:pPr>
            <w:r>
              <w:rPr>
                <w:rFonts w:hint="eastAsia" w:ascii="宋体" w:hAnsi="宋体" w:cs="宋体"/>
                <w:kern w:val="0"/>
                <w:szCs w:val="21"/>
              </w:rPr>
              <w:t>在中海油供应链数字化平台对应位置上传应答文件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54"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91"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有效的授权书</w:t>
            </w:r>
          </w:p>
        </w:tc>
        <w:tc>
          <w:tcPr>
            <w:tcW w:w="3255" w:type="pct"/>
            <w:shd w:val="clear" w:color="auto" w:fill="auto"/>
            <w:vAlign w:val="center"/>
          </w:tcPr>
          <w:p>
            <w:pPr>
              <w:widowControl/>
              <w:rPr>
                <w:rFonts w:ascii="宋体" w:hAnsi="宋体" w:cs="宋体"/>
                <w:kern w:val="0"/>
                <w:szCs w:val="21"/>
              </w:rPr>
            </w:pPr>
            <w:r>
              <w:rPr>
                <w:rFonts w:hint="eastAsia" w:ascii="宋体" w:hAnsi="宋体" w:cs="宋体"/>
                <w:kern w:val="0"/>
                <w:szCs w:val="21"/>
              </w:rPr>
              <w:t>符合《询价文件》要求（可不授权，需法人直签）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 w:type="pct"/>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1491" w:type="pct"/>
            <w:vMerge w:val="restar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报价函</w:t>
            </w:r>
          </w:p>
        </w:tc>
        <w:tc>
          <w:tcPr>
            <w:tcW w:w="3255" w:type="pct"/>
            <w:shd w:val="clear" w:color="auto" w:fill="auto"/>
            <w:vAlign w:val="center"/>
          </w:tcPr>
          <w:p>
            <w:pPr>
              <w:widowControl/>
              <w:rPr>
                <w:rFonts w:ascii="宋体" w:hAnsi="宋体" w:cs="宋体"/>
                <w:kern w:val="0"/>
                <w:szCs w:val="21"/>
              </w:rPr>
            </w:pPr>
            <w:r>
              <w:rPr>
                <w:rFonts w:hint="eastAsia" w:ascii="宋体" w:hAnsi="宋体" w:cs="宋体"/>
                <w:kern w:val="0"/>
                <w:szCs w:val="21"/>
              </w:rPr>
              <w:t>是否提交有效报价函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 w:type="pct"/>
            <w:vMerge w:val="continue"/>
            <w:vAlign w:val="center"/>
          </w:tcPr>
          <w:p>
            <w:pPr>
              <w:widowControl/>
              <w:rPr>
                <w:rFonts w:ascii="宋体" w:hAnsi="宋体" w:cs="宋体"/>
                <w:kern w:val="0"/>
                <w:szCs w:val="21"/>
              </w:rPr>
            </w:pPr>
          </w:p>
        </w:tc>
        <w:tc>
          <w:tcPr>
            <w:tcW w:w="1491" w:type="pct"/>
            <w:vMerge w:val="continue"/>
            <w:vAlign w:val="center"/>
          </w:tcPr>
          <w:p>
            <w:pPr>
              <w:widowControl/>
              <w:jc w:val="left"/>
              <w:rPr>
                <w:rFonts w:ascii="宋体" w:hAnsi="宋体" w:cs="宋体"/>
                <w:kern w:val="0"/>
                <w:szCs w:val="21"/>
              </w:rPr>
            </w:pPr>
          </w:p>
        </w:tc>
        <w:tc>
          <w:tcPr>
            <w:tcW w:w="3255" w:type="pct"/>
            <w:shd w:val="clear" w:color="auto" w:fill="auto"/>
            <w:vAlign w:val="center"/>
          </w:tcPr>
          <w:p>
            <w:pPr>
              <w:widowControl/>
              <w:rPr>
                <w:rFonts w:ascii="宋体" w:hAnsi="宋体" w:cs="宋体"/>
                <w:kern w:val="0"/>
                <w:szCs w:val="21"/>
              </w:rPr>
            </w:pPr>
            <w:r>
              <w:rPr>
                <w:rFonts w:hint="eastAsia" w:ascii="宋体" w:hAnsi="宋体" w:cs="宋体"/>
                <w:kern w:val="0"/>
                <w:szCs w:val="21"/>
              </w:rPr>
              <w:t>报价有效期【60】</w:t>
            </w:r>
            <w:r>
              <w:rPr>
                <w:rFonts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91"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商务文件完整性</w:t>
            </w:r>
          </w:p>
        </w:tc>
        <w:tc>
          <w:tcPr>
            <w:tcW w:w="3255" w:type="pct"/>
            <w:shd w:val="clear" w:color="auto" w:fill="auto"/>
            <w:vAlign w:val="center"/>
          </w:tcPr>
          <w:p>
            <w:pPr>
              <w:widowControl/>
              <w:rPr>
                <w:rFonts w:ascii="宋体" w:hAnsi="宋体" w:cs="宋体"/>
                <w:kern w:val="0"/>
                <w:szCs w:val="21"/>
              </w:rPr>
            </w:pPr>
            <w:r>
              <w:rPr>
                <w:rFonts w:hint="eastAsia" w:ascii="宋体" w:hAnsi="宋体" w:cs="宋体"/>
                <w:kern w:val="0"/>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1491"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技术文件完整性</w:t>
            </w:r>
          </w:p>
        </w:tc>
        <w:tc>
          <w:tcPr>
            <w:tcW w:w="3255" w:type="pct"/>
            <w:shd w:val="clear" w:color="auto" w:fill="auto"/>
            <w:vAlign w:val="center"/>
          </w:tcPr>
          <w:p>
            <w:pPr>
              <w:widowControl/>
              <w:rPr>
                <w:rFonts w:ascii="宋体" w:hAnsi="宋体" w:cs="宋体"/>
                <w:kern w:val="0"/>
                <w:szCs w:val="21"/>
              </w:rPr>
            </w:pPr>
            <w:r>
              <w:rPr>
                <w:rFonts w:hint="eastAsia" w:ascii="宋体" w:hAnsi="宋体" w:cs="宋体"/>
                <w:kern w:val="0"/>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1491"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价格文件完整性</w:t>
            </w:r>
          </w:p>
        </w:tc>
        <w:tc>
          <w:tcPr>
            <w:tcW w:w="3255" w:type="pct"/>
            <w:shd w:val="clear" w:color="auto" w:fill="auto"/>
            <w:vAlign w:val="center"/>
          </w:tcPr>
          <w:p>
            <w:pPr>
              <w:widowControl/>
              <w:rPr>
                <w:rFonts w:ascii="宋体" w:hAnsi="宋体" w:cs="宋体"/>
                <w:kern w:val="0"/>
                <w:szCs w:val="21"/>
              </w:rPr>
            </w:pPr>
            <w:r>
              <w:rPr>
                <w:rFonts w:hint="eastAsia" w:ascii="宋体" w:hAnsi="宋体" w:cs="宋体"/>
                <w:kern w:val="0"/>
                <w:szCs w:val="21"/>
              </w:rPr>
              <w:t>符合《询价文件》要求</w:t>
            </w:r>
          </w:p>
        </w:tc>
      </w:tr>
    </w:tbl>
    <w:p>
      <w:pPr>
        <w:widowControl/>
        <w:spacing w:beforeLines="50" w:afterLines="50"/>
        <w:ind w:left="424" w:leftChars="1" w:hanging="422" w:hangingChars="201"/>
        <w:jc w:val="left"/>
        <w:rPr>
          <w:rFonts w:ascii="Times New Roman" w:hAnsi="Times New Roman" w:eastAsia="宋体" w:cs="Times New Roman"/>
          <w:b/>
          <w:kern w:val="0"/>
          <w:sz w:val="28"/>
          <w:szCs w:val="28"/>
        </w:rPr>
      </w:pPr>
      <w:r>
        <w:rPr>
          <w:rFonts w:hint="eastAsia" w:ascii="宋体" w:hAnsi="宋体" w:cs="宋体"/>
          <w:kern w:val="0"/>
          <w:szCs w:val="21"/>
        </w:rPr>
        <w:t>注：如投标人在中海油供应链数字化平台对应位置无相关应答文件，采购人相关操作无法进行，视投标人投标文件无效。</w:t>
      </w:r>
      <w:r>
        <w:rPr>
          <w:b/>
          <w:sz w:val="28"/>
          <w:szCs w:val="28"/>
        </w:rPr>
        <w:br w:type="page"/>
      </w:r>
    </w:p>
    <w:p>
      <w:pPr>
        <w:pStyle w:val="5"/>
        <w:spacing w:before="0" w:after="0" w:line="360" w:lineRule="auto"/>
        <w:ind w:hanging="425"/>
        <w:rPr>
          <w:lang w:eastAsia="zh-CN"/>
        </w:rPr>
      </w:pPr>
      <w:r>
        <w:rPr>
          <w:rFonts w:hint="eastAsia"/>
          <w:lang w:eastAsia="zh-CN"/>
        </w:rPr>
        <w:t>附表3</w:t>
      </w:r>
      <w:r>
        <w:rPr>
          <w:lang w:eastAsia="zh-CN"/>
        </w:rPr>
        <w:t>.</w:t>
      </w:r>
      <w:r>
        <w:rPr>
          <w:rFonts w:hint="eastAsia"/>
          <w:lang w:eastAsia="zh-CN"/>
        </w:rPr>
        <w:t>4-2：</w:t>
      </w:r>
      <w:r>
        <w:rPr>
          <w:lang w:eastAsia="zh-CN"/>
        </w:rPr>
        <w:t>商务评议标准</w:t>
      </w:r>
    </w:p>
    <w:p/>
    <w:tbl>
      <w:tblPr>
        <w:tblStyle w:val="46"/>
        <w:tblW w:w="5739"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94"/>
        <w:gridCol w:w="2336"/>
        <w:gridCol w:w="412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692" w:type="dxa"/>
            <w:shd w:val="clear" w:color="auto" w:fill="auto"/>
            <w:vAlign w:val="center"/>
          </w:tcPr>
          <w:p>
            <w:pPr>
              <w:jc w:val="center"/>
              <w:rPr>
                <w:rFonts w:cs="宋体" w:asciiTheme="minorEastAsia" w:hAnsiTheme="minorEastAsia"/>
                <w:b/>
                <w:szCs w:val="21"/>
              </w:rPr>
            </w:pPr>
            <w:r>
              <w:rPr>
                <w:rFonts w:hint="eastAsia" w:cs="宋体" w:asciiTheme="minorEastAsia" w:hAnsiTheme="minorEastAsia"/>
                <w:b/>
                <w:szCs w:val="21"/>
              </w:rPr>
              <w:t>序号</w:t>
            </w:r>
          </w:p>
        </w:tc>
        <w:tc>
          <w:tcPr>
            <w:tcW w:w="1294" w:type="dxa"/>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评审项</w:t>
            </w:r>
          </w:p>
        </w:tc>
        <w:tc>
          <w:tcPr>
            <w:tcW w:w="2336" w:type="dxa"/>
            <w:shd w:val="clear" w:color="auto" w:fill="auto"/>
            <w:vAlign w:val="center"/>
          </w:tcPr>
          <w:p>
            <w:pPr>
              <w:jc w:val="center"/>
              <w:rPr>
                <w:rFonts w:cs="宋体" w:asciiTheme="minorEastAsia" w:hAnsiTheme="minorEastAsia"/>
                <w:b/>
                <w:szCs w:val="21"/>
              </w:rPr>
            </w:pPr>
            <w:r>
              <w:rPr>
                <w:rFonts w:hint="eastAsia" w:cs="宋体" w:asciiTheme="minorEastAsia" w:hAnsiTheme="minorEastAsia"/>
                <w:b/>
                <w:szCs w:val="21"/>
              </w:rPr>
              <w:t>评审细项</w:t>
            </w:r>
          </w:p>
        </w:tc>
        <w:tc>
          <w:tcPr>
            <w:tcW w:w="4120" w:type="dxa"/>
            <w:shd w:val="clear" w:color="auto" w:fill="auto"/>
            <w:vAlign w:val="center"/>
          </w:tcPr>
          <w:p>
            <w:pPr>
              <w:jc w:val="center"/>
              <w:rPr>
                <w:rFonts w:cs="宋体" w:asciiTheme="minorEastAsia" w:hAnsiTheme="minorEastAsia"/>
                <w:b/>
                <w:szCs w:val="21"/>
              </w:rPr>
            </w:pPr>
            <w:r>
              <w:rPr>
                <w:rFonts w:cs="宋体" w:asciiTheme="minorEastAsia" w:hAnsiTheme="minorEastAsia"/>
                <w:b/>
                <w:szCs w:val="21"/>
              </w:rPr>
              <w:t>评审标准</w:t>
            </w:r>
          </w:p>
        </w:tc>
        <w:tc>
          <w:tcPr>
            <w:tcW w:w="1455" w:type="dxa"/>
            <w:shd w:val="clear" w:color="auto" w:fill="auto"/>
            <w:vAlign w:val="center"/>
          </w:tcPr>
          <w:p>
            <w:pPr>
              <w:jc w:val="center"/>
              <w:rPr>
                <w:rFonts w:cs="宋体" w:asciiTheme="minorEastAsia" w:hAnsiTheme="minorEastAsia"/>
                <w:b/>
                <w:szCs w:val="21"/>
              </w:rPr>
            </w:pPr>
            <w:r>
              <w:rPr>
                <w:rFonts w:hint="eastAsia" w:cs="宋体" w:asciiTheme="minorEastAsia" w:hAnsiTheme="minorEastAsia"/>
                <w:b/>
                <w:szCs w:val="21"/>
              </w:rPr>
              <w:t>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vMerge w:val="restart"/>
            <w:shd w:val="clear" w:color="auto" w:fill="auto"/>
            <w:noWrap/>
            <w:vAlign w:val="center"/>
          </w:tcPr>
          <w:p>
            <w:pPr>
              <w:jc w:val="center"/>
              <w:rPr>
                <w:rFonts w:asciiTheme="minorEastAsia" w:hAnsiTheme="minorEastAsia"/>
                <w:szCs w:val="21"/>
              </w:rPr>
            </w:pPr>
            <w:r>
              <w:rPr>
                <w:rFonts w:asciiTheme="minorEastAsia" w:hAnsiTheme="minorEastAsia"/>
                <w:szCs w:val="21"/>
              </w:rPr>
              <w:t>1</w:t>
            </w:r>
          </w:p>
        </w:tc>
        <w:tc>
          <w:tcPr>
            <w:tcW w:w="1294" w:type="dxa"/>
            <w:vMerge w:val="restart"/>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★营业执照扫描件、法定代表人身份证明及授权书，包括但不限于：社保文件证明；注册资金实缴证明文件。</w:t>
            </w:r>
          </w:p>
        </w:tc>
        <w:tc>
          <w:tcPr>
            <w:tcW w:w="2336" w:type="dxa"/>
            <w:shd w:val="clear" w:color="auto" w:fill="auto"/>
            <w:vAlign w:val="center"/>
          </w:tcPr>
          <w:p>
            <w:pPr>
              <w:jc w:val="left"/>
              <w:rPr>
                <w:rFonts w:cs="宋体" w:asciiTheme="minorEastAsia" w:hAnsiTheme="minorEastAsia"/>
                <w:kern w:val="0"/>
                <w:szCs w:val="21"/>
              </w:rPr>
            </w:pPr>
            <w:r>
              <w:rPr>
                <w:rFonts w:hint="eastAsia" w:cs="宋体" w:asciiTheme="minorEastAsia" w:hAnsiTheme="minorEastAsia"/>
                <w:kern w:val="0"/>
                <w:szCs w:val="21"/>
              </w:rPr>
              <w:t>投标人须是中华人民共和国境内注册的独立法人单位，具备法律主体资格，需提供有效期内的原件扫描件，具有独立订立及履行合同的能力</w:t>
            </w:r>
          </w:p>
        </w:tc>
        <w:tc>
          <w:tcPr>
            <w:tcW w:w="4120"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符合询价文件要求提供</w:t>
            </w:r>
          </w:p>
        </w:tc>
        <w:tc>
          <w:tcPr>
            <w:tcW w:w="1455"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vMerge w:val="continue"/>
            <w:shd w:val="clear" w:color="auto" w:fill="auto"/>
            <w:noWrap/>
            <w:vAlign w:val="center"/>
          </w:tcPr>
          <w:p>
            <w:pPr>
              <w:jc w:val="center"/>
              <w:rPr>
                <w:rFonts w:asciiTheme="minorEastAsia" w:hAnsiTheme="minorEastAsia"/>
                <w:szCs w:val="21"/>
              </w:rPr>
            </w:pPr>
          </w:p>
        </w:tc>
        <w:tc>
          <w:tcPr>
            <w:tcW w:w="1294" w:type="dxa"/>
            <w:vMerge w:val="continue"/>
            <w:shd w:val="clear" w:color="auto" w:fill="auto"/>
            <w:vAlign w:val="center"/>
          </w:tcPr>
          <w:p>
            <w:pPr>
              <w:rPr>
                <w:rFonts w:cs="宋体" w:asciiTheme="minorEastAsia" w:hAnsiTheme="minorEastAsia"/>
                <w:kern w:val="0"/>
                <w:szCs w:val="21"/>
              </w:rPr>
            </w:pPr>
          </w:p>
        </w:tc>
        <w:tc>
          <w:tcPr>
            <w:tcW w:w="2336"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法定代表人身份证明</w:t>
            </w:r>
          </w:p>
        </w:tc>
        <w:tc>
          <w:tcPr>
            <w:tcW w:w="4120"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符合询价文件要求提供</w:t>
            </w:r>
          </w:p>
        </w:tc>
        <w:tc>
          <w:tcPr>
            <w:tcW w:w="1455"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vMerge w:val="continue"/>
            <w:shd w:val="clear" w:color="auto" w:fill="auto"/>
            <w:vAlign w:val="center"/>
          </w:tcPr>
          <w:p>
            <w:pPr>
              <w:jc w:val="center"/>
              <w:rPr>
                <w:rFonts w:asciiTheme="minorEastAsia" w:hAnsiTheme="minorEastAsia"/>
                <w:szCs w:val="21"/>
              </w:rPr>
            </w:pPr>
          </w:p>
        </w:tc>
        <w:tc>
          <w:tcPr>
            <w:tcW w:w="1294" w:type="dxa"/>
            <w:vMerge w:val="continue"/>
            <w:shd w:val="clear" w:color="auto" w:fill="auto"/>
            <w:vAlign w:val="center"/>
          </w:tcPr>
          <w:p>
            <w:pPr>
              <w:rPr>
                <w:rFonts w:cs="宋体" w:asciiTheme="minorEastAsia" w:hAnsiTheme="minorEastAsia"/>
                <w:kern w:val="0"/>
                <w:szCs w:val="21"/>
              </w:rPr>
            </w:pPr>
          </w:p>
        </w:tc>
        <w:tc>
          <w:tcPr>
            <w:tcW w:w="2336"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授权委托书</w:t>
            </w:r>
          </w:p>
        </w:tc>
        <w:tc>
          <w:tcPr>
            <w:tcW w:w="4120"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符合询价文件要求提供</w:t>
            </w:r>
          </w:p>
        </w:tc>
        <w:tc>
          <w:tcPr>
            <w:tcW w:w="1455"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vMerge w:val="continue"/>
            <w:shd w:val="clear" w:color="auto" w:fill="auto"/>
            <w:vAlign w:val="center"/>
          </w:tcPr>
          <w:p>
            <w:pPr>
              <w:jc w:val="center"/>
              <w:rPr>
                <w:rFonts w:asciiTheme="minorEastAsia" w:hAnsiTheme="minorEastAsia"/>
                <w:szCs w:val="21"/>
              </w:rPr>
            </w:pPr>
          </w:p>
        </w:tc>
        <w:tc>
          <w:tcPr>
            <w:tcW w:w="1294" w:type="dxa"/>
            <w:vMerge w:val="continue"/>
            <w:shd w:val="clear" w:color="auto" w:fill="auto"/>
            <w:vAlign w:val="center"/>
          </w:tcPr>
          <w:p>
            <w:pPr>
              <w:rPr>
                <w:rFonts w:cs="宋体" w:asciiTheme="minorEastAsia" w:hAnsiTheme="minorEastAsia"/>
                <w:kern w:val="0"/>
                <w:szCs w:val="21"/>
              </w:rPr>
            </w:pPr>
          </w:p>
        </w:tc>
        <w:tc>
          <w:tcPr>
            <w:tcW w:w="2336" w:type="dxa"/>
            <w:shd w:val="clear" w:color="auto" w:fill="auto"/>
            <w:vAlign w:val="center"/>
          </w:tcPr>
          <w:p>
            <w:pPr>
              <w:jc w:val="left"/>
              <w:rPr>
                <w:rFonts w:cs="宋体" w:asciiTheme="minorEastAsia" w:hAnsiTheme="minorEastAsia"/>
                <w:kern w:val="0"/>
                <w:szCs w:val="21"/>
              </w:rPr>
            </w:pPr>
            <w:r>
              <w:rPr>
                <w:rFonts w:hint="eastAsia" w:cs="宋体" w:asciiTheme="minorEastAsia" w:hAnsiTheme="minorEastAsia"/>
                <w:kern w:val="0"/>
                <w:szCs w:val="21"/>
              </w:rPr>
              <w:t>提供至投标截止日连续6个月缴纳不少于3人的社保文件证明；注册资金实缴不低于50万人民币的证明文件。</w:t>
            </w:r>
          </w:p>
        </w:tc>
        <w:tc>
          <w:tcPr>
            <w:tcW w:w="4120"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符合询价文件要求提供</w:t>
            </w:r>
          </w:p>
        </w:tc>
        <w:tc>
          <w:tcPr>
            <w:tcW w:w="1455"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2</w:t>
            </w:r>
          </w:p>
        </w:tc>
        <w:tc>
          <w:tcPr>
            <w:tcW w:w="1294"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★资质</w:t>
            </w:r>
          </w:p>
        </w:tc>
        <w:tc>
          <w:tcPr>
            <w:tcW w:w="2336"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相关资质</w:t>
            </w:r>
          </w:p>
        </w:tc>
        <w:tc>
          <w:tcPr>
            <w:tcW w:w="4120" w:type="dxa"/>
            <w:shd w:val="clear" w:color="auto" w:fill="auto"/>
            <w:vAlign w:val="center"/>
          </w:tcPr>
          <w:p>
            <w:pPr>
              <w:rPr>
                <w:rFonts w:cs="宋体" w:asciiTheme="minorEastAsia" w:hAnsiTheme="minorEastAsia"/>
                <w:kern w:val="0"/>
                <w:szCs w:val="21"/>
              </w:rPr>
            </w:pPr>
            <w:r>
              <w:rPr>
                <w:rFonts w:hint="eastAsia" w:ascii="宋体" w:hAnsi="宋体"/>
                <w:szCs w:val="21"/>
              </w:rPr>
              <w:t>申请人必须提供完整齐全有效的证书（证书复印件加盖公章，原件备查）。</w:t>
            </w:r>
            <w:r>
              <w:rPr>
                <w:rFonts w:hint="eastAsia" w:cs="宋体" w:asciiTheme="minorEastAsia" w:hAnsiTheme="minorEastAsia"/>
                <w:kern w:val="0"/>
                <w:szCs w:val="21"/>
              </w:rPr>
              <w:t>应答人应可以开展物业服务类工作</w:t>
            </w:r>
          </w:p>
        </w:tc>
        <w:tc>
          <w:tcPr>
            <w:tcW w:w="1455"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3</w:t>
            </w:r>
          </w:p>
        </w:tc>
        <w:tc>
          <w:tcPr>
            <w:tcW w:w="1294"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★业绩</w:t>
            </w:r>
          </w:p>
        </w:tc>
        <w:tc>
          <w:tcPr>
            <w:tcW w:w="2336"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业绩</w:t>
            </w:r>
          </w:p>
        </w:tc>
        <w:tc>
          <w:tcPr>
            <w:tcW w:w="4120" w:type="dxa"/>
            <w:shd w:val="clear" w:color="auto" w:fill="auto"/>
            <w:vAlign w:val="center"/>
          </w:tcPr>
          <w:p>
            <w:pPr>
              <w:rPr>
                <w:rFonts w:cs="宋体" w:asciiTheme="minorEastAsia" w:hAnsiTheme="minorEastAsia"/>
                <w:kern w:val="0"/>
                <w:szCs w:val="21"/>
              </w:rPr>
            </w:pPr>
            <w:r>
              <w:rPr>
                <w:rFonts w:hint="eastAsia" w:ascii="宋体"/>
                <w:kern w:val="0"/>
                <w:szCs w:val="21"/>
              </w:rPr>
              <w:t>2021年1月1日起至投标截止日前有物业服务相关业绩，需提供两个（含）以上的业绩证明且至少一个合同金额大于40万元（证明材料不限于结算单、验收单、合同等任一能证明合作双方确认工作量及金额的方式）</w:t>
            </w:r>
          </w:p>
        </w:tc>
        <w:tc>
          <w:tcPr>
            <w:tcW w:w="1455" w:type="dxa"/>
            <w:shd w:val="clear" w:color="auto" w:fill="auto"/>
            <w:vAlign w:val="center"/>
          </w:tcPr>
          <w:p>
            <w:pPr>
              <w:jc w:val="center"/>
              <w:rPr>
                <w:rFonts w:cs="宋体" w:asciiTheme="minorEastAsia" w:hAnsiTheme="minorEastAsia"/>
                <w:kern w:val="0"/>
                <w:szCs w:val="21"/>
              </w:rPr>
            </w:pPr>
            <w:r>
              <w:rPr>
                <w:rFonts w:hint="eastAsia" w:asciiTheme="minorEastAsia" w:hAnsiTheme="minorEastAsia"/>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4</w:t>
            </w:r>
          </w:p>
        </w:tc>
        <w:tc>
          <w:tcPr>
            <w:tcW w:w="1294"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财务状况</w:t>
            </w:r>
          </w:p>
        </w:tc>
        <w:tc>
          <w:tcPr>
            <w:tcW w:w="2336"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财务状况</w:t>
            </w:r>
          </w:p>
        </w:tc>
        <w:tc>
          <w:tcPr>
            <w:tcW w:w="4120" w:type="dxa"/>
            <w:shd w:val="clear" w:color="auto" w:fill="auto"/>
            <w:vAlign w:val="center"/>
          </w:tcPr>
          <w:p>
            <w:pPr>
              <w:rPr>
                <w:rFonts w:ascii="宋体"/>
                <w:kern w:val="0"/>
                <w:szCs w:val="21"/>
              </w:rPr>
            </w:pPr>
            <w:r>
              <w:rPr>
                <w:rFonts w:hint="eastAsia" w:ascii="宋体"/>
                <w:kern w:val="0"/>
                <w:szCs w:val="21"/>
              </w:rPr>
              <w:t>提供近五年的的财务报表，财务状况良好,，无连续三年出现亏损。</w:t>
            </w:r>
          </w:p>
        </w:tc>
        <w:tc>
          <w:tcPr>
            <w:tcW w:w="1455" w:type="dxa"/>
            <w:shd w:val="clear" w:color="auto" w:fill="auto"/>
            <w:vAlign w:val="center"/>
          </w:tcPr>
          <w:p>
            <w:pPr>
              <w:jc w:val="center"/>
              <w:rPr>
                <w:rFonts w:cs="宋体" w:asciiTheme="minorEastAsia" w:hAnsiTheme="minorEastAsia"/>
                <w:kern w:val="0"/>
                <w:szCs w:val="21"/>
              </w:rPr>
            </w:pPr>
            <w:r>
              <w:rPr>
                <w:rFonts w:cs="宋体" w:asciiTheme="minorEastAsia" w:hAnsiTheme="minorEastAsia"/>
                <w:kern w:val="0"/>
                <w:szCs w:val="21"/>
              </w:rPr>
              <w:t>满足</w:t>
            </w:r>
            <w:r>
              <w:rPr>
                <w:rFonts w:hint="eastAsia" w:cs="宋体" w:asciiTheme="minorEastAsia" w:hAnsiTheme="minorEastAsia"/>
                <w:kern w:val="0"/>
                <w:szCs w:val="21"/>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5</w:t>
            </w:r>
          </w:p>
        </w:tc>
        <w:tc>
          <w:tcPr>
            <w:tcW w:w="1294"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诉讼情况</w:t>
            </w:r>
          </w:p>
        </w:tc>
        <w:tc>
          <w:tcPr>
            <w:tcW w:w="2336"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诉讼情况</w:t>
            </w:r>
          </w:p>
        </w:tc>
        <w:tc>
          <w:tcPr>
            <w:tcW w:w="4120" w:type="dxa"/>
            <w:shd w:val="clear" w:color="auto" w:fill="auto"/>
            <w:vAlign w:val="center"/>
          </w:tcPr>
          <w:p>
            <w:pPr>
              <w:rPr>
                <w:rFonts w:ascii="宋体"/>
                <w:kern w:val="0"/>
                <w:szCs w:val="21"/>
              </w:rPr>
            </w:pPr>
            <w:r>
              <w:rPr>
                <w:rFonts w:hint="eastAsia" w:ascii="宋体"/>
                <w:kern w:val="0"/>
                <w:szCs w:val="21"/>
              </w:rPr>
              <w:t>2020.1.1-至今诉讼（包括仲裁）情况，不存在重大被诉案件等影响合同履约的情况。</w:t>
            </w:r>
          </w:p>
        </w:tc>
        <w:tc>
          <w:tcPr>
            <w:tcW w:w="1455" w:type="dxa"/>
            <w:shd w:val="clear" w:color="auto" w:fill="auto"/>
            <w:vAlign w:val="center"/>
          </w:tcPr>
          <w:p>
            <w:pPr>
              <w:jc w:val="center"/>
              <w:rPr>
                <w:rFonts w:cs="宋体" w:asciiTheme="minorEastAsia" w:hAnsiTheme="minorEastAsia"/>
                <w:kern w:val="0"/>
                <w:szCs w:val="21"/>
              </w:rPr>
            </w:pPr>
            <w:r>
              <w:rPr>
                <w:rFonts w:cs="宋体" w:asciiTheme="minorEastAsia" w:hAnsiTheme="minorEastAsia"/>
                <w:kern w:val="0"/>
                <w:szCs w:val="21"/>
              </w:rPr>
              <w:t>满足</w:t>
            </w:r>
            <w:r>
              <w:rPr>
                <w:rFonts w:hint="eastAsia" w:cs="宋体" w:asciiTheme="minorEastAsia" w:hAnsiTheme="minorEastAsia"/>
                <w:kern w:val="0"/>
                <w:szCs w:val="21"/>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shd w:val="clear" w:color="auto" w:fill="auto"/>
            <w:vAlign w:val="center"/>
          </w:tcPr>
          <w:p>
            <w:pPr>
              <w:jc w:val="center"/>
              <w:rPr>
                <w:rFonts w:asciiTheme="minorEastAsia" w:hAnsiTheme="minorEastAsia"/>
                <w:szCs w:val="21"/>
              </w:rPr>
            </w:pPr>
            <w:r>
              <w:rPr>
                <w:rFonts w:asciiTheme="minorEastAsia" w:hAnsiTheme="minorEastAsia"/>
                <w:szCs w:val="21"/>
              </w:rPr>
              <w:t>6</w:t>
            </w:r>
          </w:p>
        </w:tc>
        <w:tc>
          <w:tcPr>
            <w:tcW w:w="1294"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★企业信誉</w:t>
            </w:r>
          </w:p>
        </w:tc>
        <w:tc>
          <w:tcPr>
            <w:tcW w:w="2336"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企业信用及异常经营问题</w:t>
            </w:r>
          </w:p>
        </w:tc>
        <w:tc>
          <w:tcPr>
            <w:tcW w:w="4120" w:type="dxa"/>
            <w:shd w:val="clear" w:color="auto" w:fill="auto"/>
            <w:vAlign w:val="center"/>
          </w:tcPr>
          <w:p>
            <w:pPr>
              <w:rPr>
                <w:rFonts w:ascii="宋体"/>
                <w:kern w:val="0"/>
                <w:szCs w:val="21"/>
              </w:rPr>
            </w:pPr>
            <w:r>
              <w:rPr>
                <w:rFonts w:hint="eastAsia" w:ascii="宋体"/>
                <w:kern w:val="0"/>
                <w:szCs w:val="21"/>
              </w:rPr>
              <w:t>投标人不得存在以下情形：</w:t>
            </w:r>
          </w:p>
          <w:p>
            <w:pPr>
              <w:rPr>
                <w:rFonts w:ascii="宋体"/>
                <w:kern w:val="0"/>
                <w:szCs w:val="21"/>
              </w:rPr>
            </w:pPr>
            <w:r>
              <w:rPr>
                <w:rFonts w:hint="eastAsia" w:ascii="宋体"/>
                <w:kern w:val="0"/>
                <w:szCs w:val="21"/>
              </w:rPr>
              <w:t>1）自 2021 年 1 月 1 日起至投标截止时间止（以事故书面认定材料出具时 间为准） 所承担的服务项目出现重大及以上生产安全事故， 且经过官方机构或第 三方权威机构调查并出具了明确的书面证据， 认定应由投标人承担重大及以上安 全事故责任并对投标人进行处理的；</w:t>
            </w:r>
          </w:p>
          <w:p>
            <w:pPr>
              <w:rPr>
                <w:rFonts w:ascii="宋体"/>
                <w:kern w:val="0"/>
                <w:szCs w:val="21"/>
              </w:rPr>
            </w:pPr>
            <w:r>
              <w:rPr>
                <w:rFonts w:hint="eastAsia" w:ascii="宋体"/>
                <w:kern w:val="0"/>
                <w:szCs w:val="21"/>
              </w:rPr>
              <w:t>2）投标人或投标人本次招标相关业务范围被中国海洋石油集团有限公司或本次招标的所属单位禁用的；在处罚期或处罚期满但在系统中的供应商档案中的“档案状态”为“采购冻结”或“业务状态”为“冻结”的；</w:t>
            </w:r>
          </w:p>
          <w:p>
            <w:pPr>
              <w:rPr>
                <w:rFonts w:ascii="宋体"/>
                <w:kern w:val="0"/>
                <w:szCs w:val="21"/>
              </w:rPr>
            </w:pPr>
            <w:r>
              <w:rPr>
                <w:rFonts w:hint="eastAsia" w:ascii="宋体"/>
                <w:kern w:val="0"/>
                <w:szCs w:val="21"/>
              </w:rPr>
              <w:t>3）投标人 a)处于责令整顿、停业或 b)财产已被接管、冻结或 c)处于破产状态的；</w:t>
            </w:r>
          </w:p>
          <w:p>
            <w:pPr>
              <w:rPr>
                <w:rFonts w:ascii="宋体"/>
                <w:kern w:val="0"/>
                <w:szCs w:val="21"/>
              </w:rPr>
            </w:pPr>
            <w:r>
              <w:rPr>
                <w:rFonts w:hint="eastAsia" w:ascii="宋体"/>
                <w:kern w:val="0"/>
                <w:szCs w:val="21"/>
              </w:rPr>
              <w:t>4）投标人在“信用中国”网站（https://www.creditchina.gov.cn/）被列入严重失信主体名单；</w:t>
            </w:r>
          </w:p>
          <w:p>
            <w:pPr>
              <w:rPr>
                <w:rFonts w:ascii="宋体"/>
                <w:kern w:val="0"/>
                <w:szCs w:val="21"/>
              </w:rPr>
            </w:pPr>
            <w:r>
              <w:rPr>
                <w:rFonts w:hint="eastAsia" w:ascii="宋体"/>
                <w:kern w:val="0"/>
                <w:szCs w:val="21"/>
              </w:rPr>
              <w:t>5）投标人在全国企业信用信息公示系统（http://www.gsxt.gov.cn）被列入严重违法失信名单（黑名单） 信息或营业执照登记状态为吊销或注销的；</w:t>
            </w:r>
          </w:p>
          <w:p>
            <w:pPr>
              <w:rPr>
                <w:rFonts w:ascii="宋体"/>
                <w:kern w:val="0"/>
                <w:szCs w:val="21"/>
              </w:rPr>
            </w:pPr>
            <w:r>
              <w:rPr>
                <w:rFonts w:hint="eastAsia" w:ascii="宋体"/>
                <w:kern w:val="0"/>
                <w:szCs w:val="21"/>
              </w:rPr>
              <w:t>6）投标人在“中国执行信息公开网”网站（http://zxgk.court.gov.cn/）被列入失信被执行人名单；</w:t>
            </w:r>
          </w:p>
          <w:p>
            <w:pPr>
              <w:rPr>
                <w:rFonts w:ascii="宋体"/>
                <w:kern w:val="0"/>
                <w:szCs w:val="21"/>
              </w:rPr>
            </w:pPr>
            <w:r>
              <w:rPr>
                <w:rFonts w:hint="eastAsia" w:ascii="宋体"/>
                <w:kern w:val="0"/>
                <w:szCs w:val="21"/>
              </w:rPr>
              <w:t>7）投标人在“中国裁判文书网”（http://wenshu.court.gov.cn）列入投标人公司法人或法定代表人或拟委任的项目负责人有行贿犯罪行为的；</w:t>
            </w:r>
          </w:p>
          <w:p>
            <w:pPr>
              <w:rPr>
                <w:rFonts w:ascii="宋体"/>
                <w:kern w:val="0"/>
                <w:szCs w:val="21"/>
              </w:rPr>
            </w:pPr>
            <w:r>
              <w:rPr>
                <w:rFonts w:hint="eastAsia" w:ascii="宋体"/>
                <w:kern w:val="0"/>
                <w:szCs w:val="21"/>
              </w:rPr>
              <w:t>8）投标人与本招标项目其他投标人单位负责人为同一人或存在控股、管理关系的；</w:t>
            </w:r>
          </w:p>
          <w:p>
            <w:pPr>
              <w:rPr>
                <w:rFonts w:ascii="宋体"/>
                <w:kern w:val="0"/>
                <w:szCs w:val="21"/>
              </w:rPr>
            </w:pPr>
            <w:r>
              <w:rPr>
                <w:rFonts w:hint="eastAsia" w:ascii="宋体"/>
                <w:kern w:val="0"/>
                <w:szCs w:val="21"/>
              </w:rPr>
              <w:t>9）投标人与招标人、招标机构有利害关系且可能影响招标公正性的；</w:t>
            </w:r>
          </w:p>
          <w:p>
            <w:pPr>
              <w:rPr>
                <w:rFonts w:ascii="宋体"/>
                <w:kern w:val="0"/>
                <w:szCs w:val="21"/>
              </w:rPr>
            </w:pPr>
            <w:r>
              <w:rPr>
                <w:rFonts w:hint="eastAsia" w:ascii="宋体"/>
                <w:kern w:val="0"/>
                <w:szCs w:val="21"/>
              </w:rPr>
              <w:t>10）投标人存在危害国家安全和损害中海油合法权益的情形，在涉及国家机密或商业秘密的项目中存在不遵守相关法律法规及政府主管部门要求的情形；</w:t>
            </w:r>
          </w:p>
        </w:tc>
        <w:tc>
          <w:tcPr>
            <w:tcW w:w="1455" w:type="dxa"/>
            <w:shd w:val="clear" w:color="auto" w:fill="auto"/>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shd w:val="clear" w:color="auto" w:fill="auto"/>
            <w:vAlign w:val="center"/>
          </w:tcPr>
          <w:p>
            <w:pPr>
              <w:jc w:val="center"/>
              <w:rPr>
                <w:rFonts w:asciiTheme="minorEastAsia" w:hAnsiTheme="minorEastAsia"/>
                <w:szCs w:val="21"/>
              </w:rPr>
            </w:pPr>
            <w:r>
              <w:rPr>
                <w:rFonts w:asciiTheme="minorEastAsia" w:hAnsiTheme="minorEastAsia"/>
                <w:szCs w:val="21"/>
              </w:rPr>
              <w:t>7</w:t>
            </w:r>
          </w:p>
        </w:tc>
        <w:tc>
          <w:tcPr>
            <w:tcW w:w="1294"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【任职情况说明反馈表】</w:t>
            </w:r>
          </w:p>
        </w:tc>
        <w:tc>
          <w:tcPr>
            <w:tcW w:w="2336" w:type="dxa"/>
            <w:shd w:val="clear" w:color="auto" w:fill="auto"/>
            <w:vAlign w:val="center"/>
          </w:tcPr>
          <w:p>
            <w:pPr>
              <w:rPr>
                <w:rFonts w:cs="宋体" w:asciiTheme="minorEastAsia" w:hAnsiTheme="minorEastAsia"/>
                <w:kern w:val="0"/>
                <w:szCs w:val="21"/>
              </w:rPr>
            </w:pPr>
            <w:r>
              <w:rPr>
                <w:rFonts w:hint="eastAsia" w:ascii="宋体"/>
                <w:kern w:val="0"/>
                <w:szCs w:val="21"/>
              </w:rPr>
              <w:t>关于中国海油人员及亲属在本公司任职情况说明（详见附件）</w:t>
            </w:r>
          </w:p>
        </w:tc>
        <w:tc>
          <w:tcPr>
            <w:tcW w:w="4120" w:type="dxa"/>
            <w:shd w:val="clear" w:color="auto" w:fill="auto"/>
            <w:vAlign w:val="center"/>
          </w:tcPr>
          <w:p>
            <w:pPr>
              <w:rPr>
                <w:rFonts w:ascii="宋体"/>
                <w:kern w:val="0"/>
                <w:szCs w:val="21"/>
              </w:rPr>
            </w:pPr>
            <w:r>
              <w:rPr>
                <w:rFonts w:hint="eastAsia" w:ascii="宋体"/>
                <w:kern w:val="0"/>
                <w:szCs w:val="21"/>
              </w:rPr>
              <w:t>根据海油相关规定认定</w:t>
            </w:r>
          </w:p>
        </w:tc>
        <w:tc>
          <w:tcPr>
            <w:tcW w:w="1455" w:type="dxa"/>
            <w:shd w:val="clear" w:color="auto" w:fill="auto"/>
            <w:vAlign w:val="center"/>
          </w:tcPr>
          <w:p>
            <w:pPr>
              <w:jc w:val="center"/>
              <w:rPr>
                <w:rFonts w:cs="宋体" w:asciiTheme="minorEastAsia" w:hAnsiTheme="minorEastAsia"/>
                <w:kern w:val="0"/>
                <w:szCs w:val="21"/>
              </w:rPr>
            </w:pPr>
            <w:r>
              <w:rPr>
                <w:rFonts w:hint="eastAsia" w:asciiTheme="minorEastAsia" w:hAnsiTheme="minorEastAsia"/>
                <w:szCs w:val="21"/>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shd w:val="clear" w:color="auto" w:fill="auto"/>
            <w:vAlign w:val="center"/>
          </w:tcPr>
          <w:p>
            <w:pPr>
              <w:jc w:val="center"/>
              <w:rPr>
                <w:rFonts w:asciiTheme="minorEastAsia" w:hAnsiTheme="minorEastAsia"/>
                <w:szCs w:val="21"/>
              </w:rPr>
            </w:pPr>
            <w:r>
              <w:rPr>
                <w:rFonts w:asciiTheme="minorEastAsia" w:hAnsiTheme="minorEastAsia"/>
                <w:szCs w:val="21"/>
              </w:rPr>
              <w:t>8</w:t>
            </w:r>
          </w:p>
        </w:tc>
        <w:tc>
          <w:tcPr>
            <w:tcW w:w="1294"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【承诺函】</w:t>
            </w:r>
          </w:p>
        </w:tc>
        <w:tc>
          <w:tcPr>
            <w:tcW w:w="2336" w:type="dxa"/>
            <w:shd w:val="clear" w:color="auto" w:fill="auto"/>
            <w:vAlign w:val="center"/>
          </w:tcPr>
          <w:p>
            <w:pPr>
              <w:rPr>
                <w:rFonts w:ascii="宋体"/>
                <w:kern w:val="0"/>
                <w:szCs w:val="21"/>
              </w:rPr>
            </w:pPr>
            <w:r>
              <w:rPr>
                <w:rFonts w:hint="eastAsia"/>
                <w:szCs w:val="21"/>
              </w:rPr>
              <w:t>不参与围标串标承诺书</w:t>
            </w:r>
          </w:p>
        </w:tc>
        <w:tc>
          <w:tcPr>
            <w:tcW w:w="4120" w:type="dxa"/>
            <w:shd w:val="clear" w:color="auto" w:fill="auto"/>
            <w:vAlign w:val="center"/>
          </w:tcPr>
          <w:p>
            <w:pPr>
              <w:rPr>
                <w:rFonts w:ascii="宋体"/>
                <w:kern w:val="0"/>
                <w:szCs w:val="21"/>
              </w:rPr>
            </w:pPr>
            <w:r>
              <w:rPr>
                <w:rFonts w:hint="eastAsia" w:ascii="宋体"/>
                <w:kern w:val="0"/>
                <w:szCs w:val="21"/>
              </w:rPr>
              <w:t>承诺</w:t>
            </w:r>
          </w:p>
        </w:tc>
        <w:tc>
          <w:tcPr>
            <w:tcW w:w="1455" w:type="dxa"/>
            <w:shd w:val="clear" w:color="auto" w:fill="auto"/>
            <w:vAlign w:val="center"/>
          </w:tcPr>
          <w:p>
            <w:pPr>
              <w:jc w:val="center"/>
              <w:rPr>
                <w:rFonts w:cs="宋体" w:asciiTheme="minorEastAsia" w:hAnsiTheme="minorEastAsia"/>
                <w:kern w:val="0"/>
                <w:szCs w:val="21"/>
              </w:rPr>
            </w:pPr>
            <w:r>
              <w:rPr>
                <w:rFonts w:hint="eastAsia" w:asciiTheme="minorEastAsia" w:hAnsiTheme="minorEastAsia"/>
                <w:szCs w:val="21"/>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shd w:val="clear" w:color="auto" w:fill="auto"/>
            <w:vAlign w:val="center"/>
          </w:tcPr>
          <w:p>
            <w:pPr>
              <w:jc w:val="center"/>
              <w:rPr>
                <w:rFonts w:asciiTheme="minorEastAsia" w:hAnsiTheme="minorEastAsia"/>
                <w:szCs w:val="21"/>
              </w:rPr>
            </w:pPr>
            <w:r>
              <w:rPr>
                <w:rFonts w:asciiTheme="minorEastAsia" w:hAnsiTheme="minorEastAsia"/>
                <w:szCs w:val="21"/>
              </w:rPr>
              <w:t>9</w:t>
            </w:r>
          </w:p>
        </w:tc>
        <w:tc>
          <w:tcPr>
            <w:tcW w:w="1294"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★联合体投标</w:t>
            </w:r>
          </w:p>
        </w:tc>
        <w:tc>
          <w:tcPr>
            <w:tcW w:w="2336"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是否联合体投标</w:t>
            </w:r>
          </w:p>
        </w:tc>
        <w:tc>
          <w:tcPr>
            <w:tcW w:w="4120" w:type="dxa"/>
            <w:shd w:val="clear" w:color="auto" w:fill="auto"/>
            <w:vAlign w:val="center"/>
          </w:tcPr>
          <w:p>
            <w:pPr>
              <w:rPr>
                <w:rFonts w:ascii="宋体"/>
                <w:kern w:val="0"/>
                <w:szCs w:val="21"/>
              </w:rPr>
            </w:pPr>
            <w:r>
              <w:rPr>
                <w:rFonts w:hint="eastAsia" w:ascii="宋体"/>
                <w:kern w:val="0"/>
                <w:szCs w:val="21"/>
              </w:rPr>
              <w:t>不接受联合体投标</w:t>
            </w:r>
          </w:p>
        </w:tc>
        <w:tc>
          <w:tcPr>
            <w:tcW w:w="1455" w:type="dxa"/>
            <w:shd w:val="clear" w:color="auto" w:fill="auto"/>
            <w:vAlign w:val="center"/>
          </w:tcPr>
          <w:p>
            <w:pPr>
              <w:jc w:val="center"/>
              <w:rPr>
                <w:rFonts w:cs="宋体" w:asciiTheme="minorEastAsia" w:hAnsiTheme="minorEastAsia"/>
                <w:kern w:val="0"/>
                <w:szCs w:val="21"/>
              </w:rPr>
            </w:pPr>
            <w:r>
              <w:rPr>
                <w:rFonts w:hint="eastAsia" w:asciiTheme="minorEastAsia" w:hAnsiTheme="minorEastAsia"/>
                <w:szCs w:val="21"/>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shd w:val="clear" w:color="auto" w:fill="auto"/>
            <w:vAlign w:val="center"/>
          </w:tcPr>
          <w:p>
            <w:pPr>
              <w:jc w:val="center"/>
              <w:rPr>
                <w:rFonts w:asciiTheme="minorEastAsia" w:hAnsiTheme="minorEastAsia"/>
                <w:szCs w:val="21"/>
              </w:rPr>
            </w:pPr>
            <w:r>
              <w:rPr>
                <w:rFonts w:asciiTheme="minorEastAsia" w:hAnsiTheme="minorEastAsia"/>
                <w:szCs w:val="21"/>
              </w:rPr>
              <w:t>10</w:t>
            </w:r>
          </w:p>
        </w:tc>
        <w:tc>
          <w:tcPr>
            <w:tcW w:w="1294"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★主辅合同</w:t>
            </w:r>
          </w:p>
        </w:tc>
        <w:tc>
          <w:tcPr>
            <w:tcW w:w="2336"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主辅合同</w:t>
            </w:r>
          </w:p>
        </w:tc>
        <w:tc>
          <w:tcPr>
            <w:tcW w:w="4120" w:type="dxa"/>
            <w:shd w:val="clear" w:color="auto" w:fill="auto"/>
            <w:vAlign w:val="center"/>
          </w:tcPr>
          <w:p>
            <w:pPr>
              <w:rPr>
                <w:rFonts w:ascii="宋体"/>
                <w:kern w:val="0"/>
                <w:szCs w:val="21"/>
              </w:rPr>
            </w:pPr>
            <w:r>
              <w:rPr>
                <w:rFonts w:hint="eastAsia" w:cs="宋体" w:asciiTheme="minorEastAsia" w:hAnsiTheme="minorEastAsia"/>
                <w:kern w:val="0"/>
                <w:szCs w:val="21"/>
              </w:rPr>
              <w:t>是否接受</w:t>
            </w:r>
          </w:p>
        </w:tc>
        <w:tc>
          <w:tcPr>
            <w:tcW w:w="1455"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vMerge w:val="restart"/>
            <w:shd w:val="clear" w:color="auto" w:fill="auto"/>
            <w:noWrap/>
            <w:vAlign w:val="center"/>
          </w:tcPr>
          <w:p>
            <w:pPr>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1</w:t>
            </w:r>
          </w:p>
        </w:tc>
        <w:tc>
          <w:tcPr>
            <w:tcW w:w="1294" w:type="dxa"/>
            <w:vMerge w:val="restart"/>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合同偏离</w:t>
            </w:r>
          </w:p>
        </w:tc>
        <w:tc>
          <w:tcPr>
            <w:tcW w:w="2336"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服务期</w:t>
            </w:r>
          </w:p>
        </w:tc>
        <w:tc>
          <w:tcPr>
            <w:tcW w:w="4120"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满足询价文件要求</w:t>
            </w:r>
          </w:p>
        </w:tc>
        <w:tc>
          <w:tcPr>
            <w:tcW w:w="1455" w:type="dxa"/>
            <w:vMerge w:val="restart"/>
            <w:shd w:val="clear" w:color="auto" w:fill="auto"/>
            <w:vAlign w:val="center"/>
          </w:tcPr>
          <w:p>
            <w:pPr>
              <w:jc w:val="center"/>
              <w:rPr>
                <w:rFonts w:cs="宋体" w:asciiTheme="minorEastAsia" w:hAnsiTheme="minorEastAsia"/>
                <w:kern w:val="0"/>
                <w:szCs w:val="21"/>
              </w:rPr>
            </w:pPr>
            <w:r>
              <w:rPr>
                <w:rFonts w:hint="eastAsia" w:asciiTheme="minorEastAsia" w:hAnsiTheme="minorEastAsia"/>
                <w:szCs w:val="21"/>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vMerge w:val="continue"/>
            <w:shd w:val="clear" w:color="auto" w:fill="auto"/>
            <w:vAlign w:val="center"/>
          </w:tcPr>
          <w:p>
            <w:pPr>
              <w:rPr>
                <w:rFonts w:asciiTheme="minorEastAsia" w:hAnsiTheme="minorEastAsia"/>
                <w:szCs w:val="21"/>
              </w:rPr>
            </w:pPr>
          </w:p>
        </w:tc>
        <w:tc>
          <w:tcPr>
            <w:tcW w:w="1294" w:type="dxa"/>
            <w:vMerge w:val="continue"/>
            <w:shd w:val="clear" w:color="auto" w:fill="auto"/>
            <w:vAlign w:val="center"/>
          </w:tcPr>
          <w:p>
            <w:pPr>
              <w:rPr>
                <w:rFonts w:cs="宋体" w:asciiTheme="minorEastAsia" w:hAnsiTheme="minorEastAsia"/>
                <w:kern w:val="0"/>
                <w:szCs w:val="21"/>
              </w:rPr>
            </w:pPr>
          </w:p>
        </w:tc>
        <w:tc>
          <w:tcPr>
            <w:tcW w:w="2336"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付款条款</w:t>
            </w:r>
          </w:p>
        </w:tc>
        <w:tc>
          <w:tcPr>
            <w:tcW w:w="4120"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满足标准合同要求</w:t>
            </w:r>
          </w:p>
        </w:tc>
        <w:tc>
          <w:tcPr>
            <w:tcW w:w="1455" w:type="dxa"/>
            <w:vMerge w:val="continue"/>
            <w:shd w:val="clear" w:color="auto" w:fill="auto"/>
            <w:noWrap/>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vMerge w:val="continue"/>
            <w:shd w:val="clear" w:color="auto" w:fill="auto"/>
            <w:vAlign w:val="center"/>
          </w:tcPr>
          <w:p>
            <w:pPr>
              <w:rPr>
                <w:rFonts w:asciiTheme="minorEastAsia" w:hAnsiTheme="minorEastAsia"/>
                <w:szCs w:val="21"/>
              </w:rPr>
            </w:pPr>
          </w:p>
        </w:tc>
        <w:tc>
          <w:tcPr>
            <w:tcW w:w="1294" w:type="dxa"/>
            <w:vMerge w:val="continue"/>
            <w:shd w:val="clear" w:color="auto" w:fill="auto"/>
            <w:vAlign w:val="center"/>
          </w:tcPr>
          <w:p>
            <w:pPr>
              <w:rPr>
                <w:rFonts w:cs="宋体" w:asciiTheme="minorEastAsia" w:hAnsiTheme="minorEastAsia"/>
                <w:kern w:val="0"/>
                <w:szCs w:val="21"/>
              </w:rPr>
            </w:pPr>
          </w:p>
        </w:tc>
        <w:tc>
          <w:tcPr>
            <w:tcW w:w="2336"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保密</w:t>
            </w:r>
          </w:p>
        </w:tc>
        <w:tc>
          <w:tcPr>
            <w:tcW w:w="4120"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满足标准合同要求</w:t>
            </w:r>
          </w:p>
        </w:tc>
        <w:tc>
          <w:tcPr>
            <w:tcW w:w="1455" w:type="dxa"/>
            <w:vMerge w:val="continue"/>
            <w:shd w:val="clear" w:color="auto" w:fill="auto"/>
            <w:noWrap/>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vMerge w:val="continue"/>
            <w:shd w:val="clear" w:color="auto" w:fill="auto"/>
            <w:vAlign w:val="center"/>
          </w:tcPr>
          <w:p>
            <w:pPr>
              <w:rPr>
                <w:rFonts w:asciiTheme="minorEastAsia" w:hAnsiTheme="minorEastAsia"/>
                <w:szCs w:val="21"/>
              </w:rPr>
            </w:pPr>
          </w:p>
        </w:tc>
        <w:tc>
          <w:tcPr>
            <w:tcW w:w="1294" w:type="dxa"/>
            <w:vMerge w:val="continue"/>
            <w:shd w:val="clear" w:color="auto" w:fill="auto"/>
            <w:vAlign w:val="center"/>
          </w:tcPr>
          <w:p>
            <w:pPr>
              <w:rPr>
                <w:rFonts w:cs="宋体" w:asciiTheme="minorEastAsia" w:hAnsiTheme="minorEastAsia"/>
                <w:kern w:val="0"/>
                <w:szCs w:val="21"/>
              </w:rPr>
            </w:pPr>
          </w:p>
        </w:tc>
        <w:tc>
          <w:tcPr>
            <w:tcW w:w="2336"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违约责任</w:t>
            </w:r>
          </w:p>
        </w:tc>
        <w:tc>
          <w:tcPr>
            <w:tcW w:w="4120"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满足标准合同要求</w:t>
            </w:r>
          </w:p>
        </w:tc>
        <w:tc>
          <w:tcPr>
            <w:tcW w:w="1455" w:type="dxa"/>
            <w:vMerge w:val="continue"/>
            <w:shd w:val="clear" w:color="auto" w:fill="auto"/>
            <w:noWrap/>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vMerge w:val="continue"/>
            <w:shd w:val="clear" w:color="auto" w:fill="auto"/>
            <w:vAlign w:val="center"/>
          </w:tcPr>
          <w:p>
            <w:pPr>
              <w:rPr>
                <w:rFonts w:asciiTheme="minorEastAsia" w:hAnsiTheme="minorEastAsia"/>
                <w:szCs w:val="21"/>
              </w:rPr>
            </w:pPr>
          </w:p>
        </w:tc>
        <w:tc>
          <w:tcPr>
            <w:tcW w:w="1294" w:type="dxa"/>
            <w:vMerge w:val="continue"/>
            <w:shd w:val="clear" w:color="auto" w:fill="auto"/>
            <w:vAlign w:val="center"/>
          </w:tcPr>
          <w:p>
            <w:pPr>
              <w:rPr>
                <w:rFonts w:cs="宋体" w:asciiTheme="minorEastAsia" w:hAnsiTheme="minorEastAsia"/>
                <w:kern w:val="0"/>
                <w:szCs w:val="21"/>
              </w:rPr>
            </w:pPr>
          </w:p>
        </w:tc>
        <w:tc>
          <w:tcPr>
            <w:tcW w:w="2336"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法律适用和和争议解决</w:t>
            </w:r>
          </w:p>
        </w:tc>
        <w:tc>
          <w:tcPr>
            <w:tcW w:w="4120"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满足标准合同要求</w:t>
            </w:r>
          </w:p>
        </w:tc>
        <w:tc>
          <w:tcPr>
            <w:tcW w:w="1455" w:type="dxa"/>
            <w:vMerge w:val="continue"/>
            <w:shd w:val="clear" w:color="auto" w:fill="auto"/>
            <w:noWrap/>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vMerge w:val="continue"/>
            <w:shd w:val="clear" w:color="auto" w:fill="auto"/>
            <w:vAlign w:val="center"/>
          </w:tcPr>
          <w:p>
            <w:pPr>
              <w:rPr>
                <w:rFonts w:asciiTheme="minorEastAsia" w:hAnsiTheme="minorEastAsia"/>
                <w:szCs w:val="21"/>
              </w:rPr>
            </w:pPr>
          </w:p>
        </w:tc>
        <w:tc>
          <w:tcPr>
            <w:tcW w:w="1294" w:type="dxa"/>
            <w:vMerge w:val="continue"/>
            <w:shd w:val="clear" w:color="auto" w:fill="auto"/>
            <w:vAlign w:val="center"/>
          </w:tcPr>
          <w:p>
            <w:pPr>
              <w:rPr>
                <w:rFonts w:cs="宋体" w:asciiTheme="minorEastAsia" w:hAnsiTheme="minorEastAsia"/>
                <w:kern w:val="0"/>
                <w:szCs w:val="21"/>
              </w:rPr>
            </w:pPr>
          </w:p>
        </w:tc>
        <w:tc>
          <w:tcPr>
            <w:tcW w:w="2336"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其它条款</w:t>
            </w:r>
          </w:p>
        </w:tc>
        <w:tc>
          <w:tcPr>
            <w:tcW w:w="4120" w:type="dxa"/>
            <w:shd w:val="clear" w:color="auto" w:fill="auto"/>
            <w:vAlign w:val="center"/>
          </w:tcPr>
          <w:p>
            <w:pPr>
              <w:rPr>
                <w:rFonts w:cs="宋体" w:asciiTheme="minorEastAsia" w:hAnsiTheme="minorEastAsia"/>
                <w:kern w:val="0"/>
                <w:szCs w:val="21"/>
              </w:rPr>
            </w:pPr>
            <w:r>
              <w:rPr>
                <w:rFonts w:hint="eastAsia" w:cs="宋体" w:asciiTheme="minorEastAsia" w:hAnsiTheme="minorEastAsia"/>
                <w:kern w:val="0"/>
                <w:szCs w:val="21"/>
              </w:rPr>
              <w:t>是否有偏离，偏离是否可接受</w:t>
            </w:r>
          </w:p>
        </w:tc>
        <w:tc>
          <w:tcPr>
            <w:tcW w:w="1455" w:type="dxa"/>
            <w:vMerge w:val="continue"/>
            <w:shd w:val="clear" w:color="auto" w:fill="auto"/>
            <w:noWrap/>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2"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12</w:t>
            </w:r>
          </w:p>
        </w:tc>
        <w:tc>
          <w:tcPr>
            <w:tcW w:w="1294"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商务偏离</w:t>
            </w:r>
          </w:p>
        </w:tc>
        <w:tc>
          <w:tcPr>
            <w:tcW w:w="2336" w:type="dxa"/>
            <w:shd w:val="clear" w:color="auto" w:fill="auto"/>
            <w:vAlign w:val="center"/>
          </w:tcPr>
          <w:p>
            <w:pPr>
              <w:jc w:val="left"/>
              <w:rPr>
                <w:rFonts w:asciiTheme="minorEastAsia" w:hAnsiTheme="minorEastAsia"/>
                <w:szCs w:val="21"/>
              </w:rPr>
            </w:pPr>
            <w:r>
              <w:rPr>
                <w:rFonts w:hint="eastAsia" w:asciiTheme="minorEastAsia" w:hAnsiTheme="minorEastAsia"/>
                <w:szCs w:val="21"/>
              </w:rPr>
              <w:t>是否有其它商务偏离</w:t>
            </w:r>
            <w:r>
              <w:rPr>
                <w:rFonts w:hint="eastAsia" w:asciiTheme="minorEastAsia" w:hAnsiTheme="minorEastAsia"/>
                <w:szCs w:val="21"/>
              </w:rPr>
              <w:tab/>
            </w:r>
          </w:p>
        </w:tc>
        <w:tc>
          <w:tcPr>
            <w:tcW w:w="4120" w:type="dxa"/>
            <w:shd w:val="clear" w:color="auto" w:fill="auto"/>
            <w:vAlign w:val="center"/>
          </w:tcPr>
          <w:p>
            <w:pPr>
              <w:rPr>
                <w:rFonts w:asciiTheme="minorEastAsia" w:hAnsiTheme="minorEastAsia"/>
                <w:szCs w:val="21"/>
              </w:rPr>
            </w:pPr>
            <w:r>
              <w:rPr>
                <w:rFonts w:hint="eastAsia" w:asciiTheme="minorEastAsia" w:hAnsiTheme="minorEastAsia"/>
                <w:szCs w:val="21"/>
              </w:rPr>
              <w:t>是否有偏离，偏离是否可接受</w:t>
            </w:r>
          </w:p>
        </w:tc>
        <w:tc>
          <w:tcPr>
            <w:tcW w:w="1455" w:type="dxa"/>
            <w:shd w:val="clear" w:color="auto" w:fill="auto"/>
            <w:noWrap/>
            <w:vAlign w:val="center"/>
          </w:tcPr>
          <w:p>
            <w:pPr>
              <w:jc w:val="center"/>
              <w:rPr>
                <w:rFonts w:asciiTheme="minorEastAsia" w:hAnsiTheme="minorEastAsia"/>
                <w:szCs w:val="21"/>
              </w:rPr>
            </w:pPr>
            <w:r>
              <w:rPr>
                <w:rFonts w:hint="eastAsia" w:asciiTheme="minorEastAsia" w:hAnsiTheme="minorEastAsia"/>
                <w:szCs w:val="21"/>
              </w:rPr>
              <w:t>满足/不满足</w:t>
            </w:r>
          </w:p>
        </w:tc>
      </w:tr>
    </w:tbl>
    <w:p/>
    <w:p/>
    <w:p>
      <w:pPr>
        <w:widowControl/>
        <w:jc w:val="left"/>
        <w:rPr>
          <w:rFonts w:ascii="Times New Roman" w:hAnsi="Times New Roman" w:eastAsia="宋体" w:cs="Times New Roman"/>
          <w:b/>
          <w:kern w:val="0"/>
          <w:sz w:val="24"/>
          <w:szCs w:val="20"/>
        </w:rPr>
      </w:pPr>
      <w:r>
        <w:rPr>
          <w:rFonts w:hint="eastAsia"/>
        </w:rPr>
        <w:t>注：上述评议标准，</w:t>
      </w:r>
      <w:r>
        <w:rPr>
          <w:rFonts w:hint="eastAsia" w:cs="宋体" w:asciiTheme="minorEastAsia" w:hAnsiTheme="minorEastAsia"/>
          <w:kern w:val="0"/>
          <w:szCs w:val="21"/>
        </w:rPr>
        <w:t>★项为不可偏离项；合同条款有</w:t>
      </w:r>
      <w:r>
        <w:t>2</w:t>
      </w:r>
      <w:r>
        <w:rPr>
          <w:rFonts w:hint="eastAsia"/>
        </w:rPr>
        <w:t>项（含）及以上偏离且偏离不可接受，视为商务评议“不合格”。</w:t>
      </w:r>
      <w:r>
        <w:br w:type="page"/>
      </w:r>
    </w:p>
    <w:p>
      <w:pPr>
        <w:pStyle w:val="5"/>
        <w:spacing w:before="0" w:after="0" w:line="360" w:lineRule="auto"/>
        <w:ind w:hanging="425"/>
        <w:rPr>
          <w:lang w:eastAsia="zh-CN"/>
        </w:rPr>
      </w:pPr>
      <w:r>
        <w:rPr>
          <w:rFonts w:hint="eastAsia"/>
          <w:lang w:eastAsia="zh-CN"/>
        </w:rPr>
        <w:t>附表3</w:t>
      </w:r>
      <w:r>
        <w:rPr>
          <w:lang w:eastAsia="zh-CN"/>
        </w:rPr>
        <w:t>.</w:t>
      </w:r>
      <w:r>
        <w:rPr>
          <w:rFonts w:hint="eastAsia"/>
          <w:lang w:eastAsia="zh-CN"/>
        </w:rPr>
        <w:t>4-3：</w:t>
      </w:r>
      <w:r>
        <w:rPr>
          <w:lang w:eastAsia="zh-CN"/>
        </w:rPr>
        <w:t>技术评议标准</w:t>
      </w:r>
    </w:p>
    <w:p/>
    <w:tbl>
      <w:tblPr>
        <w:tblStyle w:val="46"/>
        <w:tblW w:w="5288"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93"/>
        <w:gridCol w:w="558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729" w:type="dxa"/>
            <w:shd w:val="clear" w:color="auto" w:fill="auto"/>
            <w:vAlign w:val="center"/>
          </w:tcPr>
          <w:p>
            <w:pPr>
              <w:jc w:val="center"/>
              <w:rPr>
                <w:rFonts w:cs="宋体" w:asciiTheme="minorEastAsia" w:hAnsiTheme="minorEastAsia"/>
                <w:b/>
                <w:szCs w:val="21"/>
              </w:rPr>
            </w:pPr>
            <w:r>
              <w:rPr>
                <w:rFonts w:hint="eastAsia" w:cs="宋体" w:asciiTheme="minorEastAsia" w:hAnsiTheme="minorEastAsia"/>
                <w:b/>
                <w:szCs w:val="21"/>
              </w:rPr>
              <w:t>序号</w:t>
            </w:r>
          </w:p>
        </w:tc>
        <w:tc>
          <w:tcPr>
            <w:tcW w:w="1773" w:type="dxa"/>
            <w:shd w:val="clear" w:color="auto" w:fill="auto"/>
            <w:vAlign w:val="center"/>
          </w:tcPr>
          <w:p>
            <w:pPr>
              <w:jc w:val="center"/>
              <w:rPr>
                <w:rFonts w:cs="宋体" w:asciiTheme="minorEastAsia" w:hAnsiTheme="minorEastAsia"/>
                <w:b/>
                <w:szCs w:val="21"/>
              </w:rPr>
            </w:pPr>
            <w:r>
              <w:rPr>
                <w:rFonts w:hint="eastAsia" w:cs="宋体" w:asciiTheme="minorEastAsia" w:hAnsiTheme="minorEastAsia"/>
                <w:b/>
                <w:szCs w:val="21"/>
              </w:rPr>
              <w:t>评审项</w:t>
            </w:r>
          </w:p>
        </w:tc>
        <w:tc>
          <w:tcPr>
            <w:tcW w:w="6300" w:type="dxa"/>
            <w:shd w:val="clear" w:color="auto" w:fill="auto"/>
            <w:vAlign w:val="center"/>
          </w:tcPr>
          <w:p>
            <w:pPr>
              <w:jc w:val="center"/>
              <w:rPr>
                <w:rFonts w:cs="宋体" w:asciiTheme="minorEastAsia" w:hAnsiTheme="minorEastAsia"/>
                <w:b/>
                <w:szCs w:val="21"/>
              </w:rPr>
            </w:pPr>
            <w:r>
              <w:rPr>
                <w:rFonts w:hint="eastAsia" w:asciiTheme="minorEastAsia" w:hAnsiTheme="minorEastAsia"/>
                <w:b/>
                <w:szCs w:val="21"/>
              </w:rPr>
              <w:t>评审</w:t>
            </w:r>
            <w:r>
              <w:rPr>
                <w:rFonts w:asciiTheme="minorEastAsia" w:hAnsiTheme="minorEastAsia"/>
                <w:b/>
                <w:szCs w:val="21"/>
              </w:rPr>
              <w:t>标准</w:t>
            </w:r>
          </w:p>
        </w:tc>
        <w:tc>
          <w:tcPr>
            <w:tcW w:w="1404" w:type="dxa"/>
            <w:shd w:val="clear" w:color="auto" w:fill="auto"/>
            <w:vAlign w:val="center"/>
          </w:tcPr>
          <w:p>
            <w:pPr>
              <w:jc w:val="center"/>
              <w:rPr>
                <w:rFonts w:cs="宋体" w:asciiTheme="minorEastAsia" w:hAnsiTheme="minorEastAsia"/>
                <w:b/>
                <w:szCs w:val="21"/>
              </w:rPr>
            </w:pPr>
            <w:r>
              <w:rPr>
                <w:rFonts w:hint="eastAsia" w:cs="宋体" w:asciiTheme="minorEastAsia" w:hAnsiTheme="minorEastAsia"/>
                <w:b/>
                <w:szCs w:val="21"/>
              </w:rPr>
              <w:t>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blHeader/>
        </w:trPr>
        <w:tc>
          <w:tcPr>
            <w:tcW w:w="729" w:type="dxa"/>
            <w:shd w:val="clear" w:color="auto" w:fill="auto"/>
            <w:vAlign w:val="center"/>
          </w:tcPr>
          <w:p>
            <w:pPr>
              <w:jc w:val="center"/>
              <w:rPr>
                <w:rFonts w:cs="宋体" w:asciiTheme="minorEastAsia" w:hAnsiTheme="minorEastAsia"/>
                <w:szCs w:val="21"/>
              </w:rPr>
            </w:pPr>
            <w:r>
              <w:rPr>
                <w:rFonts w:hint="eastAsia" w:cs="宋体" w:asciiTheme="minorEastAsia" w:hAnsiTheme="minorEastAsia"/>
                <w:szCs w:val="21"/>
              </w:rPr>
              <w:t>1</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Arial"/>
                <w:szCs w:val="21"/>
              </w:rPr>
            </w:pPr>
            <w:r>
              <w:rPr>
                <w:rFonts w:hint="eastAsia" w:cs="Arial"/>
                <w:szCs w:val="21"/>
              </w:rPr>
              <w:t>★技术力量</w:t>
            </w:r>
          </w:p>
        </w:tc>
        <w:tc>
          <w:tcPr>
            <w:tcW w:w="6300" w:type="dxa"/>
            <w:tcBorders>
              <w:top w:val="single" w:color="auto" w:sz="4" w:space="0"/>
              <w:left w:val="nil"/>
              <w:bottom w:val="single" w:color="auto" w:sz="4" w:space="0"/>
              <w:right w:val="single" w:color="auto" w:sz="4" w:space="0"/>
            </w:tcBorders>
            <w:shd w:val="clear" w:color="auto" w:fill="auto"/>
            <w:vAlign w:val="center"/>
          </w:tcPr>
          <w:p>
            <w:pPr>
              <w:numPr>
                <w:ilvl w:val="255"/>
                <w:numId w:val="0"/>
              </w:numPr>
              <w:jc w:val="left"/>
              <w:rPr>
                <w:rFonts w:cs="Arial"/>
              </w:rPr>
            </w:pPr>
            <w:r>
              <w:rPr>
                <w:rFonts w:hint="eastAsia" w:cs="Arial"/>
              </w:rPr>
              <w:t>乙方根据“工作要求和内容”中的“技术要求”开展工作：</w:t>
            </w:r>
          </w:p>
          <w:p>
            <w:pPr>
              <w:numPr>
                <w:ilvl w:val="0"/>
                <w:numId w:val="41"/>
              </w:numPr>
              <w:jc w:val="left"/>
              <w:rPr>
                <w:rFonts w:cs="Arial"/>
              </w:rPr>
            </w:pPr>
            <w:r>
              <w:rPr>
                <w:rFonts w:hint="eastAsia" w:cs="Arial"/>
              </w:rPr>
              <w:t>乙方人员能严格按照服务质量标准进行保洁服务，签订垃圾清运合同完成垃圾清运和相关费用；</w:t>
            </w:r>
          </w:p>
          <w:p>
            <w:pPr>
              <w:numPr>
                <w:ilvl w:val="0"/>
                <w:numId w:val="41"/>
              </w:numPr>
              <w:jc w:val="left"/>
              <w:rPr>
                <w:rFonts w:cs="Arial"/>
              </w:rPr>
            </w:pPr>
            <w:r>
              <w:rPr>
                <w:rFonts w:hint="eastAsia" w:cs="Arial"/>
              </w:rPr>
              <w:t>乙方人员能严格按照二级养护质量标准对服务范围的绿植进行养护；</w:t>
            </w:r>
          </w:p>
          <w:p>
            <w:pPr>
              <w:numPr>
                <w:ilvl w:val="0"/>
                <w:numId w:val="41"/>
              </w:numPr>
              <w:jc w:val="left"/>
              <w:rPr>
                <w:rFonts w:cs="Arial"/>
              </w:rPr>
            </w:pPr>
            <w:r>
              <w:rPr>
                <w:rFonts w:hint="eastAsia" w:cs="Arial"/>
              </w:rPr>
              <w:t>乙方能够建立安全管理机构和应急管理机构，明确负责人、各专业人员的责任，能够做好职责内的安全工作，能确保基地监控安防系统运行正常，能严格按要求巡逻，对问题能进行详细记录和工作交接，能够按照安全、应急、消防管理要求组织检查应急疏散和演练；</w:t>
            </w:r>
          </w:p>
          <w:p>
            <w:pPr>
              <w:numPr>
                <w:ilvl w:val="0"/>
                <w:numId w:val="41"/>
              </w:numPr>
              <w:jc w:val="left"/>
              <w:rPr>
                <w:rFonts w:cs="Arial"/>
              </w:rPr>
            </w:pPr>
            <w:r>
              <w:rPr>
                <w:rFonts w:hint="eastAsia" w:cs="Arial"/>
              </w:rPr>
              <w:t>乙方人员能识别设备故障和隐患情况，能进行一般性维修，能提出相关维修建议,对设备进行基础性的维护保养；</w:t>
            </w:r>
          </w:p>
          <w:p>
            <w:pPr>
              <w:numPr>
                <w:ilvl w:val="0"/>
                <w:numId w:val="41"/>
              </w:numPr>
              <w:jc w:val="left"/>
              <w:rPr>
                <w:rFonts w:cs="Arial"/>
              </w:rPr>
            </w:pPr>
            <w:r>
              <w:rPr>
                <w:rFonts w:hint="eastAsia" w:cs="Arial"/>
              </w:rPr>
              <w:t>乙方人员每年完成电梯和防雷设施检测检修，每三年完成配电房设备的检测，期间的合同采办和检测检修费用由乙方负责；</w:t>
            </w:r>
          </w:p>
          <w:p>
            <w:pPr>
              <w:numPr>
                <w:ilvl w:val="0"/>
                <w:numId w:val="41"/>
              </w:numPr>
              <w:jc w:val="left"/>
              <w:rPr>
                <w:rFonts w:cs="Arial"/>
              </w:rPr>
            </w:pPr>
            <w:r>
              <w:rPr>
                <w:rFonts w:hint="eastAsia" w:cs="Arial"/>
              </w:rPr>
              <w:t>乙方能提供甲方必要的办公用品；</w:t>
            </w:r>
          </w:p>
          <w:p>
            <w:pPr>
              <w:jc w:val="left"/>
              <w:rPr>
                <w:rFonts w:cs="Arial"/>
                <w:szCs w:val="21"/>
              </w:rPr>
            </w:pPr>
            <w:r>
              <w:rPr>
                <w:rFonts w:hint="eastAsia" w:cs="Arial"/>
              </w:rPr>
              <w:t>乙方能根据甲方的计划外服务通知单开展工作。</w:t>
            </w:r>
          </w:p>
        </w:tc>
        <w:tc>
          <w:tcPr>
            <w:tcW w:w="1404" w:type="dxa"/>
            <w:shd w:val="clear" w:color="auto" w:fill="auto"/>
            <w:vAlign w:val="center"/>
          </w:tcPr>
          <w:p>
            <w:pPr>
              <w:jc w:val="center"/>
              <w:rPr>
                <w:rFonts w:cs="宋体" w:asciiTheme="minorEastAsia" w:hAnsiTheme="minorEastAsia"/>
                <w:b/>
                <w:szCs w:val="21"/>
              </w:rPr>
            </w:pPr>
            <w:r>
              <w:rPr>
                <w:rFonts w:hint="eastAsia" w:asciiTheme="minorEastAsia" w:hAnsiTheme="minorEastAsia"/>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blHeader/>
        </w:trPr>
        <w:tc>
          <w:tcPr>
            <w:tcW w:w="72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2</w:t>
            </w:r>
          </w:p>
        </w:tc>
        <w:tc>
          <w:tcPr>
            <w:tcW w:w="1773" w:type="dxa"/>
            <w:tcBorders>
              <w:top w:val="nil"/>
              <w:left w:val="single" w:color="auto" w:sz="4" w:space="0"/>
              <w:bottom w:val="single" w:color="auto" w:sz="4" w:space="0"/>
              <w:right w:val="single" w:color="auto" w:sz="4" w:space="0"/>
            </w:tcBorders>
            <w:shd w:val="clear" w:color="auto" w:fill="auto"/>
            <w:vAlign w:val="center"/>
          </w:tcPr>
          <w:p>
            <w:pPr>
              <w:jc w:val="center"/>
              <w:rPr>
                <w:rFonts w:cs="Arial"/>
                <w:szCs w:val="21"/>
              </w:rPr>
            </w:pPr>
            <w:r>
              <w:rPr>
                <w:rFonts w:hint="eastAsia" w:cs="Arial"/>
                <w:szCs w:val="21"/>
              </w:rPr>
              <w:t>★服务响应和保障</w:t>
            </w:r>
          </w:p>
        </w:tc>
        <w:tc>
          <w:tcPr>
            <w:tcW w:w="6300" w:type="dxa"/>
            <w:tcBorders>
              <w:top w:val="nil"/>
              <w:left w:val="nil"/>
              <w:bottom w:val="single" w:color="auto" w:sz="4" w:space="0"/>
              <w:right w:val="single" w:color="auto" w:sz="4" w:space="0"/>
            </w:tcBorders>
            <w:shd w:val="clear" w:color="auto" w:fill="auto"/>
            <w:vAlign w:val="center"/>
          </w:tcPr>
          <w:p>
            <w:pPr>
              <w:jc w:val="left"/>
              <w:rPr>
                <w:rFonts w:cs="Arial"/>
                <w:szCs w:val="21"/>
              </w:rPr>
            </w:pPr>
            <w:r>
              <w:rPr>
                <w:rFonts w:hint="eastAsia" w:cs="Arial"/>
              </w:rPr>
              <w:t>应急事件立即响应，2小时响应服务，24小时全时段服务，365天全天候服务。</w:t>
            </w:r>
          </w:p>
        </w:tc>
        <w:tc>
          <w:tcPr>
            <w:tcW w:w="1404" w:type="dxa"/>
            <w:shd w:val="clear" w:color="auto" w:fill="auto"/>
            <w:vAlign w:val="center"/>
          </w:tcPr>
          <w:p>
            <w:pPr>
              <w:jc w:val="center"/>
              <w:rPr>
                <w:rFonts w:asciiTheme="minorEastAsia" w:hAnsiTheme="minorEastAsia"/>
                <w:szCs w:val="21"/>
              </w:rPr>
            </w:pPr>
            <w:r>
              <w:rPr>
                <w:rFonts w:hint="eastAsia" w:cs="宋体" w:asciiTheme="minorEastAsia" w:hAnsiTheme="minorEastAsia"/>
                <w:szCs w:val="21"/>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72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3</w:t>
            </w:r>
          </w:p>
        </w:tc>
        <w:tc>
          <w:tcPr>
            <w:tcW w:w="1773" w:type="dxa"/>
            <w:tcBorders>
              <w:top w:val="nil"/>
              <w:left w:val="single" w:color="auto" w:sz="4" w:space="0"/>
              <w:bottom w:val="single" w:color="auto" w:sz="4" w:space="0"/>
              <w:right w:val="single" w:color="auto" w:sz="4" w:space="0"/>
            </w:tcBorders>
            <w:shd w:val="clear" w:color="auto" w:fill="auto"/>
            <w:vAlign w:val="center"/>
          </w:tcPr>
          <w:p>
            <w:pPr>
              <w:jc w:val="center"/>
              <w:rPr>
                <w:rFonts w:cs="Arial"/>
                <w:szCs w:val="21"/>
              </w:rPr>
            </w:pPr>
            <w:r>
              <w:rPr>
                <w:rFonts w:hint="eastAsia" w:cs="Arial"/>
                <w:szCs w:val="21"/>
              </w:rPr>
              <w:t>★质量保障</w:t>
            </w:r>
          </w:p>
        </w:tc>
        <w:tc>
          <w:tcPr>
            <w:tcW w:w="6300" w:type="dxa"/>
            <w:tcBorders>
              <w:top w:val="nil"/>
              <w:left w:val="nil"/>
              <w:bottom w:val="single" w:color="auto" w:sz="4" w:space="0"/>
              <w:right w:val="single" w:color="auto" w:sz="4" w:space="0"/>
            </w:tcBorders>
            <w:shd w:val="clear" w:color="auto" w:fill="auto"/>
            <w:vAlign w:val="center"/>
          </w:tcPr>
          <w:p>
            <w:pPr>
              <w:jc w:val="left"/>
              <w:rPr>
                <w:rFonts w:cs="Arial"/>
                <w:szCs w:val="21"/>
              </w:rPr>
            </w:pPr>
            <w:r>
              <w:rPr>
                <w:rFonts w:hint="eastAsia" w:cs="Arial"/>
              </w:rPr>
              <w:t>承诺所有服务满足技术要求中的服务标准。</w:t>
            </w:r>
          </w:p>
        </w:tc>
        <w:tc>
          <w:tcPr>
            <w:tcW w:w="1404" w:type="dxa"/>
            <w:shd w:val="clear" w:color="auto" w:fill="auto"/>
            <w:vAlign w:val="center"/>
          </w:tcPr>
          <w:p>
            <w:pPr>
              <w:jc w:val="center"/>
              <w:rPr>
                <w:rFonts w:asciiTheme="minorEastAsia" w:hAnsiTheme="minorEastAsia"/>
                <w:szCs w:val="21"/>
              </w:rPr>
            </w:pPr>
            <w:r>
              <w:rPr>
                <w:rFonts w:hint="eastAsia" w:cs="宋体" w:asciiTheme="minorEastAsia" w:hAnsiTheme="minorEastAsia"/>
                <w:szCs w:val="21"/>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72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5</w:t>
            </w:r>
          </w:p>
        </w:tc>
        <w:tc>
          <w:tcPr>
            <w:tcW w:w="1773" w:type="dxa"/>
            <w:tcBorders>
              <w:top w:val="nil"/>
              <w:left w:val="single" w:color="auto" w:sz="4" w:space="0"/>
              <w:bottom w:val="single" w:color="auto" w:sz="4" w:space="0"/>
              <w:right w:val="single" w:color="auto" w:sz="4" w:space="0"/>
            </w:tcBorders>
            <w:shd w:val="clear" w:color="auto" w:fill="auto"/>
            <w:vAlign w:val="center"/>
          </w:tcPr>
          <w:p>
            <w:pPr>
              <w:jc w:val="center"/>
              <w:rPr>
                <w:rFonts w:cs="Arial"/>
                <w:szCs w:val="21"/>
              </w:rPr>
            </w:pPr>
            <w:r>
              <w:rPr>
                <w:rFonts w:hint="eastAsia" w:cs="宋体" w:asciiTheme="minorEastAsia" w:hAnsiTheme="minorEastAsia"/>
                <w:kern w:val="0"/>
                <w:szCs w:val="21"/>
              </w:rPr>
              <w:t>★</w:t>
            </w:r>
            <w:r>
              <w:rPr>
                <w:rFonts w:ascii="Arial" w:hAnsi="Arial" w:cs="Arial"/>
                <w:szCs w:val="21"/>
              </w:rPr>
              <w:t>技术偏离</w:t>
            </w:r>
          </w:p>
        </w:tc>
        <w:tc>
          <w:tcPr>
            <w:tcW w:w="6300" w:type="dxa"/>
            <w:tcBorders>
              <w:top w:val="nil"/>
              <w:left w:val="nil"/>
              <w:bottom w:val="single" w:color="auto" w:sz="4" w:space="0"/>
              <w:right w:val="single" w:color="auto" w:sz="4" w:space="0"/>
            </w:tcBorders>
            <w:shd w:val="clear" w:color="auto" w:fill="auto"/>
            <w:vAlign w:val="center"/>
          </w:tcPr>
          <w:p>
            <w:pPr>
              <w:jc w:val="left"/>
              <w:rPr>
                <w:rFonts w:ascii="Arial" w:hAnsi="Arial" w:cs="Arial"/>
                <w:szCs w:val="21"/>
              </w:rPr>
            </w:pPr>
            <w:r>
              <w:rPr>
                <w:rFonts w:hint="eastAsia" w:ascii="Arial" w:hAnsi="Arial" w:cs="Arial"/>
                <w:szCs w:val="21"/>
              </w:rPr>
              <w:t>是否有技术偏离，偏离是否可接受</w:t>
            </w:r>
          </w:p>
        </w:tc>
        <w:tc>
          <w:tcPr>
            <w:tcW w:w="1404" w:type="dxa"/>
            <w:shd w:val="clear" w:color="auto" w:fill="auto"/>
            <w:vAlign w:val="center"/>
          </w:tcPr>
          <w:p>
            <w:pPr>
              <w:jc w:val="center"/>
              <w:rPr>
                <w:rFonts w:asciiTheme="minorEastAsia" w:hAnsiTheme="minorEastAsia"/>
                <w:szCs w:val="21"/>
              </w:rPr>
            </w:pPr>
            <w:r>
              <w:rPr>
                <w:rFonts w:hint="eastAsia" w:cs="宋体" w:asciiTheme="minorEastAsia" w:hAnsiTheme="minorEastAsia"/>
                <w:szCs w:val="21"/>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blHeader/>
        </w:trPr>
        <w:tc>
          <w:tcPr>
            <w:tcW w:w="72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6</w:t>
            </w:r>
          </w:p>
        </w:tc>
        <w:tc>
          <w:tcPr>
            <w:tcW w:w="1773"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Cs w:val="21"/>
              </w:rPr>
            </w:pPr>
            <w:r>
              <w:rPr>
                <w:rFonts w:hint="eastAsia" w:cs="Arial"/>
                <w:szCs w:val="21"/>
              </w:rPr>
              <w:t>★增值服务</w:t>
            </w:r>
          </w:p>
        </w:tc>
        <w:tc>
          <w:tcPr>
            <w:tcW w:w="6300" w:type="dxa"/>
            <w:tcBorders>
              <w:top w:val="nil"/>
              <w:left w:val="nil"/>
              <w:bottom w:val="single" w:color="auto" w:sz="4" w:space="0"/>
              <w:right w:val="single" w:color="auto" w:sz="4" w:space="0"/>
            </w:tcBorders>
            <w:shd w:val="clear" w:color="auto" w:fill="auto"/>
            <w:vAlign w:val="center"/>
          </w:tcPr>
          <w:p>
            <w:pPr>
              <w:jc w:val="left"/>
              <w:rPr>
                <w:rFonts w:ascii="Arial" w:hAnsi="Arial" w:cs="Arial"/>
                <w:szCs w:val="21"/>
              </w:rPr>
            </w:pPr>
            <w:r>
              <w:rPr>
                <w:rFonts w:hint="eastAsia" w:cs="Arial"/>
              </w:rPr>
              <w:t>所辖地方政府新增要求的安全、环保、节能等相关委托代理工作。</w:t>
            </w:r>
          </w:p>
        </w:tc>
        <w:tc>
          <w:tcPr>
            <w:tcW w:w="1404" w:type="dxa"/>
            <w:shd w:val="clear" w:color="auto" w:fill="auto"/>
            <w:vAlign w:val="center"/>
          </w:tcPr>
          <w:p>
            <w:pPr>
              <w:jc w:val="center"/>
              <w:rPr>
                <w:rFonts w:asciiTheme="minorEastAsia" w:hAnsiTheme="minorEastAsia"/>
                <w:szCs w:val="21"/>
              </w:rPr>
            </w:pPr>
            <w:r>
              <w:rPr>
                <w:rFonts w:hint="eastAsia" w:cs="宋体" w:asciiTheme="minorEastAsia" w:hAnsiTheme="minorEastAsia"/>
                <w:szCs w:val="21"/>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trPr>
        <w:tc>
          <w:tcPr>
            <w:tcW w:w="72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7</w:t>
            </w:r>
          </w:p>
        </w:tc>
        <w:tc>
          <w:tcPr>
            <w:tcW w:w="1773"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szCs w:val="21"/>
              </w:rPr>
            </w:pPr>
            <w:r>
              <w:rPr>
                <w:rFonts w:hint="eastAsia" w:ascii="Arial" w:hAnsi="Arial" w:cs="Arial"/>
                <w:szCs w:val="21"/>
              </w:rPr>
              <w:t>合理化建议</w:t>
            </w:r>
          </w:p>
        </w:tc>
        <w:tc>
          <w:tcPr>
            <w:tcW w:w="6300" w:type="dxa"/>
            <w:tcBorders>
              <w:top w:val="nil"/>
              <w:left w:val="nil"/>
              <w:bottom w:val="single" w:color="auto" w:sz="4" w:space="0"/>
              <w:right w:val="single" w:color="auto" w:sz="4" w:space="0"/>
            </w:tcBorders>
            <w:shd w:val="clear" w:color="auto" w:fill="auto"/>
            <w:vAlign w:val="center"/>
          </w:tcPr>
          <w:p>
            <w:pPr>
              <w:jc w:val="left"/>
              <w:rPr>
                <w:rFonts w:ascii="Arial" w:hAnsi="Arial" w:cs="Arial"/>
                <w:szCs w:val="21"/>
              </w:rPr>
            </w:pPr>
            <w:r>
              <w:rPr>
                <w:rFonts w:hint="eastAsia" w:ascii="Arial" w:hAnsi="Arial" w:cs="Arial"/>
                <w:szCs w:val="21"/>
              </w:rPr>
              <w:t>可加以描述</w:t>
            </w:r>
          </w:p>
        </w:tc>
        <w:tc>
          <w:tcPr>
            <w:tcW w:w="1404"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采纳/不采纳</w:t>
            </w:r>
          </w:p>
        </w:tc>
      </w:tr>
    </w:tbl>
    <w:p>
      <w:r>
        <w:rPr>
          <w:rFonts w:hint="eastAsia"/>
        </w:rPr>
        <w:t>注：上述评议标准，</w:t>
      </w:r>
      <w:r>
        <w:rPr>
          <w:rFonts w:hint="eastAsia" w:cs="宋体" w:asciiTheme="minorEastAsia" w:hAnsiTheme="minorEastAsia"/>
          <w:kern w:val="0"/>
          <w:szCs w:val="21"/>
        </w:rPr>
        <w:t>★项为不可偏离项；</w:t>
      </w:r>
      <w:r>
        <w:rPr>
          <w:rFonts w:hint="eastAsia"/>
        </w:rPr>
        <w:t>其余议标准</w:t>
      </w:r>
      <w:r>
        <w:rPr>
          <w:rFonts w:hint="eastAsia" w:cs="宋体" w:asciiTheme="minorEastAsia" w:hAnsiTheme="minorEastAsia"/>
          <w:kern w:val="0"/>
          <w:szCs w:val="21"/>
        </w:rPr>
        <w:t>超过</w:t>
      </w:r>
      <w:r>
        <w:rPr>
          <w:rFonts w:cs="宋体" w:asciiTheme="minorEastAsia" w:hAnsiTheme="minorEastAsia"/>
          <w:kern w:val="0"/>
          <w:szCs w:val="21"/>
        </w:rPr>
        <w:t>2</w:t>
      </w:r>
      <w:r>
        <w:rPr>
          <w:rFonts w:hint="eastAsia" w:cs="宋体" w:asciiTheme="minorEastAsia" w:hAnsiTheme="minorEastAsia"/>
          <w:kern w:val="0"/>
          <w:szCs w:val="21"/>
        </w:rPr>
        <w:t>项（含）有</w:t>
      </w:r>
      <w:r>
        <w:rPr>
          <w:rFonts w:hint="eastAsia"/>
        </w:rPr>
        <w:t>偏离且偏离不可接受，视为技术评议“不合格”。</w:t>
      </w:r>
    </w:p>
    <w:p>
      <w:r>
        <w:rPr>
          <w:rFonts w:hint="eastAsia"/>
        </w:rPr>
        <w:br w:type="page"/>
      </w:r>
    </w:p>
    <w:p>
      <w:pPr>
        <w:keepNext/>
        <w:widowControl/>
        <w:numPr>
          <w:ilvl w:val="2"/>
          <w:numId w:val="1"/>
        </w:numPr>
        <w:overflowPunct w:val="0"/>
        <w:autoSpaceDE w:val="0"/>
        <w:autoSpaceDN w:val="0"/>
        <w:adjustRightInd w:val="0"/>
        <w:spacing w:line="360" w:lineRule="auto"/>
        <w:ind w:hanging="425"/>
        <w:jc w:val="left"/>
        <w:textAlignment w:val="baseline"/>
        <w:outlineLvl w:val="2"/>
        <w:rPr>
          <w:rFonts w:ascii="Times New Roman" w:hAnsi="Times New Roman" w:eastAsia="宋体" w:cs="Times New Roman"/>
          <w:b/>
          <w:kern w:val="0"/>
          <w:sz w:val="24"/>
          <w:szCs w:val="20"/>
        </w:rPr>
      </w:pPr>
      <w:r>
        <w:rPr>
          <w:rFonts w:hint="eastAsia" w:ascii="Times New Roman" w:hAnsi="Times New Roman" w:eastAsia="宋体" w:cs="Times New Roman"/>
          <w:b/>
          <w:kern w:val="0"/>
          <w:sz w:val="24"/>
          <w:szCs w:val="20"/>
        </w:rPr>
        <w:t>附表3</w:t>
      </w:r>
      <w:r>
        <w:rPr>
          <w:rFonts w:ascii="Times New Roman" w:hAnsi="Times New Roman" w:eastAsia="宋体" w:cs="Times New Roman"/>
          <w:b/>
          <w:kern w:val="0"/>
          <w:sz w:val="24"/>
          <w:szCs w:val="20"/>
        </w:rPr>
        <w:t>.</w:t>
      </w:r>
      <w:r>
        <w:rPr>
          <w:rFonts w:hint="eastAsia" w:ascii="Times New Roman" w:hAnsi="Times New Roman" w:eastAsia="宋体" w:cs="Times New Roman"/>
          <w:b/>
          <w:kern w:val="0"/>
          <w:sz w:val="24"/>
          <w:szCs w:val="20"/>
        </w:rPr>
        <w:t>4-</w:t>
      </w:r>
      <w:r>
        <w:rPr>
          <w:rFonts w:ascii="Times New Roman" w:hAnsi="Times New Roman" w:eastAsia="宋体" w:cs="Times New Roman"/>
          <w:b/>
          <w:kern w:val="0"/>
          <w:sz w:val="24"/>
          <w:szCs w:val="20"/>
        </w:rPr>
        <w:t>4</w:t>
      </w:r>
      <w:r>
        <w:rPr>
          <w:rFonts w:hint="eastAsia" w:ascii="Times New Roman" w:hAnsi="Times New Roman" w:eastAsia="宋体" w:cs="Times New Roman"/>
          <w:b/>
          <w:kern w:val="0"/>
          <w:sz w:val="24"/>
          <w:szCs w:val="20"/>
        </w:rPr>
        <w:t>：</w:t>
      </w:r>
      <w:r>
        <w:rPr>
          <w:rFonts w:ascii="Times New Roman" w:hAnsi="Times New Roman" w:eastAsia="宋体" w:cs="Times New Roman"/>
          <w:b/>
          <w:kern w:val="0"/>
          <w:sz w:val="24"/>
          <w:szCs w:val="20"/>
        </w:rPr>
        <w:t>价格评议标准</w:t>
      </w:r>
    </w:p>
    <w:p/>
    <w:tbl>
      <w:tblPr>
        <w:tblStyle w:val="46"/>
        <w:tblpPr w:leftFromText="180" w:rightFromText="180" w:horzAnchor="margin" w:tblpX="-717" w:tblpY="675"/>
        <w:tblW w:w="9631" w:type="dxa"/>
        <w:tblInd w:w="0" w:type="dxa"/>
        <w:tblLayout w:type="fixed"/>
        <w:tblCellMar>
          <w:top w:w="0" w:type="dxa"/>
          <w:left w:w="0" w:type="dxa"/>
          <w:bottom w:w="0" w:type="dxa"/>
          <w:right w:w="0" w:type="dxa"/>
        </w:tblCellMar>
      </w:tblPr>
      <w:tblGrid>
        <w:gridCol w:w="2023"/>
        <w:gridCol w:w="2101"/>
        <w:gridCol w:w="5507"/>
      </w:tblGrid>
      <w:tr>
        <w:tblPrEx>
          <w:tblCellMar>
            <w:top w:w="0" w:type="dxa"/>
            <w:left w:w="0" w:type="dxa"/>
            <w:bottom w:w="0" w:type="dxa"/>
            <w:right w:w="0" w:type="dxa"/>
          </w:tblCellMar>
        </w:tblPrEx>
        <w:trPr>
          <w:trHeight w:val="20" w:hRule="atLeast"/>
        </w:trPr>
        <w:tc>
          <w:tcPr>
            <w:tcW w:w="2023" w:type="dxa"/>
            <w:tcBorders>
              <w:top w:val="single" w:color="000000" w:sz="6" w:space="0"/>
              <w:left w:val="single" w:color="000000" w:sz="6" w:space="0"/>
              <w:bottom w:val="single" w:color="000000" w:sz="6" w:space="0"/>
              <w:right w:val="single" w:color="000000" w:sz="6" w:space="0"/>
            </w:tcBorders>
            <w:vAlign w:val="center"/>
          </w:tcPr>
          <w:p>
            <w:pPr>
              <w:pStyle w:val="298"/>
              <w:tabs>
                <w:tab w:val="left" w:pos="142"/>
              </w:tabs>
              <w:ind w:left="105" w:leftChars="50" w:right="105" w:rightChars="50"/>
              <w:jc w:val="center"/>
              <w:rPr>
                <w:rFonts w:ascii="宋体" w:hAnsi="宋体" w:cs="Noto Sans CJK DemiLight"/>
                <w:sz w:val="21"/>
                <w:szCs w:val="21"/>
                <w:lang w:eastAsia="zh-CN"/>
              </w:rPr>
            </w:pPr>
          </w:p>
        </w:tc>
        <w:tc>
          <w:tcPr>
            <w:tcW w:w="2101" w:type="dxa"/>
            <w:tcBorders>
              <w:top w:val="single" w:color="000000" w:sz="6" w:space="0"/>
              <w:left w:val="single" w:color="000000" w:sz="6" w:space="0"/>
              <w:bottom w:val="single" w:color="000000" w:sz="6" w:space="0"/>
              <w:right w:val="single" w:color="000000" w:sz="6" w:space="0"/>
            </w:tcBorders>
            <w:vAlign w:val="center"/>
          </w:tcPr>
          <w:p>
            <w:pPr>
              <w:pStyle w:val="298"/>
              <w:tabs>
                <w:tab w:val="left" w:pos="142"/>
              </w:tabs>
              <w:ind w:left="105" w:leftChars="50" w:right="105" w:rightChars="50"/>
              <w:jc w:val="center"/>
              <w:rPr>
                <w:rFonts w:ascii="宋体" w:hAnsi="宋体" w:cs="Noto Sans CJK DemiLight"/>
                <w:sz w:val="21"/>
                <w:szCs w:val="21"/>
                <w:lang w:eastAsia="zh-CN"/>
              </w:rPr>
            </w:pPr>
            <w:r>
              <w:rPr>
                <w:rFonts w:hint="eastAsia" w:ascii="宋体" w:hAnsi="宋体" w:cs="Noto Sans CJK DemiLight"/>
                <w:sz w:val="21"/>
                <w:szCs w:val="21"/>
                <w:lang w:eastAsia="zh-CN"/>
              </w:rPr>
              <w:t>价格调整因素</w:t>
            </w:r>
          </w:p>
        </w:tc>
        <w:tc>
          <w:tcPr>
            <w:tcW w:w="5507" w:type="dxa"/>
            <w:tcBorders>
              <w:top w:val="single" w:color="000000" w:sz="6" w:space="0"/>
              <w:left w:val="single" w:color="000000" w:sz="6" w:space="0"/>
              <w:bottom w:val="single" w:color="000000" w:sz="6" w:space="0"/>
              <w:right w:val="single" w:color="000000" w:sz="6" w:space="0"/>
            </w:tcBorders>
            <w:vAlign w:val="center"/>
          </w:tcPr>
          <w:p>
            <w:pPr>
              <w:pStyle w:val="298"/>
              <w:tabs>
                <w:tab w:val="left" w:pos="142"/>
              </w:tabs>
              <w:ind w:left="105" w:leftChars="50" w:right="105" w:rightChars="50"/>
              <w:jc w:val="center"/>
              <w:rPr>
                <w:rFonts w:ascii="宋体" w:hAnsi="宋体" w:cs="Noto Sans CJK DemiLight"/>
                <w:sz w:val="21"/>
                <w:szCs w:val="21"/>
                <w:lang w:eastAsia="zh-CN"/>
              </w:rPr>
            </w:pPr>
            <w:r>
              <w:rPr>
                <w:rFonts w:hint="eastAsia" w:ascii="宋体" w:hAnsi="宋体" w:cs="Noto Sans CJK DemiLight"/>
                <w:sz w:val="21"/>
                <w:szCs w:val="21"/>
                <w:lang w:eastAsia="zh-CN"/>
              </w:rPr>
              <w:t>价格调整标准</w:t>
            </w:r>
          </w:p>
        </w:tc>
      </w:tr>
      <w:tr>
        <w:tblPrEx>
          <w:tblCellMar>
            <w:top w:w="0" w:type="dxa"/>
            <w:left w:w="0" w:type="dxa"/>
            <w:bottom w:w="0" w:type="dxa"/>
            <w:right w:w="0" w:type="dxa"/>
          </w:tblCellMar>
        </w:tblPrEx>
        <w:trPr>
          <w:trHeight w:val="601" w:hRule="atLeast"/>
        </w:trPr>
        <w:tc>
          <w:tcPr>
            <w:tcW w:w="2023" w:type="dxa"/>
            <w:vMerge w:val="restart"/>
            <w:tcBorders>
              <w:top w:val="single" w:color="000000" w:sz="6" w:space="0"/>
              <w:left w:val="single" w:color="000000" w:sz="6" w:space="0"/>
              <w:right w:val="single" w:color="000000" w:sz="6" w:space="0"/>
            </w:tcBorders>
            <w:vAlign w:val="center"/>
          </w:tcPr>
          <w:p>
            <w:pPr>
              <w:pStyle w:val="298"/>
              <w:ind w:left="105" w:leftChars="50" w:right="105" w:rightChars="50"/>
              <w:jc w:val="center"/>
              <w:rPr>
                <w:rFonts w:ascii="宋体" w:hAnsi="宋体"/>
                <w:sz w:val="21"/>
                <w:szCs w:val="21"/>
                <w:lang w:eastAsia="zh-CN"/>
              </w:rPr>
            </w:pPr>
            <w:r>
              <w:rPr>
                <w:rFonts w:hint="eastAsia" w:ascii="宋体" w:hAnsi="宋体"/>
                <w:sz w:val="21"/>
                <w:szCs w:val="21"/>
                <w:lang w:eastAsia="zh-CN"/>
              </w:rPr>
              <w:t>价格评议</w:t>
            </w:r>
          </w:p>
          <w:p>
            <w:pPr>
              <w:pStyle w:val="298"/>
              <w:ind w:left="105" w:leftChars="50" w:right="105" w:rightChars="50"/>
              <w:jc w:val="center"/>
              <w:rPr>
                <w:rFonts w:ascii="宋体" w:hAnsi="宋体"/>
                <w:sz w:val="21"/>
                <w:szCs w:val="21"/>
                <w:lang w:eastAsia="zh-CN"/>
              </w:rPr>
            </w:pPr>
            <w:r>
              <w:rPr>
                <w:rFonts w:hint="eastAsia" w:ascii="宋体" w:hAnsi="宋体"/>
                <w:sz w:val="21"/>
                <w:szCs w:val="21"/>
                <w:lang w:eastAsia="zh-CN"/>
              </w:rPr>
              <w:t>评审标准</w:t>
            </w:r>
          </w:p>
        </w:tc>
        <w:tc>
          <w:tcPr>
            <w:tcW w:w="2101" w:type="dxa"/>
            <w:tcBorders>
              <w:top w:val="single" w:color="000000" w:sz="6" w:space="0"/>
              <w:left w:val="single" w:color="000000" w:sz="6" w:space="0"/>
              <w:right w:val="single" w:color="000000" w:sz="6" w:space="0"/>
            </w:tcBorders>
            <w:vAlign w:val="center"/>
          </w:tcPr>
          <w:p>
            <w:pPr>
              <w:pStyle w:val="298"/>
              <w:tabs>
                <w:tab w:val="left" w:pos="142"/>
              </w:tabs>
              <w:ind w:left="105" w:leftChars="50" w:right="105" w:rightChars="50"/>
              <w:jc w:val="both"/>
              <w:rPr>
                <w:rFonts w:ascii="宋体" w:hAnsi="宋体" w:cs="Noto Sans CJK DemiLight"/>
                <w:sz w:val="21"/>
                <w:szCs w:val="21"/>
                <w:lang w:eastAsia="zh-CN"/>
              </w:rPr>
            </w:pPr>
            <w:r>
              <w:rPr>
                <w:rFonts w:hint="eastAsia" w:ascii="宋体" w:hAnsi="宋体" w:cs="Noto Sans CJK DemiLight"/>
                <w:sz w:val="21"/>
                <w:szCs w:val="21"/>
                <w:lang w:eastAsia="zh-CN"/>
              </w:rPr>
              <w:t>投标报价算术修正</w:t>
            </w:r>
          </w:p>
        </w:tc>
        <w:tc>
          <w:tcPr>
            <w:tcW w:w="5507" w:type="dxa"/>
            <w:tcBorders>
              <w:top w:val="single" w:color="000000" w:sz="6" w:space="0"/>
              <w:left w:val="single" w:color="000000" w:sz="6" w:space="0"/>
              <w:right w:val="single" w:color="000000" w:sz="6" w:space="0"/>
            </w:tcBorders>
            <w:vAlign w:val="center"/>
          </w:tcPr>
          <w:p>
            <w:pPr>
              <w:pStyle w:val="298"/>
              <w:tabs>
                <w:tab w:val="left" w:pos="142"/>
              </w:tabs>
              <w:ind w:left="105" w:leftChars="50" w:right="105" w:rightChars="50"/>
              <w:rPr>
                <w:rFonts w:ascii="宋体" w:hAnsi="宋体"/>
                <w:sz w:val="21"/>
                <w:szCs w:val="21"/>
                <w:lang w:eastAsia="zh-CN"/>
              </w:rPr>
            </w:pPr>
            <w:r>
              <w:rPr>
                <w:rFonts w:hint="eastAsia" w:ascii="宋体" w:hAnsi="宋体"/>
                <w:sz w:val="21"/>
                <w:szCs w:val="21"/>
                <w:lang w:eastAsia="zh-CN"/>
              </w:rPr>
              <w:t>报价有算术错误及其他错误的，需按以下原则要求投标人对报价进行修正，并要求投标人书面澄清确认。投标人拒不澄清确认的，评标委员会应当否决其投标：</w:t>
            </w:r>
          </w:p>
          <w:p>
            <w:pPr>
              <w:pStyle w:val="298"/>
              <w:tabs>
                <w:tab w:val="left" w:pos="142"/>
              </w:tabs>
              <w:ind w:left="105" w:leftChars="50" w:right="105" w:rightChars="50"/>
              <w:rPr>
                <w:rFonts w:ascii="宋体" w:hAnsi="宋体"/>
                <w:sz w:val="21"/>
                <w:szCs w:val="21"/>
                <w:lang w:eastAsia="zh-CN"/>
              </w:rPr>
            </w:pPr>
            <w:r>
              <w:rPr>
                <w:rFonts w:hint="eastAsia" w:ascii="宋体" w:hAnsi="宋体"/>
                <w:sz w:val="21"/>
                <w:szCs w:val="21"/>
                <w:lang w:eastAsia="zh-CN"/>
              </w:rPr>
              <w:t>（1）投标文件中的大写金额与小写金额不一致的，以大写金额为准；</w:t>
            </w:r>
          </w:p>
          <w:p>
            <w:pPr>
              <w:pStyle w:val="298"/>
              <w:tabs>
                <w:tab w:val="left" w:pos="142"/>
              </w:tabs>
              <w:ind w:left="105" w:leftChars="50" w:right="105" w:rightChars="50"/>
              <w:rPr>
                <w:rFonts w:ascii="宋体" w:hAnsi="宋体"/>
                <w:sz w:val="21"/>
                <w:szCs w:val="21"/>
                <w:lang w:eastAsia="zh-CN"/>
              </w:rPr>
            </w:pPr>
            <w:r>
              <w:rPr>
                <w:rFonts w:hint="eastAsia" w:ascii="宋体" w:hAnsi="宋体"/>
                <w:sz w:val="21"/>
                <w:szCs w:val="21"/>
                <w:lang w:eastAsia="zh-CN"/>
              </w:rPr>
              <w:t>（2）总价金额与单价金额不一致的，以单价金额为准，但单价金额小数点有明显错误的除外；</w:t>
            </w:r>
          </w:p>
          <w:p>
            <w:pPr>
              <w:pStyle w:val="298"/>
              <w:tabs>
                <w:tab w:val="left" w:pos="142"/>
              </w:tabs>
              <w:ind w:left="105" w:leftChars="50" w:right="105" w:rightChars="50"/>
              <w:rPr>
                <w:rFonts w:ascii="宋体" w:hAnsi="宋体"/>
                <w:sz w:val="21"/>
                <w:szCs w:val="21"/>
                <w:lang w:eastAsia="zh-CN"/>
              </w:rPr>
            </w:pPr>
            <w:r>
              <w:rPr>
                <w:rFonts w:hint="eastAsia" w:ascii="宋体" w:hAnsi="宋体"/>
                <w:sz w:val="21"/>
                <w:szCs w:val="21"/>
                <w:lang w:eastAsia="zh-CN"/>
              </w:rPr>
              <w:t>（3）投标报价为各分项报价金额之和，投标报价与分项报价的合价不一致的，应以各分项合价累计数为准，修正投标报价；</w:t>
            </w:r>
          </w:p>
          <w:p>
            <w:pPr>
              <w:pStyle w:val="298"/>
              <w:tabs>
                <w:tab w:val="left" w:pos="142"/>
              </w:tabs>
              <w:ind w:left="105" w:leftChars="50" w:right="105" w:rightChars="50"/>
              <w:rPr>
                <w:rFonts w:ascii="宋体" w:hAnsi="宋体"/>
                <w:sz w:val="21"/>
                <w:szCs w:val="21"/>
                <w:lang w:eastAsia="zh-CN"/>
              </w:rPr>
            </w:pPr>
            <w:r>
              <w:rPr>
                <w:rFonts w:hint="eastAsia" w:ascii="宋体" w:hAnsi="宋体"/>
                <w:sz w:val="21"/>
                <w:szCs w:val="21"/>
                <w:lang w:eastAsia="zh-CN"/>
              </w:rPr>
              <w:t>（4）如果分项报价中存在缺漏项，则视为缺漏项价格已包含在其他分项报价之中。</w:t>
            </w:r>
          </w:p>
          <w:p>
            <w:pPr>
              <w:pStyle w:val="298"/>
              <w:tabs>
                <w:tab w:val="left" w:pos="142"/>
              </w:tabs>
              <w:ind w:left="105" w:leftChars="50" w:right="105" w:rightChars="50"/>
              <w:jc w:val="both"/>
              <w:rPr>
                <w:rFonts w:ascii="宋体" w:hAnsi="宋体"/>
                <w:sz w:val="21"/>
                <w:szCs w:val="21"/>
                <w:lang w:eastAsia="zh-CN"/>
              </w:rPr>
            </w:pPr>
            <w:r>
              <w:rPr>
                <w:rFonts w:hint="eastAsia" w:ascii="宋体" w:hAnsi="宋体"/>
                <w:sz w:val="21"/>
                <w:szCs w:val="21"/>
                <w:lang w:eastAsia="zh-CN"/>
              </w:rPr>
              <w:t>（5）不含税报价和含税报价的不含税部分不一致的，以换算公式进行计算，修正含税报价。换算公式：含税报价=不含税价</w:t>
            </w:r>
            <w:r>
              <w:rPr>
                <w:rFonts w:ascii="宋体" w:hAnsi="宋体"/>
                <w:sz w:val="21"/>
                <w:szCs w:val="21"/>
                <w:lang w:eastAsia="zh-CN"/>
              </w:rPr>
              <w:t>X</w:t>
            </w:r>
            <w:r>
              <w:rPr>
                <w:rFonts w:hint="eastAsia" w:ascii="宋体" w:hAnsi="宋体"/>
                <w:sz w:val="21"/>
                <w:szCs w:val="21"/>
                <w:lang w:eastAsia="zh-CN"/>
              </w:rPr>
              <w:t>（1+1</w:t>
            </w:r>
            <w:r>
              <w:rPr>
                <w:rFonts w:ascii="宋体" w:hAnsi="宋体"/>
                <w:sz w:val="21"/>
                <w:szCs w:val="21"/>
                <w:lang w:eastAsia="zh-CN"/>
              </w:rPr>
              <w:t>3</w:t>
            </w:r>
            <w:r>
              <w:rPr>
                <w:rFonts w:hint="eastAsia" w:ascii="宋体" w:hAnsi="宋体"/>
                <w:sz w:val="21"/>
                <w:szCs w:val="21"/>
                <w:lang w:eastAsia="zh-CN"/>
              </w:rPr>
              <w:t>%或其他适用税率）。</w:t>
            </w:r>
          </w:p>
        </w:tc>
      </w:tr>
      <w:tr>
        <w:tblPrEx>
          <w:tblCellMar>
            <w:top w:w="0" w:type="dxa"/>
            <w:left w:w="0" w:type="dxa"/>
            <w:bottom w:w="0" w:type="dxa"/>
            <w:right w:w="0" w:type="dxa"/>
          </w:tblCellMar>
        </w:tblPrEx>
        <w:trPr>
          <w:trHeight w:val="20" w:hRule="atLeast"/>
        </w:trPr>
        <w:tc>
          <w:tcPr>
            <w:tcW w:w="2023" w:type="dxa"/>
            <w:vMerge w:val="continue"/>
            <w:tcBorders>
              <w:left w:val="single" w:color="000000" w:sz="6" w:space="0"/>
              <w:right w:val="single" w:color="000000" w:sz="6" w:space="0"/>
            </w:tcBorders>
            <w:vAlign w:val="center"/>
          </w:tcPr>
          <w:p>
            <w:pPr>
              <w:widowControl/>
              <w:spacing w:beforeAutospacing="1" w:afterAutospacing="1"/>
              <w:rPr>
                <w:rFonts w:ascii="宋体" w:hAnsi="宋体"/>
                <w:szCs w:val="21"/>
              </w:rPr>
            </w:pPr>
          </w:p>
        </w:tc>
        <w:tc>
          <w:tcPr>
            <w:tcW w:w="2101" w:type="dxa"/>
            <w:tcBorders>
              <w:top w:val="single" w:color="000000" w:sz="6" w:space="0"/>
              <w:left w:val="single" w:color="000000" w:sz="6" w:space="0"/>
              <w:bottom w:val="single" w:color="auto" w:sz="4" w:space="0"/>
              <w:right w:val="single" w:color="000000" w:sz="6" w:space="0"/>
            </w:tcBorders>
            <w:vAlign w:val="center"/>
          </w:tcPr>
          <w:p>
            <w:pPr>
              <w:pStyle w:val="298"/>
              <w:tabs>
                <w:tab w:val="left" w:pos="142"/>
              </w:tabs>
              <w:ind w:left="105" w:leftChars="50" w:right="105" w:rightChars="50"/>
              <w:jc w:val="both"/>
              <w:rPr>
                <w:rFonts w:ascii="宋体" w:hAnsi="宋体" w:cs="Noto Sans CJK DemiLight"/>
                <w:sz w:val="21"/>
                <w:szCs w:val="21"/>
                <w:lang w:eastAsia="zh-CN"/>
              </w:rPr>
            </w:pPr>
            <w:r>
              <w:rPr>
                <w:rFonts w:hint="eastAsia" w:ascii="宋体" w:hAnsi="宋体" w:cs="Noto Sans CJK DemiLight"/>
                <w:sz w:val="21"/>
                <w:szCs w:val="21"/>
                <w:lang w:eastAsia="zh-CN"/>
              </w:rPr>
              <w:t>缺漏项调整</w:t>
            </w:r>
          </w:p>
        </w:tc>
        <w:tc>
          <w:tcPr>
            <w:tcW w:w="5507" w:type="dxa"/>
            <w:tcBorders>
              <w:top w:val="single" w:color="000000" w:sz="6" w:space="0"/>
              <w:left w:val="single" w:color="000000" w:sz="6" w:space="0"/>
              <w:bottom w:val="single" w:color="auto" w:sz="4" w:space="0"/>
              <w:right w:val="single" w:color="000000" w:sz="6" w:space="0"/>
            </w:tcBorders>
            <w:vAlign w:val="center"/>
          </w:tcPr>
          <w:p>
            <w:pPr>
              <w:pStyle w:val="298"/>
              <w:tabs>
                <w:tab w:val="left" w:pos="142"/>
              </w:tabs>
              <w:ind w:left="105" w:leftChars="50" w:right="105" w:rightChars="50"/>
              <w:rPr>
                <w:rFonts w:ascii="宋体" w:hAnsi="宋体"/>
                <w:sz w:val="21"/>
                <w:szCs w:val="21"/>
                <w:lang w:eastAsia="zh-CN"/>
              </w:rPr>
            </w:pPr>
            <w:r>
              <w:rPr>
                <w:rFonts w:hint="eastAsia" w:ascii="宋体" w:hAnsi="宋体"/>
                <w:sz w:val="21"/>
                <w:szCs w:val="21"/>
                <w:lang w:eastAsia="zh-CN"/>
              </w:rPr>
              <w:t>（1）投标报价中缺漏项的数量与询价文件不一致，保持投标单价不变，以询价文件的中规定的数量，修正缺漏项数量和投标总价。</w:t>
            </w:r>
          </w:p>
          <w:p>
            <w:pPr>
              <w:pStyle w:val="298"/>
              <w:tabs>
                <w:tab w:val="left" w:pos="142"/>
              </w:tabs>
              <w:ind w:left="105" w:leftChars="50" w:right="105" w:rightChars="50"/>
              <w:rPr>
                <w:rFonts w:ascii="宋体" w:hAnsi="宋体"/>
                <w:sz w:val="21"/>
                <w:szCs w:val="21"/>
                <w:lang w:eastAsia="zh-CN"/>
              </w:rPr>
            </w:pPr>
            <w:r>
              <w:rPr>
                <w:rFonts w:hint="eastAsia" w:ascii="宋体" w:hAnsi="宋体"/>
                <w:sz w:val="21"/>
                <w:szCs w:val="21"/>
                <w:lang w:eastAsia="zh-CN"/>
              </w:rPr>
              <w:t>（2）投标报价中存在缺漏项，经投标人澄清确认该缺漏项价格包含在投标总价中，则保持投标总价（不含税）不变，按照询价文件中规定的费用明细，对投标总价（不含税）进行分解。</w:t>
            </w:r>
          </w:p>
          <w:p>
            <w:pPr>
              <w:pStyle w:val="298"/>
              <w:tabs>
                <w:tab w:val="left" w:pos="142"/>
              </w:tabs>
              <w:ind w:left="105" w:leftChars="50" w:right="105" w:rightChars="50"/>
              <w:rPr>
                <w:rFonts w:ascii="宋体" w:hAnsi="宋体"/>
                <w:sz w:val="21"/>
                <w:szCs w:val="21"/>
                <w:lang w:eastAsia="zh-CN"/>
              </w:rPr>
            </w:pPr>
            <w:r>
              <w:rPr>
                <w:rFonts w:hint="eastAsia" w:ascii="宋体" w:hAnsi="宋体"/>
                <w:sz w:val="21"/>
                <w:szCs w:val="21"/>
                <w:lang w:eastAsia="zh-CN"/>
              </w:rPr>
              <w:t>（3）投标报价中存在缺漏项，经投标人澄清确认该缺漏项价格不包含在投标总价中，或投标人不按照要求进行澄清确认，评标委员会将否决其投标。</w:t>
            </w:r>
          </w:p>
          <w:p>
            <w:pPr>
              <w:pStyle w:val="298"/>
              <w:tabs>
                <w:tab w:val="left" w:pos="142"/>
              </w:tabs>
              <w:ind w:left="105" w:leftChars="50" w:right="105" w:rightChars="50"/>
              <w:rPr>
                <w:rFonts w:ascii="宋体" w:hAnsi="宋体"/>
                <w:lang w:eastAsia="zh-CN"/>
              </w:rPr>
            </w:pPr>
            <w:r>
              <w:rPr>
                <w:rFonts w:hint="eastAsia" w:ascii="宋体" w:hAnsi="宋体"/>
                <w:sz w:val="21"/>
                <w:szCs w:val="21"/>
                <w:lang w:eastAsia="zh-CN"/>
              </w:rPr>
              <w:t>（4）对于报价缺漏项数量或金额（评审价格）超过 20%的，视为非实质性响应，价格评议不合格。</w:t>
            </w:r>
          </w:p>
        </w:tc>
      </w:tr>
      <w:tr>
        <w:tblPrEx>
          <w:tblCellMar>
            <w:top w:w="0" w:type="dxa"/>
            <w:left w:w="0" w:type="dxa"/>
            <w:bottom w:w="0" w:type="dxa"/>
            <w:right w:w="0" w:type="dxa"/>
          </w:tblCellMar>
        </w:tblPrEx>
        <w:trPr>
          <w:trHeight w:val="951" w:hRule="atLeast"/>
        </w:trPr>
        <w:tc>
          <w:tcPr>
            <w:tcW w:w="2023" w:type="dxa"/>
            <w:vMerge w:val="continue"/>
            <w:tcBorders>
              <w:left w:val="single" w:color="000000" w:sz="6" w:space="0"/>
              <w:bottom w:val="single" w:color="000000" w:sz="6" w:space="0"/>
              <w:right w:val="single" w:color="000000" w:sz="6" w:space="0"/>
            </w:tcBorders>
            <w:vAlign w:val="center"/>
          </w:tcPr>
          <w:p>
            <w:pPr>
              <w:widowControl/>
              <w:spacing w:beforeAutospacing="1" w:afterAutospacing="1"/>
              <w:rPr>
                <w:rFonts w:ascii="宋体" w:hAnsi="宋体"/>
                <w:szCs w:val="21"/>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298"/>
              <w:tabs>
                <w:tab w:val="left" w:pos="142"/>
              </w:tabs>
              <w:ind w:left="105" w:leftChars="50" w:right="105" w:rightChars="50"/>
              <w:rPr>
                <w:rFonts w:ascii="宋体" w:hAnsi="宋体"/>
                <w:lang w:eastAsia="zh-CN"/>
              </w:rPr>
            </w:pPr>
            <w:r>
              <w:rPr>
                <w:rFonts w:hint="eastAsia" w:ascii="宋体" w:hAnsi="宋体" w:cs="Noto Sans CJK DemiLight"/>
                <w:sz w:val="21"/>
                <w:szCs w:val="21"/>
                <w:lang w:eastAsia="zh-CN"/>
              </w:rPr>
              <w:t>评标价格计算方法（不含税）</w:t>
            </w:r>
          </w:p>
        </w:tc>
        <w:tc>
          <w:tcPr>
            <w:tcW w:w="5507" w:type="dxa"/>
            <w:tcBorders>
              <w:top w:val="single" w:color="auto" w:sz="4" w:space="0"/>
              <w:left w:val="single" w:color="auto" w:sz="4" w:space="0"/>
              <w:bottom w:val="single" w:color="auto" w:sz="4" w:space="0"/>
              <w:right w:val="single" w:color="auto" w:sz="4" w:space="0"/>
            </w:tcBorders>
            <w:vAlign w:val="center"/>
          </w:tcPr>
          <w:p>
            <w:pPr>
              <w:pStyle w:val="298"/>
              <w:tabs>
                <w:tab w:val="left" w:pos="142"/>
              </w:tabs>
              <w:ind w:left="105" w:leftChars="50" w:right="105" w:rightChars="50"/>
              <w:rPr>
                <w:rFonts w:ascii="宋体" w:hAnsi="宋体"/>
                <w:lang w:eastAsia="zh-CN"/>
              </w:rPr>
            </w:pPr>
            <w:r>
              <w:rPr>
                <w:rFonts w:hint="eastAsia" w:ascii="宋体" w:hAnsi="宋体" w:cs="Noto Sans CJK DemiLight"/>
                <w:sz w:val="21"/>
                <w:szCs w:val="21"/>
                <w:lang w:eastAsia="zh-CN"/>
              </w:rPr>
              <w:t>评标价格（不含税）=投标报价+报价算术修正+全部偏差价格调整</w:t>
            </w:r>
          </w:p>
        </w:tc>
      </w:tr>
    </w:tbl>
    <w:p/>
    <w:p>
      <w:pPr>
        <w:pStyle w:val="255"/>
        <w:spacing w:before="156"/>
      </w:pPr>
      <w:r>
        <w:rPr>
          <w:rFonts w:hint="eastAsia"/>
        </w:rPr>
        <w:t>合同的签订</w:t>
      </w:r>
      <w:bookmarkEnd w:id="81"/>
    </w:p>
    <w:p>
      <w:pPr>
        <w:autoSpaceDE w:val="0"/>
        <w:autoSpaceDN w:val="0"/>
        <w:adjustRightInd w:val="0"/>
        <w:spacing w:afterLines="50" w:line="360" w:lineRule="auto"/>
        <w:ind w:firstLine="441" w:firstLineChars="210"/>
        <w:rPr>
          <w:rFonts w:ascii="宋体" w:hAnsi="宋体"/>
        </w:rPr>
      </w:pPr>
      <w:bookmarkStart w:id="137" w:name="_第二章_评标办法"/>
      <w:bookmarkEnd w:id="137"/>
      <w:r>
        <w:rPr>
          <w:rFonts w:hint="eastAsia" w:ascii="宋体" w:hAnsi="宋体"/>
        </w:rPr>
        <w:t>成交通知书发出后</w:t>
      </w:r>
      <w:r>
        <w:rPr>
          <w:rFonts w:ascii="宋体" w:hAnsi="宋体"/>
        </w:rPr>
        <w:t>30</w:t>
      </w:r>
      <w:r>
        <w:rPr>
          <w:rFonts w:hint="eastAsia" w:ascii="宋体" w:hAnsi="宋体"/>
        </w:rPr>
        <w:t>日内，采购人与成交人订立不得背离询价文件实质内容的合同。成交人如不按期与采购人订立合同，将被取消成交资格并依法承担相应法律责任。</w:t>
      </w:r>
    </w:p>
    <w:p>
      <w:pPr>
        <w:widowControl/>
        <w:jc w:val="left"/>
        <w:rPr>
          <w:rFonts w:ascii="宋体" w:hAnsi="宋体" w:eastAsia="黑体" w:cs="宋体"/>
          <w:b/>
          <w:bCs/>
          <w:snapToGrid w:val="0"/>
          <w:kern w:val="0"/>
          <w:sz w:val="24"/>
          <w:szCs w:val="44"/>
          <w:lang w:val="zh-CN"/>
        </w:rPr>
      </w:pPr>
      <w:r>
        <w:rPr>
          <w:rFonts w:ascii="宋体" w:hAnsi="宋体" w:cs="宋体"/>
          <w:sz w:val="24"/>
        </w:rPr>
        <w:br w:type="page"/>
      </w:r>
    </w:p>
    <w:bookmarkEnd w:id="15"/>
    <w:p>
      <w:pPr>
        <w:pStyle w:val="253"/>
      </w:pPr>
      <w:bookmarkStart w:id="138" w:name="_Toc6251"/>
      <w:bookmarkStart w:id="139" w:name="_Toc421626568"/>
      <w:bookmarkStart w:id="140" w:name="_Toc19061"/>
      <w:bookmarkStart w:id="141" w:name="_Toc18674"/>
      <w:bookmarkStart w:id="142" w:name="_Toc19435"/>
      <w:bookmarkStart w:id="143" w:name="_Toc16007"/>
      <w:bookmarkStart w:id="144" w:name="_Toc28308"/>
      <w:bookmarkStart w:id="145" w:name="_Toc27686"/>
      <w:bookmarkStart w:id="146" w:name="_Toc24283"/>
      <w:bookmarkStart w:id="147" w:name="_Toc25756"/>
      <w:bookmarkStart w:id="148" w:name="_Toc25764"/>
      <w:bookmarkStart w:id="149" w:name="_Toc11239"/>
      <w:r>
        <w:t>工作内容及</w:t>
      </w:r>
      <w:r>
        <w:rPr>
          <w:rFonts w:hint="eastAsia"/>
          <w:lang w:val="en-US"/>
        </w:rPr>
        <w:t>技术</w:t>
      </w:r>
      <w:r>
        <w:t>要求</w:t>
      </w:r>
      <w:bookmarkEnd w:id="138"/>
      <w:bookmarkEnd w:id="139"/>
      <w:bookmarkEnd w:id="140"/>
      <w:bookmarkEnd w:id="141"/>
      <w:bookmarkEnd w:id="142"/>
      <w:bookmarkEnd w:id="143"/>
      <w:bookmarkEnd w:id="144"/>
      <w:bookmarkEnd w:id="145"/>
      <w:bookmarkEnd w:id="146"/>
      <w:bookmarkEnd w:id="147"/>
      <w:bookmarkEnd w:id="148"/>
      <w:bookmarkEnd w:id="149"/>
      <w:bookmarkStart w:id="150" w:name="_Toc82379004"/>
      <w:bookmarkStart w:id="151" w:name="_Toc459723980"/>
      <w:bookmarkStart w:id="152" w:name="_Toc459283767"/>
    </w:p>
    <w:p>
      <w:pPr>
        <w:pStyle w:val="303"/>
        <w:numPr>
          <w:ilvl w:val="0"/>
          <w:numId w:val="42"/>
        </w:numPr>
      </w:pPr>
      <w:r>
        <w:rPr>
          <w:rFonts w:hint="eastAsia"/>
        </w:rPr>
        <w:t>项目概况</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sz w:val="24"/>
          <w:szCs w:val="24"/>
          <w:lang w:val="zh-CN"/>
        </w:rPr>
        <w:t>东海有限公司月浦基地坐落于上海市宝山区月罗</w:t>
      </w:r>
      <w:r>
        <w:rPr>
          <w:rFonts w:hint="eastAsia" w:cs="Times New Roman" w:asciiTheme="majorEastAsia" w:hAnsiTheme="majorEastAsia" w:eastAsiaTheme="majorEastAsia"/>
          <w:sz w:val="24"/>
          <w:szCs w:val="24"/>
        </w:rPr>
        <w:t>公</w:t>
      </w:r>
      <w:r>
        <w:rPr>
          <w:rFonts w:hint="eastAsia" w:cs="Times New Roman" w:asciiTheme="majorEastAsia" w:hAnsiTheme="majorEastAsia" w:eastAsiaTheme="majorEastAsia"/>
          <w:sz w:val="24"/>
          <w:szCs w:val="24"/>
          <w:lang w:val="zh-CN"/>
        </w:rPr>
        <w:t>路2</w:t>
      </w:r>
      <w:r>
        <w:rPr>
          <w:rFonts w:cs="Times New Roman" w:asciiTheme="majorEastAsia" w:hAnsiTheme="majorEastAsia" w:eastAsiaTheme="majorEastAsia"/>
          <w:sz w:val="24"/>
          <w:szCs w:val="24"/>
          <w:lang w:val="zh-CN"/>
        </w:rPr>
        <w:t>02</w:t>
      </w:r>
      <w:r>
        <w:rPr>
          <w:rFonts w:hint="eastAsia" w:cs="Times New Roman" w:asciiTheme="majorEastAsia" w:hAnsiTheme="majorEastAsia" w:eastAsiaTheme="majorEastAsia"/>
          <w:sz w:val="24"/>
          <w:szCs w:val="24"/>
          <w:lang w:val="zh-CN"/>
        </w:rPr>
        <w:t>号，占地面积【9</w:t>
      </w:r>
      <w:r>
        <w:rPr>
          <w:rFonts w:cs="Times New Roman" w:asciiTheme="majorEastAsia" w:hAnsiTheme="majorEastAsia" w:eastAsiaTheme="majorEastAsia"/>
          <w:sz w:val="24"/>
          <w:szCs w:val="24"/>
          <w:lang w:val="zh-CN"/>
        </w:rPr>
        <w:t>352</w:t>
      </w:r>
      <w:r>
        <w:rPr>
          <w:rFonts w:hint="eastAsia" w:cs="Times New Roman" w:asciiTheme="majorEastAsia" w:hAnsiTheme="majorEastAsia" w:eastAsiaTheme="majorEastAsia"/>
          <w:sz w:val="24"/>
          <w:szCs w:val="24"/>
          <w:lang w:val="zh-CN"/>
        </w:rPr>
        <w:t>㎡】。共有1号楼、2号楼、3号楼、实验楼、岩</w:t>
      </w:r>
      <w:r>
        <w:rPr>
          <w:rFonts w:hint="eastAsia" w:cs="Times New Roman" w:asciiTheme="majorEastAsia" w:hAnsiTheme="majorEastAsia" w:eastAsiaTheme="majorEastAsia"/>
          <w:sz w:val="24"/>
          <w:szCs w:val="24"/>
        </w:rPr>
        <w:t>心</w:t>
      </w:r>
      <w:r>
        <w:rPr>
          <w:rFonts w:hint="eastAsia" w:cs="Times New Roman" w:asciiTheme="majorEastAsia" w:hAnsiTheme="majorEastAsia" w:eastAsiaTheme="majorEastAsia"/>
          <w:sz w:val="24"/>
          <w:szCs w:val="24"/>
          <w:lang w:val="zh-CN"/>
        </w:rPr>
        <w:t>库五栋</w:t>
      </w:r>
      <w:r>
        <w:rPr>
          <w:rFonts w:hint="eastAsia" w:cs="Times New Roman" w:asciiTheme="majorEastAsia" w:hAnsiTheme="majorEastAsia" w:eastAsiaTheme="majorEastAsia"/>
          <w:sz w:val="24"/>
          <w:szCs w:val="24"/>
        </w:rPr>
        <w:t>主要</w:t>
      </w:r>
      <w:r>
        <w:rPr>
          <w:rFonts w:hint="eastAsia" w:cs="Times New Roman" w:asciiTheme="majorEastAsia" w:hAnsiTheme="majorEastAsia" w:eastAsiaTheme="majorEastAsia"/>
          <w:sz w:val="24"/>
          <w:szCs w:val="24"/>
          <w:lang w:val="zh-CN"/>
        </w:rPr>
        <w:t>建筑物，建筑面积合计【6</w:t>
      </w:r>
      <w:r>
        <w:rPr>
          <w:rFonts w:hint="eastAsia" w:cs="Times New Roman" w:asciiTheme="majorEastAsia" w:hAnsiTheme="majorEastAsia" w:eastAsiaTheme="majorEastAsia"/>
          <w:sz w:val="24"/>
          <w:szCs w:val="24"/>
        </w:rPr>
        <w:t>426</w:t>
      </w:r>
      <w:r>
        <w:rPr>
          <w:rFonts w:hint="eastAsia" w:cs="Times New Roman" w:asciiTheme="majorEastAsia" w:hAnsiTheme="majorEastAsia" w:eastAsiaTheme="majorEastAsia"/>
          <w:sz w:val="24"/>
          <w:szCs w:val="24"/>
          <w:lang w:val="zh-CN"/>
        </w:rPr>
        <w:t>㎡】。主要用于中国海洋石油集团有限公司下属在沪单位和地方企业办公场所租赁。</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sz w:val="24"/>
          <w:szCs w:val="24"/>
          <w:lang w:val="zh-CN"/>
        </w:rPr>
        <w:t>本项目主要是为月浦基地入驻单位提供标准化、规范化、专业化、系统化的</w:t>
      </w:r>
      <w:r>
        <w:rPr>
          <w:rFonts w:hint="eastAsia" w:cs="Times New Roman" w:asciiTheme="majorEastAsia" w:hAnsiTheme="majorEastAsia" w:eastAsiaTheme="majorEastAsia"/>
          <w:sz w:val="24"/>
          <w:szCs w:val="24"/>
        </w:rPr>
        <w:t>物业管理</w:t>
      </w:r>
      <w:r>
        <w:rPr>
          <w:rFonts w:hint="eastAsia" w:cs="Times New Roman" w:asciiTheme="majorEastAsia" w:hAnsiTheme="majorEastAsia" w:eastAsiaTheme="majorEastAsia"/>
          <w:sz w:val="24"/>
          <w:szCs w:val="24"/>
          <w:lang w:val="zh-CN"/>
        </w:rPr>
        <w:t>服务。</w:t>
      </w:r>
    </w:p>
    <w:p>
      <w:pPr>
        <w:autoSpaceDE w:val="0"/>
        <w:autoSpaceDN w:val="0"/>
        <w:adjustRightInd w:val="0"/>
        <w:spacing w:line="360" w:lineRule="auto"/>
        <w:ind w:firstLine="480" w:firstLineChars="200"/>
        <w:jc w:val="left"/>
        <w:rPr>
          <w:rFonts w:eastAsiaTheme="majorEastAsia"/>
        </w:rPr>
      </w:pPr>
      <w:r>
        <w:rPr>
          <w:rFonts w:hint="eastAsia" w:cs="Times New Roman" w:asciiTheme="majorEastAsia" w:hAnsiTheme="majorEastAsia" w:eastAsiaTheme="majorEastAsia"/>
          <w:sz w:val="24"/>
          <w:szCs w:val="24"/>
        </w:rPr>
        <w:t>月浦基地物业管理服务范围为园区公共区域、门卫室、配电房、岩心库办公楼。</w:t>
      </w:r>
    </w:p>
    <w:p>
      <w:pPr>
        <w:pStyle w:val="303"/>
        <w:numPr>
          <w:ilvl w:val="0"/>
          <w:numId w:val="42"/>
        </w:numPr>
      </w:pPr>
      <w:r>
        <w:rPr>
          <w:rFonts w:hint="eastAsia"/>
        </w:rPr>
        <w:t>技术要求</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sz w:val="24"/>
          <w:szCs w:val="24"/>
        </w:rPr>
        <w:t>月浦基地物业管理服务</w:t>
      </w:r>
      <w:r>
        <w:rPr>
          <w:rFonts w:hint="eastAsia" w:cs="Times New Roman" w:asciiTheme="majorEastAsia" w:hAnsiTheme="majorEastAsia" w:eastAsiaTheme="majorEastAsia"/>
          <w:sz w:val="24"/>
          <w:szCs w:val="24"/>
          <w:lang w:val="zh-CN"/>
        </w:rPr>
        <w:t>内容主要包括：保洁、绿化养护、保卫、设备维保检测、安全应急管理、日常办公服务以及计划外维修服务。详细</w:t>
      </w:r>
      <w:r>
        <w:rPr>
          <w:rFonts w:hint="eastAsia" w:cs="Times New Roman" w:asciiTheme="majorEastAsia" w:hAnsiTheme="majorEastAsia" w:eastAsiaTheme="majorEastAsia"/>
          <w:sz w:val="24"/>
          <w:szCs w:val="24"/>
        </w:rPr>
        <w:t>技术要求如下</w:t>
      </w:r>
      <w:r>
        <w:rPr>
          <w:rFonts w:cs="Times New Roman" w:asciiTheme="majorEastAsia" w:hAnsiTheme="majorEastAsia" w:eastAsiaTheme="majorEastAsia"/>
          <w:sz w:val="24"/>
          <w:szCs w:val="24"/>
        </w:rPr>
        <w:t>：</w:t>
      </w:r>
    </w:p>
    <w:p>
      <w:pPr>
        <w:autoSpaceDE w:val="0"/>
        <w:autoSpaceDN w:val="0"/>
        <w:adjustRightInd w:val="0"/>
        <w:spacing w:line="360" w:lineRule="auto"/>
        <w:ind w:firstLine="482" w:firstLineChars="200"/>
        <w:jc w:val="left"/>
        <w:rPr>
          <w:rFonts w:cs="Times New Roman" w:asciiTheme="majorEastAsia" w:hAnsiTheme="majorEastAsia" w:eastAsiaTheme="majorEastAsia"/>
          <w:b/>
          <w:bCs/>
          <w:sz w:val="24"/>
          <w:szCs w:val="24"/>
          <w:lang w:val="zh-CN"/>
        </w:rPr>
      </w:pPr>
      <w:r>
        <w:rPr>
          <w:rFonts w:hint="eastAsia" w:cs="Times New Roman" w:asciiTheme="majorEastAsia" w:hAnsiTheme="majorEastAsia" w:eastAsiaTheme="majorEastAsia"/>
          <w:b/>
          <w:bCs/>
          <w:sz w:val="24"/>
          <w:szCs w:val="24"/>
        </w:rPr>
        <w:t>1、</w:t>
      </w:r>
      <w:r>
        <w:rPr>
          <w:rFonts w:hint="eastAsia" w:cs="Times New Roman" w:asciiTheme="majorEastAsia" w:hAnsiTheme="majorEastAsia" w:eastAsiaTheme="majorEastAsia"/>
          <w:b/>
          <w:bCs/>
          <w:sz w:val="24"/>
          <w:szCs w:val="24"/>
          <w:lang w:val="zh-CN"/>
        </w:rPr>
        <w:t>保洁服务</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 xml:space="preserve">1.1 </w:t>
      </w:r>
      <w:r>
        <w:rPr>
          <w:rFonts w:hint="eastAsia" w:cs="Times New Roman" w:asciiTheme="majorEastAsia" w:hAnsiTheme="majorEastAsia" w:eastAsiaTheme="majorEastAsia"/>
          <w:sz w:val="24"/>
          <w:szCs w:val="24"/>
          <w:lang w:val="zh-CN"/>
        </w:rPr>
        <w:t>保持园区环境干净、整洁、清爽，道路、绿化带无白色垃圾，甲方自用办公区域定时清理、打扫、通风；会议室随用随清；每周清洗一次基地污水排放口；</w:t>
      </w:r>
      <w:r>
        <w:rPr>
          <w:rFonts w:hint="eastAsia" w:cs="Times New Roman" w:asciiTheme="majorEastAsia" w:hAnsiTheme="majorEastAsia" w:eastAsiaTheme="majorEastAsia"/>
          <w:sz w:val="24"/>
          <w:szCs w:val="24"/>
        </w:rPr>
        <w:t>由乙方</w:t>
      </w:r>
      <w:r>
        <w:rPr>
          <w:rFonts w:cs="Times New Roman" w:asciiTheme="majorEastAsia" w:hAnsiTheme="majorEastAsia" w:eastAsiaTheme="majorEastAsia"/>
          <w:sz w:val="24"/>
          <w:szCs w:val="24"/>
          <w:lang w:val="zh-CN"/>
        </w:rPr>
        <w:t>与</w:t>
      </w:r>
      <w:r>
        <w:rPr>
          <w:rFonts w:hint="eastAsia" w:cs="Times New Roman" w:asciiTheme="majorEastAsia" w:hAnsiTheme="majorEastAsia" w:eastAsiaTheme="majorEastAsia"/>
          <w:sz w:val="24"/>
          <w:szCs w:val="24"/>
          <w:lang w:val="zh-CN"/>
        </w:rPr>
        <w:t>环卫公司</w:t>
      </w:r>
      <w:r>
        <w:rPr>
          <w:rFonts w:cs="Times New Roman" w:asciiTheme="majorEastAsia" w:hAnsiTheme="majorEastAsia" w:eastAsiaTheme="majorEastAsia"/>
          <w:sz w:val="24"/>
          <w:szCs w:val="24"/>
          <w:lang w:val="zh-CN"/>
        </w:rPr>
        <w:t>签订垃圾清运合同</w:t>
      </w:r>
      <w:r>
        <w:rPr>
          <w:rFonts w:hint="eastAsia"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做好湿垃圾、干垃圾等清运工作</w:t>
      </w:r>
      <w:r>
        <w:rPr>
          <w:rFonts w:hint="eastAsia" w:cs="Times New Roman" w:asciiTheme="majorEastAsia" w:hAnsiTheme="majorEastAsia" w:eastAsiaTheme="majorEastAsia"/>
          <w:sz w:val="24"/>
          <w:szCs w:val="24"/>
          <w:lang w:val="zh-CN"/>
        </w:rPr>
        <w:t>，并监督基地入驻单位严格按照</w:t>
      </w:r>
      <w:r>
        <w:rPr>
          <w:rFonts w:cs="Times New Roman" w:asciiTheme="majorEastAsia" w:hAnsiTheme="majorEastAsia" w:eastAsiaTheme="majorEastAsia"/>
          <w:sz w:val="24"/>
          <w:szCs w:val="24"/>
          <w:lang w:val="zh-CN"/>
        </w:rPr>
        <w:t>上海市垃圾</w:t>
      </w:r>
      <w:r>
        <w:rPr>
          <w:rFonts w:hint="eastAsia" w:cs="Times New Roman" w:asciiTheme="majorEastAsia" w:hAnsiTheme="majorEastAsia" w:eastAsiaTheme="majorEastAsia"/>
          <w:sz w:val="24"/>
          <w:szCs w:val="24"/>
          <w:lang w:val="zh-CN"/>
        </w:rPr>
        <w:t>管理要求进行垃圾收集、分类、定点投放。同时，做好垃圾站除臭、消毒、病虫害防治工作，实现垃圾清运</w:t>
      </w:r>
      <w:r>
        <w:rPr>
          <w:rFonts w:cs="Times New Roman" w:asciiTheme="majorEastAsia" w:hAnsiTheme="majorEastAsia" w:eastAsiaTheme="majorEastAsia"/>
          <w:sz w:val="24"/>
          <w:szCs w:val="24"/>
          <w:lang w:val="zh-CN"/>
        </w:rPr>
        <w:t>的全流程管理。</w:t>
      </w:r>
      <w:r>
        <w:rPr>
          <w:rFonts w:hint="eastAsia" w:cs="Times New Roman" w:asciiTheme="majorEastAsia" w:hAnsiTheme="majorEastAsia" w:eastAsiaTheme="majorEastAsia"/>
          <w:sz w:val="24"/>
          <w:szCs w:val="24"/>
        </w:rPr>
        <w:t>每次重大节前进行专项清理。</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1.2 保洁服务范围：园区道路、门卫室、配电房、岩心库办公楼。</w:t>
      </w:r>
    </w:p>
    <w:p>
      <w:pPr>
        <w:autoSpaceDE w:val="0"/>
        <w:autoSpaceDN w:val="0"/>
        <w:spacing w:line="36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1.2 保洁服务要求及质量标准：</w:t>
      </w:r>
    </w:p>
    <w:tbl>
      <w:tblPr>
        <w:tblStyle w:val="46"/>
        <w:tblpPr w:leftFromText="181" w:rightFromText="181" w:vertAnchor="text" w:horzAnchor="page" w:tblpX="2280" w:tblpY="284"/>
        <w:tblOverlap w:val="never"/>
        <w:tblW w:w="7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404"/>
        <w:gridCol w:w="1097"/>
        <w:gridCol w:w="3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保洁服务内容</w:t>
            </w:r>
          </w:p>
        </w:tc>
        <w:tc>
          <w:tcPr>
            <w:tcW w:w="2404" w:type="dxa"/>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保洁服务细目</w:t>
            </w:r>
          </w:p>
        </w:tc>
        <w:tc>
          <w:tcPr>
            <w:tcW w:w="1097" w:type="dxa"/>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保洁频率</w:t>
            </w:r>
          </w:p>
        </w:tc>
        <w:tc>
          <w:tcPr>
            <w:tcW w:w="3409" w:type="dxa"/>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保洁服务质量标准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restart"/>
            <w:textDirection w:val="tbRlV"/>
            <w:vAlign w:val="center"/>
          </w:tcPr>
          <w:p>
            <w:pPr>
              <w:ind w:left="113" w:right="113"/>
              <w:rPr>
                <w:rFonts w:asciiTheme="majorEastAsia" w:hAnsiTheme="majorEastAsia" w:eastAsiaTheme="majorEastAsia"/>
                <w:szCs w:val="21"/>
              </w:rPr>
            </w:pPr>
            <w:r>
              <w:rPr>
                <w:rFonts w:hint="eastAsia" w:asciiTheme="majorEastAsia" w:hAnsiTheme="majorEastAsia" w:eastAsiaTheme="majorEastAsia"/>
                <w:szCs w:val="21"/>
              </w:rPr>
              <w:t>通用区域</w:t>
            </w: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桌椅、门、窗、玻璃、天花板、墙面清洁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一周一次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textDirection w:val="tbRlV"/>
            <w:vAlign w:val="center"/>
          </w:tcPr>
          <w:p>
            <w:pPr>
              <w:ind w:left="113" w:right="113"/>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Calibri" w:asciiTheme="majorEastAsia" w:hAnsiTheme="majorEastAsia" w:eastAsiaTheme="majorEastAsia"/>
                <w:szCs w:val="21"/>
              </w:rPr>
              <w:t>电脑、电话、打印机</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一天一次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无灰尘、无污渍、定期消毒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办公室地板清扫、清拖</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循环</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无灰尘、无垃圾、无死角、无痰迹、保持干爽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照明灯</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一周一次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无积灰、无污渍、明亮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88" w:type="dxa"/>
            <w:vMerge w:val="continue"/>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垃圾桶</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一天两次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及时清倒，垃圾袋及时更换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restart"/>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卫</w:t>
            </w:r>
          </w:p>
          <w:p>
            <w:pPr>
              <w:jc w:val="center"/>
              <w:rPr>
                <w:rFonts w:asciiTheme="majorEastAsia" w:hAnsiTheme="majorEastAsia" w:eastAsiaTheme="majorEastAsia"/>
                <w:szCs w:val="21"/>
              </w:rPr>
            </w:pPr>
            <w:r>
              <w:rPr>
                <w:rFonts w:hint="eastAsia" w:asciiTheme="majorEastAsia" w:hAnsiTheme="majorEastAsia" w:eastAsiaTheme="majorEastAsia"/>
                <w:szCs w:val="21"/>
              </w:rPr>
              <w:t>生</w:t>
            </w:r>
          </w:p>
          <w:p>
            <w:pPr>
              <w:jc w:val="center"/>
              <w:rPr>
                <w:rFonts w:asciiTheme="majorEastAsia" w:hAnsiTheme="majorEastAsia" w:eastAsiaTheme="majorEastAsia"/>
                <w:szCs w:val="21"/>
              </w:rPr>
            </w:pPr>
            <w:r>
              <w:rPr>
                <w:rFonts w:hint="eastAsia" w:asciiTheme="majorEastAsia" w:hAnsiTheme="majorEastAsia" w:eastAsiaTheme="majorEastAsia"/>
                <w:szCs w:val="21"/>
              </w:rPr>
              <w:t>间</w:t>
            </w: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马桶、小便池清洁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循环</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保持干净，无黄垢、毛发、杂物，光亮白洁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vAlign w:val="center"/>
          </w:tcPr>
          <w:p>
            <w:pPr>
              <w:rPr>
                <w:rFonts w:asciiTheme="majorEastAsia" w:hAnsiTheme="majorEastAsia" w:eastAsiaTheme="majorEastAsia"/>
                <w:szCs w:val="21"/>
              </w:rPr>
            </w:pPr>
          </w:p>
        </w:tc>
        <w:tc>
          <w:tcPr>
            <w:tcW w:w="2404" w:type="dxa"/>
            <w:vAlign w:val="center"/>
          </w:tcPr>
          <w:p>
            <w:pPr>
              <w:widowControl/>
              <w:jc w:val="left"/>
              <w:rPr>
                <w:szCs w:val="21"/>
              </w:rPr>
            </w:pPr>
            <w:r>
              <w:rPr>
                <w:rFonts w:hint="eastAsia" w:cs="宋体" w:asciiTheme="majorEastAsia" w:hAnsiTheme="majorEastAsia" w:eastAsiaTheme="majorEastAsia"/>
                <w:kern w:val="0"/>
                <w:szCs w:val="21"/>
              </w:rPr>
              <w:t>门、门把、门框清洁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循环</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洁净，无手印、污渍，门缝及闭门器无尘土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天花板和排风口、照明设施、标示牌等固定设施清洁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一周一次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无污点、无灰尘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台盆、水斗、水龙头清洁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循环</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无污物、水迹、杂物，清洁光亮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玻璃镜面清洁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循环</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保持光亮、无水渍、手印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瓷砖墙面、隔断板、隔断门清洁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循环</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无污迹、尘土、纸屑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地面清洁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循环</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保持干净光洁；无污迹、水迹，边角无杂物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垃圾桶</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一天两次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及时清倒，垃圾袋及时更换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地漏清洁消毒</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一天一次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无堵塞、无异味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tcBorders>
              <w:bottom w:val="single" w:color="auto" w:sz="4" w:space="0"/>
            </w:tcBorders>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清洁物品添加（卷纸、擦手纸、洗手液等）</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循环</w:t>
            </w:r>
          </w:p>
        </w:tc>
        <w:tc>
          <w:tcPr>
            <w:tcW w:w="3409" w:type="dxa"/>
            <w:vAlign w:val="center"/>
          </w:tcPr>
          <w:p>
            <w:pPr>
              <w:widowControl/>
              <w:tabs>
                <w:tab w:val="center" w:pos="1558"/>
              </w:tabs>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及时添加补充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tcBorders>
              <w:bottom w:val="nil"/>
            </w:tcBorders>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墙面清洁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一天一次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tcBorders>
              <w:bottom w:val="nil"/>
            </w:tcBorders>
            <w:vAlign w:val="center"/>
          </w:tcPr>
          <w:p>
            <w:pPr>
              <w:rPr>
                <w:rFonts w:asciiTheme="majorEastAsia" w:hAnsiTheme="majorEastAsia" w:eastAsiaTheme="majorEastAsia"/>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地面清扫、清拖</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循环</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无污渍、无灰尘、无垃圾纸屑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restart"/>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园</w:t>
            </w:r>
          </w:p>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区</w:t>
            </w:r>
          </w:p>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消</w:t>
            </w:r>
          </w:p>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杀</w:t>
            </w: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园区灭鼠活动</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每年一、二次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根据需要，每年进行1－2次全园区灭鼠活动。包括在各主要通道多处投放灭鼠药、放置灭鼠板。并放置鼠药警示牌。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vAlign w:val="center"/>
          </w:tcPr>
          <w:p>
            <w:pPr>
              <w:widowControl/>
              <w:jc w:val="center"/>
              <w:rPr>
                <w:rFonts w:cs="宋体" w:asciiTheme="majorEastAsia" w:hAnsiTheme="majorEastAsia" w:eastAsiaTheme="majorEastAsia"/>
                <w:kern w:val="0"/>
                <w:szCs w:val="21"/>
              </w:rPr>
            </w:pP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园区灭蟑螂活动</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每年一、二次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在每年春秋、梅雨等蟑螂的多发季节，进行多次全楼灭蟑螂活动。包括在各个角落多处投放灭蟑螂药。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配套</w:t>
            </w:r>
          </w:p>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设施</w:t>
            </w: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围墙内墙面、围墙护栏、篮球架、、篮球场围网、太阳伞、休闲桌椅、花箱、路灯、井盖、人车行道闸、电子围栏、集装箱外表面、休闲汀步</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一周一次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目视表面无明显灰尘，无污迹，无乱张贴，及时补漆。根据需要进行冲洗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宣传栏、标识牌</w:t>
            </w: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表面清洁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一周二次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目视表面无明显灰尘，无污迹，无乱张 贴，及时补漆。根据需要进行冲洗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Align w:val="center"/>
          </w:tcPr>
          <w:p>
            <w:pPr>
              <w:widowControl/>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车道、步道、停车场、电瓶车棚</w:t>
            </w: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路面及车棚清洁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一天二次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随时巡回保洁。 目视路面无垃圾、无杂物、无积水，无明显污渍、泥沙，每100㎡内烟 头、纸屑，平均不超过2个。根据需要进行冲洗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快递</w:t>
            </w:r>
          </w:p>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货架</w:t>
            </w: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表面清洁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一天一次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目视表面清洁、无明显灰尘、无污迹、无乱粘贴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排</w:t>
            </w:r>
          </w:p>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水</w:t>
            </w:r>
          </w:p>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沟</w:t>
            </w:r>
          </w:p>
        </w:tc>
        <w:tc>
          <w:tcPr>
            <w:tcW w:w="2404"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里外清洁</w:t>
            </w:r>
          </w:p>
        </w:tc>
        <w:tc>
          <w:tcPr>
            <w:tcW w:w="1097"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一周一次</w:t>
            </w:r>
          </w:p>
        </w:tc>
        <w:tc>
          <w:tcPr>
            <w:tcW w:w="3409" w:type="dxa"/>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对沟里生长的杂草每周清除一次，对排水沟盖板每周清理一次。目视干净无垃圾、无污渍，无青苔、杂草。</w:t>
            </w:r>
          </w:p>
        </w:tc>
      </w:tr>
    </w:tbl>
    <w:p>
      <w:pPr>
        <w:autoSpaceDE w:val="0"/>
        <w:autoSpaceDN w:val="0"/>
        <w:adjustRightInd w:val="0"/>
        <w:spacing w:line="360" w:lineRule="auto"/>
        <w:ind w:firstLine="482" w:firstLineChars="200"/>
        <w:jc w:val="left"/>
        <w:rPr>
          <w:rFonts w:cs="Times New Roman" w:asciiTheme="majorEastAsia" w:hAnsiTheme="majorEastAsia" w:eastAsiaTheme="majorEastAsia"/>
          <w:b/>
          <w:bCs/>
          <w:sz w:val="24"/>
          <w:szCs w:val="24"/>
          <w:lang w:val="zh-CN"/>
        </w:rPr>
      </w:pPr>
      <w:r>
        <w:rPr>
          <w:rFonts w:hint="eastAsia" w:cs="Times New Roman" w:asciiTheme="majorEastAsia" w:hAnsiTheme="majorEastAsia" w:eastAsiaTheme="majorEastAsia"/>
          <w:b/>
          <w:bCs/>
          <w:sz w:val="24"/>
          <w:szCs w:val="24"/>
        </w:rPr>
        <w:t>2、</w:t>
      </w:r>
      <w:r>
        <w:rPr>
          <w:rFonts w:hint="eastAsia" w:cs="Times New Roman" w:asciiTheme="majorEastAsia" w:hAnsiTheme="majorEastAsia" w:eastAsiaTheme="majorEastAsia"/>
          <w:b/>
          <w:bCs/>
          <w:sz w:val="24"/>
          <w:szCs w:val="24"/>
          <w:lang w:val="zh-CN"/>
        </w:rPr>
        <w:t>绿化</w:t>
      </w:r>
      <w:r>
        <w:rPr>
          <w:rFonts w:cs="Times New Roman" w:asciiTheme="majorEastAsia" w:hAnsiTheme="majorEastAsia" w:eastAsiaTheme="majorEastAsia"/>
          <w:b/>
          <w:bCs/>
          <w:sz w:val="24"/>
          <w:szCs w:val="24"/>
          <w:lang w:val="zh-CN"/>
        </w:rPr>
        <w:t>养护</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2.1 绿化养护标准：严格按照《园林绿化养护标准》（DG/TJ08—19—2023J11852—2023）中的各项条例执行。其中草坪、花卉和树木进行按照二级养护标准。园林绿化附属设施维护和其他维护要求同《园林绿化养护标准》（DG/TJ08—19—2023 J11852—2023）。</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sz w:val="24"/>
          <w:szCs w:val="24"/>
        </w:rPr>
        <w:t>2.2 草坪：</w:t>
      </w:r>
      <w:r>
        <w:rPr>
          <w:rFonts w:cs="Times New Roman" w:asciiTheme="majorEastAsia" w:hAnsiTheme="majorEastAsia" w:eastAsiaTheme="majorEastAsia"/>
          <w:sz w:val="24"/>
          <w:szCs w:val="24"/>
          <w:lang w:val="zh-CN"/>
        </w:rPr>
        <w:t>对</w:t>
      </w:r>
      <w:r>
        <w:rPr>
          <w:rFonts w:hint="eastAsia" w:cs="Times New Roman" w:asciiTheme="majorEastAsia" w:hAnsiTheme="majorEastAsia" w:eastAsiaTheme="majorEastAsia"/>
          <w:sz w:val="24"/>
          <w:szCs w:val="24"/>
          <w:lang w:val="zh-CN"/>
        </w:rPr>
        <w:t>月浦基地公共草坪、树木</w:t>
      </w:r>
      <w:r>
        <w:rPr>
          <w:rFonts w:cs="Times New Roman" w:asciiTheme="majorEastAsia" w:hAnsiTheme="majorEastAsia" w:eastAsiaTheme="majorEastAsia"/>
          <w:sz w:val="24"/>
          <w:szCs w:val="24"/>
          <w:lang w:val="zh-CN"/>
        </w:rPr>
        <w:t>进行养护</w:t>
      </w:r>
      <w:r>
        <w:rPr>
          <w:rFonts w:hint="eastAsia"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草坪补种；</w:t>
      </w:r>
      <w:r>
        <w:rPr>
          <w:rFonts w:hint="eastAsia" w:cs="Times New Roman" w:asciiTheme="majorEastAsia" w:hAnsiTheme="majorEastAsia" w:eastAsiaTheme="majorEastAsia"/>
          <w:sz w:val="24"/>
          <w:szCs w:val="24"/>
          <w:lang w:val="zh-CN"/>
        </w:rPr>
        <w:t>杂草、枯枝、垃圾清除；按需</w:t>
      </w:r>
      <w:r>
        <w:rPr>
          <w:rFonts w:cs="Times New Roman" w:asciiTheme="majorEastAsia" w:hAnsiTheme="majorEastAsia" w:eastAsiaTheme="majorEastAsia"/>
          <w:sz w:val="24"/>
          <w:szCs w:val="24"/>
          <w:lang w:val="zh-CN"/>
        </w:rPr>
        <w:t>浇水</w:t>
      </w:r>
      <w:r>
        <w:rPr>
          <w:rFonts w:hint="eastAsia"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施肥、</w:t>
      </w:r>
      <w:r>
        <w:rPr>
          <w:rFonts w:hint="eastAsia" w:cs="Times New Roman" w:asciiTheme="majorEastAsia" w:hAnsiTheme="majorEastAsia" w:eastAsiaTheme="majorEastAsia"/>
          <w:sz w:val="24"/>
          <w:szCs w:val="24"/>
          <w:lang w:val="zh-CN"/>
        </w:rPr>
        <w:t>树木</w:t>
      </w:r>
      <w:r>
        <w:rPr>
          <w:rFonts w:cs="Times New Roman" w:asciiTheme="majorEastAsia" w:hAnsiTheme="majorEastAsia" w:eastAsiaTheme="majorEastAsia"/>
          <w:sz w:val="24"/>
          <w:szCs w:val="24"/>
          <w:lang w:val="zh-CN"/>
        </w:rPr>
        <w:t>及草</w:t>
      </w:r>
      <w:r>
        <w:rPr>
          <w:rFonts w:hint="eastAsia" w:cs="Times New Roman" w:asciiTheme="majorEastAsia" w:hAnsiTheme="majorEastAsia" w:eastAsiaTheme="majorEastAsia"/>
          <w:sz w:val="24"/>
          <w:szCs w:val="24"/>
        </w:rPr>
        <w:t>坪</w:t>
      </w:r>
      <w:r>
        <w:rPr>
          <w:rFonts w:hint="eastAsia" w:cs="Times New Roman" w:asciiTheme="majorEastAsia" w:hAnsiTheme="majorEastAsia" w:eastAsiaTheme="majorEastAsia"/>
          <w:sz w:val="24"/>
          <w:szCs w:val="24"/>
          <w:lang w:val="zh-CN"/>
        </w:rPr>
        <w:t>修剪、</w:t>
      </w:r>
      <w:r>
        <w:rPr>
          <w:rFonts w:cs="Times New Roman" w:asciiTheme="majorEastAsia" w:hAnsiTheme="majorEastAsia" w:eastAsiaTheme="majorEastAsia"/>
          <w:sz w:val="24"/>
          <w:szCs w:val="24"/>
          <w:lang w:val="zh-CN"/>
        </w:rPr>
        <w:t>消灭害虫</w:t>
      </w:r>
      <w:r>
        <w:rPr>
          <w:rFonts w:hint="eastAsia" w:cs="Times New Roman" w:asciiTheme="majorEastAsia" w:hAnsiTheme="majorEastAsia" w:eastAsiaTheme="majorEastAsia"/>
          <w:sz w:val="24"/>
          <w:szCs w:val="24"/>
          <w:lang w:val="zh-CN"/>
        </w:rPr>
        <w:t>等</w:t>
      </w:r>
      <w:r>
        <w:rPr>
          <w:rFonts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2.2.1 草坪和草地</w:t>
      </w:r>
    </w:p>
    <w:p>
      <w:pPr>
        <w:numPr>
          <w:ilvl w:val="0"/>
          <w:numId w:val="43"/>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草坪草每次剪去的高度应少于草坪自然高度的1/3。</w:t>
      </w:r>
    </w:p>
    <w:p>
      <w:pPr>
        <w:numPr>
          <w:ilvl w:val="0"/>
          <w:numId w:val="43"/>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最佳的施肥时间是温度和水分状况均适宜草坪草生长的初期或期间,当环境胁迫和病虫胁迫时应避免施肥。</w:t>
      </w:r>
    </w:p>
    <w:p>
      <w:pPr>
        <w:numPr>
          <w:ilvl w:val="0"/>
          <w:numId w:val="43"/>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草坪生长季节应以追施氮肥为主,并适当施用缓释型磷钾肥或复合肥。</w:t>
      </w:r>
    </w:p>
    <w:p>
      <w:pPr>
        <w:numPr>
          <w:ilvl w:val="0"/>
          <w:numId w:val="43"/>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灌溉依草种、土壤、季节及利用目的而定,每次灌溉应至少浸润坪床20cm。</w:t>
      </w:r>
    </w:p>
    <w:p>
      <w:pPr>
        <w:numPr>
          <w:ilvl w:val="0"/>
          <w:numId w:val="43"/>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草坪养护应符合现行上海市工程建设规范《园林绿化草坪建植和养护技术规程》DG/TJ08—67的相关规定。</w:t>
      </w:r>
    </w:p>
    <w:p>
      <w:pPr>
        <w:numPr>
          <w:ilvl w:val="0"/>
          <w:numId w:val="43"/>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草地修剪留茬高度宜为10cm</w:t>
      </w:r>
      <w:r>
        <w:rPr>
          <w:rFonts w:hint="eastAsia" w:ascii="宋体" w:hAnsi="宋体" w:eastAsia="宋体" w:cs="宋体"/>
          <w:sz w:val="24"/>
          <w:szCs w:val="24"/>
        </w:rPr>
        <w:t>～</w:t>
      </w:r>
      <w:r>
        <w:rPr>
          <w:rFonts w:cs="Times New Roman" w:asciiTheme="majorEastAsia" w:hAnsiTheme="majorEastAsia" w:eastAsiaTheme="majorEastAsia"/>
          <w:sz w:val="24"/>
          <w:szCs w:val="24"/>
        </w:rPr>
        <w:t>15cm或自然高度。</w:t>
      </w:r>
    </w:p>
    <w:p>
      <w:pPr>
        <w:numPr>
          <w:ilvl w:val="0"/>
          <w:numId w:val="43"/>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草地全年宜施肥1次</w:t>
      </w:r>
      <w:r>
        <w:rPr>
          <w:rFonts w:hint="eastAsia" w:cs="Times New Roman" w:asciiTheme="majorEastAsia" w:hAnsiTheme="majorEastAsia" w:eastAsiaTheme="majorEastAsia"/>
          <w:sz w:val="24"/>
          <w:szCs w:val="24"/>
        </w:rPr>
        <w:t>～</w:t>
      </w:r>
      <w:r>
        <w:rPr>
          <w:rFonts w:cs="Times New Roman" w:asciiTheme="majorEastAsia" w:hAnsiTheme="majorEastAsia" w:eastAsiaTheme="majorEastAsia"/>
          <w:sz w:val="24"/>
          <w:szCs w:val="24"/>
        </w:rPr>
        <w:t>2次。</w:t>
      </w:r>
    </w:p>
    <w:p>
      <w:pPr>
        <w:numPr>
          <w:ilvl w:val="255"/>
          <w:numId w:val="0"/>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2.2.2 地被植物</w:t>
      </w:r>
    </w:p>
    <w:p>
      <w:pPr>
        <w:numPr>
          <w:ilvl w:val="0"/>
          <w:numId w:val="44"/>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应控制适当高度,保持层次清晰、造型整齐或线条起伏自然。</w:t>
      </w:r>
    </w:p>
    <w:p>
      <w:pPr>
        <w:numPr>
          <w:ilvl w:val="0"/>
          <w:numId w:val="44"/>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应确保土壤的覆盖度,并保留和培养开花枝条。</w:t>
      </w:r>
    </w:p>
    <w:p>
      <w:pPr>
        <w:numPr>
          <w:ilvl w:val="0"/>
          <w:numId w:val="44"/>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混植灌木类地被应留出适当生长空间</w:t>
      </w:r>
      <w:r>
        <w:rPr>
          <w:rFonts w:hint="eastAsia" w:cs="Times New Roman" w:asciiTheme="majorEastAsia" w:hAnsiTheme="majorEastAsia" w:eastAsiaTheme="majorEastAsia"/>
          <w:sz w:val="24"/>
          <w:szCs w:val="24"/>
        </w:rPr>
        <w:t>。</w:t>
      </w:r>
    </w:p>
    <w:p>
      <w:pPr>
        <w:numPr>
          <w:ilvl w:val="0"/>
          <w:numId w:val="44"/>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蔓生性较强的地被,修剪应使枝蔓不侵占周边植物的</w:t>
      </w:r>
      <w:r>
        <w:rPr>
          <w:rFonts w:hint="eastAsia" w:cs="Times New Roman" w:asciiTheme="majorEastAsia" w:hAnsiTheme="majorEastAsia" w:eastAsiaTheme="majorEastAsia"/>
          <w:sz w:val="24"/>
          <w:szCs w:val="24"/>
        </w:rPr>
        <w:t>生长空间。</w:t>
      </w:r>
    </w:p>
    <w:p>
      <w:pPr>
        <w:numPr>
          <w:ilvl w:val="0"/>
          <w:numId w:val="44"/>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单植地被及混植地被应及时清除枯花、枯枝、无观赏价值的宿存果实、寄生物及缠绕物;近自然混植地被在不影响景观面貌前提下,可减少修剪量。</w:t>
      </w:r>
    </w:p>
    <w:p>
      <w:pPr>
        <w:numPr>
          <w:ilvl w:val="0"/>
          <w:numId w:val="44"/>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气温连续3d超过35℃,地被植物早、晚宜增加喷灌、雾喷等措施。</w:t>
      </w:r>
    </w:p>
    <w:p>
      <w:pPr>
        <w:numPr>
          <w:ilvl w:val="0"/>
          <w:numId w:val="44"/>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植株死亡引起空秃,影响景观效果时应及时补植。</w:t>
      </w:r>
    </w:p>
    <w:p>
      <w:pPr>
        <w:numPr>
          <w:ilvl w:val="0"/>
          <w:numId w:val="44"/>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单植宿根类地被及混植宿根类地被休眠期应做好裸露</w:t>
      </w:r>
      <w:r>
        <w:rPr>
          <w:rFonts w:hint="eastAsia" w:cs="Times New Roman" w:asciiTheme="majorEastAsia" w:hAnsiTheme="majorEastAsia" w:eastAsiaTheme="majorEastAsia"/>
          <w:sz w:val="24"/>
          <w:szCs w:val="24"/>
        </w:rPr>
        <w:t>土壤覆盖。</w:t>
      </w:r>
    </w:p>
    <w:p>
      <w:pPr>
        <w:numPr>
          <w:ilvl w:val="255"/>
          <w:numId w:val="0"/>
        </w:num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2.2.3 绿化植物废弃物处置</w:t>
      </w:r>
    </w:p>
    <w:p>
      <w:pPr>
        <w:numPr>
          <w:ilvl w:val="0"/>
          <w:numId w:val="45"/>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绿化植物废弃物应资源化利用,不应直接焚烧或者作为垃圾处理,不得与建筑垃圾或生活垃圾混合。</w:t>
      </w:r>
    </w:p>
    <w:p>
      <w:pPr>
        <w:numPr>
          <w:ilvl w:val="0"/>
          <w:numId w:val="45"/>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绿化植物废弃物应分类收集,合理利用;宜将绿化植物废弃物按照枝条粗细、不同用途等进行分类后再运输。</w:t>
      </w:r>
    </w:p>
    <w:p>
      <w:pPr>
        <w:numPr>
          <w:ilvl w:val="0"/>
          <w:numId w:val="45"/>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受病菌或虫体危害的绿化废弃物应单独收集,并采取灭虫、杀菌、消毒等措施,不得直接用于绿化土表。</w:t>
      </w:r>
    </w:p>
    <w:p>
      <w:pPr>
        <w:numPr>
          <w:ilvl w:val="0"/>
          <w:numId w:val="45"/>
        </w:numPr>
        <w:autoSpaceDE w:val="0"/>
        <w:autoSpaceDN w:val="0"/>
        <w:adjustRightInd w:val="0"/>
        <w:spacing w:line="360" w:lineRule="auto"/>
        <w:ind w:left="420" w:leftChars="200" w:firstLine="60" w:firstLineChars="2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绿化植物废弃物内不得混入石块、铁丝等园艺装饰材料,应将非植物材料分拣剔除。</w:t>
      </w:r>
    </w:p>
    <w:p>
      <w:pPr>
        <w:autoSpaceDE w:val="0"/>
        <w:autoSpaceDN w:val="0"/>
        <w:spacing w:line="360" w:lineRule="auto"/>
        <w:ind w:left="473" w:leftChars="225"/>
        <w:jc w:val="left"/>
      </w:pPr>
      <w:r>
        <w:rPr>
          <w:rFonts w:hint="eastAsia" w:cs="Times New Roman" w:asciiTheme="majorEastAsia" w:hAnsiTheme="majorEastAsia" w:eastAsiaTheme="majorEastAsia"/>
          <w:sz w:val="24"/>
          <w:szCs w:val="24"/>
        </w:rPr>
        <w:t>2.2.4 草坪和草地养护质量等级附表</w:t>
      </w:r>
    </w:p>
    <w:p>
      <w:pPr>
        <w:rPr>
          <w:sz w:val="24"/>
          <w:szCs w:val="24"/>
        </w:rPr>
      </w:pPr>
      <w:r>
        <w:rPr>
          <w:rFonts w:hint="eastAsia" w:cs="Times New Roman" w:asciiTheme="majorEastAsia" w:hAnsiTheme="majorEastAsia" w:eastAsiaTheme="majorEastAsia"/>
          <w:sz w:val="24"/>
          <w:szCs w:val="24"/>
        </w:rPr>
        <w:t>附表1：</w:t>
      </w:r>
      <w:r>
        <w:rPr>
          <w:sz w:val="24"/>
          <w:szCs w:val="24"/>
        </w:rPr>
        <w:t>开放型草坪养护质量等级</w:t>
      </w:r>
    </w:p>
    <w:tbl>
      <w:tblPr>
        <w:tblStyle w:val="46"/>
        <w:tblW w:w="4968" w:type="pct"/>
        <w:tblInd w:w="0" w:type="dxa"/>
        <w:tblLayout w:type="autofit"/>
        <w:tblCellMar>
          <w:top w:w="0" w:type="dxa"/>
          <w:left w:w="108" w:type="dxa"/>
          <w:bottom w:w="0" w:type="dxa"/>
          <w:right w:w="108" w:type="dxa"/>
        </w:tblCellMar>
      </w:tblPr>
      <w:tblGrid>
        <w:gridCol w:w="612"/>
        <w:gridCol w:w="1884"/>
        <w:gridCol w:w="5867"/>
      </w:tblGrid>
      <w:tr>
        <w:tblPrEx>
          <w:tblCellMar>
            <w:top w:w="0" w:type="dxa"/>
            <w:left w:w="108" w:type="dxa"/>
            <w:bottom w:w="0" w:type="dxa"/>
            <w:right w:w="108" w:type="dxa"/>
          </w:tblCellMar>
        </w:tblPrEx>
        <w:trPr>
          <w:trHeight w:val="499" w:hRule="exact"/>
        </w:trPr>
        <w:tc>
          <w:tcPr>
            <w:tcW w:w="366" w:type="pct"/>
            <w:tcBorders>
              <w:top w:val="single" w:color="221F1F" w:sz="6"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szCs w:val="21"/>
              </w:rPr>
              <w:t>序号</w:t>
            </w:r>
          </w:p>
        </w:tc>
        <w:tc>
          <w:tcPr>
            <w:tcW w:w="1126" w:type="pct"/>
            <w:tcBorders>
              <w:top w:val="single" w:color="221F1F" w:sz="6"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项目</w:t>
            </w:r>
          </w:p>
        </w:tc>
        <w:tc>
          <w:tcPr>
            <w:tcW w:w="3507"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二级</w:t>
            </w:r>
          </w:p>
        </w:tc>
      </w:tr>
      <w:tr>
        <w:tblPrEx>
          <w:tblCellMar>
            <w:top w:w="0" w:type="dxa"/>
            <w:left w:w="108" w:type="dxa"/>
            <w:bottom w:w="0" w:type="dxa"/>
            <w:right w:w="108" w:type="dxa"/>
          </w:tblCellMar>
        </w:tblPrEx>
        <w:trPr>
          <w:trHeight w:val="386" w:hRule="exact"/>
        </w:trPr>
        <w:tc>
          <w:tcPr>
            <w:tcW w:w="366" w:type="pct"/>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rFonts w:hint="eastAsia"/>
                <w:szCs w:val="21"/>
              </w:rPr>
              <w:t>1</w:t>
            </w:r>
          </w:p>
        </w:tc>
        <w:tc>
          <w:tcPr>
            <w:tcW w:w="1126"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rFonts w:hint="eastAsia"/>
                <w:szCs w:val="21"/>
              </w:rPr>
              <w:t>平整度(cm)</w:t>
            </w:r>
          </w:p>
        </w:tc>
        <w:tc>
          <w:tcPr>
            <w:tcW w:w="3507"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rFonts w:hint="eastAsia"/>
                <w:szCs w:val="21"/>
              </w:rPr>
              <w:t>≤3</w:t>
            </w:r>
          </w:p>
        </w:tc>
      </w:tr>
      <w:tr>
        <w:tblPrEx>
          <w:tblCellMar>
            <w:top w:w="0" w:type="dxa"/>
            <w:left w:w="108" w:type="dxa"/>
            <w:bottom w:w="0" w:type="dxa"/>
            <w:right w:w="108" w:type="dxa"/>
          </w:tblCellMar>
        </w:tblPrEx>
        <w:trPr>
          <w:trHeight w:val="386" w:hRule="exact"/>
        </w:trPr>
        <w:tc>
          <w:tcPr>
            <w:tcW w:w="366" w:type="pct"/>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rFonts w:hint="eastAsia"/>
                <w:szCs w:val="21"/>
              </w:rPr>
              <w:t>2</w:t>
            </w:r>
          </w:p>
        </w:tc>
        <w:tc>
          <w:tcPr>
            <w:tcW w:w="1126"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rFonts w:hint="eastAsia"/>
                <w:szCs w:val="21"/>
              </w:rPr>
              <w:t>覆盖度(%)</w:t>
            </w:r>
          </w:p>
        </w:tc>
        <w:tc>
          <w:tcPr>
            <w:tcW w:w="3507"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rFonts w:hint="eastAsia"/>
                <w:szCs w:val="21"/>
              </w:rPr>
              <w:t>≥90</w:t>
            </w:r>
          </w:p>
        </w:tc>
      </w:tr>
      <w:tr>
        <w:tblPrEx>
          <w:tblCellMar>
            <w:top w:w="0" w:type="dxa"/>
            <w:left w:w="108" w:type="dxa"/>
            <w:bottom w:w="0" w:type="dxa"/>
            <w:right w:w="108" w:type="dxa"/>
          </w:tblCellMar>
        </w:tblPrEx>
        <w:trPr>
          <w:trHeight w:val="586" w:hRule="exact"/>
        </w:trPr>
        <w:tc>
          <w:tcPr>
            <w:tcW w:w="366" w:type="pct"/>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rFonts w:hint="eastAsia"/>
                <w:szCs w:val="21"/>
              </w:rPr>
              <w:t>3</w:t>
            </w:r>
          </w:p>
        </w:tc>
        <w:tc>
          <w:tcPr>
            <w:tcW w:w="1126"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rFonts w:hint="eastAsia"/>
                <w:szCs w:val="21"/>
              </w:rPr>
              <w:t>颜色</w:t>
            </w:r>
          </w:p>
        </w:tc>
        <w:tc>
          <w:tcPr>
            <w:tcW w:w="3507"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rFonts w:hint="eastAsia"/>
                <w:szCs w:val="21"/>
              </w:rPr>
              <w:t>草坪由绿色叶片层覆盖,枯草或其他颜色比例≤5%</w:t>
            </w:r>
          </w:p>
        </w:tc>
      </w:tr>
      <w:tr>
        <w:tblPrEx>
          <w:tblCellMar>
            <w:top w:w="0" w:type="dxa"/>
            <w:left w:w="108" w:type="dxa"/>
            <w:bottom w:w="0" w:type="dxa"/>
            <w:right w:w="108" w:type="dxa"/>
          </w:tblCellMar>
        </w:tblPrEx>
        <w:trPr>
          <w:trHeight w:val="386" w:hRule="exact"/>
        </w:trPr>
        <w:tc>
          <w:tcPr>
            <w:tcW w:w="366" w:type="pct"/>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szCs w:val="21"/>
              </w:rPr>
              <w:t>4</w:t>
            </w:r>
          </w:p>
        </w:tc>
        <w:tc>
          <w:tcPr>
            <w:tcW w:w="1126"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均一性</w:t>
            </w:r>
          </w:p>
        </w:tc>
        <w:tc>
          <w:tcPr>
            <w:tcW w:w="3507"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外观较均匀</w:t>
            </w:r>
          </w:p>
        </w:tc>
      </w:tr>
      <w:tr>
        <w:tblPrEx>
          <w:tblCellMar>
            <w:top w:w="0" w:type="dxa"/>
            <w:left w:w="108" w:type="dxa"/>
            <w:bottom w:w="0" w:type="dxa"/>
            <w:right w:w="108" w:type="dxa"/>
          </w:tblCellMar>
        </w:tblPrEx>
        <w:trPr>
          <w:trHeight w:val="454" w:hRule="exact"/>
        </w:trPr>
        <w:tc>
          <w:tcPr>
            <w:tcW w:w="366" w:type="pct"/>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szCs w:val="21"/>
              </w:rPr>
              <w:t>5</w:t>
            </w:r>
          </w:p>
        </w:tc>
        <w:tc>
          <w:tcPr>
            <w:tcW w:w="1126"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杂草率(%)</w:t>
            </w:r>
          </w:p>
        </w:tc>
        <w:tc>
          <w:tcPr>
            <w:tcW w:w="3507"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≤5</w:t>
            </w:r>
          </w:p>
        </w:tc>
      </w:tr>
      <w:tr>
        <w:tblPrEx>
          <w:tblCellMar>
            <w:top w:w="0" w:type="dxa"/>
            <w:left w:w="108" w:type="dxa"/>
            <w:bottom w:w="0" w:type="dxa"/>
            <w:right w:w="108" w:type="dxa"/>
          </w:tblCellMar>
        </w:tblPrEx>
        <w:trPr>
          <w:trHeight w:val="504" w:hRule="exact"/>
        </w:trPr>
        <w:tc>
          <w:tcPr>
            <w:tcW w:w="366" w:type="pct"/>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szCs w:val="21"/>
              </w:rPr>
              <w:t>6</w:t>
            </w:r>
          </w:p>
        </w:tc>
        <w:tc>
          <w:tcPr>
            <w:tcW w:w="1126"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病虫侵害率(%)</w:t>
            </w:r>
          </w:p>
        </w:tc>
        <w:tc>
          <w:tcPr>
            <w:tcW w:w="3507" w:type="pct"/>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≤10</w:t>
            </w:r>
          </w:p>
        </w:tc>
      </w:tr>
      <w:tr>
        <w:tblPrEx>
          <w:tblCellMar>
            <w:top w:w="0" w:type="dxa"/>
            <w:left w:w="108" w:type="dxa"/>
            <w:bottom w:w="0" w:type="dxa"/>
            <w:right w:w="108" w:type="dxa"/>
          </w:tblCellMar>
        </w:tblPrEx>
        <w:trPr>
          <w:trHeight w:val="441" w:hRule="exact"/>
        </w:trPr>
        <w:tc>
          <w:tcPr>
            <w:tcW w:w="366" w:type="pct"/>
            <w:tcBorders>
              <w:top w:val="single" w:color="221F1F" w:sz="2" w:space="0"/>
              <w:left w:val="single" w:color="221F1F" w:sz="6" w:space="0"/>
              <w:bottom w:val="single" w:color="221F1F" w:sz="6" w:space="0"/>
              <w:right w:val="single" w:color="221F1F" w:sz="2" w:space="0"/>
            </w:tcBorders>
            <w:noWrap/>
            <w:tcMar>
              <w:left w:w="0" w:type="dxa"/>
              <w:right w:w="0" w:type="dxa"/>
            </w:tcMar>
            <w:vAlign w:val="center"/>
          </w:tcPr>
          <w:p>
            <w:pPr>
              <w:jc w:val="center"/>
              <w:rPr>
                <w:szCs w:val="21"/>
              </w:rPr>
            </w:pPr>
            <w:r>
              <w:rPr>
                <w:szCs w:val="21"/>
              </w:rPr>
              <w:t>7</w:t>
            </w:r>
          </w:p>
        </w:tc>
        <w:tc>
          <w:tcPr>
            <w:tcW w:w="1126" w:type="pct"/>
            <w:tcBorders>
              <w:top w:val="single" w:color="221F1F" w:sz="2" w:space="0"/>
              <w:left w:val="single" w:color="221F1F" w:sz="2" w:space="0"/>
              <w:bottom w:val="single" w:color="221F1F" w:sz="6" w:space="0"/>
              <w:right w:val="single" w:color="221F1F" w:sz="2" w:space="0"/>
            </w:tcBorders>
            <w:noWrap/>
            <w:tcMar>
              <w:left w:w="0" w:type="dxa"/>
              <w:right w:w="0" w:type="dxa"/>
            </w:tcMar>
            <w:vAlign w:val="center"/>
          </w:tcPr>
          <w:p>
            <w:pPr>
              <w:jc w:val="center"/>
              <w:rPr>
                <w:szCs w:val="21"/>
              </w:rPr>
            </w:pPr>
            <w:r>
              <w:rPr>
                <w:szCs w:val="21"/>
              </w:rPr>
              <w:t>清洁</w:t>
            </w:r>
          </w:p>
        </w:tc>
        <w:tc>
          <w:tcPr>
            <w:tcW w:w="3507" w:type="pct"/>
            <w:tcBorders>
              <w:top w:val="single" w:color="221F1F" w:sz="2" w:space="0"/>
              <w:left w:val="single" w:color="221F1F" w:sz="2" w:space="0"/>
              <w:bottom w:val="single" w:color="221F1F" w:sz="6" w:space="0"/>
              <w:right w:val="single" w:color="221F1F" w:sz="2" w:space="0"/>
            </w:tcBorders>
            <w:noWrap/>
            <w:tcMar>
              <w:left w:w="0" w:type="dxa"/>
              <w:right w:w="0" w:type="dxa"/>
            </w:tcMar>
            <w:vAlign w:val="center"/>
          </w:tcPr>
          <w:p>
            <w:pPr>
              <w:widowControl/>
              <w:spacing w:line="240" w:lineRule="atLeast"/>
              <w:jc w:val="center"/>
              <w:rPr>
                <w:szCs w:val="21"/>
              </w:rPr>
            </w:pPr>
            <w:r>
              <w:rPr>
                <w:szCs w:val="21"/>
              </w:rPr>
              <w:t>10</w:t>
            </w:r>
            <w:r>
              <w:rPr>
                <w:rFonts w:hint="eastAsia" w:ascii="宋体" w:hAnsi="宋体" w:eastAsia="宋体" w:cs="宋体"/>
                <w:szCs w:val="21"/>
              </w:rPr>
              <w:t>㎡</w:t>
            </w:r>
            <w:r>
              <w:rPr>
                <w:szCs w:val="21"/>
              </w:rPr>
              <w:t>范围内废弃物不多于4个</w:t>
            </w:r>
          </w:p>
        </w:tc>
      </w:tr>
    </w:tbl>
    <w:p>
      <w:pPr>
        <w:rPr>
          <w:rFonts w:cs="Times New Roman" w:asciiTheme="majorEastAsia" w:hAnsiTheme="majorEastAsia" w:eastAsiaTheme="majorEastAsia"/>
          <w:sz w:val="24"/>
          <w:szCs w:val="24"/>
        </w:rPr>
      </w:pPr>
    </w:p>
    <w:p>
      <w:pPr>
        <w:rPr>
          <w:rFonts w:ascii="宋体" w:hAnsi="宋体" w:eastAsia="宋体" w:cs="宋体"/>
          <w:sz w:val="24"/>
          <w:szCs w:val="24"/>
        </w:rPr>
      </w:pPr>
      <w:r>
        <w:rPr>
          <w:rFonts w:hint="eastAsia" w:cs="Times New Roman" w:asciiTheme="majorEastAsia" w:hAnsiTheme="majorEastAsia" w:eastAsiaTheme="majorEastAsia"/>
          <w:sz w:val="24"/>
          <w:szCs w:val="24"/>
        </w:rPr>
        <w:t>附表2：</w:t>
      </w:r>
      <w:r>
        <w:rPr>
          <w:rFonts w:hint="eastAsia" w:ascii="宋体" w:hAnsi="宋体" w:eastAsia="宋体" w:cs="宋体"/>
          <w:sz w:val="24"/>
          <w:szCs w:val="24"/>
        </w:rPr>
        <w:t>草地养护质量要求</w:t>
      </w:r>
    </w:p>
    <w:tbl>
      <w:tblPr>
        <w:tblStyle w:val="46"/>
        <w:tblW w:w="8359" w:type="dxa"/>
        <w:tblInd w:w="0" w:type="dxa"/>
        <w:tblLayout w:type="fixed"/>
        <w:tblCellMar>
          <w:top w:w="0" w:type="dxa"/>
          <w:left w:w="108" w:type="dxa"/>
          <w:bottom w:w="0" w:type="dxa"/>
          <w:right w:w="108" w:type="dxa"/>
        </w:tblCellMar>
      </w:tblPr>
      <w:tblGrid>
        <w:gridCol w:w="716"/>
        <w:gridCol w:w="1961"/>
        <w:gridCol w:w="5682"/>
      </w:tblGrid>
      <w:tr>
        <w:tblPrEx>
          <w:tblCellMar>
            <w:top w:w="0" w:type="dxa"/>
            <w:left w:w="108" w:type="dxa"/>
            <w:bottom w:w="0" w:type="dxa"/>
            <w:right w:w="108" w:type="dxa"/>
          </w:tblCellMar>
        </w:tblPrEx>
        <w:trPr>
          <w:trHeight w:val="358" w:hRule="exact"/>
        </w:trPr>
        <w:tc>
          <w:tcPr>
            <w:tcW w:w="716" w:type="dxa"/>
            <w:tcBorders>
              <w:top w:val="single" w:color="221F1F" w:sz="6" w:space="0"/>
              <w:left w:val="single" w:color="221F1F" w:sz="6" w:space="0"/>
              <w:bottom w:val="single" w:color="221F1F" w:sz="2" w:space="0"/>
              <w:right w:val="single" w:color="221F1F" w:sz="2" w:space="0"/>
            </w:tcBorders>
            <w:noWrap/>
            <w:tcMar>
              <w:left w:w="0" w:type="dxa"/>
              <w:right w:w="0" w:type="dxa"/>
            </w:tcMar>
          </w:tcPr>
          <w:p>
            <w:pPr>
              <w:jc w:val="center"/>
              <w:rPr>
                <w:rFonts w:ascii="宋体" w:hAnsi="宋体" w:eastAsia="宋体" w:cs="宋体"/>
                <w:szCs w:val="21"/>
              </w:rPr>
            </w:pPr>
            <w:r>
              <w:rPr>
                <w:rFonts w:hint="eastAsia" w:ascii="宋体" w:hAnsi="宋体" w:eastAsia="宋体" w:cs="宋体"/>
                <w:szCs w:val="21"/>
              </w:rPr>
              <w:t>序号</w:t>
            </w:r>
          </w:p>
        </w:tc>
        <w:tc>
          <w:tcPr>
            <w:tcW w:w="1961" w:type="dxa"/>
            <w:tcBorders>
              <w:top w:val="single" w:color="221F1F" w:sz="6" w:space="0"/>
              <w:left w:val="single" w:color="221F1F" w:sz="2" w:space="0"/>
              <w:bottom w:val="single" w:color="221F1F" w:sz="2" w:space="0"/>
              <w:right w:val="single" w:color="221F1F" w:sz="2" w:space="0"/>
            </w:tcBorders>
            <w:noWrap/>
            <w:tcMar>
              <w:left w:w="0" w:type="dxa"/>
              <w:right w:w="0" w:type="dxa"/>
            </w:tcMar>
          </w:tcPr>
          <w:p>
            <w:pPr>
              <w:jc w:val="center"/>
              <w:rPr>
                <w:rFonts w:ascii="宋体" w:hAnsi="宋体" w:eastAsia="宋体" w:cs="宋体"/>
                <w:szCs w:val="21"/>
              </w:rPr>
            </w:pPr>
            <w:r>
              <w:rPr>
                <w:rFonts w:hint="eastAsia" w:ascii="宋体" w:hAnsi="宋体" w:eastAsia="宋体" w:cs="宋体"/>
                <w:szCs w:val="21"/>
              </w:rPr>
              <w:t>项目</w:t>
            </w:r>
          </w:p>
        </w:tc>
        <w:tc>
          <w:tcPr>
            <w:tcW w:w="5682" w:type="dxa"/>
            <w:tcBorders>
              <w:top w:val="single" w:color="221F1F" w:sz="6" w:space="0"/>
              <w:left w:val="single" w:color="221F1F" w:sz="2" w:space="0"/>
              <w:bottom w:val="single" w:color="221F1F" w:sz="2" w:space="0"/>
              <w:right w:val="single" w:color="221F1F" w:sz="6" w:space="0"/>
            </w:tcBorders>
            <w:noWrap/>
            <w:tcMar>
              <w:left w:w="0" w:type="dxa"/>
              <w:right w:w="0" w:type="dxa"/>
            </w:tcMar>
          </w:tcPr>
          <w:p>
            <w:pPr>
              <w:jc w:val="center"/>
              <w:rPr>
                <w:rFonts w:ascii="宋体" w:hAnsi="宋体" w:eastAsia="宋体" w:cs="宋体"/>
                <w:szCs w:val="21"/>
              </w:rPr>
            </w:pPr>
            <w:r>
              <w:rPr>
                <w:rFonts w:hint="eastAsia" w:ascii="宋体" w:hAnsi="宋体" w:eastAsia="宋体" w:cs="宋体"/>
                <w:szCs w:val="21"/>
              </w:rPr>
              <w:t>质量要求</w:t>
            </w:r>
          </w:p>
        </w:tc>
      </w:tr>
      <w:tr>
        <w:tblPrEx>
          <w:tblCellMar>
            <w:top w:w="0" w:type="dxa"/>
            <w:left w:w="108" w:type="dxa"/>
            <w:bottom w:w="0" w:type="dxa"/>
            <w:right w:w="108" w:type="dxa"/>
          </w:tblCellMar>
        </w:tblPrEx>
        <w:trPr>
          <w:trHeight w:val="625" w:hRule="exact"/>
        </w:trPr>
        <w:tc>
          <w:tcPr>
            <w:tcW w:w="716" w:type="dxa"/>
            <w:tcBorders>
              <w:top w:val="single" w:color="221F1F" w:sz="2" w:space="0"/>
              <w:left w:val="single" w:color="221F1F" w:sz="6" w:space="0"/>
              <w:bottom w:val="single" w:color="221F1F" w:sz="2" w:space="0"/>
              <w:right w:val="single" w:color="221F1F" w:sz="2" w:space="0"/>
            </w:tcBorders>
            <w:noWrap/>
            <w:tcMar>
              <w:left w:w="0" w:type="dxa"/>
              <w:right w:w="0" w:type="dxa"/>
            </w:tcMar>
          </w:tcPr>
          <w:p>
            <w:pPr>
              <w:jc w:val="center"/>
              <w:rPr>
                <w:rFonts w:ascii="宋体" w:hAnsi="宋体" w:eastAsia="宋体" w:cs="宋体"/>
                <w:szCs w:val="21"/>
              </w:rPr>
            </w:pPr>
            <w:r>
              <w:rPr>
                <w:rFonts w:hint="eastAsia" w:ascii="宋体" w:hAnsi="宋体" w:eastAsia="宋体" w:cs="宋体"/>
                <w:szCs w:val="21"/>
              </w:rPr>
              <w:t>1</w:t>
            </w:r>
          </w:p>
        </w:tc>
        <w:tc>
          <w:tcPr>
            <w:tcW w:w="1961"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景观</w:t>
            </w:r>
          </w:p>
        </w:tc>
        <w:tc>
          <w:tcPr>
            <w:tcW w:w="5682" w:type="dxa"/>
            <w:tcBorders>
              <w:top w:val="single" w:color="221F1F" w:sz="2" w:space="0"/>
              <w:left w:val="single" w:color="221F1F" w:sz="2" w:space="0"/>
              <w:bottom w:val="single" w:color="221F1F" w:sz="2" w:space="0"/>
              <w:right w:val="single" w:color="221F1F" w:sz="6" w:space="0"/>
            </w:tcBorders>
            <w:noWrap/>
            <w:tcMar>
              <w:left w:w="0" w:type="dxa"/>
              <w:right w:w="0" w:type="dxa"/>
            </w:tcMar>
          </w:tcPr>
          <w:p>
            <w:pPr>
              <w:jc w:val="left"/>
              <w:rPr>
                <w:rFonts w:ascii="宋体" w:hAnsi="宋体" w:eastAsia="宋体" w:cs="宋体"/>
                <w:szCs w:val="21"/>
              </w:rPr>
            </w:pPr>
            <w:r>
              <w:rPr>
                <w:rFonts w:hint="eastAsia" w:ascii="宋体" w:hAnsi="宋体" w:eastAsia="宋体" w:cs="宋体"/>
                <w:szCs w:val="21"/>
              </w:rPr>
              <w:t>（1） 草面基本平整；</w:t>
            </w:r>
          </w:p>
          <w:p>
            <w:pPr>
              <w:jc w:val="left"/>
              <w:rPr>
                <w:rFonts w:ascii="宋体" w:hAnsi="宋体" w:eastAsia="宋体" w:cs="宋体"/>
                <w:szCs w:val="21"/>
              </w:rPr>
            </w:pPr>
            <w:r>
              <w:rPr>
                <w:rFonts w:hint="eastAsia" w:ascii="宋体" w:hAnsi="宋体" w:eastAsia="宋体" w:cs="宋体"/>
                <w:szCs w:val="21"/>
              </w:rPr>
              <w:t>（2）成坪高度约为10 cm～15 cm或自然高度</w:t>
            </w:r>
          </w:p>
        </w:tc>
      </w:tr>
      <w:tr>
        <w:tblPrEx>
          <w:tblCellMar>
            <w:top w:w="0" w:type="dxa"/>
            <w:left w:w="108" w:type="dxa"/>
            <w:bottom w:w="0" w:type="dxa"/>
            <w:right w:w="108" w:type="dxa"/>
          </w:tblCellMar>
        </w:tblPrEx>
        <w:trPr>
          <w:trHeight w:val="738" w:hRule="exact"/>
        </w:trPr>
        <w:tc>
          <w:tcPr>
            <w:tcW w:w="716" w:type="dxa"/>
            <w:tcBorders>
              <w:top w:val="single" w:color="221F1F" w:sz="2" w:space="0"/>
              <w:left w:val="single" w:color="221F1F" w:sz="6" w:space="0"/>
              <w:bottom w:val="single" w:color="221F1F" w:sz="2" w:space="0"/>
              <w:right w:val="single" w:color="221F1F" w:sz="2" w:space="0"/>
            </w:tcBorders>
            <w:noWrap/>
            <w:tcMar>
              <w:left w:w="0" w:type="dxa"/>
              <w:right w:w="0" w:type="dxa"/>
            </w:tcMar>
          </w:tcPr>
          <w:p>
            <w:pPr>
              <w:jc w:val="center"/>
              <w:rPr>
                <w:rFonts w:ascii="宋体" w:hAnsi="宋体" w:eastAsia="宋体" w:cs="宋体"/>
                <w:szCs w:val="21"/>
              </w:rPr>
            </w:pPr>
            <w:r>
              <w:rPr>
                <w:rFonts w:hint="eastAsia" w:ascii="宋体" w:hAnsi="宋体" w:eastAsia="宋体" w:cs="宋体"/>
                <w:szCs w:val="21"/>
              </w:rPr>
              <w:t>2</w:t>
            </w:r>
          </w:p>
        </w:tc>
        <w:tc>
          <w:tcPr>
            <w:tcW w:w="1961"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生长势</w:t>
            </w:r>
          </w:p>
        </w:tc>
        <w:tc>
          <w:tcPr>
            <w:tcW w:w="5682" w:type="dxa"/>
            <w:tcBorders>
              <w:top w:val="single" w:color="221F1F" w:sz="2" w:space="0"/>
              <w:left w:val="single" w:color="221F1F" w:sz="2" w:space="0"/>
              <w:bottom w:val="single" w:color="221F1F" w:sz="2" w:space="0"/>
              <w:right w:val="single" w:color="221F1F" w:sz="6" w:space="0"/>
            </w:tcBorders>
            <w:noWrap/>
            <w:tcMar>
              <w:left w:w="0" w:type="dxa"/>
              <w:right w:w="0" w:type="dxa"/>
            </w:tcMar>
          </w:tcPr>
          <w:p>
            <w:pPr>
              <w:numPr>
                <w:ilvl w:val="0"/>
                <w:numId w:val="46"/>
              </w:numPr>
              <w:jc w:val="left"/>
              <w:rPr>
                <w:rFonts w:ascii="宋体" w:hAnsi="宋体" w:eastAsia="宋体" w:cs="宋体"/>
                <w:szCs w:val="21"/>
              </w:rPr>
            </w:pPr>
            <w:r>
              <w:rPr>
                <w:rFonts w:hint="eastAsia" w:ascii="宋体" w:hAnsi="宋体" w:eastAsia="宋体" w:cs="宋体"/>
                <w:szCs w:val="21"/>
              </w:rPr>
              <w:t>生长基本良好；</w:t>
            </w:r>
          </w:p>
          <w:p>
            <w:pPr>
              <w:numPr>
                <w:ilvl w:val="0"/>
                <w:numId w:val="46"/>
              </w:numPr>
              <w:jc w:val="left"/>
              <w:rPr>
                <w:rFonts w:ascii="宋体" w:hAnsi="宋体" w:eastAsia="宋体" w:cs="宋体"/>
                <w:szCs w:val="21"/>
              </w:rPr>
            </w:pPr>
            <w:r>
              <w:rPr>
                <w:rFonts w:hint="eastAsia" w:ascii="宋体" w:hAnsi="宋体" w:eastAsia="宋体" w:cs="宋体"/>
                <w:szCs w:val="21"/>
              </w:rPr>
              <w:t>枯黄衰老叶片及植株比例≤15%</w:t>
            </w:r>
          </w:p>
        </w:tc>
      </w:tr>
      <w:tr>
        <w:tblPrEx>
          <w:tblCellMar>
            <w:top w:w="0" w:type="dxa"/>
            <w:left w:w="108" w:type="dxa"/>
            <w:bottom w:w="0" w:type="dxa"/>
            <w:right w:w="108" w:type="dxa"/>
          </w:tblCellMar>
        </w:tblPrEx>
        <w:trPr>
          <w:trHeight w:val="639" w:hRule="exact"/>
        </w:trPr>
        <w:tc>
          <w:tcPr>
            <w:tcW w:w="716" w:type="dxa"/>
            <w:tcBorders>
              <w:top w:val="single" w:color="221F1F" w:sz="2" w:space="0"/>
              <w:left w:val="single" w:color="221F1F" w:sz="6" w:space="0"/>
              <w:bottom w:val="single" w:color="221F1F" w:sz="2" w:space="0"/>
              <w:right w:val="single" w:color="221F1F" w:sz="2" w:space="0"/>
            </w:tcBorders>
            <w:noWrap/>
            <w:tcMar>
              <w:left w:w="0" w:type="dxa"/>
              <w:right w:w="0" w:type="dxa"/>
            </w:tcMar>
          </w:tcPr>
          <w:p>
            <w:pPr>
              <w:jc w:val="center"/>
              <w:rPr>
                <w:rFonts w:ascii="宋体" w:hAnsi="宋体" w:eastAsia="宋体" w:cs="宋体"/>
                <w:szCs w:val="21"/>
              </w:rPr>
            </w:pPr>
            <w:r>
              <w:rPr>
                <w:rFonts w:hint="eastAsia" w:ascii="宋体" w:hAnsi="宋体" w:eastAsia="宋体" w:cs="宋体"/>
                <w:szCs w:val="21"/>
              </w:rPr>
              <w:t>3</w:t>
            </w:r>
          </w:p>
        </w:tc>
        <w:tc>
          <w:tcPr>
            <w:tcW w:w="1961"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ind w:firstLine="630" w:firstLineChars="300"/>
              <w:rPr>
                <w:rFonts w:ascii="宋体" w:hAnsi="宋体" w:eastAsia="宋体" w:cs="宋体"/>
                <w:szCs w:val="21"/>
              </w:rPr>
            </w:pPr>
            <w:r>
              <w:rPr>
                <w:rFonts w:hint="eastAsia" w:ascii="宋体" w:hAnsi="宋体" w:eastAsia="宋体" w:cs="宋体"/>
                <w:szCs w:val="21"/>
              </w:rPr>
              <w:t>覆盖度</w:t>
            </w:r>
          </w:p>
        </w:tc>
        <w:tc>
          <w:tcPr>
            <w:tcW w:w="5682" w:type="dxa"/>
            <w:tcBorders>
              <w:top w:val="single" w:color="221F1F" w:sz="2" w:space="0"/>
              <w:left w:val="single" w:color="221F1F" w:sz="2" w:space="0"/>
              <w:bottom w:val="single" w:color="221F1F" w:sz="2" w:space="0"/>
              <w:right w:val="single" w:color="221F1F" w:sz="6" w:space="0"/>
            </w:tcBorders>
            <w:noWrap/>
            <w:tcMar>
              <w:left w:w="0" w:type="dxa"/>
              <w:right w:w="0" w:type="dxa"/>
            </w:tcMar>
          </w:tcPr>
          <w:tbl>
            <w:tblPr>
              <w:tblStyle w:val="46"/>
              <w:tblW w:w="0" w:type="auto"/>
              <w:tblInd w:w="0" w:type="dxa"/>
              <w:tblLayout w:type="fixed"/>
              <w:tblCellMar>
                <w:top w:w="0" w:type="dxa"/>
                <w:left w:w="108" w:type="dxa"/>
                <w:bottom w:w="0" w:type="dxa"/>
                <w:right w:w="108" w:type="dxa"/>
              </w:tblCellMar>
            </w:tblPr>
            <w:tblGrid>
              <w:gridCol w:w="4975"/>
            </w:tblGrid>
            <w:tr>
              <w:trPr>
                <w:trHeight w:val="1610" w:hRule="exact"/>
              </w:trPr>
              <w:tc>
                <w:tcPr>
                  <w:tcW w:w="4975" w:type="dxa"/>
                  <w:noWrap/>
                  <w:tcMar>
                    <w:left w:w="0" w:type="dxa"/>
                    <w:right w:w="0" w:type="dxa"/>
                  </w:tcMar>
                </w:tcPr>
                <w:p>
                  <w:pPr>
                    <w:numPr>
                      <w:ilvl w:val="0"/>
                      <w:numId w:val="47"/>
                    </w:numPr>
                    <w:jc w:val="left"/>
                    <w:rPr>
                      <w:rFonts w:ascii="宋体" w:hAnsi="宋体" w:eastAsia="宋体" w:cs="宋体"/>
                      <w:szCs w:val="21"/>
                    </w:rPr>
                  </w:pPr>
                  <w:r>
                    <w:rPr>
                      <w:rFonts w:hint="eastAsia" w:ascii="宋体" w:hAnsi="宋体" w:eastAsia="宋体" w:cs="宋体"/>
                      <w:szCs w:val="21"/>
                    </w:rPr>
                    <w:t>覆盖度≥80%；</w:t>
                  </w:r>
                </w:p>
                <w:p>
                  <w:pPr>
                    <w:numPr>
                      <w:ilvl w:val="0"/>
                      <w:numId w:val="47"/>
                    </w:numPr>
                    <w:jc w:val="left"/>
                    <w:rPr>
                      <w:rFonts w:ascii="宋体" w:hAnsi="宋体" w:eastAsia="宋体" w:cs="宋体"/>
                      <w:szCs w:val="21"/>
                    </w:rPr>
                  </w:pPr>
                  <w:r>
                    <w:rPr>
                      <w:rFonts w:hint="eastAsia" w:ascii="宋体" w:hAnsi="宋体" w:eastAsia="宋体" w:cs="宋体"/>
                      <w:szCs w:val="21"/>
                    </w:rPr>
                    <w:t>集中空秃不得大于1㎡</w:t>
                  </w:r>
                </w:p>
              </w:tc>
            </w:tr>
          </w:tbl>
          <w:p>
            <w:pPr>
              <w:jc w:val="left"/>
              <w:rPr>
                <w:rFonts w:ascii="宋体" w:hAnsi="宋体" w:eastAsia="宋体" w:cs="宋体"/>
                <w:szCs w:val="21"/>
              </w:rPr>
            </w:pPr>
          </w:p>
        </w:tc>
      </w:tr>
      <w:tr>
        <w:tblPrEx>
          <w:tblCellMar>
            <w:top w:w="0" w:type="dxa"/>
            <w:left w:w="108" w:type="dxa"/>
            <w:bottom w:w="0" w:type="dxa"/>
            <w:right w:w="108" w:type="dxa"/>
          </w:tblCellMar>
        </w:tblPrEx>
        <w:trPr>
          <w:trHeight w:val="638" w:hRule="exact"/>
        </w:trPr>
        <w:tc>
          <w:tcPr>
            <w:tcW w:w="716" w:type="dxa"/>
            <w:tcBorders>
              <w:top w:val="single" w:color="221F1F" w:sz="2" w:space="0"/>
              <w:left w:val="single" w:color="221F1F" w:sz="6" w:space="0"/>
              <w:bottom w:val="single" w:color="221F1F" w:sz="2" w:space="0"/>
              <w:right w:val="single" w:color="221F1F" w:sz="2" w:space="0"/>
            </w:tcBorders>
            <w:noWrap/>
            <w:tcMar>
              <w:left w:w="0" w:type="dxa"/>
              <w:right w:w="0" w:type="dxa"/>
            </w:tcMar>
          </w:tcPr>
          <w:p>
            <w:pPr>
              <w:jc w:val="center"/>
              <w:rPr>
                <w:rFonts w:ascii="宋体" w:hAnsi="宋体" w:eastAsia="宋体" w:cs="宋体"/>
                <w:szCs w:val="21"/>
              </w:rPr>
            </w:pPr>
            <w:r>
              <w:rPr>
                <w:rFonts w:hint="eastAsia" w:ascii="宋体" w:hAnsi="宋体" w:eastAsia="宋体" w:cs="宋体"/>
                <w:szCs w:val="21"/>
              </w:rPr>
              <w:t>4</w:t>
            </w:r>
          </w:p>
        </w:tc>
        <w:tc>
          <w:tcPr>
            <w:tcW w:w="1961"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排灌</w:t>
            </w:r>
          </w:p>
        </w:tc>
        <w:tc>
          <w:tcPr>
            <w:tcW w:w="5682" w:type="dxa"/>
            <w:tcBorders>
              <w:top w:val="single" w:color="221F1F" w:sz="2" w:space="0"/>
              <w:left w:val="single" w:color="221F1F" w:sz="2" w:space="0"/>
              <w:bottom w:val="single" w:color="221F1F" w:sz="2" w:space="0"/>
              <w:right w:val="single" w:color="221F1F" w:sz="6" w:space="0"/>
            </w:tcBorders>
            <w:noWrap/>
            <w:tcMar>
              <w:left w:w="0" w:type="dxa"/>
              <w:right w:w="0" w:type="dxa"/>
            </w:tcMar>
          </w:tcPr>
          <w:p>
            <w:pPr>
              <w:numPr>
                <w:ilvl w:val="0"/>
                <w:numId w:val="48"/>
              </w:numPr>
              <w:jc w:val="left"/>
              <w:rPr>
                <w:rFonts w:ascii="宋体" w:hAnsi="宋体" w:eastAsia="宋体" w:cs="宋体"/>
                <w:szCs w:val="21"/>
              </w:rPr>
            </w:pPr>
            <w:r>
              <w:rPr>
                <w:rFonts w:hint="eastAsia" w:ascii="宋体" w:hAnsi="宋体" w:eastAsia="宋体" w:cs="宋体"/>
                <w:szCs w:val="21"/>
              </w:rPr>
              <w:t>暴雨后2d内基本无积水；</w:t>
            </w:r>
          </w:p>
          <w:p>
            <w:pPr>
              <w:numPr>
                <w:ilvl w:val="0"/>
                <w:numId w:val="48"/>
              </w:numPr>
              <w:jc w:val="left"/>
              <w:rPr>
                <w:rFonts w:ascii="宋体" w:hAnsi="宋体" w:eastAsia="宋体" w:cs="宋体"/>
                <w:szCs w:val="21"/>
              </w:rPr>
            </w:pPr>
            <w:r>
              <w:rPr>
                <w:rFonts w:hint="eastAsia" w:ascii="宋体" w:hAnsi="宋体" w:eastAsia="宋体" w:cs="宋体"/>
                <w:szCs w:val="21"/>
              </w:rPr>
              <w:t>植株基本无失水萎蔫现象；</w:t>
            </w:r>
          </w:p>
        </w:tc>
      </w:tr>
      <w:tr>
        <w:tblPrEx>
          <w:tblCellMar>
            <w:top w:w="0" w:type="dxa"/>
            <w:left w:w="108" w:type="dxa"/>
            <w:bottom w:w="0" w:type="dxa"/>
            <w:right w:w="108" w:type="dxa"/>
          </w:tblCellMar>
        </w:tblPrEx>
        <w:trPr>
          <w:trHeight w:val="630" w:hRule="exact"/>
        </w:trPr>
        <w:tc>
          <w:tcPr>
            <w:tcW w:w="716" w:type="dxa"/>
            <w:tcBorders>
              <w:top w:val="single" w:color="221F1F" w:sz="2" w:space="0"/>
              <w:left w:val="single" w:color="221F1F" w:sz="6" w:space="0"/>
              <w:bottom w:val="single" w:color="221F1F" w:sz="2" w:space="0"/>
              <w:right w:val="single" w:color="221F1F" w:sz="2" w:space="0"/>
            </w:tcBorders>
            <w:noWrap/>
            <w:tcMar>
              <w:left w:w="0" w:type="dxa"/>
              <w:right w:w="0" w:type="dxa"/>
            </w:tcMar>
          </w:tcPr>
          <w:p>
            <w:pPr>
              <w:jc w:val="center"/>
              <w:rPr>
                <w:rFonts w:ascii="宋体" w:hAnsi="宋体" w:eastAsia="宋体" w:cs="宋体"/>
                <w:szCs w:val="21"/>
              </w:rPr>
            </w:pPr>
            <w:r>
              <w:rPr>
                <w:rFonts w:hint="eastAsia" w:ascii="宋体" w:hAnsi="宋体" w:eastAsia="宋体" w:cs="宋体"/>
                <w:szCs w:val="21"/>
              </w:rPr>
              <w:t>5</w:t>
            </w:r>
          </w:p>
        </w:tc>
        <w:tc>
          <w:tcPr>
            <w:tcW w:w="1961"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有害生物控制</w:t>
            </w:r>
          </w:p>
        </w:tc>
        <w:tc>
          <w:tcPr>
            <w:tcW w:w="5682" w:type="dxa"/>
            <w:tcBorders>
              <w:top w:val="single" w:color="221F1F" w:sz="2" w:space="0"/>
              <w:left w:val="single" w:color="221F1F" w:sz="2" w:space="0"/>
              <w:bottom w:val="single" w:color="221F1F" w:sz="2" w:space="0"/>
              <w:right w:val="single" w:color="221F1F" w:sz="6" w:space="0"/>
            </w:tcBorders>
            <w:noWrap/>
            <w:tcMar>
              <w:left w:w="0" w:type="dxa"/>
              <w:right w:w="0" w:type="dxa"/>
            </w:tcMar>
          </w:tcPr>
          <w:p>
            <w:pPr>
              <w:numPr>
                <w:ilvl w:val="0"/>
                <w:numId w:val="49"/>
              </w:numPr>
              <w:jc w:val="left"/>
              <w:rPr>
                <w:rFonts w:ascii="宋体" w:hAnsi="宋体" w:eastAsia="宋体" w:cs="宋体"/>
                <w:szCs w:val="21"/>
              </w:rPr>
            </w:pPr>
            <w:r>
              <w:rPr>
                <w:rFonts w:hint="eastAsia" w:ascii="宋体" w:hAnsi="宋体" w:eastAsia="宋体" w:cs="宋体"/>
                <w:szCs w:val="21"/>
              </w:rPr>
              <w:t>无严重有害生物危害状；</w:t>
            </w:r>
          </w:p>
          <w:p>
            <w:pPr>
              <w:numPr>
                <w:ilvl w:val="0"/>
                <w:numId w:val="49"/>
              </w:numPr>
              <w:jc w:val="left"/>
              <w:rPr>
                <w:rFonts w:ascii="宋体" w:hAnsi="宋体" w:eastAsia="宋体" w:cs="宋体"/>
                <w:szCs w:val="21"/>
              </w:rPr>
            </w:pPr>
            <w:r>
              <w:rPr>
                <w:rFonts w:hint="eastAsia" w:ascii="宋体" w:hAnsi="宋体" w:eastAsia="宋体" w:cs="宋体"/>
                <w:szCs w:val="21"/>
              </w:rPr>
              <w:t>无明显大型、恶性杂草和攀缘植物</w:t>
            </w:r>
          </w:p>
        </w:tc>
      </w:tr>
      <w:tr>
        <w:tblPrEx>
          <w:tblCellMar>
            <w:top w:w="0" w:type="dxa"/>
            <w:left w:w="108" w:type="dxa"/>
            <w:bottom w:w="0" w:type="dxa"/>
            <w:right w:w="108" w:type="dxa"/>
          </w:tblCellMar>
        </w:tblPrEx>
        <w:trPr>
          <w:trHeight w:val="434" w:hRule="exact"/>
        </w:trPr>
        <w:tc>
          <w:tcPr>
            <w:tcW w:w="716" w:type="dxa"/>
            <w:tcBorders>
              <w:top w:val="single" w:color="221F1F" w:sz="2" w:space="0"/>
              <w:left w:val="single" w:color="221F1F" w:sz="6" w:space="0"/>
              <w:bottom w:val="single" w:color="221F1F" w:sz="6" w:space="0"/>
              <w:right w:val="single" w:color="221F1F" w:sz="2" w:space="0"/>
            </w:tcBorders>
            <w:noWrap/>
            <w:tcMar>
              <w:left w:w="0" w:type="dxa"/>
              <w:right w:w="0" w:type="dxa"/>
            </w:tcMar>
          </w:tcPr>
          <w:p>
            <w:pPr>
              <w:jc w:val="center"/>
              <w:rPr>
                <w:rFonts w:ascii="宋体" w:hAnsi="宋体" w:eastAsia="宋体" w:cs="宋体"/>
                <w:szCs w:val="21"/>
              </w:rPr>
            </w:pPr>
            <w:r>
              <w:rPr>
                <w:rFonts w:hint="eastAsia" w:ascii="宋体" w:hAnsi="宋体" w:eastAsia="宋体" w:cs="宋体"/>
                <w:szCs w:val="21"/>
              </w:rPr>
              <w:t>6</w:t>
            </w:r>
          </w:p>
        </w:tc>
        <w:tc>
          <w:tcPr>
            <w:tcW w:w="1961" w:type="dxa"/>
            <w:tcBorders>
              <w:top w:val="single" w:color="221F1F" w:sz="2" w:space="0"/>
              <w:left w:val="single" w:color="221F1F" w:sz="2" w:space="0"/>
              <w:bottom w:val="single" w:color="221F1F" w:sz="6"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清洁</w:t>
            </w:r>
          </w:p>
        </w:tc>
        <w:tc>
          <w:tcPr>
            <w:tcW w:w="5682" w:type="dxa"/>
            <w:tcBorders>
              <w:top w:val="single" w:color="221F1F" w:sz="2" w:space="0"/>
              <w:left w:val="single" w:color="221F1F" w:sz="2" w:space="0"/>
              <w:bottom w:val="single" w:color="221F1F" w:sz="6" w:space="0"/>
              <w:right w:val="single" w:color="221F1F" w:sz="6" w:space="0"/>
            </w:tcBorders>
            <w:noWrap/>
            <w:tcMar>
              <w:left w:w="0" w:type="dxa"/>
              <w:right w:w="0" w:type="dxa"/>
            </w:tcMar>
          </w:tcPr>
          <w:p>
            <w:pPr>
              <w:numPr>
                <w:ilvl w:val="0"/>
                <w:numId w:val="50"/>
              </w:numPr>
              <w:jc w:val="left"/>
              <w:rPr>
                <w:rFonts w:ascii="宋体" w:hAnsi="宋体" w:eastAsia="宋体" w:cs="宋体"/>
                <w:szCs w:val="21"/>
              </w:rPr>
            </w:pPr>
            <w:r>
              <w:rPr>
                <w:rFonts w:hint="eastAsia" w:ascii="宋体" w:hAnsi="宋体" w:eastAsia="宋体" w:cs="宋体"/>
                <w:szCs w:val="21"/>
              </w:rPr>
              <w:t>10㎡范围内废弃物不多于8个</w:t>
            </w:r>
          </w:p>
        </w:tc>
      </w:tr>
    </w:tbl>
    <w:p>
      <w:pPr>
        <w:rPr>
          <w:rFonts w:cs="Times New Roman" w:asciiTheme="majorEastAsia" w:hAnsiTheme="majorEastAsia" w:eastAsiaTheme="majorEastAsia"/>
          <w:sz w:val="24"/>
          <w:szCs w:val="24"/>
        </w:rPr>
      </w:pPr>
    </w:p>
    <w:p>
      <w:pPr>
        <w:rPr>
          <w:rFonts w:ascii="宋体" w:hAnsi="宋体" w:eastAsia="宋体" w:cs="宋体"/>
          <w:sz w:val="24"/>
          <w:szCs w:val="24"/>
        </w:rPr>
      </w:pPr>
      <w:r>
        <w:rPr>
          <w:rFonts w:hint="eastAsia" w:cs="Times New Roman" w:asciiTheme="majorEastAsia" w:hAnsiTheme="majorEastAsia" w:eastAsiaTheme="majorEastAsia"/>
          <w:sz w:val="24"/>
          <w:szCs w:val="24"/>
        </w:rPr>
        <w:t>附表3：</w:t>
      </w:r>
      <w:r>
        <w:rPr>
          <w:rFonts w:hint="eastAsia" w:ascii="宋体" w:hAnsi="宋体" w:eastAsia="宋体" w:cs="宋体"/>
          <w:sz w:val="24"/>
          <w:szCs w:val="24"/>
        </w:rPr>
        <w:t>地被植物（混植地被）养护质量等级</w:t>
      </w:r>
    </w:p>
    <w:tbl>
      <w:tblPr>
        <w:tblStyle w:val="46"/>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138"/>
        <w:gridCol w:w="6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5" w:type="dxa"/>
            <w:noWrap/>
            <w:vAlign w:val="center"/>
          </w:tcPr>
          <w:p>
            <w:pPr>
              <w:rPr>
                <w:rFonts w:ascii="宋体" w:hAnsi="宋体" w:eastAsia="宋体" w:cs="宋体"/>
                <w:szCs w:val="21"/>
              </w:rPr>
            </w:pPr>
            <w:r>
              <w:rPr>
                <w:rFonts w:hint="eastAsia" w:ascii="宋体" w:hAnsi="宋体" w:eastAsia="宋体" w:cs="宋体"/>
                <w:szCs w:val="21"/>
              </w:rPr>
              <w:t>序号</w:t>
            </w:r>
          </w:p>
        </w:tc>
        <w:tc>
          <w:tcPr>
            <w:tcW w:w="1138" w:type="dxa"/>
            <w:noWrap/>
            <w:vAlign w:val="center"/>
          </w:tcPr>
          <w:p>
            <w:pPr>
              <w:rPr>
                <w:rFonts w:ascii="宋体" w:hAnsi="宋体" w:eastAsia="宋体" w:cs="宋体"/>
                <w:szCs w:val="21"/>
              </w:rPr>
            </w:pPr>
            <w:r>
              <w:rPr>
                <w:rFonts w:hint="eastAsia" w:ascii="宋体" w:hAnsi="宋体" w:eastAsia="宋体" w:cs="宋体"/>
                <w:szCs w:val="21"/>
              </w:rPr>
              <w:t>项目</w:t>
            </w:r>
          </w:p>
        </w:tc>
        <w:tc>
          <w:tcPr>
            <w:tcW w:w="6516" w:type="dxa"/>
            <w:noWrap/>
            <w:vAlign w:val="center"/>
          </w:tcPr>
          <w:p>
            <w:pPr>
              <w:rPr>
                <w:rFonts w:ascii="宋体" w:hAnsi="宋体" w:eastAsia="宋体" w:cs="宋体"/>
                <w:szCs w:val="21"/>
              </w:rPr>
            </w:pPr>
            <w:r>
              <w:rPr>
                <w:rFonts w:hint="eastAsia" w:ascii="宋体" w:hAnsi="宋体" w:eastAsia="宋体" w:cs="宋体"/>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45" w:type="dxa"/>
            <w:noWrap/>
            <w:vAlign w:val="center"/>
          </w:tcPr>
          <w:p>
            <w:pPr>
              <w:rPr>
                <w:rFonts w:ascii="宋体" w:hAnsi="宋体" w:eastAsia="宋体" w:cs="宋体"/>
                <w:szCs w:val="21"/>
              </w:rPr>
            </w:pPr>
            <w:r>
              <w:rPr>
                <w:rFonts w:hint="eastAsia" w:ascii="宋体" w:hAnsi="宋体" w:eastAsia="宋体" w:cs="宋体"/>
                <w:szCs w:val="21"/>
              </w:rPr>
              <w:t>1</w:t>
            </w:r>
          </w:p>
        </w:tc>
        <w:tc>
          <w:tcPr>
            <w:tcW w:w="1138" w:type="dxa"/>
            <w:noWrap/>
            <w:vAlign w:val="center"/>
          </w:tcPr>
          <w:p>
            <w:pPr>
              <w:rPr>
                <w:rFonts w:ascii="宋体" w:hAnsi="宋体" w:eastAsia="宋体" w:cs="宋体"/>
                <w:szCs w:val="21"/>
              </w:rPr>
            </w:pPr>
            <w:r>
              <w:rPr>
                <w:rFonts w:hint="eastAsia" w:ascii="宋体" w:hAnsi="宋体" w:eastAsia="宋体" w:cs="宋体"/>
                <w:szCs w:val="21"/>
              </w:rPr>
              <w:t>景观</w:t>
            </w:r>
          </w:p>
        </w:tc>
        <w:tc>
          <w:tcPr>
            <w:tcW w:w="6516" w:type="dxa"/>
            <w:noWrap/>
            <w:vAlign w:val="center"/>
          </w:tcPr>
          <w:p>
            <w:pPr>
              <w:numPr>
                <w:ilvl w:val="0"/>
                <w:numId w:val="51"/>
              </w:numPr>
              <w:rPr>
                <w:rFonts w:ascii="宋体" w:hAnsi="宋体" w:eastAsia="宋体" w:cs="宋体"/>
                <w:szCs w:val="21"/>
              </w:rPr>
            </w:pPr>
            <w:r>
              <w:rPr>
                <w:rFonts w:hint="eastAsia" w:ascii="宋体" w:hAnsi="宋体" w:eastAsia="宋体" w:cs="宋体"/>
                <w:szCs w:val="21"/>
              </w:rPr>
              <w:t>混植种类配置基本合理；</w:t>
            </w:r>
          </w:p>
          <w:p>
            <w:pPr>
              <w:numPr>
                <w:ilvl w:val="0"/>
                <w:numId w:val="51"/>
              </w:numPr>
              <w:rPr>
                <w:rFonts w:ascii="宋体" w:hAnsi="宋体" w:eastAsia="宋体" w:cs="宋体"/>
                <w:szCs w:val="21"/>
              </w:rPr>
            </w:pPr>
            <w:r>
              <w:rPr>
                <w:rFonts w:hint="eastAsia" w:ascii="宋体" w:hAnsi="宋体" w:eastAsia="宋体" w:cs="宋体"/>
                <w:szCs w:val="21"/>
              </w:rPr>
              <w:t>基本无死株和残存枯花,群体景观效果较好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45" w:type="dxa"/>
            <w:noWrap/>
            <w:vAlign w:val="center"/>
          </w:tcPr>
          <w:p>
            <w:pPr>
              <w:rPr>
                <w:rFonts w:ascii="宋体" w:hAnsi="宋体" w:eastAsia="宋体" w:cs="宋体"/>
                <w:szCs w:val="21"/>
              </w:rPr>
            </w:pPr>
            <w:r>
              <w:rPr>
                <w:rFonts w:hint="eastAsia" w:ascii="宋体" w:hAnsi="宋体" w:eastAsia="宋体" w:cs="宋体"/>
                <w:szCs w:val="21"/>
              </w:rPr>
              <w:t>2</w:t>
            </w:r>
          </w:p>
        </w:tc>
        <w:tc>
          <w:tcPr>
            <w:tcW w:w="1138" w:type="dxa"/>
            <w:noWrap/>
            <w:vAlign w:val="center"/>
          </w:tcPr>
          <w:p>
            <w:pPr>
              <w:rPr>
                <w:rFonts w:ascii="宋体" w:hAnsi="宋体" w:eastAsia="宋体" w:cs="宋体"/>
                <w:szCs w:val="21"/>
              </w:rPr>
            </w:pPr>
            <w:r>
              <w:rPr>
                <w:rFonts w:hint="eastAsia" w:ascii="宋体" w:hAnsi="宋体" w:eastAsia="宋体" w:cs="宋体"/>
                <w:szCs w:val="21"/>
              </w:rPr>
              <w:t>生长势</w:t>
            </w:r>
          </w:p>
        </w:tc>
        <w:tc>
          <w:tcPr>
            <w:tcW w:w="6516" w:type="dxa"/>
            <w:noWrap/>
            <w:vAlign w:val="center"/>
          </w:tcPr>
          <w:p>
            <w:pPr>
              <w:numPr>
                <w:ilvl w:val="0"/>
                <w:numId w:val="52"/>
              </w:numPr>
              <w:rPr>
                <w:rFonts w:ascii="宋体" w:hAnsi="宋体" w:eastAsia="宋体" w:cs="宋体"/>
                <w:szCs w:val="21"/>
              </w:rPr>
            </w:pPr>
            <w:r>
              <w:rPr>
                <w:rFonts w:hint="eastAsia" w:ascii="宋体" w:hAnsi="宋体" w:eastAsia="宋体" w:cs="宋体"/>
                <w:szCs w:val="21"/>
              </w:rPr>
              <w:t>生长良好</w:t>
            </w:r>
          </w:p>
          <w:p>
            <w:pPr>
              <w:numPr>
                <w:ilvl w:val="0"/>
                <w:numId w:val="52"/>
              </w:numPr>
              <w:rPr>
                <w:rFonts w:ascii="宋体" w:hAnsi="宋体" w:eastAsia="宋体" w:cs="宋体"/>
                <w:szCs w:val="21"/>
              </w:rPr>
            </w:pPr>
            <w:r>
              <w:rPr>
                <w:rFonts w:hint="eastAsia" w:ascii="宋体" w:hAnsi="宋体" w:eastAsia="宋体" w:cs="宋体"/>
                <w:szCs w:val="21"/>
              </w:rPr>
              <w:t>无明显弱势种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45" w:type="dxa"/>
            <w:noWrap/>
            <w:vAlign w:val="center"/>
          </w:tcPr>
          <w:p>
            <w:pPr>
              <w:rPr>
                <w:rFonts w:ascii="宋体" w:hAnsi="宋体" w:eastAsia="宋体" w:cs="宋体"/>
                <w:szCs w:val="21"/>
              </w:rPr>
            </w:pPr>
            <w:r>
              <w:rPr>
                <w:rFonts w:hint="eastAsia" w:ascii="宋体" w:hAnsi="宋体" w:eastAsia="宋体" w:cs="宋体"/>
                <w:szCs w:val="21"/>
              </w:rPr>
              <w:t>3</w:t>
            </w:r>
          </w:p>
        </w:tc>
        <w:tc>
          <w:tcPr>
            <w:tcW w:w="1138" w:type="dxa"/>
            <w:noWrap/>
            <w:vAlign w:val="center"/>
          </w:tcPr>
          <w:p>
            <w:pPr>
              <w:rPr>
                <w:rFonts w:ascii="宋体" w:hAnsi="宋体" w:eastAsia="宋体" w:cs="宋体"/>
                <w:szCs w:val="21"/>
              </w:rPr>
            </w:pPr>
            <w:r>
              <w:rPr>
                <w:rFonts w:hint="eastAsia" w:ascii="宋体" w:hAnsi="宋体" w:eastAsia="宋体" w:cs="宋体"/>
                <w:szCs w:val="21"/>
              </w:rPr>
              <w:t>排灌</w:t>
            </w:r>
          </w:p>
        </w:tc>
        <w:tc>
          <w:tcPr>
            <w:tcW w:w="6516" w:type="dxa"/>
            <w:noWrap/>
            <w:vAlign w:val="center"/>
          </w:tcPr>
          <w:p>
            <w:pPr>
              <w:numPr>
                <w:ilvl w:val="0"/>
                <w:numId w:val="53"/>
              </w:numPr>
              <w:rPr>
                <w:rFonts w:ascii="宋体" w:hAnsi="宋体" w:eastAsia="宋体" w:cs="宋体"/>
                <w:szCs w:val="21"/>
              </w:rPr>
            </w:pPr>
            <w:r>
              <w:rPr>
                <w:rFonts w:hint="eastAsia" w:ascii="宋体" w:hAnsi="宋体" w:eastAsia="宋体" w:cs="宋体"/>
                <w:szCs w:val="21"/>
              </w:rPr>
              <w:t>草本地被暴雨后0.5 d内无积水；雨后4 h无积水；</w:t>
            </w:r>
          </w:p>
          <w:p>
            <w:pPr>
              <w:numPr>
                <w:ilvl w:val="0"/>
                <w:numId w:val="53"/>
              </w:numPr>
              <w:rPr>
                <w:rFonts w:ascii="宋体" w:hAnsi="宋体" w:eastAsia="宋体" w:cs="宋体"/>
                <w:szCs w:val="21"/>
              </w:rPr>
            </w:pPr>
            <w:r>
              <w:rPr>
                <w:rFonts w:hint="eastAsia" w:ascii="宋体" w:hAnsi="宋体" w:eastAsia="宋体" w:cs="宋体"/>
                <w:szCs w:val="21"/>
              </w:rPr>
              <w:t>植株基本无失水萎蔫现象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45" w:type="dxa"/>
            <w:noWrap/>
            <w:vAlign w:val="center"/>
          </w:tcPr>
          <w:p>
            <w:pPr>
              <w:rPr>
                <w:rFonts w:ascii="宋体" w:hAnsi="宋体" w:eastAsia="宋体" w:cs="宋体"/>
                <w:szCs w:val="21"/>
              </w:rPr>
            </w:pPr>
            <w:r>
              <w:rPr>
                <w:rFonts w:hint="eastAsia" w:ascii="宋体" w:hAnsi="宋体" w:eastAsia="宋体" w:cs="宋体"/>
                <w:szCs w:val="21"/>
              </w:rPr>
              <w:t>4</w:t>
            </w:r>
          </w:p>
        </w:tc>
        <w:tc>
          <w:tcPr>
            <w:tcW w:w="1138" w:type="dxa"/>
            <w:noWrap/>
            <w:vAlign w:val="center"/>
          </w:tcPr>
          <w:p>
            <w:pPr>
              <w:rPr>
                <w:rFonts w:ascii="宋体" w:hAnsi="宋体" w:eastAsia="宋体" w:cs="宋体"/>
                <w:szCs w:val="21"/>
              </w:rPr>
            </w:pPr>
            <w:r>
              <w:rPr>
                <w:rFonts w:hint="eastAsia" w:ascii="宋体" w:hAnsi="宋体" w:eastAsia="宋体" w:cs="宋体"/>
                <w:szCs w:val="21"/>
              </w:rPr>
              <w:t>有害生物控制</w:t>
            </w:r>
          </w:p>
        </w:tc>
        <w:tc>
          <w:tcPr>
            <w:tcW w:w="6516" w:type="dxa"/>
            <w:noWrap/>
            <w:vAlign w:val="center"/>
          </w:tcPr>
          <w:p>
            <w:pPr>
              <w:numPr>
                <w:ilvl w:val="0"/>
                <w:numId w:val="54"/>
              </w:numPr>
              <w:rPr>
                <w:rFonts w:ascii="宋体" w:hAnsi="宋体" w:eastAsia="宋体" w:cs="宋体"/>
                <w:szCs w:val="21"/>
              </w:rPr>
            </w:pPr>
            <w:r>
              <w:rPr>
                <w:rFonts w:hint="eastAsia" w:ascii="宋体" w:hAnsi="宋体" w:eastAsia="宋体" w:cs="宋体"/>
                <w:szCs w:val="21"/>
              </w:rPr>
              <w:t>无严重有害生物危害状；</w:t>
            </w:r>
          </w:p>
          <w:p>
            <w:pPr>
              <w:numPr>
                <w:ilvl w:val="0"/>
                <w:numId w:val="54"/>
              </w:numPr>
              <w:rPr>
                <w:rFonts w:ascii="宋体" w:hAnsi="宋体" w:eastAsia="宋体" w:cs="宋体"/>
                <w:szCs w:val="21"/>
              </w:rPr>
            </w:pPr>
            <w:r>
              <w:rPr>
                <w:rFonts w:hint="eastAsia" w:ascii="宋体" w:hAnsi="宋体" w:eastAsia="宋体" w:cs="宋体"/>
                <w:szCs w:val="21"/>
              </w:rPr>
              <w:t>受害率≤20%；</w:t>
            </w:r>
          </w:p>
          <w:p>
            <w:pPr>
              <w:numPr>
                <w:ilvl w:val="0"/>
                <w:numId w:val="54"/>
              </w:numPr>
              <w:rPr>
                <w:rFonts w:ascii="宋体" w:hAnsi="宋体" w:eastAsia="宋体" w:cs="宋体"/>
                <w:szCs w:val="21"/>
              </w:rPr>
            </w:pPr>
            <w:r>
              <w:rPr>
                <w:rFonts w:hint="eastAsia" w:ascii="宋体" w:hAnsi="宋体" w:eastAsia="宋体" w:cs="宋体"/>
                <w:szCs w:val="21"/>
              </w:rPr>
              <w:t>无明显影响景观面貌的杂草。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45" w:type="dxa"/>
            <w:noWrap/>
            <w:vAlign w:val="center"/>
          </w:tcPr>
          <w:p>
            <w:pPr>
              <w:rPr>
                <w:rFonts w:ascii="宋体" w:hAnsi="宋体" w:eastAsia="宋体" w:cs="宋体"/>
                <w:szCs w:val="21"/>
              </w:rPr>
            </w:pPr>
            <w:r>
              <w:rPr>
                <w:rFonts w:hint="eastAsia" w:ascii="宋体" w:hAnsi="宋体" w:eastAsia="宋体" w:cs="宋体"/>
                <w:szCs w:val="21"/>
              </w:rPr>
              <w:t>5</w:t>
            </w:r>
          </w:p>
        </w:tc>
        <w:tc>
          <w:tcPr>
            <w:tcW w:w="1138" w:type="dxa"/>
            <w:noWrap/>
            <w:vAlign w:val="center"/>
          </w:tcPr>
          <w:p>
            <w:pPr>
              <w:rPr>
                <w:rFonts w:ascii="宋体" w:hAnsi="宋体" w:eastAsia="宋体" w:cs="宋体"/>
                <w:szCs w:val="21"/>
              </w:rPr>
            </w:pPr>
            <w:r>
              <w:rPr>
                <w:rFonts w:hint="eastAsia" w:ascii="宋体" w:hAnsi="宋体" w:eastAsia="宋体" w:cs="宋体"/>
                <w:szCs w:val="21"/>
              </w:rPr>
              <w:t>覆盖率</w:t>
            </w:r>
          </w:p>
        </w:tc>
        <w:tc>
          <w:tcPr>
            <w:tcW w:w="6516" w:type="dxa"/>
            <w:noWrap/>
            <w:vAlign w:val="center"/>
          </w:tcPr>
          <w:p>
            <w:pPr>
              <w:numPr>
                <w:ilvl w:val="0"/>
                <w:numId w:val="55"/>
              </w:numPr>
              <w:rPr>
                <w:rFonts w:ascii="宋体" w:hAnsi="宋体" w:eastAsia="宋体" w:cs="宋体"/>
                <w:szCs w:val="21"/>
              </w:rPr>
            </w:pPr>
            <w:r>
              <w:rPr>
                <w:rFonts w:hint="eastAsia" w:ascii="宋体" w:hAnsi="宋体" w:eastAsia="宋体" w:cs="宋体"/>
                <w:szCs w:val="21"/>
              </w:rPr>
              <w:t xml:space="preserve">≥90%; </w:t>
            </w:r>
          </w:p>
          <w:p>
            <w:pPr>
              <w:numPr>
                <w:ilvl w:val="0"/>
                <w:numId w:val="55"/>
              </w:numPr>
              <w:rPr>
                <w:rFonts w:ascii="宋体" w:hAnsi="宋体" w:eastAsia="宋体" w:cs="宋体"/>
                <w:szCs w:val="21"/>
              </w:rPr>
            </w:pPr>
            <w:r>
              <w:rPr>
                <w:rFonts w:hint="eastAsia" w:ascii="宋体" w:hAnsi="宋体" w:eastAsia="宋体" w:cs="宋体"/>
                <w:szCs w:val="21"/>
              </w:rPr>
              <w:t>集中空秃不大于0.5㎡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5" w:type="dxa"/>
            <w:noWrap/>
            <w:vAlign w:val="center"/>
          </w:tcPr>
          <w:p>
            <w:pPr>
              <w:rPr>
                <w:rFonts w:ascii="宋体" w:hAnsi="宋体" w:eastAsia="宋体" w:cs="宋体"/>
                <w:szCs w:val="21"/>
              </w:rPr>
            </w:pPr>
            <w:r>
              <w:rPr>
                <w:rFonts w:hint="eastAsia" w:ascii="宋体" w:hAnsi="宋体" w:eastAsia="宋体" w:cs="宋体"/>
                <w:szCs w:val="21"/>
              </w:rPr>
              <w:t>6</w:t>
            </w:r>
          </w:p>
        </w:tc>
        <w:tc>
          <w:tcPr>
            <w:tcW w:w="1138" w:type="dxa"/>
            <w:noWrap/>
            <w:vAlign w:val="center"/>
          </w:tcPr>
          <w:p>
            <w:pPr>
              <w:rPr>
                <w:rFonts w:ascii="宋体" w:hAnsi="宋体" w:eastAsia="宋体" w:cs="宋体"/>
                <w:szCs w:val="21"/>
              </w:rPr>
            </w:pPr>
            <w:r>
              <w:rPr>
                <w:rFonts w:hint="eastAsia" w:ascii="宋体" w:hAnsi="宋体" w:eastAsia="宋体" w:cs="宋体"/>
                <w:szCs w:val="21"/>
              </w:rPr>
              <w:t>清洁</w:t>
            </w:r>
          </w:p>
        </w:tc>
        <w:tc>
          <w:tcPr>
            <w:tcW w:w="6516" w:type="dxa"/>
            <w:noWrap/>
            <w:vAlign w:val="center"/>
          </w:tcPr>
          <w:p>
            <w:pPr>
              <w:rPr>
                <w:rFonts w:ascii="宋体" w:hAnsi="宋体" w:eastAsia="宋体" w:cs="宋体"/>
                <w:szCs w:val="21"/>
              </w:rPr>
            </w:pPr>
            <w:r>
              <w:rPr>
                <w:rFonts w:hint="eastAsia" w:ascii="宋体" w:hAnsi="宋体" w:eastAsia="宋体" w:cs="宋体"/>
                <w:szCs w:val="21"/>
              </w:rPr>
              <w:t>10㎡范围内废弃物不多于4个</w:t>
            </w:r>
          </w:p>
        </w:tc>
      </w:tr>
    </w:tbl>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2.3花卉：对月浦基地实验楼东侧绿化带、门卫室北侧、花箱内等区域按季节种植花卉。夏秋季花卉种植四季海棠花、香彩雀、繁星花、千日红等；春冬季花卉种植蝴蝶花、石竹、金鱼草等，花卉种植规格高13-15厘米，花茎5-8厘米，每平方米种植36株，按需清除杂草腐叶、施肥、浇水、修剪等绿化养护作业。</w:t>
      </w:r>
    </w:p>
    <w:p>
      <w:pPr>
        <w:pStyle w:val="2"/>
        <w:ind w:firstLine="482" w:firstLineChars="200"/>
        <w:rPr>
          <w:rFonts w:eastAsiaTheme="majorEastAsia"/>
          <w:b/>
          <w:bCs/>
        </w:rPr>
      </w:pPr>
      <w:r>
        <w:rPr>
          <w:rFonts w:hint="eastAsia" w:asciiTheme="majorEastAsia" w:hAnsiTheme="majorEastAsia" w:eastAsiaTheme="majorEastAsia"/>
          <w:b/>
          <w:bCs/>
          <w:szCs w:val="24"/>
        </w:rPr>
        <w:t>特别说明：种植及租摆的花卉在正常花期内如出现枯萎死亡等情况，需要及时进行更换。</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花卉种植清单：</w:t>
      </w:r>
    </w:p>
    <w:tbl>
      <w:tblPr>
        <w:tblStyle w:val="46"/>
        <w:tblW w:w="7976" w:type="dxa"/>
        <w:tblInd w:w="93" w:type="dxa"/>
        <w:tblLayout w:type="fixed"/>
        <w:tblCellMar>
          <w:top w:w="0" w:type="dxa"/>
          <w:left w:w="108" w:type="dxa"/>
          <w:bottom w:w="0" w:type="dxa"/>
          <w:right w:w="108" w:type="dxa"/>
        </w:tblCellMar>
      </w:tblPr>
      <w:tblGrid>
        <w:gridCol w:w="400"/>
        <w:gridCol w:w="1322"/>
        <w:gridCol w:w="787"/>
        <w:gridCol w:w="1256"/>
        <w:gridCol w:w="797"/>
        <w:gridCol w:w="2222"/>
        <w:gridCol w:w="1192"/>
      </w:tblGrid>
      <w:tr>
        <w:tblPrEx>
          <w:tblCellMar>
            <w:top w:w="0" w:type="dxa"/>
            <w:left w:w="108" w:type="dxa"/>
            <w:bottom w:w="0" w:type="dxa"/>
            <w:right w:w="108" w:type="dxa"/>
          </w:tblCellMar>
        </w:tblPrEx>
        <w:trPr>
          <w:trHeight w:val="821"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b/>
                <w:bCs/>
                <w:kern w:val="0"/>
                <w:szCs w:val="21"/>
              </w:rPr>
              <w:t>序号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rPr>
              <w:t>绿化位置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rPr>
              <w:t>面积（㎡）</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rPr>
              <w:t>花卉名称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rPr>
              <w:t>数量（盆）</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rPr>
              <w:t>规格要求</w:t>
            </w:r>
            <w:r>
              <w:rPr>
                <w:rFonts w:hint="eastAsia" w:ascii="宋体" w:hAnsi="宋体" w:eastAsia="宋体" w:cs="宋体"/>
                <w:b/>
                <w:bCs/>
                <w:kern w:val="0"/>
                <w:szCs w:val="21"/>
              </w:rPr>
              <w:br w:type="textWrapping"/>
            </w:r>
            <w:r>
              <w:rPr>
                <w:rFonts w:hint="eastAsia" w:ascii="宋体" w:hAnsi="宋体" w:eastAsia="宋体" w:cs="宋体"/>
                <w:b/>
                <w:bCs/>
                <w:kern w:val="0"/>
                <w:szCs w:val="21"/>
              </w:rPr>
              <w:t>（P代表花卉直径）</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rPr>
              <w:t>备注（根据花期选择）</w:t>
            </w:r>
          </w:p>
        </w:tc>
      </w:tr>
      <w:tr>
        <w:tblPrEx>
          <w:tblCellMar>
            <w:top w:w="0" w:type="dxa"/>
            <w:left w:w="108" w:type="dxa"/>
            <w:bottom w:w="0" w:type="dxa"/>
            <w:right w:w="108" w:type="dxa"/>
          </w:tblCellMar>
        </w:tblPrEx>
        <w:trPr>
          <w:trHeight w:val="174" w:hRule="atLeast"/>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门头北侧绿化带</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马齿苋</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24</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Style w:val="309"/>
                <w:rFonts w:hint="default"/>
                <w:color w:val="auto"/>
                <w:sz w:val="21"/>
                <w:szCs w:val="21"/>
              </w:rPr>
              <w:t>P20-30</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5</w:t>
            </w:r>
            <w:r>
              <w:rPr>
                <w:rStyle w:val="309"/>
                <w:rFonts w:hint="default"/>
                <w:color w:val="auto"/>
                <w:sz w:val="21"/>
                <w:szCs w:val="21"/>
              </w:rPr>
              <w:t>-11月</w:t>
            </w:r>
          </w:p>
        </w:tc>
      </w:tr>
      <w:tr>
        <w:tblPrEx>
          <w:tblCellMar>
            <w:top w:w="0" w:type="dxa"/>
            <w:left w:w="108" w:type="dxa"/>
            <w:bottom w:w="0" w:type="dxa"/>
            <w:right w:w="108" w:type="dxa"/>
          </w:tblCellMar>
        </w:tblPrEx>
        <w:trPr>
          <w:trHeight w:val="174"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千日红</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24</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P15-20</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174"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三色堇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24</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P10-15</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r>
              <w:rPr>
                <w:rStyle w:val="309"/>
                <w:rFonts w:hint="default"/>
                <w:color w:val="auto"/>
                <w:sz w:val="21"/>
                <w:szCs w:val="21"/>
              </w:rPr>
              <w:t>1-4月</w:t>
            </w:r>
          </w:p>
        </w:tc>
      </w:tr>
      <w:tr>
        <w:tblPrEx>
          <w:tblCellMar>
            <w:top w:w="0" w:type="dxa"/>
            <w:left w:w="108" w:type="dxa"/>
            <w:bottom w:w="0" w:type="dxa"/>
            <w:right w:w="108" w:type="dxa"/>
          </w:tblCellMar>
        </w:tblPrEx>
        <w:trPr>
          <w:trHeight w:val="90"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石竹</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24</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Style w:val="309"/>
                <w:rFonts w:hint="default"/>
                <w:color w:val="auto"/>
                <w:sz w:val="21"/>
                <w:szCs w:val="21"/>
              </w:rPr>
              <w:t xml:space="preserve"> P10-15</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174" w:hRule="atLeast"/>
        </w:trPr>
        <w:tc>
          <w:tcPr>
            <w:tcW w:w="4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132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3号楼南侧景观绿化</w:t>
            </w:r>
          </w:p>
        </w:tc>
        <w:tc>
          <w:tcPr>
            <w:tcW w:w="78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繁星花</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15</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P15-20</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5-11月</w:t>
            </w:r>
          </w:p>
        </w:tc>
      </w:tr>
      <w:tr>
        <w:tblPrEx>
          <w:tblCellMar>
            <w:top w:w="0" w:type="dxa"/>
            <w:left w:w="108" w:type="dxa"/>
            <w:bottom w:w="0" w:type="dxa"/>
            <w:right w:w="108" w:type="dxa"/>
          </w:tblCellMar>
        </w:tblPrEx>
        <w:trPr>
          <w:trHeight w:val="174"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千日红</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15</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P15-20</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174"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石竹</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15</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P10-15</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r>
              <w:rPr>
                <w:rStyle w:val="309"/>
                <w:rFonts w:hint="default"/>
                <w:color w:val="auto"/>
                <w:sz w:val="21"/>
                <w:szCs w:val="21"/>
              </w:rPr>
              <w:t>1-4月</w:t>
            </w:r>
          </w:p>
        </w:tc>
      </w:tr>
      <w:tr>
        <w:tblPrEx>
          <w:tblCellMar>
            <w:top w:w="0" w:type="dxa"/>
            <w:left w:w="108" w:type="dxa"/>
            <w:bottom w:w="0" w:type="dxa"/>
            <w:right w:w="108" w:type="dxa"/>
          </w:tblCellMar>
        </w:tblPrEx>
        <w:trPr>
          <w:trHeight w:val="174"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三色堇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15</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P10-15</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174"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茶梅</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P40-50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r>
              <w:rPr>
                <w:rStyle w:val="309"/>
                <w:rFonts w:hint="default"/>
                <w:color w:val="auto"/>
                <w:sz w:val="21"/>
                <w:szCs w:val="21"/>
              </w:rPr>
              <w:t>-12月</w:t>
            </w:r>
          </w:p>
        </w:tc>
      </w:tr>
      <w:tr>
        <w:tblPrEx>
          <w:tblCellMar>
            <w:top w:w="0" w:type="dxa"/>
            <w:left w:w="108" w:type="dxa"/>
            <w:bottom w:w="0" w:type="dxa"/>
            <w:right w:w="108" w:type="dxa"/>
          </w:tblCellMar>
        </w:tblPrEx>
        <w:trPr>
          <w:trHeight w:val="117" w:hRule="atLeast"/>
        </w:trPr>
        <w:tc>
          <w:tcPr>
            <w:tcW w:w="4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蔷薇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6</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 xml:space="preserve">  P40-50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1-12月</w:t>
            </w:r>
          </w:p>
        </w:tc>
      </w:tr>
      <w:tr>
        <w:tblPrEx>
          <w:tblCellMar>
            <w:top w:w="0" w:type="dxa"/>
            <w:left w:w="108" w:type="dxa"/>
            <w:bottom w:w="0" w:type="dxa"/>
            <w:right w:w="108" w:type="dxa"/>
          </w:tblCellMar>
        </w:tblPrEx>
        <w:trPr>
          <w:trHeight w:val="174" w:hRule="atLeast"/>
        </w:trPr>
        <w:tc>
          <w:tcPr>
            <w:tcW w:w="4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w:t>
            </w:r>
          </w:p>
        </w:tc>
        <w:tc>
          <w:tcPr>
            <w:tcW w:w="132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实验楼东侧景观绿化</w:t>
            </w:r>
          </w:p>
        </w:tc>
        <w:tc>
          <w:tcPr>
            <w:tcW w:w="78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繁星花</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P15-20</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5-11月</w:t>
            </w:r>
          </w:p>
        </w:tc>
      </w:tr>
      <w:tr>
        <w:tblPrEx>
          <w:tblCellMar>
            <w:top w:w="0" w:type="dxa"/>
            <w:left w:w="108" w:type="dxa"/>
            <w:bottom w:w="0" w:type="dxa"/>
            <w:right w:w="108" w:type="dxa"/>
          </w:tblCellMar>
        </w:tblPrEx>
        <w:trPr>
          <w:trHeight w:val="174"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千日红</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P15-20</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174"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石竹</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P10-15</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r>
              <w:rPr>
                <w:rStyle w:val="309"/>
                <w:rFonts w:hint="default"/>
                <w:color w:val="auto"/>
                <w:sz w:val="21"/>
                <w:szCs w:val="21"/>
              </w:rPr>
              <w:t>1-4月</w:t>
            </w:r>
          </w:p>
        </w:tc>
      </w:tr>
      <w:tr>
        <w:tblPrEx>
          <w:tblCellMar>
            <w:top w:w="0" w:type="dxa"/>
            <w:left w:w="108" w:type="dxa"/>
            <w:bottom w:w="0" w:type="dxa"/>
            <w:right w:w="108" w:type="dxa"/>
          </w:tblCellMar>
        </w:tblPrEx>
        <w:trPr>
          <w:trHeight w:val="174"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三色堇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P10-15</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174"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茶梅</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P40-50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r>
              <w:rPr>
                <w:rStyle w:val="309"/>
                <w:rFonts w:hint="default"/>
                <w:color w:val="auto"/>
                <w:sz w:val="21"/>
                <w:szCs w:val="21"/>
              </w:rPr>
              <w:t>-12月</w:t>
            </w:r>
          </w:p>
        </w:tc>
      </w:tr>
      <w:tr>
        <w:tblPrEx>
          <w:tblCellMar>
            <w:top w:w="0" w:type="dxa"/>
            <w:left w:w="108" w:type="dxa"/>
            <w:bottom w:w="0" w:type="dxa"/>
            <w:right w:w="108" w:type="dxa"/>
          </w:tblCellMar>
        </w:tblPrEx>
        <w:trPr>
          <w:trHeight w:val="147" w:hRule="atLeast"/>
        </w:trPr>
        <w:tc>
          <w:tcPr>
            <w:tcW w:w="4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蔷薇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6</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 xml:space="preserve">  P40-50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1-12月</w:t>
            </w:r>
          </w:p>
        </w:tc>
      </w:tr>
      <w:tr>
        <w:tblPrEx>
          <w:tblCellMar>
            <w:top w:w="0" w:type="dxa"/>
            <w:left w:w="108" w:type="dxa"/>
            <w:bottom w:w="0" w:type="dxa"/>
            <w:right w:w="108" w:type="dxa"/>
          </w:tblCellMar>
        </w:tblPrEx>
        <w:trPr>
          <w:trHeight w:val="291" w:hRule="atLeast"/>
        </w:trPr>
        <w:tc>
          <w:tcPr>
            <w:tcW w:w="4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4</w:t>
            </w:r>
          </w:p>
        </w:tc>
        <w:tc>
          <w:tcPr>
            <w:tcW w:w="132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北侧绿化中庭</w:t>
            </w:r>
          </w:p>
        </w:tc>
        <w:tc>
          <w:tcPr>
            <w:tcW w:w="78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繁星花</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P15-20</w:t>
            </w:r>
          </w:p>
        </w:tc>
        <w:tc>
          <w:tcPr>
            <w:tcW w:w="119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5-11月</w:t>
            </w:r>
          </w:p>
          <w:p>
            <w:pPr>
              <w:widowControl/>
              <w:jc w:val="center"/>
              <w:textAlignment w:val="center"/>
              <w:rPr>
                <w:rFonts w:ascii="宋体" w:hAnsi="宋体" w:eastAsia="宋体" w:cs="宋体"/>
                <w:szCs w:val="21"/>
              </w:rPr>
            </w:pPr>
          </w:p>
        </w:tc>
      </w:tr>
      <w:tr>
        <w:tblPrEx>
          <w:tblCellMar>
            <w:top w:w="0" w:type="dxa"/>
            <w:left w:w="108" w:type="dxa"/>
            <w:bottom w:w="0" w:type="dxa"/>
            <w:right w:w="108" w:type="dxa"/>
          </w:tblCellMar>
        </w:tblPrEx>
        <w:trPr>
          <w:trHeight w:val="431"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千日红</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P15-20</w:t>
            </w:r>
          </w:p>
        </w:tc>
        <w:tc>
          <w:tcPr>
            <w:tcW w:w="1192"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r>
      <w:tr>
        <w:tblPrEx>
          <w:tblCellMar>
            <w:top w:w="0" w:type="dxa"/>
            <w:left w:w="108" w:type="dxa"/>
            <w:bottom w:w="0" w:type="dxa"/>
            <w:right w:w="108" w:type="dxa"/>
          </w:tblCellMar>
        </w:tblPrEx>
        <w:trPr>
          <w:trHeight w:val="431"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石竹</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P10-15</w:t>
            </w:r>
          </w:p>
        </w:tc>
        <w:tc>
          <w:tcPr>
            <w:tcW w:w="119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p>
          <w:p>
            <w:pPr>
              <w:widowControl/>
              <w:jc w:val="center"/>
              <w:textAlignment w:val="center"/>
              <w:rPr>
                <w:rFonts w:ascii="宋体" w:hAnsi="宋体" w:eastAsia="宋体" w:cs="宋体"/>
                <w:szCs w:val="21"/>
              </w:rPr>
            </w:pPr>
            <w:r>
              <w:rPr>
                <w:rFonts w:hint="eastAsia" w:ascii="宋体" w:hAnsi="宋体" w:eastAsia="宋体" w:cs="宋体"/>
                <w:kern w:val="0"/>
                <w:szCs w:val="21"/>
              </w:rPr>
              <w:t>1</w:t>
            </w:r>
            <w:r>
              <w:rPr>
                <w:rStyle w:val="309"/>
                <w:rFonts w:hint="default"/>
                <w:color w:val="auto"/>
                <w:sz w:val="21"/>
                <w:szCs w:val="21"/>
              </w:rPr>
              <w:t>1-4月</w:t>
            </w:r>
          </w:p>
        </w:tc>
      </w:tr>
      <w:tr>
        <w:tblPrEx>
          <w:tblCellMar>
            <w:top w:w="0" w:type="dxa"/>
            <w:left w:w="108" w:type="dxa"/>
            <w:bottom w:w="0" w:type="dxa"/>
            <w:right w:w="108" w:type="dxa"/>
          </w:tblCellMar>
        </w:tblPrEx>
        <w:trPr>
          <w:trHeight w:val="431"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三色堇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P10-15</w:t>
            </w:r>
          </w:p>
        </w:tc>
        <w:tc>
          <w:tcPr>
            <w:tcW w:w="1192"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r>
      <w:tr>
        <w:tblPrEx>
          <w:tblCellMar>
            <w:top w:w="0" w:type="dxa"/>
            <w:left w:w="108" w:type="dxa"/>
            <w:bottom w:w="0" w:type="dxa"/>
            <w:right w:w="108" w:type="dxa"/>
          </w:tblCellMar>
        </w:tblPrEx>
        <w:trPr>
          <w:trHeight w:val="431" w:hRule="atLeast"/>
        </w:trPr>
        <w:tc>
          <w:tcPr>
            <w:tcW w:w="40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蔷薇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12</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 xml:space="preserve">  P40-50</w:t>
            </w:r>
          </w:p>
        </w:tc>
        <w:tc>
          <w:tcPr>
            <w:tcW w:w="119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1-12月</w:t>
            </w:r>
          </w:p>
        </w:tc>
      </w:tr>
      <w:tr>
        <w:tblPrEx>
          <w:tblCellMar>
            <w:top w:w="0" w:type="dxa"/>
            <w:left w:w="108" w:type="dxa"/>
            <w:bottom w:w="0" w:type="dxa"/>
            <w:right w:w="108" w:type="dxa"/>
          </w:tblCellMar>
        </w:tblPrEx>
        <w:trPr>
          <w:trHeight w:val="162" w:hRule="atLeast"/>
        </w:trPr>
        <w:tc>
          <w:tcPr>
            <w:tcW w:w="4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茶梅</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3</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P40-50</w:t>
            </w:r>
          </w:p>
        </w:tc>
        <w:tc>
          <w:tcPr>
            <w:tcW w:w="119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1-12月</w:t>
            </w:r>
          </w:p>
        </w:tc>
      </w:tr>
      <w:tr>
        <w:tblPrEx>
          <w:tblCellMar>
            <w:top w:w="0" w:type="dxa"/>
            <w:left w:w="108" w:type="dxa"/>
            <w:bottom w:w="0" w:type="dxa"/>
            <w:right w:w="108" w:type="dxa"/>
          </w:tblCellMar>
        </w:tblPrEx>
        <w:trPr>
          <w:trHeight w:val="174" w:hRule="atLeast"/>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5</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12个花箱</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繁星花</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12</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P15-20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6</w:t>
            </w:r>
            <w:r>
              <w:rPr>
                <w:rStyle w:val="309"/>
                <w:rFonts w:hint="default"/>
                <w:color w:val="auto"/>
                <w:sz w:val="21"/>
                <w:szCs w:val="21"/>
              </w:rPr>
              <w:t>-11月</w:t>
            </w:r>
          </w:p>
        </w:tc>
      </w:tr>
      <w:tr>
        <w:tblPrEx>
          <w:tblCellMar>
            <w:top w:w="0" w:type="dxa"/>
            <w:left w:w="108" w:type="dxa"/>
            <w:bottom w:w="0" w:type="dxa"/>
            <w:right w:w="108" w:type="dxa"/>
          </w:tblCellMar>
        </w:tblPrEx>
        <w:trPr>
          <w:trHeight w:val="174"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马齿苋</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12</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P20-30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5</w:t>
            </w:r>
            <w:r>
              <w:rPr>
                <w:rStyle w:val="309"/>
                <w:rFonts w:hint="default"/>
                <w:color w:val="auto"/>
                <w:sz w:val="21"/>
                <w:szCs w:val="21"/>
              </w:rPr>
              <w:t>-11月</w:t>
            </w:r>
          </w:p>
        </w:tc>
      </w:tr>
      <w:tr>
        <w:tblPrEx>
          <w:tblCellMar>
            <w:top w:w="0" w:type="dxa"/>
            <w:left w:w="108" w:type="dxa"/>
            <w:bottom w:w="0" w:type="dxa"/>
            <w:right w:w="108" w:type="dxa"/>
          </w:tblCellMar>
        </w:tblPrEx>
        <w:trPr>
          <w:trHeight w:val="227"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三色堇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42</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P10-15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11-4月</w:t>
            </w:r>
          </w:p>
        </w:tc>
      </w:tr>
      <w:tr>
        <w:tblPrEx>
          <w:tblCellMar>
            <w:top w:w="0" w:type="dxa"/>
            <w:left w:w="108" w:type="dxa"/>
            <w:bottom w:w="0" w:type="dxa"/>
            <w:right w:w="108" w:type="dxa"/>
          </w:tblCellMar>
        </w:tblPrEx>
        <w:trPr>
          <w:trHeight w:val="431" w:hRule="atLeast"/>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6</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门卫室及对面墙角</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马齿苋</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40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P20-30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5-11月用踏步式花架摆放</w:t>
            </w:r>
          </w:p>
        </w:tc>
      </w:tr>
      <w:tr>
        <w:tblPrEx>
          <w:tblCellMar>
            <w:top w:w="0" w:type="dxa"/>
            <w:left w:w="108" w:type="dxa"/>
            <w:bottom w:w="0" w:type="dxa"/>
            <w:right w:w="108" w:type="dxa"/>
          </w:tblCellMar>
        </w:tblPrEx>
        <w:trPr>
          <w:trHeight w:val="212"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三色堇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40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P10-15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11-4月用踏步式花架摆放</w:t>
            </w:r>
          </w:p>
        </w:tc>
      </w:tr>
      <w:tr>
        <w:tblPrEx>
          <w:tblCellMar>
            <w:top w:w="0" w:type="dxa"/>
            <w:left w:w="108" w:type="dxa"/>
            <w:bottom w:w="0" w:type="dxa"/>
            <w:right w:w="108" w:type="dxa"/>
          </w:tblCellMar>
        </w:tblPrEx>
        <w:trPr>
          <w:trHeight w:val="431" w:hRule="atLeast"/>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7</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草坪标语字牌</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繁星花</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P15-20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5-11月</w:t>
            </w:r>
          </w:p>
        </w:tc>
      </w:tr>
      <w:tr>
        <w:tblPrEx>
          <w:tblCellMar>
            <w:top w:w="0" w:type="dxa"/>
            <w:left w:w="108" w:type="dxa"/>
            <w:bottom w:w="0" w:type="dxa"/>
            <w:right w:w="108" w:type="dxa"/>
          </w:tblCellMar>
        </w:tblPrEx>
        <w:trPr>
          <w:trHeight w:val="432" w:hRule="atLeast"/>
        </w:trPr>
        <w:tc>
          <w:tcPr>
            <w:tcW w:w="40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Cs w:val="21"/>
              </w:rPr>
            </w:pPr>
          </w:p>
        </w:tc>
        <w:tc>
          <w:tcPr>
            <w:tcW w:w="1322"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p>
        </w:tc>
        <w:tc>
          <w:tcPr>
            <w:tcW w:w="787"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千日红</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20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 xml:space="preserve"> P15-20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5-11月</w:t>
            </w:r>
          </w:p>
        </w:tc>
      </w:tr>
      <w:tr>
        <w:tblPrEx>
          <w:tblCellMar>
            <w:top w:w="0" w:type="dxa"/>
            <w:left w:w="108" w:type="dxa"/>
            <w:bottom w:w="0" w:type="dxa"/>
            <w:right w:w="108" w:type="dxa"/>
          </w:tblCellMar>
        </w:tblPrEx>
        <w:trPr>
          <w:trHeight w:val="431" w:hRule="atLeast"/>
        </w:trPr>
        <w:tc>
          <w:tcPr>
            <w:tcW w:w="40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Cs w:val="21"/>
              </w:rPr>
            </w:pPr>
          </w:p>
        </w:tc>
        <w:tc>
          <w:tcPr>
            <w:tcW w:w="1322"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p>
        </w:tc>
        <w:tc>
          <w:tcPr>
            <w:tcW w:w="787"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石竹</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20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 xml:space="preserve"> P10-15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11-4月</w:t>
            </w:r>
          </w:p>
        </w:tc>
      </w:tr>
      <w:tr>
        <w:tblPrEx>
          <w:tblCellMar>
            <w:top w:w="0" w:type="dxa"/>
            <w:left w:w="108" w:type="dxa"/>
            <w:bottom w:w="0" w:type="dxa"/>
            <w:right w:w="108" w:type="dxa"/>
          </w:tblCellMar>
        </w:tblPrEx>
        <w:trPr>
          <w:trHeight w:val="167" w:hRule="atLeast"/>
        </w:trPr>
        <w:tc>
          <w:tcPr>
            <w:tcW w:w="40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szCs w:val="21"/>
              </w:rPr>
            </w:pPr>
          </w:p>
        </w:tc>
        <w:tc>
          <w:tcPr>
            <w:tcW w:w="132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三色堇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40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P10-15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11-4月</w:t>
            </w:r>
          </w:p>
        </w:tc>
      </w:tr>
      <w:tr>
        <w:tblPrEx>
          <w:tblCellMar>
            <w:top w:w="0" w:type="dxa"/>
            <w:left w:w="108" w:type="dxa"/>
            <w:bottom w:w="0" w:type="dxa"/>
            <w:right w:w="108" w:type="dxa"/>
          </w:tblCellMar>
        </w:tblPrEx>
        <w:trPr>
          <w:trHeight w:val="441" w:hRule="atLeast"/>
        </w:trPr>
        <w:tc>
          <w:tcPr>
            <w:tcW w:w="4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8</w:t>
            </w:r>
          </w:p>
        </w:tc>
        <w:tc>
          <w:tcPr>
            <w:tcW w:w="13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主干道太阳能路灯杆底座（6盏路灯）</w:t>
            </w:r>
          </w:p>
        </w:tc>
        <w:tc>
          <w:tcPr>
            <w:tcW w:w="7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125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三色堇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36</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 P10-15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11-4月</w:t>
            </w:r>
          </w:p>
        </w:tc>
      </w:tr>
      <w:tr>
        <w:tblPrEx>
          <w:tblCellMar>
            <w:top w:w="0" w:type="dxa"/>
            <w:left w:w="108" w:type="dxa"/>
            <w:bottom w:w="0" w:type="dxa"/>
            <w:right w:w="108" w:type="dxa"/>
          </w:tblCellMar>
        </w:tblPrEx>
        <w:trPr>
          <w:trHeight w:val="642" w:hRule="atLeast"/>
        </w:trPr>
        <w:tc>
          <w:tcPr>
            <w:tcW w:w="400"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ascii="宋体" w:hAnsi="宋体" w:eastAsia="宋体" w:cs="宋体"/>
                <w:szCs w:val="21"/>
              </w:rPr>
            </w:pPr>
          </w:p>
        </w:tc>
        <w:tc>
          <w:tcPr>
            <w:tcW w:w="13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szCs w:val="21"/>
              </w:rPr>
            </w:pPr>
          </w:p>
        </w:tc>
        <w:tc>
          <w:tcPr>
            <w:tcW w:w="78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c>
          <w:tcPr>
            <w:tcW w:w="125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繁星花</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36</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 xml:space="preserve"> P15-20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5-11月</w:t>
            </w:r>
          </w:p>
        </w:tc>
      </w:tr>
    </w:tbl>
    <w:p>
      <w:pPr>
        <w:autoSpaceDE w:val="0"/>
        <w:autoSpaceDN w:val="0"/>
        <w:adjustRightInd w:val="0"/>
        <w:spacing w:line="360" w:lineRule="auto"/>
        <w:ind w:firstLine="48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2.3.1 花卉养护标准：</w:t>
      </w:r>
    </w:p>
    <w:p>
      <w:pPr>
        <w:autoSpaceDE w:val="0"/>
        <w:autoSpaceDN w:val="0"/>
        <w:adjustRightInd w:val="0"/>
        <w:spacing w:line="360" w:lineRule="auto"/>
        <w:ind w:firstLine="48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w:t>
      </w:r>
      <w:r>
        <w:rPr>
          <w:rFonts w:cs="Times New Roman" w:asciiTheme="majorEastAsia" w:hAnsiTheme="majorEastAsia" w:eastAsiaTheme="majorEastAsia"/>
          <w:sz w:val="24"/>
          <w:szCs w:val="24"/>
        </w:rPr>
        <w:t>浇水工具应用专用花洒,严禁大水漫灌或强水压灌溉。</w:t>
      </w:r>
    </w:p>
    <w:p>
      <w:pPr>
        <w:autoSpaceDE w:val="0"/>
        <w:autoSpaceDN w:val="0"/>
        <w:adjustRightInd w:val="0"/>
        <w:spacing w:line="360" w:lineRule="auto"/>
        <w:ind w:firstLine="48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w:t>
      </w:r>
      <w:r>
        <w:rPr>
          <w:rFonts w:cs="Times New Roman" w:asciiTheme="majorEastAsia" w:hAnsiTheme="majorEastAsia" w:eastAsiaTheme="majorEastAsia"/>
          <w:sz w:val="24"/>
          <w:szCs w:val="24"/>
        </w:rPr>
        <w:t>观花、观果的花卉宜适当追施磷钾肥,观叶的花卉应施以氮肥为主的肥料。</w:t>
      </w:r>
    </w:p>
    <w:p>
      <w:pPr>
        <w:autoSpaceDE w:val="0"/>
        <w:autoSpaceDN w:val="0"/>
        <w:adjustRightInd w:val="0"/>
        <w:spacing w:line="360" w:lineRule="auto"/>
        <w:ind w:firstLine="48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（3）</w:t>
      </w:r>
      <w:r>
        <w:rPr>
          <w:rFonts w:cs="Times New Roman" w:asciiTheme="majorEastAsia" w:hAnsiTheme="majorEastAsia" w:eastAsiaTheme="majorEastAsia"/>
          <w:sz w:val="24"/>
          <w:szCs w:val="24"/>
        </w:rPr>
        <w:t>花卉发芽前、生长期或花后修剪后应适当追肥。盛花期及高温期间不宜追肥。</w:t>
      </w:r>
    </w:p>
    <w:p>
      <w:pPr>
        <w:autoSpaceDE w:val="0"/>
        <w:autoSpaceDN w:val="0"/>
        <w:adjustRightInd w:val="0"/>
        <w:spacing w:line="360" w:lineRule="auto"/>
        <w:ind w:firstLine="48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（4）</w:t>
      </w:r>
      <w:r>
        <w:rPr>
          <w:rFonts w:cs="Times New Roman" w:asciiTheme="majorEastAsia" w:hAnsiTheme="majorEastAsia" w:eastAsiaTheme="majorEastAsia"/>
          <w:sz w:val="24"/>
          <w:szCs w:val="24"/>
        </w:rPr>
        <w:t>花坛花卉应及时摘除残花及枯叶。</w:t>
      </w:r>
    </w:p>
    <w:p>
      <w:pPr>
        <w:autoSpaceDE w:val="0"/>
        <w:autoSpaceDN w:val="0"/>
        <w:adjustRightInd w:val="0"/>
        <w:spacing w:line="360" w:lineRule="auto"/>
        <w:ind w:firstLine="48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（5）</w:t>
      </w:r>
      <w:r>
        <w:rPr>
          <w:rFonts w:cs="Times New Roman" w:asciiTheme="majorEastAsia" w:hAnsiTheme="majorEastAsia" w:eastAsiaTheme="majorEastAsia"/>
          <w:sz w:val="24"/>
          <w:szCs w:val="24"/>
        </w:rPr>
        <w:t>花境宿根花卉休眠期应做好裸露土壤覆盖。</w:t>
      </w:r>
    </w:p>
    <w:p>
      <w:pPr>
        <w:autoSpaceDE w:val="0"/>
        <w:autoSpaceDN w:val="0"/>
        <w:adjustRightInd w:val="0"/>
        <w:spacing w:line="360" w:lineRule="auto"/>
        <w:ind w:firstLine="48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（6）</w:t>
      </w:r>
      <w:r>
        <w:rPr>
          <w:rFonts w:cs="Times New Roman" w:asciiTheme="majorEastAsia" w:hAnsiTheme="majorEastAsia" w:eastAsiaTheme="majorEastAsia"/>
          <w:sz w:val="24"/>
          <w:szCs w:val="24"/>
        </w:rPr>
        <w:t>花坛、花境养护应符合现行上海市工程建设规范《花坛、花境技术规程》DG/TJ08—66的相关规定。</w:t>
      </w:r>
    </w:p>
    <w:p>
      <w:pPr>
        <w:pStyle w:val="2"/>
        <w:ind w:firstLine="420" w:firstLineChars="175"/>
        <w:rPr>
          <w:rFonts w:asciiTheme="majorEastAsia" w:hAnsiTheme="majorEastAsia" w:eastAsiaTheme="majorEastAsia"/>
          <w:szCs w:val="24"/>
        </w:rPr>
      </w:pPr>
      <w:r>
        <w:rPr>
          <w:rFonts w:hint="eastAsia" w:asciiTheme="majorEastAsia" w:hAnsiTheme="majorEastAsia" w:eastAsiaTheme="majorEastAsia"/>
          <w:szCs w:val="24"/>
        </w:rPr>
        <w:t xml:space="preserve">2.3.2 </w:t>
      </w:r>
      <w:r>
        <w:rPr>
          <w:rFonts w:hint="eastAsia" w:ascii="宋体" w:hAnsi="宋体" w:cs="宋体"/>
          <w:szCs w:val="24"/>
        </w:rPr>
        <w:t>花坛养护质量等级</w:t>
      </w:r>
    </w:p>
    <w:tbl>
      <w:tblPr>
        <w:tblStyle w:val="46"/>
        <w:tblpPr w:leftFromText="180" w:rightFromText="180" w:vertAnchor="text" w:horzAnchor="page" w:tblpX="1769" w:tblpY="271"/>
        <w:tblOverlap w:val="never"/>
        <w:tblW w:w="8459" w:type="dxa"/>
        <w:tblInd w:w="0" w:type="dxa"/>
        <w:tblLayout w:type="autofit"/>
        <w:tblCellMar>
          <w:top w:w="0" w:type="dxa"/>
          <w:left w:w="108" w:type="dxa"/>
          <w:bottom w:w="0" w:type="dxa"/>
          <w:right w:w="108" w:type="dxa"/>
        </w:tblCellMar>
      </w:tblPr>
      <w:tblGrid>
        <w:gridCol w:w="782"/>
        <w:gridCol w:w="1015"/>
        <w:gridCol w:w="6662"/>
      </w:tblGrid>
      <w:tr>
        <w:tblPrEx>
          <w:tblCellMar>
            <w:top w:w="0" w:type="dxa"/>
            <w:left w:w="108" w:type="dxa"/>
            <w:bottom w:w="0" w:type="dxa"/>
            <w:right w:w="108" w:type="dxa"/>
          </w:tblCellMar>
        </w:tblPrEx>
        <w:trPr>
          <w:trHeight w:val="463" w:hRule="exact"/>
        </w:trPr>
        <w:tc>
          <w:tcPr>
            <w:tcW w:w="782" w:type="dxa"/>
            <w:tcBorders>
              <w:top w:val="single" w:color="221F1F" w:sz="6" w:space="0"/>
              <w:left w:val="single" w:color="221F1F" w:sz="6" w:space="0"/>
              <w:bottom w:val="single" w:color="221F1F" w:sz="2" w:space="0"/>
              <w:right w:val="single" w:color="221F1F" w:sz="2" w:space="0"/>
            </w:tcBorders>
            <w:noWrap/>
            <w:tcMar>
              <w:left w:w="0" w:type="dxa"/>
              <w:right w:w="0" w:type="dxa"/>
            </w:tcMa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015" w:type="dxa"/>
            <w:tcBorders>
              <w:top w:val="single" w:color="221F1F" w:sz="6" w:space="0"/>
              <w:left w:val="single" w:color="221F1F" w:sz="2" w:space="0"/>
              <w:bottom w:val="single" w:color="221F1F" w:sz="2" w:space="0"/>
              <w:right w:val="single" w:color="221F1F" w:sz="2" w:space="0"/>
            </w:tcBorders>
            <w:noWrap/>
            <w:tcMar>
              <w:left w:w="0" w:type="dxa"/>
              <w:right w:w="0" w:type="dxa"/>
            </w:tcMar>
          </w:tcPr>
          <w:p>
            <w:pPr>
              <w:spacing w:line="360" w:lineRule="auto"/>
              <w:jc w:val="center"/>
              <w:rPr>
                <w:rFonts w:ascii="宋体" w:hAnsi="宋体" w:eastAsia="宋体" w:cs="宋体"/>
                <w:szCs w:val="21"/>
              </w:rPr>
            </w:pPr>
            <w:r>
              <w:rPr>
                <w:rFonts w:hint="eastAsia" w:ascii="宋体" w:hAnsi="宋体" w:eastAsia="宋体" w:cs="宋体"/>
                <w:szCs w:val="21"/>
              </w:rPr>
              <w:t>项目</w:t>
            </w:r>
          </w:p>
        </w:tc>
        <w:tc>
          <w:tcPr>
            <w:tcW w:w="6662" w:type="dxa"/>
            <w:tcBorders>
              <w:top w:val="single" w:color="221F1F" w:sz="2" w:space="0"/>
              <w:left w:val="single" w:color="221F1F" w:sz="2" w:space="0"/>
              <w:bottom w:val="single" w:color="221F1F" w:sz="2" w:space="0"/>
              <w:right w:val="single" w:color="221F1F" w:sz="6" w:space="0"/>
            </w:tcBorders>
            <w:noWrap/>
            <w:tcMar>
              <w:left w:w="0" w:type="dxa"/>
              <w:right w:w="0" w:type="dxa"/>
            </w:tcMar>
          </w:tcPr>
          <w:p>
            <w:pPr>
              <w:spacing w:line="360" w:lineRule="auto"/>
              <w:jc w:val="center"/>
              <w:rPr>
                <w:rFonts w:ascii="宋体" w:hAnsi="宋体" w:eastAsia="宋体" w:cs="宋体"/>
                <w:szCs w:val="21"/>
              </w:rPr>
            </w:pPr>
            <w:r>
              <w:rPr>
                <w:rFonts w:hint="eastAsia" w:ascii="宋体" w:hAnsi="宋体" w:eastAsia="宋体" w:cs="宋体"/>
                <w:szCs w:val="21"/>
              </w:rPr>
              <w:t>二级</w:t>
            </w:r>
          </w:p>
        </w:tc>
      </w:tr>
      <w:tr>
        <w:tblPrEx>
          <w:tblCellMar>
            <w:top w:w="0" w:type="dxa"/>
            <w:left w:w="108" w:type="dxa"/>
            <w:bottom w:w="0" w:type="dxa"/>
            <w:right w:w="108" w:type="dxa"/>
          </w:tblCellMar>
        </w:tblPrEx>
        <w:trPr>
          <w:trHeight w:val="1164" w:hRule="exact"/>
        </w:trPr>
        <w:tc>
          <w:tcPr>
            <w:tcW w:w="782" w:type="dxa"/>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1</w:t>
            </w:r>
          </w:p>
        </w:tc>
        <w:tc>
          <w:tcPr>
            <w:tcW w:w="1015"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景观</w:t>
            </w:r>
          </w:p>
        </w:tc>
        <w:tc>
          <w:tcPr>
            <w:tcW w:w="6662" w:type="dxa"/>
            <w:tcBorders>
              <w:top w:val="single" w:color="221F1F" w:sz="2" w:space="0"/>
              <w:left w:val="single" w:color="221F1F" w:sz="2" w:space="0"/>
              <w:bottom w:val="single" w:color="221F1F" w:sz="2" w:space="0"/>
              <w:right w:val="single" w:color="221F1F" w:sz="6" w:space="0"/>
            </w:tcBorders>
            <w:noWrap/>
            <w:tcMar>
              <w:left w:w="0" w:type="dxa"/>
              <w:right w:w="0" w:type="dxa"/>
            </w:tcMar>
            <w:vAlign w:val="center"/>
          </w:tcPr>
          <w:p>
            <w:pPr>
              <w:rPr>
                <w:rFonts w:ascii="宋体" w:hAnsi="宋体" w:eastAsia="宋体" w:cs="宋体"/>
                <w:szCs w:val="21"/>
              </w:rPr>
            </w:pPr>
            <w:r>
              <w:rPr>
                <w:rFonts w:hint="eastAsia" w:ascii="宋体" w:hAnsi="宋体" w:eastAsia="宋体" w:cs="宋体"/>
                <w:szCs w:val="21"/>
              </w:rPr>
              <w:t>（1）色彩鲜明；</w:t>
            </w:r>
          </w:p>
          <w:p>
            <w:pPr>
              <w:rPr>
                <w:rFonts w:ascii="宋体" w:hAnsi="宋体" w:eastAsia="宋体" w:cs="宋体"/>
                <w:szCs w:val="21"/>
              </w:rPr>
            </w:pPr>
            <w:r>
              <w:rPr>
                <w:rFonts w:hint="eastAsia" w:ascii="宋体" w:hAnsi="宋体" w:eastAsia="宋体" w:cs="宋体"/>
                <w:szCs w:val="21"/>
              </w:rPr>
              <w:t>（2）株行距适宜，种植深浅合适；</w:t>
            </w:r>
          </w:p>
          <w:p>
            <w:pPr>
              <w:rPr>
                <w:rFonts w:ascii="宋体" w:hAnsi="宋体" w:eastAsia="宋体" w:cs="宋体"/>
                <w:szCs w:val="21"/>
              </w:rPr>
            </w:pPr>
            <w:r>
              <w:rPr>
                <w:rFonts w:hint="eastAsia" w:ascii="宋体" w:hAnsi="宋体" w:eastAsia="宋体" w:cs="宋体"/>
                <w:szCs w:val="21"/>
              </w:rPr>
              <w:t>（3）缺株倒伏量≤3%；</w:t>
            </w:r>
          </w:p>
          <w:p>
            <w:pPr>
              <w:rPr>
                <w:rFonts w:ascii="宋体" w:hAnsi="宋体" w:eastAsia="宋体" w:cs="宋体"/>
                <w:szCs w:val="21"/>
              </w:rPr>
            </w:pPr>
            <w:r>
              <w:rPr>
                <w:rFonts w:hint="eastAsia" w:ascii="宋体" w:hAnsi="宋体" w:eastAsia="宋体" w:cs="宋体"/>
                <w:szCs w:val="21"/>
              </w:rPr>
              <w:t>（4）枯枝残花量≤3%</w:t>
            </w:r>
          </w:p>
        </w:tc>
      </w:tr>
      <w:tr>
        <w:tblPrEx>
          <w:tblCellMar>
            <w:top w:w="0" w:type="dxa"/>
            <w:left w:w="108" w:type="dxa"/>
            <w:bottom w:w="0" w:type="dxa"/>
            <w:right w:w="108" w:type="dxa"/>
          </w:tblCellMar>
        </w:tblPrEx>
        <w:trPr>
          <w:trHeight w:val="883" w:hRule="exact"/>
        </w:trPr>
        <w:tc>
          <w:tcPr>
            <w:tcW w:w="782" w:type="dxa"/>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2</w:t>
            </w:r>
          </w:p>
        </w:tc>
        <w:tc>
          <w:tcPr>
            <w:tcW w:w="1015"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花期</w:t>
            </w:r>
          </w:p>
        </w:tc>
        <w:tc>
          <w:tcPr>
            <w:tcW w:w="6662" w:type="dxa"/>
            <w:tcBorders>
              <w:top w:val="single" w:color="221F1F" w:sz="2" w:space="0"/>
              <w:left w:val="single" w:color="221F1F" w:sz="2" w:space="0"/>
              <w:bottom w:val="single" w:color="221F1F" w:sz="2" w:space="0"/>
              <w:right w:val="single" w:color="221F1F" w:sz="6" w:space="0"/>
            </w:tcBorders>
            <w:noWrap/>
            <w:tcMar>
              <w:left w:w="0" w:type="dxa"/>
              <w:right w:w="0" w:type="dxa"/>
            </w:tcMar>
          </w:tcPr>
          <w:p>
            <w:pPr>
              <w:rPr>
                <w:rFonts w:ascii="宋体" w:hAnsi="宋体" w:eastAsia="宋体" w:cs="宋体"/>
                <w:szCs w:val="21"/>
              </w:rPr>
            </w:pPr>
            <w:r>
              <w:rPr>
                <w:rFonts w:hint="eastAsia" w:ascii="宋体" w:hAnsi="宋体" w:eastAsia="宋体" w:cs="宋体"/>
                <w:szCs w:val="21"/>
              </w:rPr>
              <w:t>（1）花期一致；</w:t>
            </w:r>
          </w:p>
          <w:p>
            <w:pPr>
              <w:rPr>
                <w:rFonts w:ascii="宋体" w:hAnsi="宋体" w:eastAsia="宋体" w:cs="宋体"/>
                <w:szCs w:val="21"/>
              </w:rPr>
            </w:pPr>
            <w:r>
              <w:rPr>
                <w:rFonts w:hint="eastAsia" w:ascii="宋体" w:hAnsi="宋体" w:eastAsia="宋体" w:cs="宋体"/>
                <w:szCs w:val="21"/>
              </w:rPr>
              <w:t>（2）全年观赏期≥250天；</w:t>
            </w:r>
          </w:p>
          <w:p>
            <w:pPr>
              <w:rPr>
                <w:rFonts w:ascii="宋体" w:hAnsi="宋体" w:eastAsia="宋体" w:cs="宋体"/>
                <w:szCs w:val="21"/>
              </w:rPr>
            </w:pPr>
            <w:r>
              <w:rPr>
                <w:rFonts w:hint="eastAsia" w:ascii="宋体" w:hAnsi="宋体" w:eastAsia="宋体" w:cs="宋体"/>
                <w:szCs w:val="21"/>
              </w:rPr>
              <w:t>（3）重大节日有花；</w:t>
            </w:r>
          </w:p>
        </w:tc>
      </w:tr>
      <w:tr>
        <w:tblPrEx>
          <w:tblCellMar>
            <w:top w:w="0" w:type="dxa"/>
            <w:left w:w="108" w:type="dxa"/>
            <w:bottom w:w="0" w:type="dxa"/>
            <w:right w:w="108" w:type="dxa"/>
          </w:tblCellMar>
        </w:tblPrEx>
        <w:trPr>
          <w:trHeight w:val="889" w:hRule="exact"/>
        </w:trPr>
        <w:tc>
          <w:tcPr>
            <w:tcW w:w="782" w:type="dxa"/>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3</w:t>
            </w:r>
          </w:p>
        </w:tc>
        <w:tc>
          <w:tcPr>
            <w:tcW w:w="1015"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生长</w:t>
            </w:r>
          </w:p>
        </w:tc>
        <w:tc>
          <w:tcPr>
            <w:tcW w:w="6662" w:type="dxa"/>
            <w:tcBorders>
              <w:top w:val="single" w:color="221F1F" w:sz="2" w:space="0"/>
              <w:left w:val="single" w:color="221F1F" w:sz="2" w:space="0"/>
              <w:bottom w:val="single" w:color="221F1F" w:sz="2" w:space="0"/>
              <w:right w:val="single" w:color="221F1F" w:sz="6" w:space="0"/>
            </w:tcBorders>
            <w:noWrap/>
            <w:tcMar>
              <w:left w:w="0" w:type="dxa"/>
              <w:right w:w="0" w:type="dxa"/>
            </w:tcMar>
          </w:tcPr>
          <w:p>
            <w:pPr>
              <w:rPr>
                <w:rFonts w:ascii="宋体" w:hAnsi="宋体" w:eastAsia="宋体" w:cs="宋体"/>
                <w:szCs w:val="21"/>
              </w:rPr>
            </w:pPr>
            <w:r>
              <w:rPr>
                <w:rFonts w:hint="eastAsia" w:ascii="宋体" w:hAnsi="宋体" w:eastAsia="宋体" w:cs="宋体"/>
                <w:szCs w:val="21"/>
              </w:rPr>
              <w:t>（1）植株生长基本健壮；</w:t>
            </w:r>
          </w:p>
          <w:p>
            <w:pPr>
              <w:rPr>
                <w:rFonts w:ascii="宋体" w:hAnsi="宋体" w:eastAsia="宋体" w:cs="宋体"/>
                <w:szCs w:val="21"/>
              </w:rPr>
            </w:pPr>
            <w:r>
              <w:rPr>
                <w:rFonts w:hint="eastAsia" w:ascii="宋体" w:hAnsi="宋体" w:eastAsia="宋体" w:cs="宋体"/>
                <w:szCs w:val="21"/>
              </w:rPr>
              <w:t>（2）茎干粗壮，基部分枝强健，株型基本饱满；</w:t>
            </w:r>
          </w:p>
          <w:p>
            <w:pPr>
              <w:rPr>
                <w:rFonts w:ascii="宋体" w:hAnsi="宋体" w:eastAsia="宋体" w:cs="宋体"/>
                <w:szCs w:val="21"/>
              </w:rPr>
            </w:pPr>
            <w:r>
              <w:rPr>
                <w:rFonts w:hint="eastAsia" w:ascii="宋体" w:hAnsi="宋体" w:eastAsia="宋体" w:cs="宋体"/>
                <w:szCs w:val="21"/>
              </w:rPr>
              <w:t>（3）花型正，花色纯，株高基本一致</w:t>
            </w:r>
          </w:p>
        </w:tc>
      </w:tr>
      <w:tr>
        <w:tblPrEx>
          <w:tblCellMar>
            <w:top w:w="0" w:type="dxa"/>
            <w:left w:w="108" w:type="dxa"/>
            <w:bottom w:w="0" w:type="dxa"/>
            <w:right w:w="108" w:type="dxa"/>
          </w:tblCellMar>
        </w:tblPrEx>
        <w:trPr>
          <w:trHeight w:val="868" w:hRule="exact"/>
        </w:trPr>
        <w:tc>
          <w:tcPr>
            <w:tcW w:w="782" w:type="dxa"/>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4</w:t>
            </w:r>
          </w:p>
        </w:tc>
        <w:tc>
          <w:tcPr>
            <w:tcW w:w="1015"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切边</w:t>
            </w:r>
          </w:p>
        </w:tc>
        <w:tc>
          <w:tcPr>
            <w:tcW w:w="6662" w:type="dxa"/>
            <w:tcBorders>
              <w:top w:val="single" w:color="221F1F" w:sz="2" w:space="0"/>
              <w:left w:val="single" w:color="221F1F" w:sz="2" w:space="0"/>
              <w:bottom w:val="single" w:color="221F1F" w:sz="2" w:space="0"/>
              <w:right w:val="single" w:color="221F1F" w:sz="6" w:space="0"/>
            </w:tcBorders>
            <w:noWrap/>
            <w:tcMar>
              <w:left w:w="0" w:type="dxa"/>
              <w:right w:w="0" w:type="dxa"/>
            </w:tcMar>
          </w:tcPr>
          <w:p>
            <w:pPr>
              <w:rPr>
                <w:rFonts w:ascii="宋体" w:hAnsi="宋体" w:eastAsia="宋体" w:cs="宋体"/>
                <w:szCs w:val="21"/>
              </w:rPr>
            </w:pPr>
            <w:r>
              <w:rPr>
                <w:rFonts w:hint="eastAsia" w:ascii="宋体" w:hAnsi="宋体" w:eastAsia="宋体" w:cs="宋体"/>
                <w:szCs w:val="21"/>
              </w:rPr>
              <w:t>（1）边缘基本清晰，线条基本流畅和顺；</w:t>
            </w:r>
          </w:p>
          <w:p>
            <w:pPr>
              <w:rPr>
                <w:rFonts w:ascii="宋体" w:hAnsi="宋体" w:eastAsia="宋体" w:cs="宋体"/>
                <w:szCs w:val="21"/>
              </w:rPr>
            </w:pPr>
            <w:r>
              <w:rPr>
                <w:rFonts w:hint="eastAsia" w:ascii="宋体" w:hAnsi="宋体" w:eastAsia="宋体" w:cs="宋体"/>
                <w:szCs w:val="21"/>
              </w:rPr>
              <w:t>（2）插片或分隔板顶部距地面切边宽度和深度≤15cm；插片或分隔板顶部距地面的距离≤5 cm</w:t>
            </w:r>
          </w:p>
        </w:tc>
      </w:tr>
      <w:tr>
        <w:tblPrEx>
          <w:tblCellMar>
            <w:top w:w="0" w:type="dxa"/>
            <w:left w:w="108" w:type="dxa"/>
            <w:bottom w:w="0" w:type="dxa"/>
            <w:right w:w="108" w:type="dxa"/>
          </w:tblCellMar>
        </w:tblPrEx>
        <w:trPr>
          <w:trHeight w:val="645" w:hRule="exact"/>
        </w:trPr>
        <w:tc>
          <w:tcPr>
            <w:tcW w:w="782" w:type="dxa"/>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5</w:t>
            </w:r>
          </w:p>
        </w:tc>
        <w:tc>
          <w:tcPr>
            <w:tcW w:w="1015"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排灌</w:t>
            </w:r>
          </w:p>
        </w:tc>
        <w:tc>
          <w:tcPr>
            <w:tcW w:w="6662" w:type="dxa"/>
            <w:tcBorders>
              <w:top w:val="single" w:color="221F1F" w:sz="2" w:space="0"/>
              <w:left w:val="single" w:color="221F1F" w:sz="2" w:space="0"/>
              <w:bottom w:val="single" w:color="221F1F" w:sz="2" w:space="0"/>
              <w:right w:val="single" w:color="221F1F" w:sz="6" w:space="0"/>
            </w:tcBorders>
            <w:noWrap/>
            <w:tcMar>
              <w:left w:w="0" w:type="dxa"/>
              <w:right w:w="0" w:type="dxa"/>
            </w:tcMar>
          </w:tcPr>
          <w:p>
            <w:pPr>
              <w:rPr>
                <w:rFonts w:ascii="宋体" w:hAnsi="宋体" w:eastAsia="宋体" w:cs="宋体"/>
                <w:szCs w:val="21"/>
              </w:rPr>
            </w:pPr>
            <w:r>
              <w:rPr>
                <w:rFonts w:hint="eastAsia" w:ascii="宋体" w:hAnsi="宋体" w:eastAsia="宋体" w:cs="宋体"/>
                <w:szCs w:val="21"/>
              </w:rPr>
              <w:t>（1）排水畅通，基本无积水；</w:t>
            </w:r>
          </w:p>
          <w:p>
            <w:pPr>
              <w:rPr>
                <w:rFonts w:ascii="宋体" w:hAnsi="宋体" w:eastAsia="宋体" w:cs="宋体"/>
                <w:szCs w:val="21"/>
              </w:rPr>
            </w:pPr>
            <w:r>
              <w:rPr>
                <w:rFonts w:hint="eastAsia" w:ascii="宋体" w:hAnsi="宋体" w:eastAsia="宋体" w:cs="宋体"/>
                <w:szCs w:val="21"/>
              </w:rPr>
              <w:t>（2）植株基本无萎蔫现象，萎蔫率≤1%</w:t>
            </w:r>
          </w:p>
        </w:tc>
      </w:tr>
      <w:tr>
        <w:tblPrEx>
          <w:tblCellMar>
            <w:top w:w="0" w:type="dxa"/>
            <w:left w:w="108" w:type="dxa"/>
            <w:bottom w:w="0" w:type="dxa"/>
            <w:right w:w="108" w:type="dxa"/>
          </w:tblCellMar>
        </w:tblPrEx>
        <w:trPr>
          <w:trHeight w:val="886" w:hRule="exact"/>
        </w:trPr>
        <w:tc>
          <w:tcPr>
            <w:tcW w:w="782" w:type="dxa"/>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6</w:t>
            </w:r>
          </w:p>
        </w:tc>
        <w:tc>
          <w:tcPr>
            <w:tcW w:w="1015"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有害生物控制</w:t>
            </w:r>
          </w:p>
        </w:tc>
        <w:tc>
          <w:tcPr>
            <w:tcW w:w="6662" w:type="dxa"/>
            <w:tcBorders>
              <w:top w:val="single" w:color="221F1F" w:sz="2" w:space="0"/>
              <w:left w:val="single" w:color="221F1F" w:sz="2" w:space="0"/>
              <w:bottom w:val="single" w:color="221F1F" w:sz="2" w:space="0"/>
              <w:right w:val="single" w:color="221F1F" w:sz="6" w:space="0"/>
            </w:tcBorders>
            <w:noWrap/>
            <w:tcMar>
              <w:left w:w="0" w:type="dxa"/>
              <w:right w:w="0" w:type="dxa"/>
            </w:tcMar>
          </w:tcPr>
          <w:p>
            <w:pPr>
              <w:rPr>
                <w:rFonts w:ascii="宋体" w:hAnsi="宋体" w:eastAsia="宋体" w:cs="宋体"/>
                <w:szCs w:val="21"/>
              </w:rPr>
            </w:pPr>
            <w:r>
              <w:rPr>
                <w:rFonts w:hint="eastAsia" w:ascii="宋体" w:hAnsi="宋体" w:eastAsia="宋体" w:cs="宋体"/>
                <w:szCs w:val="21"/>
              </w:rPr>
              <w:t>（1）无明显病虫害危害状；</w:t>
            </w:r>
          </w:p>
          <w:p>
            <w:pPr>
              <w:rPr>
                <w:rFonts w:ascii="宋体" w:hAnsi="宋体" w:eastAsia="宋体" w:cs="宋体"/>
                <w:szCs w:val="21"/>
              </w:rPr>
            </w:pPr>
            <w:r>
              <w:rPr>
                <w:rFonts w:hint="eastAsia" w:ascii="宋体" w:hAnsi="宋体" w:eastAsia="宋体" w:cs="宋体"/>
                <w:szCs w:val="21"/>
              </w:rPr>
              <w:t>（2）植株受害率≤5%；</w:t>
            </w:r>
          </w:p>
          <w:p>
            <w:pPr>
              <w:rPr>
                <w:rFonts w:ascii="宋体" w:hAnsi="宋体" w:eastAsia="宋体" w:cs="宋体"/>
                <w:szCs w:val="21"/>
              </w:rPr>
            </w:pPr>
            <w:r>
              <w:rPr>
                <w:rFonts w:hint="eastAsia" w:ascii="宋体" w:hAnsi="宋体" w:eastAsia="宋体" w:cs="宋体"/>
                <w:szCs w:val="21"/>
              </w:rPr>
              <w:t>（3）基本无杂草</w:t>
            </w:r>
          </w:p>
        </w:tc>
      </w:tr>
      <w:tr>
        <w:tblPrEx>
          <w:tblCellMar>
            <w:top w:w="0" w:type="dxa"/>
            <w:left w:w="108" w:type="dxa"/>
            <w:bottom w:w="0" w:type="dxa"/>
            <w:right w:w="108" w:type="dxa"/>
          </w:tblCellMar>
        </w:tblPrEx>
        <w:trPr>
          <w:trHeight w:val="427" w:hRule="exact"/>
        </w:trPr>
        <w:tc>
          <w:tcPr>
            <w:tcW w:w="782" w:type="dxa"/>
            <w:tcBorders>
              <w:top w:val="single" w:color="221F1F" w:sz="2" w:space="0"/>
              <w:left w:val="single" w:color="221F1F" w:sz="6" w:space="0"/>
              <w:bottom w:val="single" w:color="221F1F" w:sz="6"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7</w:t>
            </w:r>
          </w:p>
        </w:tc>
        <w:tc>
          <w:tcPr>
            <w:tcW w:w="1015" w:type="dxa"/>
            <w:tcBorders>
              <w:top w:val="single" w:color="221F1F" w:sz="2" w:space="0"/>
              <w:left w:val="single" w:color="221F1F" w:sz="2" w:space="0"/>
              <w:bottom w:val="single" w:color="221F1F" w:sz="6" w:space="0"/>
              <w:right w:val="single" w:color="221F1F" w:sz="2" w:space="0"/>
            </w:tcBorders>
            <w:noWrap/>
            <w:tcMar>
              <w:left w:w="0" w:type="dxa"/>
              <w:right w:w="0" w:type="dxa"/>
            </w:tcMar>
            <w:vAlign w:val="center"/>
          </w:tcPr>
          <w:p>
            <w:pPr>
              <w:jc w:val="center"/>
              <w:rPr>
                <w:rFonts w:ascii="宋体" w:hAnsi="宋体" w:eastAsia="宋体" w:cs="宋体"/>
                <w:szCs w:val="21"/>
              </w:rPr>
            </w:pPr>
            <w:r>
              <w:rPr>
                <w:rFonts w:hint="eastAsia" w:ascii="宋体" w:hAnsi="宋体" w:eastAsia="宋体" w:cs="宋体"/>
                <w:szCs w:val="21"/>
              </w:rPr>
              <w:t>清洁</w:t>
            </w:r>
          </w:p>
        </w:tc>
        <w:tc>
          <w:tcPr>
            <w:tcW w:w="6662" w:type="dxa"/>
            <w:tcBorders>
              <w:top w:val="single" w:color="221F1F" w:sz="2" w:space="0"/>
              <w:left w:val="single" w:color="221F1F" w:sz="2" w:space="0"/>
              <w:bottom w:val="single" w:color="221F1F" w:sz="6" w:space="0"/>
              <w:right w:val="single" w:color="221F1F" w:sz="6" w:space="0"/>
            </w:tcBorders>
            <w:noWrap/>
            <w:tcMar>
              <w:left w:w="0" w:type="dxa"/>
              <w:right w:w="0" w:type="dxa"/>
            </w:tcMar>
          </w:tcPr>
          <w:p>
            <w:pPr>
              <w:rPr>
                <w:rFonts w:ascii="宋体" w:hAnsi="宋体" w:eastAsia="宋体" w:cs="宋体"/>
                <w:szCs w:val="21"/>
              </w:rPr>
            </w:pPr>
            <w:r>
              <w:rPr>
                <w:rFonts w:hint="eastAsia" w:ascii="宋体" w:hAnsi="宋体" w:eastAsia="宋体" w:cs="宋体"/>
                <w:szCs w:val="21"/>
              </w:rPr>
              <w:t>（1）无垃圾</w:t>
            </w:r>
          </w:p>
        </w:tc>
      </w:tr>
    </w:tbl>
    <w:p>
      <w:pPr>
        <w:pStyle w:val="2"/>
        <w:ind w:left="420" w:leftChars="200"/>
        <w:rPr>
          <w:rFonts w:asciiTheme="majorEastAsia" w:hAnsiTheme="majorEastAsia" w:eastAsiaTheme="majorEastAsia"/>
          <w:szCs w:val="24"/>
        </w:rPr>
      </w:pPr>
    </w:p>
    <w:p>
      <w:pPr>
        <w:pStyle w:val="2"/>
        <w:ind w:left="420" w:leftChars="200"/>
        <w:rPr>
          <w:rFonts w:asciiTheme="majorEastAsia" w:hAnsiTheme="majorEastAsia" w:eastAsiaTheme="majorEastAsia"/>
          <w:szCs w:val="24"/>
        </w:rPr>
      </w:pPr>
      <w:r>
        <w:rPr>
          <w:rFonts w:hint="eastAsia" w:asciiTheme="majorEastAsia" w:hAnsiTheme="majorEastAsia" w:eastAsiaTheme="majorEastAsia"/>
          <w:szCs w:val="24"/>
        </w:rPr>
        <w:t xml:space="preserve">2.3.3 </w:t>
      </w:r>
      <w:r>
        <w:rPr>
          <w:szCs w:val="24"/>
        </w:rPr>
        <w:t>花境养护质量等级</w:t>
      </w:r>
    </w:p>
    <w:tbl>
      <w:tblPr>
        <w:tblStyle w:val="46"/>
        <w:tblW w:w="8359" w:type="dxa"/>
        <w:tblInd w:w="0" w:type="dxa"/>
        <w:tblLayout w:type="fixed"/>
        <w:tblCellMar>
          <w:top w:w="0" w:type="dxa"/>
          <w:left w:w="108" w:type="dxa"/>
          <w:bottom w:w="0" w:type="dxa"/>
          <w:right w:w="108" w:type="dxa"/>
        </w:tblCellMar>
      </w:tblPr>
      <w:tblGrid>
        <w:gridCol w:w="610"/>
        <w:gridCol w:w="1443"/>
        <w:gridCol w:w="6306"/>
      </w:tblGrid>
      <w:tr>
        <w:tblPrEx>
          <w:tblCellMar>
            <w:top w:w="0" w:type="dxa"/>
            <w:left w:w="108" w:type="dxa"/>
            <w:bottom w:w="0" w:type="dxa"/>
            <w:right w:w="108" w:type="dxa"/>
          </w:tblCellMar>
        </w:tblPrEx>
        <w:trPr>
          <w:trHeight w:val="552" w:hRule="exact"/>
        </w:trPr>
        <w:tc>
          <w:tcPr>
            <w:tcW w:w="610" w:type="dxa"/>
            <w:tcBorders>
              <w:top w:val="single" w:color="221F1F" w:sz="2" w:space="0"/>
              <w:left w:val="single" w:color="221F1F" w:sz="6" w:space="0"/>
              <w:bottom w:val="single" w:color="221F1F" w:sz="2" w:space="0"/>
              <w:right w:val="single" w:color="221F1F" w:sz="2" w:space="0"/>
            </w:tcBorders>
            <w:noWrap/>
            <w:tcMar>
              <w:left w:w="0" w:type="dxa"/>
              <w:right w:w="0" w:type="dxa"/>
            </w:tcMar>
            <w:vAlign w:val="bottom"/>
          </w:tcPr>
          <w:p>
            <w:pPr>
              <w:jc w:val="center"/>
              <w:rPr>
                <w:rFonts w:eastAsia="宋体"/>
                <w:szCs w:val="21"/>
              </w:rPr>
            </w:pPr>
            <w:r>
              <w:rPr>
                <w:rFonts w:hint="eastAsia"/>
                <w:szCs w:val="21"/>
              </w:rPr>
              <w:t>序号</w:t>
            </w:r>
          </w:p>
        </w:tc>
        <w:tc>
          <w:tcPr>
            <w:tcW w:w="1443" w:type="dxa"/>
            <w:tcBorders>
              <w:top w:val="single" w:color="221F1F" w:sz="2" w:space="0"/>
              <w:left w:val="single" w:color="221F1F" w:sz="2" w:space="0"/>
              <w:bottom w:val="single" w:color="221F1F" w:sz="2" w:space="0"/>
              <w:right w:val="single" w:color="221F1F" w:sz="2" w:space="0"/>
            </w:tcBorders>
            <w:noWrap/>
            <w:tcMar>
              <w:left w:w="0" w:type="dxa"/>
              <w:right w:w="0" w:type="dxa"/>
            </w:tcMar>
            <w:vAlign w:val="bottom"/>
          </w:tcPr>
          <w:p>
            <w:pPr>
              <w:jc w:val="center"/>
              <w:rPr>
                <w:rFonts w:eastAsia="宋体"/>
                <w:szCs w:val="21"/>
              </w:rPr>
            </w:pPr>
            <w:r>
              <w:rPr>
                <w:rFonts w:hint="eastAsia"/>
                <w:szCs w:val="21"/>
              </w:rPr>
              <w:t>项目</w:t>
            </w:r>
          </w:p>
        </w:tc>
        <w:tc>
          <w:tcPr>
            <w:tcW w:w="6306" w:type="dxa"/>
            <w:tcBorders>
              <w:top w:val="single" w:color="221F1F" w:sz="2" w:space="0"/>
              <w:left w:val="single" w:color="221F1F" w:sz="2" w:space="0"/>
              <w:bottom w:val="single" w:color="221F1F" w:sz="2" w:space="0"/>
              <w:right w:val="single" w:color="221F1F" w:sz="6" w:space="0"/>
            </w:tcBorders>
            <w:noWrap/>
            <w:tcMar>
              <w:left w:w="0" w:type="dxa"/>
              <w:right w:w="0" w:type="dxa"/>
            </w:tcMar>
            <w:vAlign w:val="bottom"/>
          </w:tcPr>
          <w:p>
            <w:pPr>
              <w:jc w:val="center"/>
              <w:rPr>
                <w:szCs w:val="21"/>
              </w:rPr>
            </w:pPr>
            <w:r>
              <w:rPr>
                <w:rFonts w:hint="eastAsia"/>
                <w:szCs w:val="21"/>
              </w:rPr>
              <w:t>二级</w:t>
            </w:r>
          </w:p>
        </w:tc>
      </w:tr>
      <w:tr>
        <w:tblPrEx>
          <w:tblCellMar>
            <w:top w:w="0" w:type="dxa"/>
            <w:left w:w="108" w:type="dxa"/>
            <w:bottom w:w="0" w:type="dxa"/>
            <w:right w:w="108" w:type="dxa"/>
          </w:tblCellMar>
        </w:tblPrEx>
        <w:trPr>
          <w:trHeight w:val="1871" w:hRule="exact"/>
        </w:trPr>
        <w:tc>
          <w:tcPr>
            <w:tcW w:w="610" w:type="dxa"/>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szCs w:val="21"/>
              </w:rPr>
              <w:t>1</w:t>
            </w:r>
          </w:p>
        </w:tc>
        <w:tc>
          <w:tcPr>
            <w:tcW w:w="1443"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景观</w:t>
            </w:r>
          </w:p>
        </w:tc>
        <w:tc>
          <w:tcPr>
            <w:tcW w:w="6306" w:type="dxa"/>
            <w:tcBorders>
              <w:top w:val="single" w:color="221F1F" w:sz="2" w:space="0"/>
              <w:left w:val="single" w:color="221F1F" w:sz="2" w:space="0"/>
              <w:bottom w:val="single" w:color="221F1F" w:sz="2" w:space="0"/>
              <w:right w:val="single" w:color="221F1F" w:sz="6" w:space="0"/>
            </w:tcBorders>
            <w:noWrap/>
            <w:tcMar>
              <w:left w:w="0" w:type="dxa"/>
              <w:right w:w="0" w:type="dxa"/>
            </w:tcMar>
          </w:tcPr>
          <w:p>
            <w:pPr>
              <w:widowControl/>
              <w:spacing w:line="100" w:lineRule="atLeast"/>
              <w:jc w:val="left"/>
              <w:rPr>
                <w:szCs w:val="21"/>
              </w:rPr>
            </w:pPr>
            <w:r>
              <w:rPr>
                <w:rFonts w:hint="eastAsia"/>
                <w:szCs w:val="21"/>
              </w:rPr>
              <w:t>（1）</w:t>
            </w:r>
            <w:r>
              <w:rPr>
                <w:szCs w:val="21"/>
              </w:rPr>
              <w:t xml:space="preserve"> 植物配置错落有致</w:t>
            </w:r>
            <w:r>
              <w:rPr>
                <w:rFonts w:hint="eastAsia"/>
                <w:szCs w:val="21"/>
              </w:rPr>
              <w:t>，</w:t>
            </w:r>
            <w:r>
              <w:rPr>
                <w:szCs w:val="21"/>
              </w:rPr>
              <w:t>有季相变化</w:t>
            </w:r>
            <w:r>
              <w:rPr>
                <w:rFonts w:hint="eastAsia"/>
                <w:szCs w:val="21"/>
              </w:rPr>
              <w:t>；</w:t>
            </w:r>
          </w:p>
          <w:p>
            <w:pPr>
              <w:widowControl/>
              <w:spacing w:line="100" w:lineRule="atLeast"/>
              <w:jc w:val="left"/>
              <w:rPr>
                <w:szCs w:val="21"/>
              </w:rPr>
            </w:pPr>
            <w:r>
              <w:rPr>
                <w:rFonts w:hint="eastAsia"/>
                <w:szCs w:val="21"/>
              </w:rPr>
              <w:t xml:space="preserve">（2） </w:t>
            </w:r>
            <w:r>
              <w:rPr>
                <w:szCs w:val="21"/>
              </w:rPr>
              <w:t>观花花卉适时开花</w:t>
            </w:r>
            <w:r>
              <w:rPr>
                <w:rFonts w:hint="eastAsia"/>
                <w:szCs w:val="21"/>
              </w:rPr>
              <w:t>，</w:t>
            </w:r>
            <w:r>
              <w:rPr>
                <w:szCs w:val="21"/>
              </w:rPr>
              <w:t>观叶植物叶色正常</w:t>
            </w:r>
            <w:r>
              <w:rPr>
                <w:rFonts w:hint="eastAsia"/>
                <w:szCs w:val="21"/>
              </w:rPr>
              <w:t>；</w:t>
            </w:r>
          </w:p>
          <w:p>
            <w:pPr>
              <w:widowControl/>
              <w:spacing w:line="100" w:lineRule="atLeast"/>
              <w:jc w:val="left"/>
              <w:rPr>
                <w:szCs w:val="21"/>
              </w:rPr>
            </w:pPr>
            <w:r>
              <w:rPr>
                <w:rFonts w:hint="eastAsia"/>
                <w:szCs w:val="21"/>
              </w:rPr>
              <w:t>（3）</w:t>
            </w:r>
            <w:r>
              <w:rPr>
                <w:szCs w:val="21"/>
              </w:rPr>
              <w:t xml:space="preserve"> 种植密度合适</w:t>
            </w:r>
            <w:r>
              <w:rPr>
                <w:rFonts w:hint="eastAsia"/>
                <w:szCs w:val="21"/>
              </w:rPr>
              <w:t>，</w:t>
            </w:r>
          </w:p>
          <w:p>
            <w:pPr>
              <w:widowControl/>
              <w:spacing w:line="100" w:lineRule="atLeast"/>
              <w:jc w:val="left"/>
              <w:rPr>
                <w:szCs w:val="21"/>
              </w:rPr>
            </w:pPr>
            <w:r>
              <w:rPr>
                <w:rFonts w:hint="eastAsia"/>
                <w:szCs w:val="21"/>
              </w:rPr>
              <w:t>（4）</w:t>
            </w:r>
            <w:r>
              <w:rPr>
                <w:szCs w:val="21"/>
              </w:rPr>
              <w:t xml:space="preserve"> 缺株、枯枝残花量≤5%</w:t>
            </w:r>
            <w:r>
              <w:rPr>
                <w:rFonts w:hint="eastAsia"/>
                <w:szCs w:val="21"/>
              </w:rPr>
              <w:t>；</w:t>
            </w:r>
          </w:p>
          <w:p>
            <w:pPr>
              <w:widowControl/>
              <w:spacing w:line="100" w:lineRule="atLeast"/>
              <w:jc w:val="left"/>
              <w:rPr>
                <w:szCs w:val="21"/>
              </w:rPr>
            </w:pPr>
            <w:r>
              <w:rPr>
                <w:rFonts w:hint="eastAsia"/>
                <w:szCs w:val="21"/>
              </w:rPr>
              <w:t>（5）</w:t>
            </w:r>
            <w:r>
              <w:rPr>
                <w:szCs w:val="21"/>
              </w:rPr>
              <w:t xml:space="preserve"> 倒伏量≤5%</w:t>
            </w:r>
            <w:r>
              <w:rPr>
                <w:rFonts w:hint="eastAsia"/>
                <w:szCs w:val="21"/>
              </w:rPr>
              <w:t>；</w:t>
            </w:r>
          </w:p>
          <w:p>
            <w:pPr>
              <w:widowControl/>
              <w:spacing w:line="100" w:lineRule="atLeast"/>
              <w:jc w:val="left"/>
              <w:rPr>
                <w:szCs w:val="21"/>
              </w:rPr>
            </w:pPr>
            <w:r>
              <w:rPr>
                <w:rFonts w:hint="eastAsia"/>
                <w:szCs w:val="21"/>
              </w:rPr>
              <w:t xml:space="preserve">（6） </w:t>
            </w:r>
            <w:r>
              <w:rPr>
                <w:szCs w:val="21"/>
              </w:rPr>
              <w:t>冬季宿根植物休眠</w:t>
            </w:r>
            <w:r>
              <w:rPr>
                <w:rFonts w:hint="eastAsia"/>
                <w:szCs w:val="21"/>
              </w:rPr>
              <w:t>，</w:t>
            </w:r>
            <w:r>
              <w:rPr>
                <w:szCs w:val="21"/>
              </w:rPr>
              <w:t>裸露土壤有机物覆盖≥80%</w:t>
            </w:r>
          </w:p>
        </w:tc>
      </w:tr>
      <w:tr>
        <w:tblPrEx>
          <w:tblCellMar>
            <w:top w:w="0" w:type="dxa"/>
            <w:left w:w="108" w:type="dxa"/>
            <w:bottom w:w="0" w:type="dxa"/>
            <w:right w:w="108" w:type="dxa"/>
          </w:tblCellMar>
        </w:tblPrEx>
        <w:trPr>
          <w:trHeight w:val="579" w:hRule="exact"/>
        </w:trPr>
        <w:tc>
          <w:tcPr>
            <w:tcW w:w="610" w:type="dxa"/>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szCs w:val="21"/>
              </w:rPr>
              <w:t>2</w:t>
            </w:r>
          </w:p>
        </w:tc>
        <w:tc>
          <w:tcPr>
            <w:tcW w:w="1443"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生长</w:t>
            </w:r>
          </w:p>
        </w:tc>
        <w:tc>
          <w:tcPr>
            <w:tcW w:w="6306" w:type="dxa"/>
            <w:tcBorders>
              <w:top w:val="single" w:color="221F1F" w:sz="2" w:space="0"/>
              <w:left w:val="single" w:color="221F1F" w:sz="2" w:space="0"/>
              <w:bottom w:val="single" w:color="221F1F" w:sz="2" w:space="0"/>
              <w:right w:val="single" w:color="221F1F" w:sz="6" w:space="0"/>
            </w:tcBorders>
            <w:noWrap/>
            <w:tcMar>
              <w:left w:w="0" w:type="dxa"/>
              <w:right w:w="0" w:type="dxa"/>
            </w:tcMar>
            <w:vAlign w:val="center"/>
          </w:tcPr>
          <w:p>
            <w:pPr>
              <w:numPr>
                <w:ilvl w:val="0"/>
                <w:numId w:val="56"/>
              </w:numPr>
              <w:rPr>
                <w:rFonts w:ascii="Calibri" w:hAnsi="Calibri" w:eastAsia="宋体" w:cs="Times New Roman"/>
                <w:szCs w:val="21"/>
              </w:rPr>
            </w:pPr>
            <w:r>
              <w:rPr>
                <w:rFonts w:hint="eastAsia" w:ascii="Calibri" w:hAnsi="Calibri" w:eastAsia="宋体" w:cs="Times New Roman"/>
                <w:szCs w:val="21"/>
              </w:rPr>
              <w:t>生长正常；</w:t>
            </w:r>
          </w:p>
          <w:p>
            <w:pPr>
              <w:numPr>
                <w:ilvl w:val="0"/>
                <w:numId w:val="56"/>
              </w:numPr>
              <w:rPr>
                <w:szCs w:val="21"/>
              </w:rPr>
            </w:pPr>
            <w:r>
              <w:rPr>
                <w:rFonts w:hint="eastAsia" w:ascii="Calibri" w:hAnsi="Calibri" w:eastAsia="宋体" w:cs="Times New Roman"/>
                <w:szCs w:val="21"/>
              </w:rPr>
              <w:t>茎干粗壮，基部分枝强健，脱脚率≤5%</w:t>
            </w:r>
          </w:p>
        </w:tc>
      </w:tr>
      <w:tr>
        <w:tblPrEx>
          <w:tblCellMar>
            <w:top w:w="0" w:type="dxa"/>
            <w:left w:w="108" w:type="dxa"/>
            <w:bottom w:w="0" w:type="dxa"/>
            <w:right w:w="108" w:type="dxa"/>
          </w:tblCellMar>
        </w:tblPrEx>
        <w:trPr>
          <w:trHeight w:val="1055" w:hRule="exact"/>
        </w:trPr>
        <w:tc>
          <w:tcPr>
            <w:tcW w:w="610" w:type="dxa"/>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szCs w:val="21"/>
              </w:rPr>
              <w:t>3</w:t>
            </w:r>
          </w:p>
        </w:tc>
        <w:tc>
          <w:tcPr>
            <w:tcW w:w="1443"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切边</w:t>
            </w:r>
          </w:p>
        </w:tc>
        <w:tc>
          <w:tcPr>
            <w:tcW w:w="6306" w:type="dxa"/>
            <w:tcBorders>
              <w:top w:val="single" w:color="221F1F" w:sz="2" w:space="0"/>
              <w:left w:val="single" w:color="221F1F" w:sz="2" w:space="0"/>
              <w:bottom w:val="single" w:color="221F1F" w:sz="2" w:space="0"/>
              <w:right w:val="single" w:color="221F1F" w:sz="6" w:space="0"/>
            </w:tcBorders>
            <w:noWrap/>
            <w:tcMar>
              <w:left w:w="0" w:type="dxa"/>
              <w:right w:w="0" w:type="dxa"/>
            </w:tcMar>
            <w:vAlign w:val="center"/>
          </w:tcPr>
          <w:p>
            <w:pPr>
              <w:rPr>
                <w:szCs w:val="21"/>
              </w:rPr>
            </w:pPr>
            <w:r>
              <w:rPr>
                <w:rFonts w:hint="eastAsia"/>
                <w:szCs w:val="21"/>
              </w:rPr>
              <w:t>（1）</w:t>
            </w:r>
            <w:r>
              <w:rPr>
                <w:szCs w:val="21"/>
              </w:rPr>
              <w:t xml:space="preserve"> 边缘基本清晰</w:t>
            </w:r>
            <w:r>
              <w:rPr>
                <w:rFonts w:hint="eastAsia"/>
                <w:szCs w:val="21"/>
              </w:rPr>
              <w:t>，</w:t>
            </w:r>
            <w:r>
              <w:rPr>
                <w:szCs w:val="21"/>
              </w:rPr>
              <w:t>线条基本流畅和顺</w:t>
            </w:r>
            <w:r>
              <w:rPr>
                <w:rFonts w:hint="eastAsia"/>
                <w:szCs w:val="21"/>
              </w:rPr>
              <w:t>；</w:t>
            </w:r>
          </w:p>
          <w:p>
            <w:pPr>
              <w:jc w:val="left"/>
              <w:rPr>
                <w:szCs w:val="21"/>
              </w:rPr>
            </w:pPr>
            <w:r>
              <w:rPr>
                <w:rFonts w:hint="eastAsia"/>
                <w:szCs w:val="21"/>
              </w:rPr>
              <w:t>（2）</w:t>
            </w:r>
            <w:r>
              <w:rPr>
                <w:szCs w:val="21"/>
              </w:rPr>
              <w:t xml:space="preserve"> 插片或分隔板顶部距地面切边宽度和深度≤12 cm</w:t>
            </w:r>
            <w:r>
              <w:rPr>
                <w:rFonts w:hint="eastAsia"/>
                <w:szCs w:val="21"/>
              </w:rPr>
              <w:t>，</w:t>
            </w:r>
            <w:r>
              <w:rPr>
                <w:szCs w:val="21"/>
              </w:rPr>
              <w:t>的距离≤3 cm</w:t>
            </w:r>
          </w:p>
        </w:tc>
      </w:tr>
      <w:tr>
        <w:tblPrEx>
          <w:tblCellMar>
            <w:top w:w="0" w:type="dxa"/>
            <w:left w:w="108" w:type="dxa"/>
            <w:bottom w:w="0" w:type="dxa"/>
            <w:right w:w="108" w:type="dxa"/>
          </w:tblCellMar>
        </w:tblPrEx>
        <w:trPr>
          <w:trHeight w:val="755" w:hRule="exact"/>
        </w:trPr>
        <w:tc>
          <w:tcPr>
            <w:tcW w:w="610" w:type="dxa"/>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szCs w:val="21"/>
              </w:rPr>
              <w:t>4</w:t>
            </w:r>
          </w:p>
        </w:tc>
        <w:tc>
          <w:tcPr>
            <w:tcW w:w="1443"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排灌</w:t>
            </w:r>
          </w:p>
        </w:tc>
        <w:tc>
          <w:tcPr>
            <w:tcW w:w="6306" w:type="dxa"/>
            <w:tcBorders>
              <w:top w:val="single" w:color="221F1F" w:sz="2" w:space="0"/>
              <w:left w:val="single" w:color="221F1F" w:sz="2" w:space="0"/>
              <w:bottom w:val="single" w:color="221F1F" w:sz="2" w:space="0"/>
              <w:right w:val="single" w:color="221F1F" w:sz="6" w:space="0"/>
            </w:tcBorders>
            <w:noWrap/>
            <w:tcMar>
              <w:left w:w="0" w:type="dxa"/>
              <w:right w:w="0" w:type="dxa"/>
            </w:tcMar>
            <w:vAlign w:val="center"/>
          </w:tcPr>
          <w:p>
            <w:pPr>
              <w:numPr>
                <w:ilvl w:val="0"/>
                <w:numId w:val="57"/>
              </w:numPr>
              <w:rPr>
                <w:rFonts w:ascii="Calibri" w:hAnsi="Calibri" w:eastAsia="宋体" w:cs="Times New Roman"/>
                <w:szCs w:val="21"/>
              </w:rPr>
            </w:pPr>
            <w:r>
              <w:rPr>
                <w:rFonts w:hint="eastAsia" w:ascii="Calibri" w:hAnsi="Calibri" w:eastAsia="宋体" w:cs="Times New Roman"/>
                <w:szCs w:val="21"/>
              </w:rPr>
              <w:t>排水畅通，基本无积水；</w:t>
            </w:r>
          </w:p>
          <w:p>
            <w:pPr>
              <w:rPr>
                <w:szCs w:val="21"/>
              </w:rPr>
            </w:pPr>
            <w:r>
              <w:rPr>
                <w:rFonts w:hint="eastAsia" w:ascii="Calibri" w:hAnsi="Calibri" w:eastAsia="宋体" w:cs="Times New Roman"/>
                <w:szCs w:val="21"/>
              </w:rPr>
              <w:t>（2） 植株基本无萎蔫现象，萎蔫率≤1%</w:t>
            </w:r>
          </w:p>
        </w:tc>
      </w:tr>
      <w:tr>
        <w:tblPrEx>
          <w:tblCellMar>
            <w:top w:w="0" w:type="dxa"/>
            <w:left w:w="108" w:type="dxa"/>
            <w:bottom w:w="0" w:type="dxa"/>
            <w:right w:w="108" w:type="dxa"/>
          </w:tblCellMar>
        </w:tblPrEx>
        <w:trPr>
          <w:trHeight w:val="976" w:hRule="exact"/>
        </w:trPr>
        <w:tc>
          <w:tcPr>
            <w:tcW w:w="610" w:type="dxa"/>
            <w:tcBorders>
              <w:top w:val="single" w:color="221F1F" w:sz="2" w:space="0"/>
              <w:left w:val="single" w:color="221F1F" w:sz="6" w:space="0"/>
              <w:bottom w:val="single" w:color="221F1F" w:sz="2" w:space="0"/>
              <w:right w:val="single" w:color="221F1F" w:sz="2" w:space="0"/>
            </w:tcBorders>
            <w:noWrap/>
            <w:tcMar>
              <w:left w:w="0" w:type="dxa"/>
              <w:right w:w="0" w:type="dxa"/>
            </w:tcMar>
            <w:vAlign w:val="center"/>
          </w:tcPr>
          <w:p>
            <w:pPr>
              <w:jc w:val="center"/>
              <w:rPr>
                <w:szCs w:val="21"/>
              </w:rPr>
            </w:pPr>
            <w:r>
              <w:rPr>
                <w:szCs w:val="21"/>
              </w:rPr>
              <w:t>5</w:t>
            </w:r>
          </w:p>
        </w:tc>
        <w:tc>
          <w:tcPr>
            <w:tcW w:w="1443" w:type="dxa"/>
            <w:tcBorders>
              <w:top w:val="single" w:color="221F1F" w:sz="2" w:space="0"/>
              <w:left w:val="single" w:color="221F1F" w:sz="2" w:space="0"/>
              <w:bottom w:val="single" w:color="221F1F" w:sz="2" w:space="0"/>
              <w:right w:val="single" w:color="221F1F" w:sz="2" w:space="0"/>
            </w:tcBorders>
            <w:noWrap/>
            <w:tcMar>
              <w:left w:w="0" w:type="dxa"/>
              <w:right w:w="0" w:type="dxa"/>
            </w:tcMar>
            <w:vAlign w:val="center"/>
          </w:tcPr>
          <w:p>
            <w:pPr>
              <w:jc w:val="center"/>
              <w:rPr>
                <w:szCs w:val="21"/>
              </w:rPr>
            </w:pPr>
            <w:r>
              <w:rPr>
                <w:szCs w:val="21"/>
              </w:rPr>
              <w:t>有害生物控制</w:t>
            </w:r>
          </w:p>
        </w:tc>
        <w:tc>
          <w:tcPr>
            <w:tcW w:w="6306" w:type="dxa"/>
            <w:tcBorders>
              <w:top w:val="single" w:color="221F1F" w:sz="2" w:space="0"/>
              <w:left w:val="single" w:color="221F1F" w:sz="2" w:space="0"/>
              <w:bottom w:val="single" w:color="221F1F" w:sz="2" w:space="0"/>
              <w:right w:val="single" w:color="221F1F" w:sz="6" w:space="0"/>
            </w:tcBorders>
            <w:noWrap/>
            <w:tcMar>
              <w:left w:w="0" w:type="dxa"/>
              <w:right w:w="0" w:type="dxa"/>
            </w:tcMar>
            <w:vAlign w:val="center"/>
          </w:tcPr>
          <w:p>
            <w:pPr>
              <w:numPr>
                <w:ilvl w:val="0"/>
                <w:numId w:val="58"/>
              </w:numPr>
              <w:rPr>
                <w:szCs w:val="21"/>
              </w:rPr>
            </w:pPr>
            <w:r>
              <w:rPr>
                <w:szCs w:val="21"/>
              </w:rPr>
              <w:t>无明显病虫害危害状</w:t>
            </w:r>
            <w:r>
              <w:rPr>
                <w:rFonts w:hint="eastAsia"/>
                <w:szCs w:val="21"/>
              </w:rPr>
              <w:t>；</w:t>
            </w:r>
          </w:p>
          <w:p>
            <w:pPr>
              <w:rPr>
                <w:szCs w:val="21"/>
              </w:rPr>
            </w:pPr>
            <w:r>
              <w:rPr>
                <w:rFonts w:hint="eastAsia"/>
                <w:szCs w:val="21"/>
              </w:rPr>
              <w:t xml:space="preserve">（2） </w:t>
            </w:r>
            <w:r>
              <w:rPr>
                <w:szCs w:val="21"/>
              </w:rPr>
              <w:t>植株受害率≤5%</w:t>
            </w:r>
            <w:r>
              <w:rPr>
                <w:rFonts w:hint="eastAsia"/>
                <w:szCs w:val="21"/>
              </w:rPr>
              <w:t>；</w:t>
            </w:r>
          </w:p>
          <w:p>
            <w:pPr>
              <w:rPr>
                <w:szCs w:val="21"/>
              </w:rPr>
            </w:pPr>
            <w:r>
              <w:rPr>
                <w:rFonts w:hint="eastAsia"/>
                <w:szCs w:val="21"/>
              </w:rPr>
              <w:t xml:space="preserve">（3） </w:t>
            </w:r>
            <w:r>
              <w:rPr>
                <w:szCs w:val="21"/>
              </w:rPr>
              <w:t>基本无影响景观面貌的杂草</w:t>
            </w:r>
          </w:p>
        </w:tc>
      </w:tr>
      <w:tr>
        <w:tblPrEx>
          <w:tblCellMar>
            <w:top w:w="0" w:type="dxa"/>
            <w:left w:w="108" w:type="dxa"/>
            <w:bottom w:w="0" w:type="dxa"/>
            <w:right w:w="108" w:type="dxa"/>
          </w:tblCellMar>
        </w:tblPrEx>
        <w:trPr>
          <w:trHeight w:val="408" w:hRule="exact"/>
        </w:trPr>
        <w:tc>
          <w:tcPr>
            <w:tcW w:w="610" w:type="dxa"/>
            <w:tcBorders>
              <w:top w:val="single" w:color="221F1F" w:sz="2" w:space="0"/>
              <w:left w:val="single" w:color="221F1F" w:sz="6" w:space="0"/>
              <w:bottom w:val="single" w:color="221F1F" w:sz="6" w:space="0"/>
              <w:right w:val="single" w:color="221F1F" w:sz="2" w:space="0"/>
            </w:tcBorders>
            <w:noWrap/>
            <w:tcMar>
              <w:left w:w="0" w:type="dxa"/>
              <w:right w:w="0" w:type="dxa"/>
            </w:tcMar>
            <w:vAlign w:val="center"/>
          </w:tcPr>
          <w:p>
            <w:pPr>
              <w:jc w:val="center"/>
              <w:rPr>
                <w:szCs w:val="21"/>
              </w:rPr>
            </w:pPr>
            <w:r>
              <w:rPr>
                <w:szCs w:val="21"/>
              </w:rPr>
              <w:t>6</w:t>
            </w:r>
          </w:p>
        </w:tc>
        <w:tc>
          <w:tcPr>
            <w:tcW w:w="1443" w:type="dxa"/>
            <w:tcBorders>
              <w:top w:val="single" w:color="221F1F" w:sz="2" w:space="0"/>
              <w:left w:val="single" w:color="221F1F" w:sz="2" w:space="0"/>
              <w:bottom w:val="single" w:color="221F1F" w:sz="6" w:space="0"/>
              <w:right w:val="single" w:color="221F1F" w:sz="2" w:space="0"/>
            </w:tcBorders>
            <w:noWrap/>
            <w:tcMar>
              <w:left w:w="0" w:type="dxa"/>
              <w:right w:w="0" w:type="dxa"/>
            </w:tcMar>
            <w:vAlign w:val="center"/>
          </w:tcPr>
          <w:p>
            <w:pPr>
              <w:jc w:val="center"/>
              <w:rPr>
                <w:szCs w:val="21"/>
              </w:rPr>
            </w:pPr>
            <w:r>
              <w:rPr>
                <w:szCs w:val="21"/>
              </w:rPr>
              <w:t>清洁</w:t>
            </w:r>
          </w:p>
        </w:tc>
        <w:tc>
          <w:tcPr>
            <w:tcW w:w="6306" w:type="dxa"/>
            <w:tcBorders>
              <w:top w:val="single" w:color="221F1F" w:sz="2" w:space="0"/>
              <w:left w:val="single" w:color="221F1F" w:sz="2" w:space="0"/>
              <w:bottom w:val="single" w:color="221F1F" w:sz="6" w:space="0"/>
              <w:right w:val="single" w:color="221F1F" w:sz="6" w:space="0"/>
            </w:tcBorders>
            <w:noWrap/>
            <w:tcMar>
              <w:left w:w="0" w:type="dxa"/>
              <w:right w:w="0" w:type="dxa"/>
            </w:tcMar>
          </w:tcPr>
          <w:p>
            <w:pPr>
              <w:numPr>
                <w:ilvl w:val="0"/>
                <w:numId w:val="59"/>
              </w:numPr>
              <w:rPr>
                <w:szCs w:val="21"/>
              </w:rPr>
            </w:pPr>
            <w:r>
              <w:rPr>
                <w:rFonts w:hint="eastAsia"/>
                <w:szCs w:val="21"/>
              </w:rPr>
              <w:t>10</w:t>
            </w:r>
            <w:r>
              <w:rPr>
                <w:rFonts w:hint="eastAsia" w:ascii="宋体" w:hAnsi="宋体" w:eastAsia="宋体" w:cs="宋体"/>
                <w:szCs w:val="21"/>
              </w:rPr>
              <w:t>㎡</w:t>
            </w:r>
            <w:r>
              <w:rPr>
                <w:rFonts w:hint="eastAsia"/>
                <w:szCs w:val="21"/>
              </w:rPr>
              <w:t>范围内废弃物不多于4个</w:t>
            </w:r>
          </w:p>
        </w:tc>
      </w:tr>
    </w:tbl>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2.4树木：对月浦基地园区内树木进行养护、修剪。树冠50%枯萎或枯死须补种（不含广玉兰大型树木）。</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现有树木种植清单：</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258"/>
        <w:gridCol w:w="1005"/>
        <w:gridCol w:w="1570"/>
        <w:gridCol w:w="2111"/>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74" w:type="dxa"/>
            <w:vAlign w:val="center"/>
          </w:tcPr>
          <w:p>
            <w:pPr>
              <w:jc w:val="center"/>
              <w:rPr>
                <w:szCs w:val="21"/>
              </w:rPr>
            </w:pPr>
            <w:r>
              <w:rPr>
                <w:rFonts w:hint="eastAsia"/>
                <w:szCs w:val="21"/>
              </w:rPr>
              <w:t>序号</w:t>
            </w:r>
          </w:p>
        </w:tc>
        <w:tc>
          <w:tcPr>
            <w:tcW w:w="1258" w:type="dxa"/>
            <w:vAlign w:val="center"/>
          </w:tcPr>
          <w:p>
            <w:pPr>
              <w:jc w:val="center"/>
              <w:rPr>
                <w:szCs w:val="21"/>
              </w:rPr>
            </w:pPr>
            <w:r>
              <w:rPr>
                <w:rFonts w:hint="eastAsia"/>
                <w:szCs w:val="21"/>
              </w:rPr>
              <w:t>绿植</w:t>
            </w:r>
          </w:p>
          <w:p>
            <w:pPr>
              <w:jc w:val="center"/>
              <w:rPr>
                <w:szCs w:val="21"/>
              </w:rPr>
            </w:pPr>
            <w:r>
              <w:rPr>
                <w:rFonts w:hint="eastAsia"/>
                <w:szCs w:val="21"/>
              </w:rPr>
              <w:t>名称</w:t>
            </w:r>
          </w:p>
        </w:tc>
        <w:tc>
          <w:tcPr>
            <w:tcW w:w="1005" w:type="dxa"/>
            <w:vAlign w:val="center"/>
          </w:tcPr>
          <w:p>
            <w:pPr>
              <w:jc w:val="center"/>
              <w:rPr>
                <w:szCs w:val="21"/>
              </w:rPr>
            </w:pPr>
            <w:r>
              <w:rPr>
                <w:rFonts w:hint="eastAsia"/>
                <w:szCs w:val="21"/>
              </w:rPr>
              <w:t>数量</w:t>
            </w:r>
          </w:p>
          <w:p>
            <w:pPr>
              <w:jc w:val="center"/>
              <w:rPr>
                <w:szCs w:val="21"/>
              </w:rPr>
            </w:pPr>
            <w:r>
              <w:rPr>
                <w:rFonts w:hint="eastAsia"/>
                <w:szCs w:val="21"/>
              </w:rPr>
              <w:t>（棵）</w:t>
            </w:r>
          </w:p>
        </w:tc>
        <w:tc>
          <w:tcPr>
            <w:tcW w:w="1570" w:type="dxa"/>
            <w:vAlign w:val="center"/>
          </w:tcPr>
          <w:p>
            <w:pPr>
              <w:jc w:val="center"/>
              <w:rPr>
                <w:szCs w:val="21"/>
              </w:rPr>
            </w:pPr>
            <w:r>
              <w:rPr>
                <w:rFonts w:hint="eastAsia"/>
                <w:szCs w:val="21"/>
              </w:rPr>
              <w:t>绿植规格</w:t>
            </w:r>
          </w:p>
          <w:p>
            <w:pPr>
              <w:jc w:val="center"/>
              <w:rPr>
                <w:szCs w:val="21"/>
              </w:rPr>
            </w:pPr>
            <w:r>
              <w:rPr>
                <w:rFonts w:hint="eastAsia"/>
                <w:szCs w:val="21"/>
              </w:rPr>
              <w:t>(高度）</w:t>
            </w:r>
          </w:p>
        </w:tc>
        <w:tc>
          <w:tcPr>
            <w:tcW w:w="2111" w:type="dxa"/>
            <w:vAlign w:val="center"/>
          </w:tcPr>
          <w:p>
            <w:pPr>
              <w:jc w:val="center"/>
              <w:rPr>
                <w:szCs w:val="21"/>
              </w:rPr>
            </w:pPr>
            <w:r>
              <w:rPr>
                <w:rFonts w:hint="eastAsia"/>
                <w:szCs w:val="21"/>
              </w:rPr>
              <w:t>绿植图片</w:t>
            </w:r>
          </w:p>
        </w:tc>
        <w:tc>
          <w:tcPr>
            <w:tcW w:w="1219"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74" w:type="dxa"/>
            <w:vAlign w:val="center"/>
          </w:tcPr>
          <w:p>
            <w:pPr>
              <w:jc w:val="center"/>
              <w:rPr>
                <w:szCs w:val="21"/>
              </w:rPr>
            </w:pPr>
            <w:r>
              <w:rPr>
                <w:rFonts w:hint="eastAsia"/>
                <w:szCs w:val="21"/>
              </w:rPr>
              <w:t>1</w:t>
            </w:r>
          </w:p>
        </w:tc>
        <w:tc>
          <w:tcPr>
            <w:tcW w:w="1258" w:type="dxa"/>
            <w:vAlign w:val="center"/>
          </w:tcPr>
          <w:p>
            <w:pPr>
              <w:jc w:val="center"/>
              <w:rPr>
                <w:szCs w:val="21"/>
              </w:rPr>
            </w:pPr>
            <w:r>
              <w:rPr>
                <w:rFonts w:hint="eastAsia"/>
                <w:szCs w:val="21"/>
              </w:rPr>
              <w:t>桂花树</w:t>
            </w:r>
          </w:p>
        </w:tc>
        <w:tc>
          <w:tcPr>
            <w:tcW w:w="1005" w:type="dxa"/>
            <w:vAlign w:val="center"/>
          </w:tcPr>
          <w:p>
            <w:pPr>
              <w:jc w:val="center"/>
              <w:rPr>
                <w:szCs w:val="21"/>
              </w:rPr>
            </w:pPr>
            <w:r>
              <w:rPr>
                <w:rFonts w:hint="eastAsia"/>
                <w:szCs w:val="21"/>
              </w:rPr>
              <w:t>31</w:t>
            </w:r>
          </w:p>
        </w:tc>
        <w:tc>
          <w:tcPr>
            <w:tcW w:w="1570" w:type="dxa"/>
            <w:vAlign w:val="center"/>
          </w:tcPr>
          <w:p>
            <w:pPr>
              <w:jc w:val="center"/>
              <w:rPr>
                <w:szCs w:val="21"/>
              </w:rPr>
            </w:pPr>
            <w:r>
              <w:rPr>
                <w:rFonts w:hint="eastAsia"/>
                <w:szCs w:val="21"/>
              </w:rPr>
              <w:t>2.5-6m</w:t>
            </w:r>
          </w:p>
        </w:tc>
        <w:tc>
          <w:tcPr>
            <w:tcW w:w="2111" w:type="dxa"/>
            <w:vAlign w:val="center"/>
          </w:tcPr>
          <w:p>
            <w:pPr>
              <w:jc w:val="center"/>
              <w:rPr>
                <w:szCs w:val="21"/>
              </w:rPr>
            </w:pPr>
            <w:r>
              <w:rPr>
                <w:szCs w:val="21"/>
              </w:rPr>
              <w:drawing>
                <wp:inline distT="0" distB="0" distL="114300" distR="114300">
                  <wp:extent cx="699770" cy="692150"/>
                  <wp:effectExtent l="0" t="0" r="5080" b="12700"/>
                  <wp:docPr id="4" name="图片 4" descr="72882222988446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28822229884469774"/>
                          <pic:cNvPicPr>
                            <a:picLocks noChangeAspect="1"/>
                          </pic:cNvPicPr>
                        </pic:nvPicPr>
                        <pic:blipFill>
                          <a:blip r:embed="rId14"/>
                          <a:stretch>
                            <a:fillRect/>
                          </a:stretch>
                        </pic:blipFill>
                        <pic:spPr>
                          <a:xfrm>
                            <a:off x="0" y="0"/>
                            <a:ext cx="699770" cy="692150"/>
                          </a:xfrm>
                          <a:prstGeom prst="rect">
                            <a:avLst/>
                          </a:prstGeom>
                        </pic:spPr>
                      </pic:pic>
                    </a:graphicData>
                  </a:graphic>
                </wp:inline>
              </w:drawing>
            </w:r>
          </w:p>
        </w:tc>
        <w:tc>
          <w:tcPr>
            <w:tcW w:w="121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74" w:type="dxa"/>
            <w:vAlign w:val="center"/>
          </w:tcPr>
          <w:p>
            <w:pPr>
              <w:jc w:val="center"/>
              <w:rPr>
                <w:szCs w:val="21"/>
              </w:rPr>
            </w:pPr>
            <w:r>
              <w:rPr>
                <w:rFonts w:hint="eastAsia"/>
                <w:szCs w:val="21"/>
              </w:rPr>
              <w:t>2</w:t>
            </w:r>
          </w:p>
        </w:tc>
        <w:tc>
          <w:tcPr>
            <w:tcW w:w="1258" w:type="dxa"/>
            <w:vAlign w:val="center"/>
          </w:tcPr>
          <w:p>
            <w:pPr>
              <w:jc w:val="center"/>
              <w:rPr>
                <w:szCs w:val="21"/>
              </w:rPr>
            </w:pPr>
            <w:r>
              <w:rPr>
                <w:rFonts w:hint="eastAsia"/>
                <w:szCs w:val="21"/>
              </w:rPr>
              <w:t>油茶</w:t>
            </w:r>
          </w:p>
        </w:tc>
        <w:tc>
          <w:tcPr>
            <w:tcW w:w="1005" w:type="dxa"/>
            <w:vAlign w:val="center"/>
          </w:tcPr>
          <w:p>
            <w:pPr>
              <w:jc w:val="center"/>
              <w:rPr>
                <w:szCs w:val="21"/>
              </w:rPr>
            </w:pPr>
            <w:r>
              <w:rPr>
                <w:rFonts w:hint="eastAsia"/>
                <w:szCs w:val="21"/>
              </w:rPr>
              <w:t>6</w:t>
            </w:r>
          </w:p>
        </w:tc>
        <w:tc>
          <w:tcPr>
            <w:tcW w:w="1570" w:type="dxa"/>
            <w:vAlign w:val="center"/>
          </w:tcPr>
          <w:p>
            <w:pPr>
              <w:jc w:val="center"/>
              <w:rPr>
                <w:szCs w:val="21"/>
              </w:rPr>
            </w:pPr>
            <w:r>
              <w:rPr>
                <w:rFonts w:hint="eastAsia"/>
                <w:szCs w:val="21"/>
              </w:rPr>
              <w:t>1m</w:t>
            </w:r>
          </w:p>
        </w:tc>
        <w:tc>
          <w:tcPr>
            <w:tcW w:w="2111" w:type="dxa"/>
            <w:vAlign w:val="center"/>
          </w:tcPr>
          <w:p>
            <w:pPr>
              <w:jc w:val="center"/>
              <w:rPr>
                <w:szCs w:val="21"/>
              </w:rPr>
            </w:pPr>
            <w:r>
              <w:rPr>
                <w:szCs w:val="21"/>
              </w:rPr>
              <w:drawing>
                <wp:inline distT="0" distB="0" distL="114300" distR="114300">
                  <wp:extent cx="699770" cy="706120"/>
                  <wp:effectExtent l="0" t="0" r="5080" b="17780"/>
                  <wp:docPr id="5" name="图片 5" descr="15013221397106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0132213971067042"/>
                          <pic:cNvPicPr>
                            <a:picLocks noChangeAspect="1"/>
                          </pic:cNvPicPr>
                        </pic:nvPicPr>
                        <pic:blipFill>
                          <a:blip r:embed="rId15"/>
                          <a:stretch>
                            <a:fillRect/>
                          </a:stretch>
                        </pic:blipFill>
                        <pic:spPr>
                          <a:xfrm>
                            <a:off x="0" y="0"/>
                            <a:ext cx="699770" cy="706120"/>
                          </a:xfrm>
                          <a:prstGeom prst="rect">
                            <a:avLst/>
                          </a:prstGeom>
                        </pic:spPr>
                      </pic:pic>
                    </a:graphicData>
                  </a:graphic>
                </wp:inline>
              </w:drawing>
            </w:r>
          </w:p>
        </w:tc>
        <w:tc>
          <w:tcPr>
            <w:tcW w:w="121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74" w:type="dxa"/>
            <w:vAlign w:val="center"/>
          </w:tcPr>
          <w:p>
            <w:pPr>
              <w:jc w:val="center"/>
              <w:rPr>
                <w:szCs w:val="21"/>
              </w:rPr>
            </w:pPr>
            <w:r>
              <w:rPr>
                <w:rFonts w:hint="eastAsia"/>
                <w:szCs w:val="21"/>
              </w:rPr>
              <w:t>3</w:t>
            </w:r>
          </w:p>
        </w:tc>
        <w:tc>
          <w:tcPr>
            <w:tcW w:w="1258" w:type="dxa"/>
            <w:vAlign w:val="center"/>
          </w:tcPr>
          <w:p>
            <w:pPr>
              <w:jc w:val="center"/>
              <w:rPr>
                <w:szCs w:val="21"/>
              </w:rPr>
            </w:pPr>
            <w:r>
              <w:rPr>
                <w:rFonts w:hint="eastAsia"/>
                <w:szCs w:val="21"/>
              </w:rPr>
              <w:t>日本女贞</w:t>
            </w:r>
          </w:p>
        </w:tc>
        <w:tc>
          <w:tcPr>
            <w:tcW w:w="1005" w:type="dxa"/>
            <w:vAlign w:val="center"/>
          </w:tcPr>
          <w:p>
            <w:pPr>
              <w:jc w:val="center"/>
              <w:rPr>
                <w:szCs w:val="21"/>
              </w:rPr>
            </w:pPr>
            <w:r>
              <w:rPr>
                <w:rFonts w:hint="eastAsia"/>
                <w:szCs w:val="21"/>
              </w:rPr>
              <w:t>15</w:t>
            </w:r>
          </w:p>
        </w:tc>
        <w:tc>
          <w:tcPr>
            <w:tcW w:w="1570" w:type="dxa"/>
            <w:vAlign w:val="center"/>
          </w:tcPr>
          <w:p>
            <w:pPr>
              <w:jc w:val="center"/>
              <w:rPr>
                <w:szCs w:val="21"/>
              </w:rPr>
            </w:pPr>
            <w:r>
              <w:rPr>
                <w:rFonts w:hint="eastAsia"/>
                <w:szCs w:val="21"/>
              </w:rPr>
              <w:t>1.5m</w:t>
            </w:r>
          </w:p>
        </w:tc>
        <w:tc>
          <w:tcPr>
            <w:tcW w:w="2111" w:type="dxa"/>
            <w:vAlign w:val="center"/>
          </w:tcPr>
          <w:p>
            <w:pPr>
              <w:jc w:val="center"/>
              <w:rPr>
                <w:szCs w:val="21"/>
              </w:rPr>
            </w:pPr>
            <w:r>
              <w:rPr>
                <w:szCs w:val="21"/>
              </w:rPr>
              <w:drawing>
                <wp:inline distT="0" distB="0" distL="114300" distR="114300">
                  <wp:extent cx="694055" cy="675640"/>
                  <wp:effectExtent l="0" t="0" r="10795" b="10160"/>
                  <wp:docPr id="6" name="图片 6" descr="28441182356234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84411823562341426"/>
                          <pic:cNvPicPr>
                            <a:picLocks noChangeAspect="1"/>
                          </pic:cNvPicPr>
                        </pic:nvPicPr>
                        <pic:blipFill>
                          <a:blip r:embed="rId16"/>
                          <a:stretch>
                            <a:fillRect/>
                          </a:stretch>
                        </pic:blipFill>
                        <pic:spPr>
                          <a:xfrm>
                            <a:off x="0" y="0"/>
                            <a:ext cx="694055" cy="675640"/>
                          </a:xfrm>
                          <a:prstGeom prst="rect">
                            <a:avLst/>
                          </a:prstGeom>
                        </pic:spPr>
                      </pic:pic>
                    </a:graphicData>
                  </a:graphic>
                </wp:inline>
              </w:drawing>
            </w:r>
          </w:p>
        </w:tc>
        <w:tc>
          <w:tcPr>
            <w:tcW w:w="121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74" w:type="dxa"/>
            <w:vAlign w:val="center"/>
          </w:tcPr>
          <w:p>
            <w:pPr>
              <w:jc w:val="center"/>
              <w:rPr>
                <w:szCs w:val="21"/>
              </w:rPr>
            </w:pPr>
            <w:r>
              <w:rPr>
                <w:rFonts w:hint="eastAsia"/>
                <w:szCs w:val="21"/>
              </w:rPr>
              <w:t>4</w:t>
            </w:r>
          </w:p>
        </w:tc>
        <w:tc>
          <w:tcPr>
            <w:tcW w:w="1258" w:type="dxa"/>
            <w:vAlign w:val="center"/>
          </w:tcPr>
          <w:p>
            <w:pPr>
              <w:jc w:val="center"/>
              <w:rPr>
                <w:szCs w:val="21"/>
              </w:rPr>
            </w:pPr>
            <w:r>
              <w:rPr>
                <w:rFonts w:hint="eastAsia"/>
                <w:szCs w:val="21"/>
              </w:rPr>
              <w:t>石楠</w:t>
            </w:r>
          </w:p>
        </w:tc>
        <w:tc>
          <w:tcPr>
            <w:tcW w:w="1005" w:type="dxa"/>
            <w:vAlign w:val="center"/>
          </w:tcPr>
          <w:p>
            <w:pPr>
              <w:jc w:val="center"/>
              <w:rPr>
                <w:szCs w:val="21"/>
              </w:rPr>
            </w:pPr>
            <w:r>
              <w:rPr>
                <w:rFonts w:hint="eastAsia"/>
                <w:szCs w:val="21"/>
              </w:rPr>
              <w:t>5</w:t>
            </w:r>
          </w:p>
        </w:tc>
        <w:tc>
          <w:tcPr>
            <w:tcW w:w="1570" w:type="dxa"/>
            <w:vAlign w:val="center"/>
          </w:tcPr>
          <w:p>
            <w:pPr>
              <w:jc w:val="center"/>
              <w:rPr>
                <w:szCs w:val="21"/>
              </w:rPr>
            </w:pPr>
            <w:r>
              <w:rPr>
                <w:rFonts w:hint="eastAsia"/>
                <w:szCs w:val="21"/>
              </w:rPr>
              <w:t>1.5m</w:t>
            </w:r>
          </w:p>
        </w:tc>
        <w:tc>
          <w:tcPr>
            <w:tcW w:w="2111" w:type="dxa"/>
            <w:vAlign w:val="center"/>
          </w:tcPr>
          <w:p>
            <w:pPr>
              <w:jc w:val="center"/>
              <w:rPr>
                <w:szCs w:val="21"/>
              </w:rPr>
            </w:pPr>
            <w:r>
              <w:rPr>
                <w:szCs w:val="21"/>
              </w:rPr>
              <w:drawing>
                <wp:inline distT="0" distB="0" distL="114300" distR="114300">
                  <wp:extent cx="701675" cy="681990"/>
                  <wp:effectExtent l="0" t="0" r="3175" b="3810"/>
                  <wp:docPr id="7" name="图片 7" descr="40407371002635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04073710026352360"/>
                          <pic:cNvPicPr>
                            <a:picLocks noChangeAspect="1"/>
                          </pic:cNvPicPr>
                        </pic:nvPicPr>
                        <pic:blipFill>
                          <a:blip r:embed="rId17"/>
                          <a:stretch>
                            <a:fillRect/>
                          </a:stretch>
                        </pic:blipFill>
                        <pic:spPr>
                          <a:xfrm>
                            <a:off x="0" y="0"/>
                            <a:ext cx="701675" cy="681990"/>
                          </a:xfrm>
                          <a:prstGeom prst="rect">
                            <a:avLst/>
                          </a:prstGeom>
                        </pic:spPr>
                      </pic:pic>
                    </a:graphicData>
                  </a:graphic>
                </wp:inline>
              </w:drawing>
            </w:r>
          </w:p>
        </w:tc>
        <w:tc>
          <w:tcPr>
            <w:tcW w:w="121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74" w:type="dxa"/>
            <w:vAlign w:val="center"/>
          </w:tcPr>
          <w:p>
            <w:pPr>
              <w:jc w:val="center"/>
              <w:rPr>
                <w:szCs w:val="21"/>
              </w:rPr>
            </w:pPr>
            <w:r>
              <w:rPr>
                <w:rFonts w:hint="eastAsia"/>
                <w:szCs w:val="21"/>
              </w:rPr>
              <w:t>5</w:t>
            </w:r>
          </w:p>
        </w:tc>
        <w:tc>
          <w:tcPr>
            <w:tcW w:w="1258" w:type="dxa"/>
            <w:vAlign w:val="center"/>
          </w:tcPr>
          <w:p>
            <w:pPr>
              <w:jc w:val="center"/>
              <w:rPr>
                <w:szCs w:val="21"/>
              </w:rPr>
            </w:pPr>
            <w:r>
              <w:rPr>
                <w:rFonts w:hint="eastAsia"/>
                <w:szCs w:val="21"/>
              </w:rPr>
              <w:t>大叶黄杨</w:t>
            </w:r>
          </w:p>
        </w:tc>
        <w:tc>
          <w:tcPr>
            <w:tcW w:w="1005" w:type="dxa"/>
            <w:vAlign w:val="center"/>
          </w:tcPr>
          <w:p>
            <w:pPr>
              <w:jc w:val="center"/>
              <w:rPr>
                <w:szCs w:val="21"/>
              </w:rPr>
            </w:pPr>
            <w:r>
              <w:rPr>
                <w:rFonts w:hint="eastAsia"/>
                <w:szCs w:val="21"/>
              </w:rPr>
              <w:t>5</w:t>
            </w:r>
          </w:p>
        </w:tc>
        <w:tc>
          <w:tcPr>
            <w:tcW w:w="1570" w:type="dxa"/>
            <w:vAlign w:val="center"/>
          </w:tcPr>
          <w:p>
            <w:pPr>
              <w:jc w:val="center"/>
              <w:rPr>
                <w:szCs w:val="21"/>
              </w:rPr>
            </w:pPr>
            <w:r>
              <w:rPr>
                <w:rFonts w:hint="eastAsia"/>
                <w:szCs w:val="21"/>
              </w:rPr>
              <w:t>1.5m</w:t>
            </w:r>
          </w:p>
        </w:tc>
        <w:tc>
          <w:tcPr>
            <w:tcW w:w="2111" w:type="dxa"/>
            <w:vAlign w:val="center"/>
          </w:tcPr>
          <w:p>
            <w:pPr>
              <w:jc w:val="center"/>
              <w:rPr>
                <w:szCs w:val="21"/>
              </w:rPr>
            </w:pPr>
            <w:r>
              <w:rPr>
                <w:szCs w:val="21"/>
              </w:rPr>
              <w:drawing>
                <wp:inline distT="0" distB="0" distL="114300" distR="114300">
                  <wp:extent cx="699770" cy="682625"/>
                  <wp:effectExtent l="0" t="0" r="5080" b="3175"/>
                  <wp:docPr id="8" name="图片 8" descr="92136898488535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21368984885351726"/>
                          <pic:cNvPicPr>
                            <a:picLocks noChangeAspect="1"/>
                          </pic:cNvPicPr>
                        </pic:nvPicPr>
                        <pic:blipFill>
                          <a:blip r:embed="rId18"/>
                          <a:stretch>
                            <a:fillRect/>
                          </a:stretch>
                        </pic:blipFill>
                        <pic:spPr>
                          <a:xfrm>
                            <a:off x="0" y="0"/>
                            <a:ext cx="699770" cy="682625"/>
                          </a:xfrm>
                          <a:prstGeom prst="rect">
                            <a:avLst/>
                          </a:prstGeom>
                        </pic:spPr>
                      </pic:pic>
                    </a:graphicData>
                  </a:graphic>
                </wp:inline>
              </w:drawing>
            </w:r>
          </w:p>
        </w:tc>
        <w:tc>
          <w:tcPr>
            <w:tcW w:w="121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74" w:type="dxa"/>
            <w:vAlign w:val="center"/>
          </w:tcPr>
          <w:p>
            <w:pPr>
              <w:jc w:val="center"/>
              <w:rPr>
                <w:szCs w:val="21"/>
              </w:rPr>
            </w:pPr>
            <w:r>
              <w:rPr>
                <w:rFonts w:hint="eastAsia"/>
                <w:szCs w:val="21"/>
              </w:rPr>
              <w:t>6</w:t>
            </w:r>
          </w:p>
        </w:tc>
        <w:tc>
          <w:tcPr>
            <w:tcW w:w="1258" w:type="dxa"/>
            <w:vAlign w:val="center"/>
          </w:tcPr>
          <w:p>
            <w:pPr>
              <w:jc w:val="center"/>
              <w:rPr>
                <w:szCs w:val="21"/>
              </w:rPr>
            </w:pPr>
            <w:r>
              <w:rPr>
                <w:rFonts w:hint="eastAsia"/>
                <w:szCs w:val="21"/>
              </w:rPr>
              <w:t>杨梅树</w:t>
            </w:r>
          </w:p>
        </w:tc>
        <w:tc>
          <w:tcPr>
            <w:tcW w:w="1005" w:type="dxa"/>
            <w:vAlign w:val="center"/>
          </w:tcPr>
          <w:p>
            <w:pPr>
              <w:jc w:val="center"/>
              <w:rPr>
                <w:szCs w:val="21"/>
              </w:rPr>
            </w:pPr>
            <w:r>
              <w:rPr>
                <w:rFonts w:hint="eastAsia"/>
                <w:szCs w:val="21"/>
              </w:rPr>
              <w:t>3</w:t>
            </w:r>
          </w:p>
        </w:tc>
        <w:tc>
          <w:tcPr>
            <w:tcW w:w="1570" w:type="dxa"/>
            <w:vAlign w:val="center"/>
          </w:tcPr>
          <w:p>
            <w:pPr>
              <w:jc w:val="center"/>
              <w:rPr>
                <w:szCs w:val="21"/>
              </w:rPr>
            </w:pPr>
            <w:r>
              <w:rPr>
                <w:rFonts w:hint="eastAsia"/>
                <w:szCs w:val="21"/>
              </w:rPr>
              <w:t>3-5m</w:t>
            </w:r>
          </w:p>
        </w:tc>
        <w:tc>
          <w:tcPr>
            <w:tcW w:w="2111" w:type="dxa"/>
            <w:vAlign w:val="center"/>
          </w:tcPr>
          <w:p>
            <w:pPr>
              <w:jc w:val="center"/>
              <w:rPr>
                <w:szCs w:val="21"/>
              </w:rPr>
            </w:pPr>
            <w:r>
              <w:rPr>
                <w:szCs w:val="21"/>
              </w:rPr>
              <w:drawing>
                <wp:inline distT="0" distB="0" distL="114300" distR="114300">
                  <wp:extent cx="548640" cy="832485"/>
                  <wp:effectExtent l="0" t="0" r="3810" b="5715"/>
                  <wp:docPr id="9" name="图片 9" descr="20848446831038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8484468310380078"/>
                          <pic:cNvPicPr>
                            <a:picLocks noChangeAspect="1"/>
                          </pic:cNvPicPr>
                        </pic:nvPicPr>
                        <pic:blipFill>
                          <a:blip r:embed="rId19"/>
                          <a:stretch>
                            <a:fillRect/>
                          </a:stretch>
                        </pic:blipFill>
                        <pic:spPr>
                          <a:xfrm>
                            <a:off x="0" y="0"/>
                            <a:ext cx="548640" cy="832485"/>
                          </a:xfrm>
                          <a:prstGeom prst="rect">
                            <a:avLst/>
                          </a:prstGeom>
                        </pic:spPr>
                      </pic:pic>
                    </a:graphicData>
                  </a:graphic>
                </wp:inline>
              </w:drawing>
            </w:r>
          </w:p>
        </w:tc>
        <w:tc>
          <w:tcPr>
            <w:tcW w:w="121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74" w:type="dxa"/>
            <w:vAlign w:val="center"/>
          </w:tcPr>
          <w:p>
            <w:pPr>
              <w:jc w:val="center"/>
              <w:rPr>
                <w:szCs w:val="21"/>
              </w:rPr>
            </w:pPr>
            <w:r>
              <w:rPr>
                <w:rFonts w:hint="eastAsia"/>
                <w:szCs w:val="21"/>
              </w:rPr>
              <w:t>7</w:t>
            </w:r>
          </w:p>
        </w:tc>
        <w:tc>
          <w:tcPr>
            <w:tcW w:w="1258" w:type="dxa"/>
            <w:vAlign w:val="center"/>
          </w:tcPr>
          <w:p>
            <w:pPr>
              <w:jc w:val="center"/>
              <w:rPr>
                <w:szCs w:val="21"/>
              </w:rPr>
            </w:pPr>
            <w:r>
              <w:rPr>
                <w:rFonts w:hint="eastAsia"/>
                <w:szCs w:val="21"/>
              </w:rPr>
              <w:t>桔树</w:t>
            </w:r>
          </w:p>
        </w:tc>
        <w:tc>
          <w:tcPr>
            <w:tcW w:w="1005" w:type="dxa"/>
            <w:vAlign w:val="center"/>
          </w:tcPr>
          <w:p>
            <w:pPr>
              <w:jc w:val="center"/>
              <w:rPr>
                <w:szCs w:val="21"/>
              </w:rPr>
            </w:pPr>
            <w:r>
              <w:rPr>
                <w:rFonts w:hint="eastAsia"/>
                <w:szCs w:val="21"/>
              </w:rPr>
              <w:t>1</w:t>
            </w:r>
          </w:p>
        </w:tc>
        <w:tc>
          <w:tcPr>
            <w:tcW w:w="1570" w:type="dxa"/>
            <w:vAlign w:val="center"/>
          </w:tcPr>
          <w:p>
            <w:pPr>
              <w:jc w:val="center"/>
              <w:rPr>
                <w:szCs w:val="21"/>
              </w:rPr>
            </w:pPr>
            <w:r>
              <w:rPr>
                <w:rFonts w:hint="eastAsia"/>
                <w:szCs w:val="21"/>
              </w:rPr>
              <w:t>2m</w:t>
            </w:r>
          </w:p>
        </w:tc>
        <w:tc>
          <w:tcPr>
            <w:tcW w:w="2111" w:type="dxa"/>
            <w:vAlign w:val="center"/>
          </w:tcPr>
          <w:p>
            <w:pPr>
              <w:jc w:val="center"/>
              <w:rPr>
                <w:szCs w:val="21"/>
              </w:rPr>
            </w:pPr>
            <w:r>
              <w:rPr>
                <w:szCs w:val="21"/>
              </w:rPr>
              <w:drawing>
                <wp:inline distT="0" distB="0" distL="114300" distR="114300">
                  <wp:extent cx="548640" cy="975360"/>
                  <wp:effectExtent l="0" t="0" r="3810" b="15240"/>
                  <wp:docPr id="10" name="图片 10" descr="57036608086645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70366080866451628"/>
                          <pic:cNvPicPr>
                            <a:picLocks noChangeAspect="1"/>
                          </pic:cNvPicPr>
                        </pic:nvPicPr>
                        <pic:blipFill>
                          <a:blip r:embed="rId20"/>
                          <a:stretch>
                            <a:fillRect/>
                          </a:stretch>
                        </pic:blipFill>
                        <pic:spPr>
                          <a:xfrm>
                            <a:off x="0" y="0"/>
                            <a:ext cx="548640" cy="975360"/>
                          </a:xfrm>
                          <a:prstGeom prst="rect">
                            <a:avLst/>
                          </a:prstGeom>
                        </pic:spPr>
                      </pic:pic>
                    </a:graphicData>
                  </a:graphic>
                </wp:inline>
              </w:drawing>
            </w:r>
          </w:p>
        </w:tc>
        <w:tc>
          <w:tcPr>
            <w:tcW w:w="121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4" w:type="dxa"/>
            <w:vAlign w:val="center"/>
          </w:tcPr>
          <w:p>
            <w:pPr>
              <w:jc w:val="center"/>
              <w:rPr>
                <w:szCs w:val="21"/>
              </w:rPr>
            </w:pPr>
            <w:r>
              <w:rPr>
                <w:rFonts w:hint="eastAsia"/>
                <w:szCs w:val="21"/>
              </w:rPr>
              <w:t>8</w:t>
            </w:r>
          </w:p>
        </w:tc>
        <w:tc>
          <w:tcPr>
            <w:tcW w:w="1258" w:type="dxa"/>
            <w:vAlign w:val="center"/>
          </w:tcPr>
          <w:p>
            <w:pPr>
              <w:jc w:val="center"/>
              <w:rPr>
                <w:szCs w:val="21"/>
              </w:rPr>
            </w:pPr>
            <w:r>
              <w:rPr>
                <w:rFonts w:hint="eastAsia"/>
                <w:szCs w:val="21"/>
              </w:rPr>
              <w:t>枇杷树</w:t>
            </w:r>
          </w:p>
        </w:tc>
        <w:tc>
          <w:tcPr>
            <w:tcW w:w="1005" w:type="dxa"/>
            <w:vAlign w:val="center"/>
          </w:tcPr>
          <w:p>
            <w:pPr>
              <w:jc w:val="center"/>
              <w:rPr>
                <w:szCs w:val="21"/>
              </w:rPr>
            </w:pPr>
            <w:r>
              <w:rPr>
                <w:rFonts w:hint="eastAsia"/>
                <w:szCs w:val="21"/>
              </w:rPr>
              <w:t>1</w:t>
            </w:r>
          </w:p>
        </w:tc>
        <w:tc>
          <w:tcPr>
            <w:tcW w:w="1570" w:type="dxa"/>
            <w:vAlign w:val="center"/>
          </w:tcPr>
          <w:p>
            <w:pPr>
              <w:jc w:val="center"/>
              <w:rPr>
                <w:szCs w:val="21"/>
              </w:rPr>
            </w:pPr>
            <w:r>
              <w:rPr>
                <w:rFonts w:hint="eastAsia"/>
                <w:szCs w:val="21"/>
              </w:rPr>
              <w:t>2m</w:t>
            </w:r>
          </w:p>
        </w:tc>
        <w:tc>
          <w:tcPr>
            <w:tcW w:w="2111" w:type="dxa"/>
            <w:vAlign w:val="center"/>
          </w:tcPr>
          <w:p>
            <w:pPr>
              <w:jc w:val="center"/>
              <w:rPr>
                <w:szCs w:val="21"/>
              </w:rPr>
            </w:pPr>
            <w:r>
              <w:rPr>
                <w:szCs w:val="21"/>
              </w:rPr>
              <w:drawing>
                <wp:inline distT="0" distB="0" distL="114300" distR="114300">
                  <wp:extent cx="565785" cy="576580"/>
                  <wp:effectExtent l="0" t="0" r="5715" b="13970"/>
                  <wp:docPr id="11" name="图片 11" descr="782426335449518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82426335449518722"/>
                          <pic:cNvPicPr>
                            <a:picLocks noChangeAspect="1"/>
                          </pic:cNvPicPr>
                        </pic:nvPicPr>
                        <pic:blipFill>
                          <a:blip r:embed="rId21"/>
                          <a:stretch>
                            <a:fillRect/>
                          </a:stretch>
                        </pic:blipFill>
                        <pic:spPr>
                          <a:xfrm>
                            <a:off x="0" y="0"/>
                            <a:ext cx="565785" cy="576580"/>
                          </a:xfrm>
                          <a:prstGeom prst="rect">
                            <a:avLst/>
                          </a:prstGeom>
                        </pic:spPr>
                      </pic:pic>
                    </a:graphicData>
                  </a:graphic>
                </wp:inline>
              </w:drawing>
            </w:r>
          </w:p>
        </w:tc>
        <w:tc>
          <w:tcPr>
            <w:tcW w:w="1219" w:type="dxa"/>
            <w:vAlign w:val="center"/>
          </w:tcPr>
          <w:p>
            <w:pPr>
              <w:jc w:val="center"/>
              <w:rPr>
                <w:szCs w:val="21"/>
              </w:rPr>
            </w:pPr>
          </w:p>
        </w:tc>
      </w:tr>
    </w:tbl>
    <w:p>
      <w:pPr>
        <w:pStyle w:val="2"/>
        <w:spacing w:line="360" w:lineRule="auto"/>
        <w:ind w:firstLine="420" w:firstLineChars="175"/>
        <w:rPr>
          <w:rFonts w:cs="Calibri" w:asciiTheme="majorEastAsia" w:hAnsiTheme="majorEastAsia" w:eastAsiaTheme="majorEastAsia"/>
          <w:szCs w:val="24"/>
        </w:rPr>
      </w:pPr>
      <w:r>
        <w:rPr>
          <w:rFonts w:asciiTheme="majorEastAsia" w:hAnsiTheme="majorEastAsia" w:eastAsiaTheme="majorEastAsia"/>
          <w:szCs w:val="24"/>
        </w:rPr>
        <w:t>2</w:t>
      </w:r>
      <w:r>
        <w:rPr>
          <w:rFonts w:hint="eastAsia" w:asciiTheme="majorEastAsia" w:hAnsiTheme="majorEastAsia" w:eastAsiaTheme="majorEastAsia"/>
          <w:szCs w:val="24"/>
        </w:rPr>
        <w:t xml:space="preserve">.4.1 </w:t>
      </w:r>
      <w:r>
        <w:rPr>
          <w:rFonts w:hint="eastAsia"/>
        </w:rPr>
        <w:t>树木的养护标准：</w:t>
      </w:r>
    </w:p>
    <w:p>
      <w:pPr>
        <w:pStyle w:val="2"/>
        <w:spacing w:line="360" w:lineRule="auto"/>
        <w:ind w:firstLine="420" w:firstLineChars="175"/>
      </w:pPr>
      <w:r>
        <w:rPr>
          <w:rFonts w:hint="eastAsia" w:asciiTheme="majorEastAsia" w:hAnsiTheme="majorEastAsia" w:eastAsiaTheme="majorEastAsia"/>
          <w:szCs w:val="24"/>
        </w:rPr>
        <w:t xml:space="preserve">2.4.1.1 </w:t>
      </w:r>
      <w:r>
        <w:rPr>
          <w:rFonts w:hint="eastAsia"/>
        </w:rPr>
        <w:t>乔木修剪应符合下列规定：</w:t>
      </w:r>
    </w:p>
    <w:p>
      <w:pPr>
        <w:pStyle w:val="2"/>
        <w:spacing w:line="360" w:lineRule="auto"/>
        <w:ind w:firstLine="420" w:firstLineChars="175"/>
      </w:pPr>
      <w:r>
        <w:rPr>
          <w:rFonts w:hint="eastAsia"/>
        </w:rPr>
        <w:t>（1）应以疏枝为主;主干明显的树种,应保护中央主干，中央主干受损时应及时更替培养；无明显主干的树种，应调配各级分枝，端正树形。</w:t>
      </w:r>
    </w:p>
    <w:p>
      <w:pPr>
        <w:pStyle w:val="2"/>
        <w:spacing w:line="360" w:lineRule="auto"/>
        <w:ind w:firstLine="420" w:firstLineChars="175"/>
      </w:pPr>
      <w:r>
        <w:rPr>
          <w:rFonts w:hint="eastAsia"/>
        </w:rPr>
        <w:t>（2）落叶乔木应在落叶后至翌年萌芽前修剪；常绿乔木应在秋季新梢停止生长至春芽萌动前修剪。伤流树应在芽刚萌动前进行修剪，并在伤口涂防护剂。</w:t>
      </w:r>
    </w:p>
    <w:p>
      <w:pPr>
        <w:pStyle w:val="2"/>
        <w:spacing w:line="360" w:lineRule="auto"/>
        <w:ind w:firstLine="420" w:firstLineChars="175"/>
      </w:pPr>
      <w:r>
        <w:rPr>
          <w:rFonts w:hint="eastAsia"/>
        </w:rPr>
        <w:t>（3）应先剪除枯死枝、徒长枝，再由主枝的基部自内向外逐渐向上进行修剪。疏枝应自枝条基部修除，不留短桩；大枝短截应分段截枝。</w:t>
      </w:r>
    </w:p>
    <w:p>
      <w:pPr>
        <w:pStyle w:val="2"/>
        <w:spacing w:line="360" w:lineRule="auto"/>
        <w:ind w:firstLine="420" w:firstLineChars="175"/>
      </w:pPr>
      <w:r>
        <w:rPr>
          <w:rFonts w:hint="eastAsia" w:asciiTheme="majorEastAsia" w:hAnsiTheme="majorEastAsia" w:eastAsiaTheme="majorEastAsia"/>
          <w:szCs w:val="24"/>
        </w:rPr>
        <w:t xml:space="preserve">2.4.1.2 </w:t>
      </w:r>
      <w:r>
        <w:rPr>
          <w:rFonts w:hint="eastAsia"/>
        </w:rPr>
        <w:t>灌木修剪应符合下列规定：</w:t>
      </w:r>
    </w:p>
    <w:p>
      <w:pPr>
        <w:pStyle w:val="2"/>
        <w:spacing w:line="360" w:lineRule="auto"/>
        <w:ind w:firstLine="420" w:firstLineChars="175"/>
      </w:pPr>
      <w:r>
        <w:rPr>
          <w:rFonts w:hint="eastAsia"/>
        </w:rPr>
        <w:t>（1）应根据开花习性进行修剪，注意保护和培养开花枝条，萌芽力弱的严禁回缩修剪；观果植物应在观果期后或采摘后修剪。</w:t>
      </w:r>
    </w:p>
    <w:p>
      <w:pPr>
        <w:pStyle w:val="2"/>
        <w:spacing w:line="360" w:lineRule="auto"/>
        <w:ind w:firstLine="420" w:firstLineChars="175"/>
      </w:pPr>
      <w:r>
        <w:rPr>
          <w:rFonts w:hint="eastAsia"/>
        </w:rPr>
        <w:t>（2）植株枝条分布应均衡。单株灌木应保持形态自然丰满：单一树种的灌木丛应保持树丛内高外低或后高前低的形态：多品种的灌木丛应突出主栽品种，并留出生长空间。</w:t>
      </w:r>
    </w:p>
    <w:p>
      <w:pPr>
        <w:pStyle w:val="2"/>
        <w:spacing w:line="360" w:lineRule="auto"/>
        <w:ind w:firstLine="420" w:firstLineChars="175"/>
      </w:pPr>
      <w:r>
        <w:rPr>
          <w:rFonts w:hint="eastAsia"/>
        </w:rPr>
        <w:t>（3）嫁接灌木应及时剪除砧木基部萌蘖枝。</w:t>
      </w:r>
    </w:p>
    <w:p>
      <w:pPr>
        <w:pStyle w:val="2"/>
        <w:spacing w:line="360" w:lineRule="auto"/>
        <w:ind w:firstLine="420" w:firstLineChars="175"/>
      </w:pPr>
      <w:r>
        <w:rPr>
          <w:rFonts w:hint="eastAsia"/>
        </w:rPr>
        <w:t>（4）春花型灌木以花后修剪为主，对萌芽力强的宜加强剥芽；休眠期应适当疏理过密细弱枝，修除病枝、枯枝等，不应齐干强截，不应对具有顶花芽的灌木花枝进行短截。</w:t>
      </w:r>
    </w:p>
    <w:p>
      <w:pPr>
        <w:pStyle w:val="2"/>
        <w:spacing w:line="360" w:lineRule="auto"/>
        <w:ind w:firstLine="420" w:firstLineChars="175"/>
      </w:pPr>
      <w:r>
        <w:rPr>
          <w:rFonts w:hint="eastAsia"/>
        </w:rPr>
        <w:t>（5）夏秋花型灌木应以休眠期修剪为主，通过疏枝和短截等方式调整冠型、控制高度。</w:t>
      </w:r>
    </w:p>
    <w:p>
      <w:pPr>
        <w:pStyle w:val="2"/>
        <w:spacing w:line="360" w:lineRule="auto"/>
        <w:ind w:firstLine="420" w:firstLineChars="175"/>
      </w:pPr>
      <w:r>
        <w:rPr>
          <w:rFonts w:hint="eastAsia"/>
        </w:rPr>
        <w:t>（6）冬花型灌木和观枝型灌木，冬季不应修剪，早春以疏枝为主，并剪除枯老枝。</w:t>
      </w:r>
    </w:p>
    <w:p>
      <w:pPr>
        <w:pStyle w:val="2"/>
        <w:spacing w:line="360" w:lineRule="auto"/>
        <w:ind w:firstLine="420" w:firstLineChars="175"/>
      </w:pPr>
      <w:r>
        <w:rPr>
          <w:rFonts w:hint="eastAsia"/>
        </w:rPr>
        <w:t>（7）多次开花型灌木宜休眠期修剪和生长期修剪相结合，休眠期修剪以短截疏枝为主，花后及时剪除直立营养枝、残花序和果序，同时可根据灌木开花习性和重大节庆活动时间节点，安排花期调控修剪。</w:t>
      </w:r>
    </w:p>
    <w:p>
      <w:pPr>
        <w:pStyle w:val="2"/>
        <w:spacing w:line="360" w:lineRule="auto"/>
        <w:ind w:firstLine="420" w:firstLineChars="175"/>
      </w:pPr>
      <w:r>
        <w:rPr>
          <w:rFonts w:hint="eastAsia" w:asciiTheme="majorEastAsia" w:hAnsiTheme="majorEastAsia" w:eastAsiaTheme="majorEastAsia"/>
          <w:szCs w:val="24"/>
        </w:rPr>
        <w:t xml:space="preserve">2.4.1.3 </w:t>
      </w:r>
      <w:r>
        <w:rPr>
          <w:rFonts w:hint="eastAsia"/>
        </w:rPr>
        <w:t>绿篱及造型植物修剪应符合下列规定：</w:t>
      </w:r>
    </w:p>
    <w:p>
      <w:pPr>
        <w:pStyle w:val="2"/>
        <w:spacing w:line="360" w:lineRule="auto"/>
        <w:ind w:firstLine="420" w:firstLineChars="175"/>
      </w:pPr>
      <w:r>
        <w:rPr>
          <w:rFonts w:hint="eastAsia"/>
        </w:rPr>
        <w:t>（1）休眠期修剪以整形为主；生长期修剪以调整树势为主，剪除基部萌发的徒长枝、植株内部过密枝及病虫枝。</w:t>
      </w:r>
    </w:p>
    <w:p>
      <w:pPr>
        <w:pStyle w:val="2"/>
        <w:spacing w:line="360" w:lineRule="auto"/>
        <w:ind w:firstLine="420" w:firstLineChars="175"/>
      </w:pPr>
      <w:r>
        <w:rPr>
          <w:rFonts w:hint="eastAsia"/>
        </w:rPr>
        <w:t>（2）春季开花的绿篱冬季不宜整形修剪。</w:t>
      </w:r>
    </w:p>
    <w:p>
      <w:pPr>
        <w:pStyle w:val="2"/>
        <w:spacing w:line="360" w:lineRule="auto"/>
        <w:ind w:firstLine="420" w:firstLineChars="175"/>
      </w:pPr>
      <w:r>
        <w:rPr>
          <w:rFonts w:hint="eastAsia"/>
        </w:rPr>
        <w:t>（3）花篱生长枝叶稀少或生长势弱应摘心处理。</w:t>
      </w:r>
    </w:p>
    <w:p>
      <w:pPr>
        <w:pStyle w:val="2"/>
        <w:spacing w:line="360" w:lineRule="auto"/>
        <w:ind w:firstLine="420" w:firstLineChars="175"/>
      </w:pPr>
      <w:r>
        <w:rPr>
          <w:rFonts w:hint="eastAsia" w:asciiTheme="majorEastAsia" w:hAnsiTheme="majorEastAsia" w:eastAsiaTheme="majorEastAsia"/>
          <w:szCs w:val="24"/>
        </w:rPr>
        <w:t xml:space="preserve">2.4.1.4 </w:t>
      </w:r>
      <w:r>
        <w:rPr>
          <w:rFonts w:hint="eastAsia"/>
        </w:rPr>
        <w:t>藤本修剪应符合下列规定：</w:t>
      </w:r>
    </w:p>
    <w:p>
      <w:pPr>
        <w:pStyle w:val="2"/>
        <w:spacing w:line="360" w:lineRule="auto"/>
        <w:ind w:firstLine="420" w:firstLineChars="175"/>
      </w:pPr>
      <w:r>
        <w:rPr>
          <w:rFonts w:hint="eastAsia"/>
        </w:rPr>
        <w:t>（1） 栽植后,应以理藤和造型为主,根据其应用环境需求，培养一个或多个主枝,并及时进行横向牵引固定，使枝条均匀分布在棚架或围栏等载体立面上。</w:t>
      </w:r>
    </w:p>
    <w:p>
      <w:pPr>
        <w:pStyle w:val="2"/>
        <w:spacing w:line="360" w:lineRule="auto"/>
        <w:ind w:firstLine="420" w:firstLineChars="175"/>
      </w:pPr>
      <w:r>
        <w:rPr>
          <w:rFonts w:hint="eastAsia"/>
        </w:rPr>
        <w:t>（2）定植两年及以上的藤本，应定期翻蔓,清除枯枝,疏除衰弱枝、病虫枝和过密枝，注重老枝更新，保留健壮的萌蘖枝，并重新牵引、绑扎、固定；有光脚或中空现象时，应采用局部重剪或牵引等措施做到枝条分布覆盖均匀；生长势衰弱的可进行回缩修剪并复壮树势。</w:t>
      </w:r>
    </w:p>
    <w:p>
      <w:pPr>
        <w:pStyle w:val="2"/>
        <w:spacing w:line="360" w:lineRule="auto"/>
        <w:ind w:firstLine="420" w:firstLineChars="175"/>
      </w:pPr>
      <w:r>
        <w:rPr>
          <w:rFonts w:hint="eastAsia" w:asciiTheme="majorEastAsia" w:hAnsiTheme="majorEastAsia" w:eastAsiaTheme="majorEastAsia"/>
          <w:szCs w:val="24"/>
        </w:rPr>
        <w:t xml:space="preserve">2.4.1.5 </w:t>
      </w:r>
      <w:r>
        <w:rPr>
          <w:rFonts w:hint="eastAsia"/>
        </w:rPr>
        <w:t>施肥应符合下列规定:</w:t>
      </w:r>
    </w:p>
    <w:p>
      <w:pPr>
        <w:pStyle w:val="2"/>
        <w:spacing w:line="360" w:lineRule="auto"/>
        <w:ind w:firstLine="420" w:firstLineChars="175"/>
      </w:pPr>
      <w:r>
        <w:rPr>
          <w:rFonts w:hint="eastAsia"/>
        </w:rPr>
        <w:t>（1）应根据树木种类采用沟施、撒施、穴施、孔施或叶面喷施等施肥方式。沟施、穴施均应在树冠投影边缘，施肥后应进行1次灌溉。撒施应与松土和翻土结合，撒施后应将肥料翻入土内。</w:t>
      </w:r>
    </w:p>
    <w:p>
      <w:pPr>
        <w:pStyle w:val="2"/>
        <w:spacing w:line="360" w:lineRule="auto"/>
        <w:ind w:firstLine="420" w:firstLineChars="175"/>
      </w:pPr>
      <w:r>
        <w:rPr>
          <w:rFonts w:hint="eastAsia"/>
        </w:rPr>
        <w:t>（2）宜每年施肥1次～2次，以有机肥或复合肥料为主;观花、观果、观色叶等植物宜每年施肥2次～3次；开花乔木花芽分化时应施磷钾肥,营养生长时宜补充氮肥；灌木冬季宜施有机肥，花芽分化期施以磷钾肥为主的复合肥，花后根据植物生长情况施用均衡性复合肥，开花期间不施肥。</w:t>
      </w:r>
    </w:p>
    <w:p>
      <w:pPr>
        <w:pStyle w:val="2"/>
        <w:spacing w:line="360" w:lineRule="auto"/>
        <w:ind w:firstLine="420" w:firstLineChars="175"/>
      </w:pPr>
      <w:r>
        <w:rPr>
          <w:rFonts w:hint="eastAsia" w:asciiTheme="majorEastAsia" w:hAnsiTheme="majorEastAsia" w:eastAsiaTheme="majorEastAsia"/>
          <w:szCs w:val="24"/>
        </w:rPr>
        <w:t>2.4.1.6</w:t>
      </w:r>
      <w:r>
        <w:rPr>
          <w:rFonts w:hint="eastAsia"/>
        </w:rPr>
        <w:t xml:space="preserve"> 暴雨期间积水可采用开沟、埋管、打孔等排水措施及时排涝。</w:t>
      </w:r>
    </w:p>
    <w:p>
      <w:pPr>
        <w:pStyle w:val="2"/>
        <w:spacing w:line="360" w:lineRule="auto"/>
        <w:ind w:firstLine="420" w:firstLineChars="175"/>
      </w:pPr>
      <w:r>
        <w:rPr>
          <w:rFonts w:hint="eastAsia" w:asciiTheme="majorEastAsia" w:hAnsiTheme="majorEastAsia" w:eastAsiaTheme="majorEastAsia"/>
          <w:szCs w:val="24"/>
        </w:rPr>
        <w:t>2.4.1.7</w:t>
      </w:r>
      <w:r>
        <w:rPr>
          <w:rFonts w:hint="eastAsia"/>
        </w:rPr>
        <w:t xml:space="preserve"> 抽稀和补植应符合下列规定：</w:t>
      </w:r>
    </w:p>
    <w:p>
      <w:pPr>
        <w:pStyle w:val="2"/>
        <w:spacing w:line="360" w:lineRule="auto"/>
        <w:ind w:firstLine="420" w:firstLineChars="175"/>
      </w:pPr>
      <w:r>
        <w:rPr>
          <w:rFonts w:hint="eastAsia"/>
        </w:rPr>
        <w:t>（1）因消除安全隐患而移除的，不必补植。</w:t>
      </w:r>
    </w:p>
    <w:p>
      <w:pPr>
        <w:pStyle w:val="2"/>
        <w:spacing w:line="360" w:lineRule="auto"/>
        <w:ind w:firstLine="420" w:firstLineChars="175"/>
      </w:pPr>
      <w:r>
        <w:rPr>
          <w:rFonts w:hint="eastAsia"/>
        </w:rPr>
        <w:t>（2）成荫树丛、树林内的缺株不必补植。</w:t>
      </w:r>
    </w:p>
    <w:p>
      <w:pPr>
        <w:pStyle w:val="2"/>
        <w:spacing w:line="360" w:lineRule="auto"/>
        <w:ind w:firstLine="420" w:firstLineChars="175"/>
      </w:pPr>
      <w:r>
        <w:rPr>
          <w:rFonts w:hint="eastAsia" w:asciiTheme="majorEastAsia" w:hAnsiTheme="majorEastAsia" w:eastAsiaTheme="majorEastAsia"/>
          <w:szCs w:val="24"/>
        </w:rPr>
        <w:t>2.4.1.8</w:t>
      </w:r>
      <w:r>
        <w:rPr>
          <w:rFonts w:hint="eastAsia"/>
        </w:rPr>
        <w:t xml:space="preserve"> 绑扎与扶正应符合下列规定：</w:t>
      </w:r>
    </w:p>
    <w:p>
      <w:pPr>
        <w:pStyle w:val="2"/>
        <w:spacing w:line="360" w:lineRule="auto"/>
        <w:ind w:firstLine="420" w:firstLineChars="175"/>
      </w:pPr>
      <w:r>
        <w:rPr>
          <w:rFonts w:hint="eastAsia"/>
        </w:rPr>
        <w:t>（1） 应及时检查绑扎物，保持松紧适度；绑扎松散或损坏应及时更换。</w:t>
      </w:r>
    </w:p>
    <w:p>
      <w:pPr>
        <w:pStyle w:val="2"/>
        <w:spacing w:line="360" w:lineRule="auto"/>
        <w:ind w:firstLine="420" w:firstLineChars="175"/>
      </w:pPr>
      <w:r>
        <w:rPr>
          <w:rFonts w:hint="eastAsia"/>
        </w:rPr>
        <w:t>（2） 除特殊景观要求外，树木倾斜超过10°应扶正；因人为或机械损伤倾斜的树木应及时扶正。</w:t>
      </w:r>
    </w:p>
    <w:p>
      <w:pPr>
        <w:pStyle w:val="2"/>
        <w:spacing w:line="360" w:lineRule="auto"/>
        <w:ind w:firstLine="420" w:firstLineChars="175"/>
      </w:pPr>
      <w:r>
        <w:rPr>
          <w:rFonts w:hint="eastAsia"/>
        </w:rPr>
        <w:t>（3） 落叶树木扶正时间应在树木休眠期；常绿树木应在新芽萌发前,避开冰冻期。</w:t>
      </w:r>
    </w:p>
    <w:p>
      <w:pPr>
        <w:pStyle w:val="2"/>
        <w:spacing w:line="360" w:lineRule="auto"/>
        <w:ind w:firstLine="420" w:firstLineChars="175"/>
      </w:pPr>
      <w:r>
        <w:rPr>
          <w:rFonts w:hint="eastAsia"/>
        </w:rPr>
        <w:t>（4） 扶正严禁生拉硬推。</w:t>
      </w:r>
    </w:p>
    <w:p>
      <w:pPr>
        <w:pStyle w:val="2"/>
        <w:spacing w:line="360" w:lineRule="auto"/>
        <w:ind w:firstLine="420" w:firstLineChars="175"/>
      </w:pPr>
      <w:r>
        <w:rPr>
          <w:rFonts w:hint="eastAsia" w:asciiTheme="majorEastAsia" w:hAnsiTheme="majorEastAsia" w:eastAsiaTheme="majorEastAsia"/>
          <w:szCs w:val="24"/>
        </w:rPr>
        <w:t>2.4.1.8</w:t>
      </w:r>
      <w:r>
        <w:rPr>
          <w:rFonts w:hint="eastAsia"/>
        </w:rPr>
        <w:t xml:space="preserve"> 应急防护应符合下列规定：</w:t>
      </w:r>
    </w:p>
    <w:p>
      <w:pPr>
        <w:pStyle w:val="2"/>
        <w:spacing w:line="360" w:lineRule="auto"/>
        <w:ind w:firstLine="420" w:firstLineChars="175"/>
      </w:pPr>
      <w:r>
        <w:rPr>
          <w:rFonts w:hint="eastAsia"/>
        </w:rPr>
        <w:t>（1）应在台风季节来临前做好树木支撑、枯枝修剪等防范措施;台风过后，受台风影响倾斜或倒伏的树木应加强养护管理，应视具体情况对树木进行疏枝、扶正、加固、加土等。</w:t>
      </w:r>
    </w:p>
    <w:p>
      <w:pPr>
        <w:pStyle w:val="2"/>
        <w:spacing w:line="360" w:lineRule="auto"/>
        <w:ind w:firstLine="420" w:firstLineChars="175"/>
      </w:pPr>
      <w:r>
        <w:rPr>
          <w:rFonts w:hint="eastAsia"/>
        </w:rPr>
        <w:t>（2）在低温来临前应对易受低温侵害的植物使用草绳等透气材料进行包裹，注意保护易受冻害的部位；连续5d平均气温大于5℃应拆除包裹物。</w:t>
      </w:r>
    </w:p>
    <w:p>
      <w:pPr>
        <w:pStyle w:val="2"/>
        <w:spacing w:line="360" w:lineRule="auto"/>
        <w:ind w:firstLine="420" w:firstLineChars="175"/>
      </w:pPr>
      <w:r>
        <w:rPr>
          <w:rFonts w:hint="eastAsia"/>
        </w:rPr>
        <w:t>（3）降雪前应对枝条过密的树木，尤其是对树冠浓密的常绿乔灌木进行疏枝；降雪量较大时，应及时清除针叶树和树冠浓密的乔木上的积雪;受雪害倾斜、倒伏、劈裂的树木应及时扶正并处置劈裂伤口。</w:t>
      </w:r>
    </w:p>
    <w:p>
      <w:pPr>
        <w:autoSpaceDE w:val="0"/>
        <w:autoSpaceDN w:val="0"/>
        <w:adjustRightInd w:val="0"/>
        <w:spacing w:line="360" w:lineRule="auto"/>
        <w:ind w:firstLine="482" w:firstLineChars="200"/>
        <w:jc w:val="left"/>
        <w:rPr>
          <w:rFonts w:cs="Times New Roman" w:asciiTheme="majorEastAsia" w:hAnsiTheme="majorEastAsia" w:eastAsiaTheme="majorEastAsia"/>
          <w:b/>
          <w:bCs/>
          <w:sz w:val="24"/>
          <w:szCs w:val="24"/>
          <w:lang w:val="zh-CN"/>
        </w:rPr>
      </w:pPr>
      <w:r>
        <w:rPr>
          <w:rFonts w:hint="eastAsia" w:cs="Times New Roman" w:asciiTheme="majorEastAsia" w:hAnsiTheme="majorEastAsia" w:eastAsiaTheme="majorEastAsia"/>
          <w:b/>
          <w:bCs/>
          <w:sz w:val="24"/>
          <w:szCs w:val="24"/>
        </w:rPr>
        <w:t>3、安保</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sz w:val="24"/>
          <w:szCs w:val="24"/>
        </w:rPr>
        <w:t>3.1 安保人员要熟练掌握监控、道闸系统和电子围栏防入侵装置的基本操作，</w:t>
      </w:r>
      <w:r>
        <w:rPr>
          <w:rFonts w:hint="eastAsia" w:cs="Calibri" w:asciiTheme="majorEastAsia" w:hAnsiTheme="majorEastAsia" w:eastAsiaTheme="majorEastAsia"/>
          <w:sz w:val="24"/>
          <w:szCs w:val="24"/>
          <w:lang w:val="zh-CN"/>
        </w:rPr>
        <w:t>确保系统</w:t>
      </w:r>
      <w:r>
        <w:rPr>
          <w:rFonts w:hint="eastAsia" w:cs="Calibri" w:asciiTheme="majorEastAsia" w:hAnsiTheme="majorEastAsia" w:eastAsiaTheme="majorEastAsia"/>
          <w:sz w:val="24"/>
          <w:szCs w:val="24"/>
        </w:rPr>
        <w:t>处于在</w:t>
      </w:r>
      <w:r>
        <w:rPr>
          <w:rFonts w:hint="eastAsia" w:cs="Calibri" w:asciiTheme="majorEastAsia" w:hAnsiTheme="majorEastAsia" w:eastAsiaTheme="majorEastAsia"/>
          <w:sz w:val="24"/>
          <w:szCs w:val="24"/>
          <w:lang w:val="zh-CN"/>
        </w:rPr>
        <w:t>正常</w:t>
      </w:r>
      <w:r>
        <w:rPr>
          <w:rFonts w:hint="eastAsia" w:cs="Calibri" w:asciiTheme="majorEastAsia" w:hAnsiTheme="majorEastAsia" w:eastAsiaTheme="majorEastAsia"/>
          <w:sz w:val="24"/>
          <w:szCs w:val="24"/>
        </w:rPr>
        <w:t>状态。</w:t>
      </w:r>
      <w:r>
        <w:rPr>
          <w:rFonts w:hint="eastAsia" w:cs="Times New Roman" w:asciiTheme="majorEastAsia" w:hAnsiTheme="majorEastAsia" w:eastAsiaTheme="majorEastAsia"/>
          <w:sz w:val="24"/>
          <w:szCs w:val="24"/>
        </w:rPr>
        <w:t>设备出现故障做好登记并第一时间上报，日常做好安全监控设备外观的巡检。</w:t>
      </w:r>
      <w:r>
        <w:rPr>
          <w:rFonts w:hint="eastAsia" w:cs="Times New Roman" w:asciiTheme="majorEastAsia" w:hAnsiTheme="majorEastAsia" w:eastAsiaTheme="majorEastAsia"/>
          <w:sz w:val="24"/>
          <w:szCs w:val="24"/>
          <w:lang w:val="zh-CN"/>
        </w:rPr>
        <w:t>做好月浦基地安全保卫、</w:t>
      </w:r>
      <w:r>
        <w:rPr>
          <w:rFonts w:cs="Times New Roman" w:asciiTheme="majorEastAsia" w:hAnsiTheme="majorEastAsia" w:eastAsiaTheme="majorEastAsia"/>
          <w:sz w:val="24"/>
          <w:szCs w:val="24"/>
          <w:lang w:val="zh-CN"/>
        </w:rPr>
        <w:t>防盗</w:t>
      </w:r>
      <w:r>
        <w:rPr>
          <w:rFonts w:hint="eastAsia" w:cs="Times New Roman" w:asciiTheme="majorEastAsia" w:hAnsiTheme="majorEastAsia" w:eastAsiaTheme="majorEastAsia"/>
          <w:sz w:val="24"/>
          <w:szCs w:val="24"/>
          <w:lang w:val="zh-CN"/>
        </w:rPr>
        <w:t>工作，值班室安排【24小时】专人值班。对于进入基地的车辆和</w:t>
      </w:r>
      <w:r>
        <w:rPr>
          <w:rFonts w:cs="Times New Roman" w:asciiTheme="majorEastAsia" w:hAnsiTheme="majorEastAsia" w:eastAsiaTheme="majorEastAsia"/>
          <w:sz w:val="24"/>
          <w:szCs w:val="24"/>
          <w:lang w:val="zh-CN"/>
        </w:rPr>
        <w:t>有效管理，</w:t>
      </w:r>
      <w:r>
        <w:rPr>
          <w:rFonts w:hint="eastAsia" w:cs="Times New Roman" w:asciiTheme="majorEastAsia" w:hAnsiTheme="majorEastAsia" w:eastAsiaTheme="majorEastAsia"/>
          <w:sz w:val="24"/>
          <w:szCs w:val="24"/>
          <w:lang w:val="zh-CN"/>
        </w:rPr>
        <w:t>做好出入信息登记，</w:t>
      </w:r>
      <w:r>
        <w:rPr>
          <w:rFonts w:hint="eastAsia" w:cs="Times New Roman" w:asciiTheme="majorEastAsia" w:hAnsiTheme="majorEastAsia" w:eastAsiaTheme="majorEastAsia"/>
          <w:sz w:val="24"/>
          <w:szCs w:val="24"/>
        </w:rPr>
        <w:t>对于外访人员要第一时间用对讲机等形式通知甲方，经甲方确认后再放行</w:t>
      </w:r>
      <w:r>
        <w:rPr>
          <w:rFonts w:hint="eastAsia" w:cs="Times New Roman" w:asciiTheme="majorEastAsia" w:hAnsiTheme="majorEastAsia" w:eastAsiaTheme="majorEastAsia"/>
          <w:sz w:val="24"/>
          <w:szCs w:val="24"/>
          <w:lang w:val="zh-CN"/>
        </w:rPr>
        <w:t>。</w:t>
      </w:r>
      <w:r>
        <w:rPr>
          <w:rFonts w:hint="eastAsia" w:cs="Calibri" w:asciiTheme="majorEastAsia" w:hAnsiTheme="majorEastAsia" w:eastAsiaTheme="majorEastAsia"/>
          <w:sz w:val="24"/>
          <w:szCs w:val="24"/>
        </w:rPr>
        <w:t>会熟练使用防暴工具。</w:t>
      </w:r>
      <w:r>
        <w:rPr>
          <w:rFonts w:cs="Times New Roman" w:asciiTheme="majorEastAsia" w:hAnsiTheme="majorEastAsia" w:eastAsiaTheme="majorEastAsia"/>
          <w:sz w:val="24"/>
          <w:szCs w:val="24"/>
          <w:lang w:val="zh-CN"/>
        </w:rPr>
        <w:t>加强</w:t>
      </w:r>
      <w:r>
        <w:rPr>
          <w:rFonts w:hint="eastAsia" w:cs="Times New Roman" w:asciiTheme="majorEastAsia" w:hAnsiTheme="majorEastAsia" w:eastAsiaTheme="majorEastAsia"/>
          <w:sz w:val="24"/>
          <w:szCs w:val="24"/>
          <w:lang w:val="zh-CN"/>
        </w:rPr>
        <w:t>定时</w:t>
      </w:r>
      <w:r>
        <w:rPr>
          <w:rFonts w:cs="Times New Roman" w:asciiTheme="majorEastAsia" w:hAnsiTheme="majorEastAsia" w:eastAsiaTheme="majorEastAsia"/>
          <w:sz w:val="24"/>
          <w:szCs w:val="24"/>
          <w:lang w:val="zh-CN"/>
        </w:rPr>
        <w:t>巡逻，</w:t>
      </w:r>
      <w:r>
        <w:rPr>
          <w:rFonts w:hint="eastAsia" w:cs="Times New Roman" w:asciiTheme="majorEastAsia" w:hAnsiTheme="majorEastAsia" w:eastAsiaTheme="majorEastAsia"/>
          <w:sz w:val="24"/>
          <w:szCs w:val="24"/>
          <w:lang w:val="zh-CN"/>
        </w:rPr>
        <w:t>保障基地安全，</w:t>
      </w:r>
      <w:r>
        <w:rPr>
          <w:rFonts w:hint="eastAsia" w:cs="Times New Roman" w:asciiTheme="majorEastAsia" w:hAnsiTheme="majorEastAsia" w:eastAsiaTheme="majorEastAsia"/>
          <w:sz w:val="24"/>
          <w:szCs w:val="24"/>
        </w:rPr>
        <w:t>维持基地秩序</w:t>
      </w:r>
      <w:r>
        <w:rPr>
          <w:rFonts w:hint="eastAsia"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Calibri" w:asciiTheme="majorEastAsia" w:hAnsiTheme="majorEastAsia" w:eastAsiaTheme="majorEastAsia"/>
          <w:sz w:val="24"/>
          <w:szCs w:val="24"/>
          <w:lang w:val="zh-CN"/>
        </w:rPr>
      </w:pPr>
      <w:r>
        <w:rPr>
          <w:rFonts w:hint="eastAsia" w:cs="Calibri" w:asciiTheme="majorEastAsia" w:hAnsiTheme="majorEastAsia" w:eastAsiaTheme="majorEastAsia"/>
          <w:sz w:val="24"/>
          <w:szCs w:val="24"/>
        </w:rPr>
        <w:t xml:space="preserve">3.2 </w:t>
      </w:r>
      <w:r>
        <w:rPr>
          <w:rFonts w:hint="eastAsia" w:cs="Calibri" w:asciiTheme="majorEastAsia" w:hAnsiTheme="majorEastAsia" w:eastAsiaTheme="majorEastAsia"/>
          <w:sz w:val="24"/>
          <w:szCs w:val="24"/>
          <w:lang w:val="zh-CN"/>
        </w:rPr>
        <w:t>值班标准</w:t>
      </w:r>
      <w:r>
        <w:rPr>
          <w:rFonts w:hint="eastAsia" w:cs="Calibri" w:asciiTheme="majorEastAsia" w:hAnsiTheme="majorEastAsia" w:eastAsiaTheme="majorEastAsia"/>
          <w:sz w:val="24"/>
          <w:szCs w:val="24"/>
        </w:rPr>
        <w:t>及表格</w:t>
      </w:r>
      <w:r>
        <w:rPr>
          <w:rFonts w:cs="Calibri"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asciiTheme="majorEastAsia" w:hAnsiTheme="majorEastAsia" w:eastAsiaTheme="majorEastAsia"/>
          <w:b/>
          <w:sz w:val="24"/>
          <w:szCs w:val="24"/>
        </w:rPr>
      </w:pPr>
      <w:r>
        <w:rPr>
          <w:rFonts w:hint="eastAsia" w:asciiTheme="majorEastAsia" w:hAnsiTheme="majorEastAsia" w:eastAsiaTheme="majorEastAsia"/>
          <w:sz w:val="24"/>
          <w:szCs w:val="24"/>
        </w:rPr>
        <w:t>3.2.1 门卫安保巡逻值班表</w:t>
      </w:r>
    </w:p>
    <w:tbl>
      <w:tblPr>
        <w:tblStyle w:val="46"/>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4739"/>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7"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步  骤</w:t>
            </w:r>
          </w:p>
        </w:tc>
        <w:tc>
          <w:tcPr>
            <w:tcW w:w="4739"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标  准</w:t>
            </w:r>
          </w:p>
        </w:tc>
        <w:tc>
          <w:tcPr>
            <w:tcW w:w="2213"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07" w:type="dxa"/>
            <w:shd w:val="clear" w:color="auto" w:fill="FFFFFF"/>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1.交接班</w:t>
            </w:r>
          </w:p>
        </w:tc>
        <w:tc>
          <w:tcPr>
            <w:tcW w:w="4739" w:type="dxa"/>
            <w:shd w:val="clear" w:color="auto" w:fill="FFFFFF"/>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当班人员须提前十分钟到岗，认真做好交接班工作。交班一方应将本班发生的情况、处理结果等</w:t>
            </w:r>
            <w:r>
              <w:rPr>
                <w:rFonts w:asciiTheme="majorEastAsia" w:hAnsiTheme="majorEastAsia" w:eastAsiaTheme="majorEastAsia"/>
                <w:szCs w:val="21"/>
              </w:rPr>
              <w:t>做好书面交接记录，以备察</w:t>
            </w:r>
            <w:r>
              <w:rPr>
                <w:rFonts w:hint="eastAsia" w:asciiTheme="majorEastAsia" w:hAnsiTheme="majorEastAsia" w:eastAsiaTheme="majorEastAsia"/>
                <w:szCs w:val="21"/>
              </w:rPr>
              <w:t>看。</w:t>
            </w:r>
          </w:p>
        </w:tc>
        <w:tc>
          <w:tcPr>
            <w:tcW w:w="2213" w:type="dxa"/>
            <w:shd w:val="clear" w:color="auto" w:fill="FFFFFF"/>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日班：7:00—19:00；</w:t>
            </w:r>
          </w:p>
          <w:p>
            <w:pPr>
              <w:jc w:val="left"/>
              <w:rPr>
                <w:rFonts w:asciiTheme="majorEastAsia" w:hAnsiTheme="majorEastAsia" w:eastAsiaTheme="majorEastAsia"/>
                <w:szCs w:val="21"/>
              </w:rPr>
            </w:pPr>
            <w:r>
              <w:rPr>
                <w:rFonts w:hint="eastAsia" w:asciiTheme="majorEastAsia" w:hAnsiTheme="majorEastAsia" w:eastAsiaTheme="majorEastAsia"/>
                <w:szCs w:val="21"/>
              </w:rPr>
              <w:t>夜班19:00-次日7：00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07"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2.巡检</w:t>
            </w: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查验、上报、记录各类电气设备异常运行情况；门窗异常情况；安防系统设施或系统异常情况；人员异常行为举止情况；</w:t>
            </w:r>
          </w:p>
        </w:tc>
        <w:tc>
          <w:tcPr>
            <w:tcW w:w="2213"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发现异常立即报告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7" w:type="dxa"/>
            <w:vMerge w:val="restart"/>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3.记录与文件</w:t>
            </w: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每天填写工作记录。</w:t>
            </w:r>
          </w:p>
        </w:tc>
        <w:tc>
          <w:tcPr>
            <w:tcW w:w="2213" w:type="dxa"/>
            <w:vMerge w:val="restart"/>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按年进行这里归类，每月定期归档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7" w:type="dxa"/>
            <w:vMerge w:val="continue"/>
            <w:vAlign w:val="center"/>
          </w:tcPr>
          <w:p>
            <w:pPr>
              <w:jc w:val="left"/>
              <w:rPr>
                <w:rFonts w:asciiTheme="majorEastAsia" w:hAnsiTheme="majorEastAsia" w:eastAsiaTheme="majorEastAsia"/>
                <w:szCs w:val="21"/>
              </w:rPr>
            </w:pP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对值班室文件进行整理分类、存档。</w:t>
            </w:r>
          </w:p>
        </w:tc>
        <w:tc>
          <w:tcPr>
            <w:tcW w:w="2213" w:type="dxa"/>
            <w:vMerge w:val="continue"/>
            <w:vAlign w:val="center"/>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7" w:type="dxa"/>
            <w:vMerge w:val="restart"/>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4.检查安防系统</w:t>
            </w: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确认监控系统、道闸系统和电子围栏等安防系统运行正常。</w:t>
            </w:r>
          </w:p>
        </w:tc>
        <w:tc>
          <w:tcPr>
            <w:tcW w:w="2213" w:type="dxa"/>
            <w:vMerge w:val="restart"/>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发现任何异常需第一时间向上级领导汇报。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7" w:type="dxa"/>
            <w:vMerge w:val="continue"/>
            <w:vAlign w:val="center"/>
          </w:tcPr>
          <w:p>
            <w:pPr>
              <w:jc w:val="left"/>
              <w:rPr>
                <w:rFonts w:asciiTheme="majorEastAsia" w:hAnsiTheme="majorEastAsia" w:eastAsiaTheme="majorEastAsia"/>
                <w:szCs w:val="21"/>
              </w:rPr>
            </w:pP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密切注意基地进出人员及监控录像。</w:t>
            </w:r>
          </w:p>
        </w:tc>
        <w:tc>
          <w:tcPr>
            <w:tcW w:w="2213" w:type="dxa"/>
            <w:vMerge w:val="continue"/>
            <w:vAlign w:val="center"/>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7" w:type="dxa"/>
            <w:vMerge w:val="restart"/>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5.出入登记</w:t>
            </w: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人员、车辆出入登记表格准备妥当。</w:t>
            </w:r>
          </w:p>
        </w:tc>
        <w:tc>
          <w:tcPr>
            <w:tcW w:w="2213" w:type="dxa"/>
            <w:vMerge w:val="restart"/>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非基地工作人员进出第一时间对讲机通知甲方管理人员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7" w:type="dxa"/>
            <w:vMerge w:val="continue"/>
            <w:vAlign w:val="center"/>
          </w:tcPr>
          <w:p>
            <w:pPr>
              <w:jc w:val="left"/>
              <w:rPr>
                <w:rFonts w:asciiTheme="majorEastAsia" w:hAnsiTheme="majorEastAsia" w:eastAsiaTheme="majorEastAsia"/>
                <w:szCs w:val="21"/>
              </w:rPr>
            </w:pP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对非基地工作人员进出需问清事由并给予登记。</w:t>
            </w:r>
          </w:p>
        </w:tc>
        <w:tc>
          <w:tcPr>
            <w:tcW w:w="2213" w:type="dxa"/>
            <w:vMerge w:val="continue"/>
            <w:vAlign w:val="center"/>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7" w:type="dxa"/>
            <w:vMerge w:val="continue"/>
            <w:vAlign w:val="center"/>
          </w:tcPr>
          <w:p>
            <w:pPr>
              <w:jc w:val="left"/>
              <w:rPr>
                <w:rFonts w:asciiTheme="majorEastAsia" w:hAnsiTheme="majorEastAsia" w:eastAsiaTheme="majorEastAsia"/>
                <w:szCs w:val="21"/>
              </w:rPr>
            </w:pP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密切注意外来人员逗留时间。</w:t>
            </w:r>
          </w:p>
        </w:tc>
        <w:tc>
          <w:tcPr>
            <w:tcW w:w="2213" w:type="dxa"/>
            <w:vMerge w:val="continue"/>
            <w:vAlign w:val="center"/>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7" w:type="dxa"/>
            <w:vMerge w:val="continue"/>
            <w:vAlign w:val="center"/>
          </w:tcPr>
          <w:p>
            <w:pPr>
              <w:jc w:val="left"/>
              <w:rPr>
                <w:rFonts w:asciiTheme="majorEastAsia" w:hAnsiTheme="majorEastAsia" w:eastAsiaTheme="majorEastAsia"/>
                <w:szCs w:val="21"/>
              </w:rPr>
            </w:pP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外来人员离开时要注意携带物品。</w:t>
            </w:r>
          </w:p>
        </w:tc>
        <w:tc>
          <w:tcPr>
            <w:tcW w:w="2213" w:type="dxa"/>
            <w:vMerge w:val="continue"/>
            <w:vAlign w:val="center"/>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507" w:type="dxa"/>
            <w:vMerge w:val="continue"/>
            <w:vAlign w:val="center"/>
          </w:tcPr>
          <w:p>
            <w:pPr>
              <w:jc w:val="left"/>
              <w:rPr>
                <w:rFonts w:asciiTheme="majorEastAsia" w:hAnsiTheme="majorEastAsia" w:eastAsiaTheme="majorEastAsia"/>
                <w:szCs w:val="21"/>
              </w:rPr>
            </w:pP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严格执行疫情等登记管理要求。</w:t>
            </w:r>
          </w:p>
        </w:tc>
        <w:tc>
          <w:tcPr>
            <w:tcW w:w="2213" w:type="dxa"/>
            <w:vMerge w:val="continue"/>
            <w:vAlign w:val="center"/>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7" w:type="dxa"/>
            <w:vMerge w:val="restart"/>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6.巡逻</w:t>
            </w: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白</w:t>
            </w:r>
            <w:r>
              <w:rPr>
                <w:rFonts w:asciiTheme="majorEastAsia" w:hAnsiTheme="majorEastAsia" w:eastAsiaTheme="majorEastAsia"/>
                <w:szCs w:val="21"/>
              </w:rPr>
              <w:t>班对</w:t>
            </w:r>
            <w:r>
              <w:rPr>
                <w:rFonts w:hint="eastAsia" w:asciiTheme="majorEastAsia" w:hAnsiTheme="majorEastAsia" w:eastAsiaTheme="majorEastAsia"/>
                <w:szCs w:val="21"/>
              </w:rPr>
              <w:t>基地</w:t>
            </w:r>
            <w:r>
              <w:rPr>
                <w:rFonts w:asciiTheme="majorEastAsia" w:hAnsiTheme="majorEastAsia" w:eastAsiaTheme="majorEastAsia"/>
                <w:szCs w:val="21"/>
              </w:rPr>
              <w:t>内进行不少于</w:t>
            </w:r>
            <w:r>
              <w:rPr>
                <w:rFonts w:hint="eastAsia" w:asciiTheme="majorEastAsia" w:hAnsiTheme="majorEastAsia" w:eastAsiaTheme="majorEastAsia"/>
                <w:szCs w:val="21"/>
              </w:rPr>
              <w:t>2</w:t>
            </w:r>
            <w:r>
              <w:rPr>
                <w:rFonts w:asciiTheme="majorEastAsia" w:hAnsiTheme="majorEastAsia" w:eastAsiaTheme="majorEastAsia"/>
                <w:szCs w:val="21"/>
              </w:rPr>
              <w:t>次巡查</w:t>
            </w:r>
            <w:r>
              <w:rPr>
                <w:rFonts w:hint="eastAsia" w:asciiTheme="majorEastAsia" w:hAnsiTheme="majorEastAsia" w:eastAsiaTheme="majorEastAsia"/>
                <w:szCs w:val="21"/>
              </w:rPr>
              <w:t>。</w:t>
            </w:r>
          </w:p>
        </w:tc>
        <w:tc>
          <w:tcPr>
            <w:tcW w:w="2213" w:type="dxa"/>
            <w:vMerge w:val="restart"/>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巡逻时需保证门卫室有人值班。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7" w:type="dxa"/>
            <w:vMerge w:val="continue"/>
            <w:vAlign w:val="center"/>
          </w:tcPr>
          <w:p>
            <w:pPr>
              <w:jc w:val="left"/>
              <w:rPr>
                <w:rFonts w:asciiTheme="majorEastAsia" w:hAnsiTheme="majorEastAsia" w:eastAsiaTheme="majorEastAsia"/>
                <w:szCs w:val="21"/>
              </w:rPr>
            </w:pP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夜班每小时巡逻1次，并在巡逻时佩戴好防暴工具、对讲机和手电筒。</w:t>
            </w:r>
          </w:p>
        </w:tc>
        <w:tc>
          <w:tcPr>
            <w:tcW w:w="2213" w:type="dxa"/>
            <w:vMerge w:val="continue"/>
            <w:vAlign w:val="center"/>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7" w:type="dxa"/>
            <w:vMerge w:val="continue"/>
            <w:vAlign w:val="center"/>
          </w:tcPr>
          <w:p>
            <w:pPr>
              <w:jc w:val="left"/>
              <w:rPr>
                <w:rFonts w:asciiTheme="majorEastAsia" w:hAnsiTheme="majorEastAsia" w:eastAsiaTheme="majorEastAsia"/>
                <w:szCs w:val="21"/>
              </w:rPr>
            </w:pP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填写《日常巡查记录表》。</w:t>
            </w:r>
          </w:p>
        </w:tc>
        <w:tc>
          <w:tcPr>
            <w:tcW w:w="2213" w:type="dxa"/>
            <w:vMerge w:val="continue"/>
            <w:vAlign w:val="center"/>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7"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7.配合安全检查</w:t>
            </w: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配合基地</w:t>
            </w:r>
            <w:r>
              <w:rPr>
                <w:rFonts w:asciiTheme="majorEastAsia" w:hAnsiTheme="majorEastAsia" w:eastAsiaTheme="majorEastAsia"/>
                <w:szCs w:val="21"/>
              </w:rPr>
              <w:t>消防</w:t>
            </w:r>
            <w:r>
              <w:rPr>
                <w:rFonts w:hint="eastAsia" w:asciiTheme="majorEastAsia" w:hAnsiTheme="majorEastAsia" w:eastAsiaTheme="majorEastAsia"/>
                <w:szCs w:val="21"/>
              </w:rPr>
              <w:t>设备</w:t>
            </w:r>
            <w:r>
              <w:rPr>
                <w:rFonts w:asciiTheme="majorEastAsia" w:hAnsiTheme="majorEastAsia" w:eastAsiaTheme="majorEastAsia"/>
                <w:szCs w:val="21"/>
              </w:rPr>
              <w:t>设施</w:t>
            </w:r>
            <w:r>
              <w:rPr>
                <w:rFonts w:hint="eastAsia" w:asciiTheme="majorEastAsia" w:hAnsiTheme="majorEastAsia" w:eastAsiaTheme="majorEastAsia"/>
                <w:szCs w:val="21"/>
              </w:rPr>
              <w:t>检查；其他</w:t>
            </w:r>
            <w:r>
              <w:rPr>
                <w:rFonts w:asciiTheme="majorEastAsia" w:hAnsiTheme="majorEastAsia" w:eastAsiaTheme="majorEastAsia"/>
                <w:szCs w:val="21"/>
              </w:rPr>
              <w:t>设备</w:t>
            </w:r>
            <w:r>
              <w:rPr>
                <w:rFonts w:hint="eastAsia" w:asciiTheme="majorEastAsia" w:hAnsiTheme="majorEastAsia" w:eastAsiaTheme="majorEastAsia"/>
                <w:szCs w:val="21"/>
              </w:rPr>
              <w:t>定期检查检验</w:t>
            </w:r>
            <w:r>
              <w:rPr>
                <w:rFonts w:asciiTheme="majorEastAsia" w:hAnsiTheme="majorEastAsia" w:eastAsiaTheme="majorEastAsia"/>
                <w:szCs w:val="21"/>
              </w:rPr>
              <w:t>，协助</w:t>
            </w:r>
            <w:r>
              <w:rPr>
                <w:rFonts w:hint="eastAsia" w:asciiTheme="majorEastAsia" w:hAnsiTheme="majorEastAsia" w:eastAsiaTheme="majorEastAsia"/>
                <w:szCs w:val="21"/>
              </w:rPr>
              <w:t>做好</w:t>
            </w:r>
            <w:r>
              <w:rPr>
                <w:rFonts w:asciiTheme="majorEastAsia" w:hAnsiTheme="majorEastAsia" w:eastAsiaTheme="majorEastAsia"/>
                <w:szCs w:val="21"/>
              </w:rPr>
              <w:t>消防隐患整改工作</w:t>
            </w:r>
            <w:r>
              <w:rPr>
                <w:rFonts w:hint="eastAsia" w:asciiTheme="majorEastAsia" w:hAnsiTheme="majorEastAsia" w:eastAsiaTheme="majorEastAsia"/>
                <w:szCs w:val="21"/>
              </w:rPr>
              <w:t>。</w:t>
            </w:r>
          </w:p>
        </w:tc>
        <w:tc>
          <w:tcPr>
            <w:tcW w:w="2213" w:type="dxa"/>
            <w:vAlign w:val="center"/>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07"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8.维持重大活动秩序</w:t>
            </w:r>
          </w:p>
        </w:tc>
        <w:tc>
          <w:tcPr>
            <w:tcW w:w="4739" w:type="dxa"/>
            <w:vAlign w:val="center"/>
          </w:tcPr>
          <w:p>
            <w:pPr>
              <w:jc w:val="left"/>
              <w:rPr>
                <w:rFonts w:asciiTheme="majorEastAsia" w:hAnsiTheme="majorEastAsia" w:eastAsiaTheme="majorEastAsia"/>
                <w:szCs w:val="21"/>
              </w:rPr>
            </w:pPr>
            <w:r>
              <w:rPr>
                <w:rFonts w:asciiTheme="majorEastAsia" w:hAnsiTheme="majorEastAsia" w:eastAsiaTheme="majorEastAsia"/>
                <w:szCs w:val="21"/>
              </w:rPr>
              <w:t>按照</w:t>
            </w:r>
            <w:r>
              <w:rPr>
                <w:rFonts w:hint="eastAsia" w:asciiTheme="majorEastAsia" w:hAnsiTheme="majorEastAsia" w:eastAsiaTheme="majorEastAsia"/>
                <w:szCs w:val="21"/>
              </w:rPr>
              <w:t>基地</w:t>
            </w:r>
            <w:r>
              <w:rPr>
                <w:rFonts w:asciiTheme="majorEastAsia" w:hAnsiTheme="majorEastAsia" w:eastAsiaTheme="majorEastAsia"/>
                <w:szCs w:val="21"/>
              </w:rPr>
              <w:t>部署，对</w:t>
            </w:r>
            <w:r>
              <w:rPr>
                <w:rFonts w:hint="eastAsia" w:asciiTheme="majorEastAsia" w:hAnsiTheme="majorEastAsia" w:eastAsiaTheme="majorEastAsia"/>
                <w:szCs w:val="21"/>
              </w:rPr>
              <w:t>基地</w:t>
            </w:r>
            <w:r>
              <w:rPr>
                <w:rFonts w:asciiTheme="majorEastAsia" w:hAnsiTheme="majorEastAsia" w:eastAsiaTheme="majorEastAsia"/>
                <w:szCs w:val="21"/>
              </w:rPr>
              <w:t>内举行的重大活动维持好现场秩序</w:t>
            </w:r>
            <w:r>
              <w:rPr>
                <w:rFonts w:hint="eastAsia" w:asciiTheme="majorEastAsia" w:hAnsiTheme="majorEastAsia" w:eastAsiaTheme="majorEastAsia"/>
                <w:szCs w:val="21"/>
              </w:rPr>
              <w:t>。</w:t>
            </w:r>
          </w:p>
        </w:tc>
        <w:tc>
          <w:tcPr>
            <w:tcW w:w="2213" w:type="dxa"/>
            <w:vAlign w:val="center"/>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7" w:type="dxa"/>
            <w:vMerge w:val="restart"/>
            <w:vAlign w:val="center"/>
          </w:tcPr>
          <w:p>
            <w:pPr>
              <w:jc w:val="left"/>
              <w:rPr>
                <w:rFonts w:asciiTheme="majorEastAsia" w:hAnsiTheme="majorEastAsia" w:eastAsiaTheme="majorEastAsia"/>
                <w:szCs w:val="21"/>
              </w:rPr>
            </w:pPr>
            <w:r>
              <w:rPr>
                <w:rFonts w:asciiTheme="majorEastAsia" w:hAnsiTheme="majorEastAsia" w:eastAsiaTheme="majorEastAsia"/>
                <w:szCs w:val="21"/>
              </w:rPr>
              <w:t>9</w:t>
            </w:r>
            <w:r>
              <w:rPr>
                <w:rFonts w:hint="eastAsia" w:asciiTheme="majorEastAsia" w:hAnsiTheme="majorEastAsia" w:eastAsiaTheme="majorEastAsia"/>
                <w:szCs w:val="21"/>
              </w:rPr>
              <w:t>.服从领导安排</w:t>
            </w: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遵守基地规章制度。</w:t>
            </w:r>
          </w:p>
        </w:tc>
        <w:tc>
          <w:tcPr>
            <w:tcW w:w="2213" w:type="dxa"/>
            <w:vMerge w:val="restart"/>
            <w:vAlign w:val="center"/>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07" w:type="dxa"/>
            <w:vMerge w:val="continue"/>
            <w:vAlign w:val="center"/>
          </w:tcPr>
          <w:p>
            <w:pPr>
              <w:jc w:val="center"/>
              <w:rPr>
                <w:rFonts w:asciiTheme="majorEastAsia" w:hAnsiTheme="majorEastAsia" w:eastAsiaTheme="majorEastAsia"/>
                <w:szCs w:val="21"/>
              </w:rPr>
            </w:pPr>
          </w:p>
        </w:tc>
        <w:tc>
          <w:tcPr>
            <w:tcW w:w="4739"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及时完成基地管理人员安排的其他事务。</w:t>
            </w:r>
          </w:p>
        </w:tc>
        <w:tc>
          <w:tcPr>
            <w:tcW w:w="2213" w:type="dxa"/>
            <w:vMerge w:val="continue"/>
            <w:vAlign w:val="center"/>
          </w:tcPr>
          <w:p>
            <w:pPr>
              <w:jc w:val="center"/>
              <w:rPr>
                <w:rFonts w:asciiTheme="majorEastAsia" w:hAnsiTheme="majorEastAsia" w:eastAsiaTheme="majorEastAsia"/>
                <w:szCs w:val="21"/>
              </w:rPr>
            </w:pPr>
          </w:p>
        </w:tc>
      </w:tr>
    </w:tbl>
    <w:p>
      <w:pPr>
        <w:spacing w:line="360" w:lineRule="auto"/>
        <w:ind w:left="420"/>
        <w:rPr>
          <w:rFonts w:asciiTheme="majorEastAsia" w:hAnsiTheme="majorEastAsia" w:eastAsiaTheme="majorEastAsia"/>
          <w:sz w:val="24"/>
          <w:szCs w:val="24"/>
        </w:rPr>
      </w:pPr>
      <w:r>
        <w:rPr>
          <w:rFonts w:asciiTheme="majorEastAsia" w:hAnsiTheme="majorEastAsia" w:eastAsiaTheme="majorEastAsia"/>
          <w:sz w:val="24"/>
          <w:szCs w:val="24"/>
        </w:rPr>
        <w:t>3.</w:t>
      </w:r>
      <w:r>
        <w:rPr>
          <w:rFonts w:hint="eastAsia" w:asciiTheme="majorEastAsia" w:hAnsiTheme="majorEastAsia" w:eastAsiaTheme="majorEastAsia"/>
          <w:sz w:val="24"/>
          <w:szCs w:val="24"/>
        </w:rPr>
        <w:t>2</w:t>
      </w:r>
      <w:r>
        <w:rPr>
          <w:rFonts w:asciiTheme="majorEastAsia" w:hAnsiTheme="majorEastAsia" w:eastAsiaTheme="majorEastAsia"/>
          <w:sz w:val="24"/>
          <w:szCs w:val="24"/>
        </w:rPr>
        <w:t>.</w:t>
      </w:r>
      <w:r>
        <w:rPr>
          <w:rFonts w:hint="eastAsia" w:asciiTheme="majorEastAsia" w:hAnsiTheme="majorEastAsia" w:eastAsiaTheme="majorEastAsia"/>
          <w:sz w:val="24"/>
          <w:szCs w:val="24"/>
        </w:rPr>
        <w:t>2</w:t>
      </w:r>
      <w:r>
        <w:rPr>
          <w:rFonts w:asciiTheme="majorEastAsia" w:hAnsiTheme="majorEastAsia" w:eastAsiaTheme="majorEastAsia"/>
          <w:sz w:val="24"/>
          <w:szCs w:val="24"/>
        </w:rPr>
        <w:t xml:space="preserve"> 车辆出入登记表</w:t>
      </w:r>
    </w:p>
    <w:tbl>
      <w:tblPr>
        <w:tblStyle w:val="46"/>
        <w:tblW w:w="5019" w:type="pct"/>
        <w:tblInd w:w="0" w:type="dxa"/>
        <w:tblLayout w:type="autofit"/>
        <w:tblCellMar>
          <w:top w:w="0" w:type="dxa"/>
          <w:left w:w="108" w:type="dxa"/>
          <w:bottom w:w="0" w:type="dxa"/>
          <w:right w:w="108" w:type="dxa"/>
        </w:tblCellMar>
      </w:tblPr>
      <w:tblGrid>
        <w:gridCol w:w="1074"/>
        <w:gridCol w:w="1369"/>
        <w:gridCol w:w="1369"/>
        <w:gridCol w:w="1369"/>
        <w:gridCol w:w="1369"/>
        <w:gridCol w:w="947"/>
        <w:gridCol w:w="1158"/>
      </w:tblGrid>
      <w:tr>
        <w:tblPrEx>
          <w:tblCellMar>
            <w:top w:w="0" w:type="dxa"/>
            <w:left w:w="108" w:type="dxa"/>
            <w:bottom w:w="0" w:type="dxa"/>
            <w:right w:w="108" w:type="dxa"/>
          </w:tblCellMar>
        </w:tblPrEx>
        <w:trPr>
          <w:gridAfter w:val="6"/>
          <w:wAfter w:w="4282" w:type="pct"/>
          <w:trHeight w:val="310" w:hRule="atLeast"/>
        </w:trPr>
        <w:tc>
          <w:tcPr>
            <w:tcW w:w="717" w:type="pct"/>
            <w:tcBorders>
              <w:top w:val="nil"/>
              <w:left w:val="nil"/>
              <w:bottom w:val="nil"/>
              <w:right w:val="nil"/>
            </w:tcBorders>
            <w:shd w:val="clear" w:color="auto" w:fill="auto"/>
            <w:noWrap/>
            <w:vAlign w:val="center"/>
          </w:tcPr>
          <w:p>
            <w:pPr>
              <w:ind w:firstLine="310" w:firstLineChars="147"/>
              <w:rPr>
                <w:rFonts w:asciiTheme="majorEastAsia" w:hAnsiTheme="majorEastAsia" w:eastAsiaTheme="majorEastAsia"/>
                <w:b/>
                <w:szCs w:val="21"/>
              </w:rPr>
            </w:pPr>
          </w:p>
        </w:tc>
      </w:tr>
      <w:tr>
        <w:tblPrEx>
          <w:tblCellMar>
            <w:top w:w="0" w:type="dxa"/>
            <w:left w:w="108" w:type="dxa"/>
            <w:bottom w:w="0" w:type="dxa"/>
            <w:right w:w="108" w:type="dxa"/>
          </w:tblCellMar>
        </w:tblPrEx>
        <w:trPr>
          <w:trHeight w:val="317" w:hRule="atLeast"/>
        </w:trPr>
        <w:tc>
          <w:tcPr>
            <w:tcW w:w="717" w:type="pc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r>
              <w:rPr>
                <w:rFonts w:hint="eastAsia" w:asciiTheme="majorEastAsia" w:hAnsiTheme="majorEastAsia" w:eastAsiaTheme="majorEastAsia"/>
                <w:b/>
                <w:szCs w:val="21"/>
              </w:rPr>
              <w:t>日期</w:t>
            </w:r>
          </w:p>
        </w:tc>
        <w:tc>
          <w:tcPr>
            <w:tcW w:w="773" w:type="pct"/>
            <w:tcBorders>
              <w:top w:val="single" w:color="auto" w:sz="4" w:space="0"/>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r>
              <w:rPr>
                <w:rFonts w:hint="eastAsia" w:asciiTheme="majorEastAsia" w:hAnsiTheme="majorEastAsia" w:eastAsiaTheme="majorEastAsia"/>
                <w:b/>
                <w:szCs w:val="21"/>
              </w:rPr>
              <w:t>车牌号码</w:t>
            </w:r>
          </w:p>
        </w:tc>
        <w:tc>
          <w:tcPr>
            <w:tcW w:w="772" w:type="pct"/>
            <w:tcBorders>
              <w:top w:val="single" w:color="auto" w:sz="4" w:space="0"/>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r>
              <w:rPr>
                <w:rFonts w:hint="eastAsia" w:asciiTheme="majorEastAsia" w:hAnsiTheme="majorEastAsia" w:eastAsiaTheme="majorEastAsia"/>
                <w:b/>
                <w:szCs w:val="21"/>
              </w:rPr>
              <w:t>到访事由</w:t>
            </w:r>
          </w:p>
        </w:tc>
        <w:tc>
          <w:tcPr>
            <w:tcW w:w="772" w:type="pct"/>
            <w:tcBorders>
              <w:top w:val="single" w:color="auto" w:sz="4" w:space="0"/>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r>
              <w:rPr>
                <w:rFonts w:hint="eastAsia" w:asciiTheme="majorEastAsia" w:hAnsiTheme="majorEastAsia" w:eastAsiaTheme="majorEastAsia"/>
                <w:b/>
                <w:szCs w:val="21"/>
              </w:rPr>
              <w:t>到访时间</w:t>
            </w:r>
          </w:p>
        </w:tc>
        <w:tc>
          <w:tcPr>
            <w:tcW w:w="772" w:type="pct"/>
            <w:tcBorders>
              <w:top w:val="single" w:color="auto" w:sz="4" w:space="0"/>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r>
              <w:rPr>
                <w:rFonts w:hint="eastAsia" w:asciiTheme="majorEastAsia" w:hAnsiTheme="majorEastAsia" w:eastAsiaTheme="majorEastAsia"/>
                <w:b/>
                <w:szCs w:val="21"/>
              </w:rPr>
              <w:t>离开时间</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r>
              <w:rPr>
                <w:rFonts w:hint="eastAsia" w:asciiTheme="majorEastAsia" w:hAnsiTheme="majorEastAsia" w:eastAsiaTheme="majorEastAsia"/>
                <w:b/>
                <w:szCs w:val="21"/>
              </w:rPr>
              <w:t>备注</w:t>
            </w:r>
          </w:p>
        </w:tc>
        <w:tc>
          <w:tcPr>
            <w:tcW w:w="672" w:type="pct"/>
            <w:tcBorders>
              <w:top w:val="single" w:color="auto" w:sz="4" w:space="0"/>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r>
              <w:rPr>
                <w:rFonts w:hint="eastAsia" w:asciiTheme="majorEastAsia" w:hAnsiTheme="majorEastAsia" w:eastAsiaTheme="majorEastAsia"/>
                <w:b/>
                <w:szCs w:val="21"/>
              </w:rPr>
              <w:t>记录人</w:t>
            </w:r>
          </w:p>
        </w:tc>
      </w:tr>
      <w:tr>
        <w:tblPrEx>
          <w:tblCellMar>
            <w:top w:w="0" w:type="dxa"/>
            <w:left w:w="108" w:type="dxa"/>
            <w:bottom w:w="0" w:type="dxa"/>
            <w:right w:w="108" w:type="dxa"/>
          </w:tblCellMar>
        </w:tblPrEx>
        <w:trPr>
          <w:trHeight w:val="320" w:hRule="atLeast"/>
        </w:trPr>
        <w:tc>
          <w:tcPr>
            <w:tcW w:w="717" w:type="pct"/>
            <w:tcBorders>
              <w:top w:val="nil"/>
              <w:left w:val="single" w:color="auto" w:sz="4" w:space="0"/>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3"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518"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6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r>
      <w:tr>
        <w:tblPrEx>
          <w:tblCellMar>
            <w:top w:w="0" w:type="dxa"/>
            <w:left w:w="108" w:type="dxa"/>
            <w:bottom w:w="0" w:type="dxa"/>
            <w:right w:w="108" w:type="dxa"/>
          </w:tblCellMar>
        </w:tblPrEx>
        <w:trPr>
          <w:trHeight w:val="320" w:hRule="atLeast"/>
        </w:trPr>
        <w:tc>
          <w:tcPr>
            <w:tcW w:w="717" w:type="pct"/>
            <w:tcBorders>
              <w:top w:val="nil"/>
              <w:left w:val="single" w:color="auto" w:sz="4" w:space="0"/>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3"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518"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6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r>
      <w:tr>
        <w:tblPrEx>
          <w:tblCellMar>
            <w:top w:w="0" w:type="dxa"/>
            <w:left w:w="108" w:type="dxa"/>
            <w:bottom w:w="0" w:type="dxa"/>
            <w:right w:w="108" w:type="dxa"/>
          </w:tblCellMar>
        </w:tblPrEx>
        <w:trPr>
          <w:trHeight w:val="320" w:hRule="atLeast"/>
        </w:trPr>
        <w:tc>
          <w:tcPr>
            <w:tcW w:w="717" w:type="pct"/>
            <w:tcBorders>
              <w:top w:val="nil"/>
              <w:left w:val="single" w:color="auto" w:sz="4" w:space="0"/>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3"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518"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6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r>
      <w:tr>
        <w:tblPrEx>
          <w:tblCellMar>
            <w:top w:w="0" w:type="dxa"/>
            <w:left w:w="108" w:type="dxa"/>
            <w:bottom w:w="0" w:type="dxa"/>
            <w:right w:w="108" w:type="dxa"/>
          </w:tblCellMar>
        </w:tblPrEx>
        <w:trPr>
          <w:trHeight w:val="320" w:hRule="atLeast"/>
        </w:trPr>
        <w:tc>
          <w:tcPr>
            <w:tcW w:w="717" w:type="pct"/>
            <w:tcBorders>
              <w:top w:val="nil"/>
              <w:left w:val="single" w:color="auto" w:sz="4" w:space="0"/>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3"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518"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6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r>
      <w:tr>
        <w:tblPrEx>
          <w:tblCellMar>
            <w:top w:w="0" w:type="dxa"/>
            <w:left w:w="108" w:type="dxa"/>
            <w:bottom w:w="0" w:type="dxa"/>
            <w:right w:w="108" w:type="dxa"/>
          </w:tblCellMar>
        </w:tblPrEx>
        <w:trPr>
          <w:trHeight w:val="330" w:hRule="atLeast"/>
        </w:trPr>
        <w:tc>
          <w:tcPr>
            <w:tcW w:w="717" w:type="pct"/>
            <w:tcBorders>
              <w:top w:val="nil"/>
              <w:left w:val="single" w:color="auto" w:sz="4" w:space="0"/>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3"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518"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672" w:type="pct"/>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r>
    </w:tbl>
    <w:p>
      <w:pPr>
        <w:spacing w:line="360" w:lineRule="auto"/>
        <w:ind w:left="420"/>
        <w:rPr>
          <w:rFonts w:asciiTheme="majorEastAsia" w:hAnsiTheme="majorEastAsia" w:eastAsiaTheme="majorEastAsia"/>
          <w:sz w:val="24"/>
          <w:szCs w:val="24"/>
        </w:rPr>
      </w:pPr>
      <w:r>
        <w:rPr>
          <w:rFonts w:asciiTheme="majorEastAsia" w:hAnsiTheme="majorEastAsia" w:eastAsiaTheme="majorEastAsia"/>
          <w:sz w:val="24"/>
          <w:szCs w:val="24"/>
        </w:rPr>
        <w:t>3.</w:t>
      </w:r>
      <w:r>
        <w:rPr>
          <w:rFonts w:hint="eastAsia" w:asciiTheme="majorEastAsia" w:hAnsiTheme="majorEastAsia" w:eastAsiaTheme="majorEastAsia"/>
          <w:sz w:val="24"/>
          <w:szCs w:val="24"/>
        </w:rPr>
        <w:t>2</w:t>
      </w:r>
      <w:r>
        <w:rPr>
          <w:rFonts w:asciiTheme="majorEastAsia" w:hAnsiTheme="majorEastAsia" w:eastAsiaTheme="majorEastAsia"/>
          <w:sz w:val="24"/>
          <w:szCs w:val="24"/>
        </w:rPr>
        <w:t>.</w:t>
      </w:r>
      <w:r>
        <w:rPr>
          <w:rFonts w:hint="eastAsia" w:asciiTheme="majorEastAsia" w:hAnsiTheme="majorEastAsia" w:eastAsiaTheme="majorEastAsia"/>
          <w:sz w:val="24"/>
          <w:szCs w:val="24"/>
        </w:rPr>
        <w:t>3</w:t>
      </w:r>
      <w:r>
        <w:rPr>
          <w:rFonts w:asciiTheme="majorEastAsia" w:hAnsiTheme="majorEastAsia" w:eastAsiaTheme="majorEastAsia"/>
          <w:sz w:val="24"/>
          <w:szCs w:val="24"/>
        </w:rPr>
        <w:t xml:space="preserve"> 外来人员登记表</w:t>
      </w:r>
    </w:p>
    <w:tbl>
      <w:tblPr>
        <w:tblStyle w:val="46"/>
        <w:tblW w:w="8618" w:type="dxa"/>
        <w:tblInd w:w="0" w:type="dxa"/>
        <w:tblLayout w:type="fixed"/>
        <w:tblCellMar>
          <w:top w:w="0" w:type="dxa"/>
          <w:left w:w="108" w:type="dxa"/>
          <w:bottom w:w="0" w:type="dxa"/>
          <w:right w:w="108" w:type="dxa"/>
        </w:tblCellMar>
      </w:tblPr>
      <w:tblGrid>
        <w:gridCol w:w="919"/>
        <w:gridCol w:w="742"/>
        <w:gridCol w:w="1435"/>
        <w:gridCol w:w="912"/>
        <w:gridCol w:w="1241"/>
        <w:gridCol w:w="1241"/>
        <w:gridCol w:w="1106"/>
        <w:gridCol w:w="1022"/>
      </w:tblGrid>
      <w:tr>
        <w:tblPrEx>
          <w:tblCellMar>
            <w:top w:w="0" w:type="dxa"/>
            <w:left w:w="108" w:type="dxa"/>
            <w:bottom w:w="0" w:type="dxa"/>
            <w:right w:w="108" w:type="dxa"/>
          </w:tblCellMar>
        </w:tblPrEx>
        <w:trPr>
          <w:trHeight w:val="643"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日期</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姓名</w:t>
            </w:r>
          </w:p>
        </w:tc>
        <w:tc>
          <w:tcPr>
            <w:tcW w:w="14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身份证号码</w:t>
            </w:r>
          </w:p>
        </w:tc>
        <w:tc>
          <w:tcPr>
            <w:tcW w:w="912"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联系</w:t>
            </w:r>
          </w:p>
          <w:p>
            <w:pPr>
              <w:jc w:val="center"/>
              <w:rPr>
                <w:rFonts w:asciiTheme="majorEastAsia" w:hAnsiTheme="majorEastAsia" w:eastAsiaTheme="majorEastAsia"/>
                <w:b/>
                <w:szCs w:val="21"/>
              </w:rPr>
            </w:pPr>
            <w:r>
              <w:rPr>
                <w:rFonts w:hint="eastAsia" w:asciiTheme="majorEastAsia" w:hAnsiTheme="majorEastAsia" w:eastAsiaTheme="majorEastAsia"/>
                <w:b/>
                <w:szCs w:val="21"/>
              </w:rPr>
              <w:t>电话</w:t>
            </w:r>
          </w:p>
        </w:tc>
        <w:tc>
          <w:tcPr>
            <w:tcW w:w="124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拜访单位</w:t>
            </w:r>
          </w:p>
        </w:tc>
        <w:tc>
          <w:tcPr>
            <w:tcW w:w="124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到访事由</w:t>
            </w:r>
          </w:p>
        </w:tc>
        <w:tc>
          <w:tcPr>
            <w:tcW w:w="110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到访时间</w:t>
            </w:r>
          </w:p>
        </w:tc>
        <w:tc>
          <w:tcPr>
            <w:tcW w:w="102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离开</w:t>
            </w:r>
          </w:p>
          <w:p>
            <w:pPr>
              <w:jc w:val="center"/>
              <w:rPr>
                <w:rFonts w:asciiTheme="majorEastAsia" w:hAnsiTheme="majorEastAsia" w:eastAsiaTheme="majorEastAsia"/>
                <w:b/>
                <w:szCs w:val="21"/>
              </w:rPr>
            </w:pPr>
            <w:r>
              <w:rPr>
                <w:rFonts w:hint="eastAsia" w:asciiTheme="majorEastAsia" w:hAnsiTheme="majorEastAsia" w:eastAsiaTheme="majorEastAsia"/>
                <w:b/>
                <w:szCs w:val="21"/>
              </w:rPr>
              <w:t>时间</w:t>
            </w:r>
          </w:p>
        </w:tc>
      </w:tr>
      <w:tr>
        <w:tblPrEx>
          <w:tblCellMar>
            <w:top w:w="0" w:type="dxa"/>
            <w:left w:w="108" w:type="dxa"/>
            <w:bottom w:w="0" w:type="dxa"/>
            <w:right w:w="108" w:type="dxa"/>
          </w:tblCellMar>
        </w:tblPrEx>
        <w:trPr>
          <w:trHeight w:val="643"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42"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435"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912" w:type="dxa"/>
            <w:tcBorders>
              <w:top w:val="nil"/>
              <w:left w:val="nil"/>
              <w:bottom w:val="single" w:color="auto" w:sz="4" w:space="0"/>
              <w:right w:val="single" w:color="auto" w:sz="4" w:space="0"/>
            </w:tcBorders>
            <w:shd w:val="clear" w:color="auto" w:fill="auto"/>
            <w:vAlign w:val="center"/>
          </w:tcPr>
          <w:p>
            <w:pPr>
              <w:ind w:firstLine="310" w:firstLineChars="147"/>
              <w:rPr>
                <w:rFonts w:asciiTheme="majorEastAsia" w:hAnsiTheme="majorEastAsia" w:eastAsiaTheme="majorEastAsia"/>
                <w:b/>
                <w:szCs w:val="21"/>
              </w:rPr>
            </w:pPr>
          </w:p>
        </w:tc>
        <w:tc>
          <w:tcPr>
            <w:tcW w:w="1241"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241"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106"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022"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r>
      <w:tr>
        <w:tblPrEx>
          <w:tblCellMar>
            <w:top w:w="0" w:type="dxa"/>
            <w:left w:w="108" w:type="dxa"/>
            <w:bottom w:w="0" w:type="dxa"/>
            <w:right w:w="108" w:type="dxa"/>
          </w:tblCellMar>
        </w:tblPrEx>
        <w:trPr>
          <w:trHeight w:val="643"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42"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435"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912" w:type="dxa"/>
            <w:tcBorders>
              <w:top w:val="nil"/>
              <w:left w:val="nil"/>
              <w:bottom w:val="single" w:color="auto" w:sz="4" w:space="0"/>
              <w:right w:val="single" w:color="auto" w:sz="4" w:space="0"/>
            </w:tcBorders>
            <w:shd w:val="clear" w:color="auto" w:fill="auto"/>
            <w:vAlign w:val="center"/>
          </w:tcPr>
          <w:p>
            <w:pPr>
              <w:ind w:firstLine="310" w:firstLineChars="147"/>
              <w:rPr>
                <w:rFonts w:asciiTheme="majorEastAsia" w:hAnsiTheme="majorEastAsia" w:eastAsiaTheme="majorEastAsia"/>
                <w:b/>
                <w:szCs w:val="21"/>
              </w:rPr>
            </w:pPr>
          </w:p>
        </w:tc>
        <w:tc>
          <w:tcPr>
            <w:tcW w:w="1241"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241"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106"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022"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r>
      <w:tr>
        <w:tblPrEx>
          <w:tblCellMar>
            <w:top w:w="0" w:type="dxa"/>
            <w:left w:w="108" w:type="dxa"/>
            <w:bottom w:w="0" w:type="dxa"/>
            <w:right w:w="108" w:type="dxa"/>
          </w:tblCellMar>
        </w:tblPrEx>
        <w:trPr>
          <w:trHeight w:val="643"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42"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435"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912" w:type="dxa"/>
            <w:tcBorders>
              <w:top w:val="nil"/>
              <w:left w:val="nil"/>
              <w:bottom w:val="single" w:color="auto" w:sz="4" w:space="0"/>
              <w:right w:val="single" w:color="auto" w:sz="4" w:space="0"/>
            </w:tcBorders>
            <w:shd w:val="clear" w:color="auto" w:fill="auto"/>
            <w:vAlign w:val="center"/>
          </w:tcPr>
          <w:p>
            <w:pPr>
              <w:ind w:firstLine="310" w:firstLineChars="147"/>
              <w:rPr>
                <w:rFonts w:asciiTheme="majorEastAsia" w:hAnsiTheme="majorEastAsia" w:eastAsiaTheme="majorEastAsia"/>
                <w:b/>
                <w:szCs w:val="21"/>
              </w:rPr>
            </w:pPr>
          </w:p>
        </w:tc>
        <w:tc>
          <w:tcPr>
            <w:tcW w:w="1241"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241"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106"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022"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r>
      <w:tr>
        <w:tblPrEx>
          <w:tblCellMar>
            <w:top w:w="0" w:type="dxa"/>
            <w:left w:w="108" w:type="dxa"/>
            <w:bottom w:w="0" w:type="dxa"/>
            <w:right w:w="108" w:type="dxa"/>
          </w:tblCellMar>
        </w:tblPrEx>
        <w:trPr>
          <w:trHeight w:val="663"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742"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435"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912" w:type="dxa"/>
            <w:tcBorders>
              <w:top w:val="nil"/>
              <w:left w:val="nil"/>
              <w:bottom w:val="single" w:color="auto" w:sz="4" w:space="0"/>
              <w:right w:val="single" w:color="auto" w:sz="4" w:space="0"/>
            </w:tcBorders>
            <w:shd w:val="clear" w:color="auto" w:fill="auto"/>
            <w:vAlign w:val="center"/>
          </w:tcPr>
          <w:p>
            <w:pPr>
              <w:ind w:firstLine="310" w:firstLineChars="147"/>
              <w:rPr>
                <w:rFonts w:asciiTheme="majorEastAsia" w:hAnsiTheme="majorEastAsia" w:eastAsiaTheme="majorEastAsia"/>
                <w:b/>
                <w:szCs w:val="21"/>
              </w:rPr>
            </w:pPr>
          </w:p>
        </w:tc>
        <w:tc>
          <w:tcPr>
            <w:tcW w:w="1241"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241"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106"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c>
          <w:tcPr>
            <w:tcW w:w="1022" w:type="dxa"/>
            <w:tcBorders>
              <w:top w:val="nil"/>
              <w:left w:val="nil"/>
              <w:bottom w:val="single" w:color="auto" w:sz="4" w:space="0"/>
              <w:right w:val="single" w:color="auto" w:sz="4" w:space="0"/>
            </w:tcBorders>
            <w:shd w:val="clear" w:color="auto" w:fill="auto"/>
            <w:noWrap/>
            <w:vAlign w:val="center"/>
          </w:tcPr>
          <w:p>
            <w:pPr>
              <w:ind w:firstLine="310" w:firstLineChars="147"/>
              <w:rPr>
                <w:rFonts w:asciiTheme="majorEastAsia" w:hAnsiTheme="majorEastAsia" w:eastAsiaTheme="majorEastAsia"/>
                <w:b/>
                <w:szCs w:val="21"/>
              </w:rPr>
            </w:pPr>
          </w:p>
        </w:tc>
      </w:tr>
    </w:tbl>
    <w:p>
      <w:pPr>
        <w:spacing w:line="360" w:lineRule="auto"/>
        <w:ind w:left="420"/>
        <w:rPr>
          <w:rFonts w:asciiTheme="majorEastAsia" w:hAnsiTheme="majorEastAsia" w:eastAsiaTheme="majorEastAsia"/>
          <w:sz w:val="24"/>
          <w:szCs w:val="24"/>
        </w:rPr>
      </w:pPr>
      <w:r>
        <w:rPr>
          <w:rFonts w:asciiTheme="majorEastAsia" w:hAnsiTheme="majorEastAsia" w:eastAsiaTheme="majorEastAsia"/>
          <w:sz w:val="24"/>
          <w:szCs w:val="24"/>
        </w:rPr>
        <w:t>3.</w:t>
      </w:r>
      <w:r>
        <w:rPr>
          <w:rFonts w:hint="eastAsia" w:asciiTheme="majorEastAsia" w:hAnsiTheme="majorEastAsia" w:eastAsiaTheme="majorEastAsia"/>
          <w:sz w:val="24"/>
          <w:szCs w:val="24"/>
        </w:rPr>
        <w:t>2</w:t>
      </w:r>
      <w:r>
        <w:rPr>
          <w:rFonts w:asciiTheme="majorEastAsia" w:hAnsiTheme="majorEastAsia" w:eastAsiaTheme="majorEastAsia"/>
          <w:sz w:val="24"/>
          <w:szCs w:val="24"/>
        </w:rPr>
        <w:t>.</w:t>
      </w:r>
      <w:r>
        <w:rPr>
          <w:rFonts w:hint="eastAsia" w:asciiTheme="majorEastAsia" w:hAnsiTheme="majorEastAsia" w:eastAsiaTheme="majorEastAsia"/>
          <w:sz w:val="24"/>
          <w:szCs w:val="24"/>
        </w:rPr>
        <w:t>4交接班记录表</w:t>
      </w:r>
    </w:p>
    <w:tbl>
      <w:tblPr>
        <w:tblStyle w:val="46"/>
        <w:tblW w:w="8717" w:type="dxa"/>
        <w:tblInd w:w="0" w:type="dxa"/>
        <w:tblLayout w:type="autofit"/>
        <w:tblCellMar>
          <w:top w:w="0" w:type="dxa"/>
          <w:left w:w="108" w:type="dxa"/>
          <w:bottom w:w="0" w:type="dxa"/>
          <w:right w:w="108" w:type="dxa"/>
        </w:tblCellMar>
      </w:tblPr>
      <w:tblGrid>
        <w:gridCol w:w="857"/>
        <w:gridCol w:w="2040"/>
        <w:gridCol w:w="2597"/>
        <w:gridCol w:w="1110"/>
        <w:gridCol w:w="1073"/>
        <w:gridCol w:w="1040"/>
      </w:tblGrid>
      <w:tr>
        <w:tblPrEx>
          <w:tblCellMar>
            <w:top w:w="0" w:type="dxa"/>
            <w:left w:w="108" w:type="dxa"/>
            <w:bottom w:w="0" w:type="dxa"/>
            <w:right w:w="108" w:type="dxa"/>
          </w:tblCellMar>
        </w:tblPrEx>
        <w:trPr>
          <w:trHeight w:val="749" w:hRule="atLeast"/>
        </w:trPr>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11" w:firstLineChars="100"/>
              <w:rPr>
                <w:rFonts w:asciiTheme="majorEastAsia" w:hAnsiTheme="majorEastAsia" w:eastAsiaTheme="majorEastAsia"/>
                <w:b/>
                <w:szCs w:val="21"/>
              </w:rPr>
            </w:pPr>
            <w:r>
              <w:rPr>
                <w:rFonts w:hint="eastAsia" w:asciiTheme="majorEastAsia" w:hAnsiTheme="majorEastAsia" w:eastAsiaTheme="majorEastAsia"/>
                <w:b/>
                <w:szCs w:val="21"/>
              </w:rPr>
              <w:t>日期</w:t>
            </w:r>
          </w:p>
        </w:tc>
        <w:tc>
          <w:tcPr>
            <w:tcW w:w="2040" w:type="dxa"/>
            <w:tcBorders>
              <w:top w:val="single" w:color="auto" w:sz="4" w:space="0"/>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r>
              <w:rPr>
                <w:rFonts w:hint="eastAsia" w:asciiTheme="majorEastAsia" w:hAnsiTheme="majorEastAsia" w:eastAsiaTheme="majorEastAsia"/>
                <w:b/>
                <w:szCs w:val="21"/>
              </w:rPr>
              <w:t>本班发现问题及处理结果</w:t>
            </w:r>
          </w:p>
        </w:tc>
        <w:tc>
          <w:tcPr>
            <w:tcW w:w="2597" w:type="dxa"/>
            <w:tcBorders>
              <w:top w:val="single" w:color="auto" w:sz="4" w:space="0"/>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r>
              <w:rPr>
                <w:rFonts w:hint="eastAsia" w:asciiTheme="majorEastAsia" w:hAnsiTheme="majorEastAsia" w:eastAsiaTheme="majorEastAsia"/>
                <w:b/>
                <w:szCs w:val="21"/>
              </w:rPr>
              <w:t>本班已受理未解决事件及处理进度</w:t>
            </w:r>
          </w:p>
        </w:tc>
        <w:tc>
          <w:tcPr>
            <w:tcW w:w="1110" w:type="dxa"/>
            <w:tcBorders>
              <w:top w:val="single" w:color="auto" w:sz="4" w:space="0"/>
              <w:left w:val="nil"/>
              <w:bottom w:val="single" w:color="auto" w:sz="4" w:space="0"/>
              <w:right w:val="single" w:color="auto" w:sz="4" w:space="0"/>
            </w:tcBorders>
            <w:shd w:val="clear" w:color="auto" w:fill="auto"/>
            <w:noWrap/>
            <w:vAlign w:val="center"/>
          </w:tcPr>
          <w:p>
            <w:pPr>
              <w:ind w:firstLine="211" w:firstLineChars="100"/>
              <w:rPr>
                <w:rFonts w:asciiTheme="majorEastAsia" w:hAnsiTheme="majorEastAsia" w:eastAsiaTheme="majorEastAsia"/>
                <w:b/>
                <w:szCs w:val="21"/>
              </w:rPr>
            </w:pPr>
            <w:r>
              <w:rPr>
                <w:rFonts w:hint="eastAsia" w:asciiTheme="majorEastAsia" w:hAnsiTheme="majorEastAsia" w:eastAsiaTheme="majorEastAsia"/>
                <w:b/>
                <w:szCs w:val="21"/>
              </w:rPr>
              <w:t>备注</w:t>
            </w:r>
          </w:p>
        </w:tc>
        <w:tc>
          <w:tcPr>
            <w:tcW w:w="1073" w:type="dxa"/>
            <w:tcBorders>
              <w:top w:val="single" w:color="auto" w:sz="4" w:space="0"/>
              <w:left w:val="nil"/>
              <w:bottom w:val="single" w:color="auto" w:sz="4" w:space="0"/>
              <w:right w:val="single" w:color="auto" w:sz="4" w:space="0"/>
            </w:tcBorders>
            <w:shd w:val="clear" w:color="auto" w:fill="auto"/>
            <w:noWrap/>
            <w:vAlign w:val="center"/>
          </w:tcPr>
          <w:p>
            <w:pPr>
              <w:ind w:firstLine="211" w:firstLineChars="100"/>
              <w:rPr>
                <w:rFonts w:asciiTheme="majorEastAsia" w:hAnsiTheme="majorEastAsia" w:eastAsiaTheme="majorEastAsia"/>
                <w:b/>
                <w:szCs w:val="21"/>
              </w:rPr>
            </w:pPr>
            <w:r>
              <w:rPr>
                <w:rFonts w:hint="eastAsia" w:asciiTheme="majorEastAsia" w:hAnsiTheme="majorEastAsia" w:eastAsiaTheme="majorEastAsia"/>
                <w:b/>
                <w:szCs w:val="21"/>
              </w:rPr>
              <w:t>当班人</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rPr>
                <w:rFonts w:asciiTheme="majorEastAsia" w:hAnsiTheme="majorEastAsia" w:eastAsiaTheme="majorEastAsia"/>
                <w:b/>
                <w:szCs w:val="21"/>
              </w:rPr>
            </w:pPr>
            <w:r>
              <w:rPr>
                <w:rFonts w:hint="eastAsia" w:asciiTheme="majorEastAsia" w:hAnsiTheme="majorEastAsia" w:eastAsiaTheme="majorEastAsia"/>
                <w:b/>
                <w:szCs w:val="21"/>
              </w:rPr>
              <w:t>交班人</w:t>
            </w:r>
          </w:p>
        </w:tc>
      </w:tr>
      <w:tr>
        <w:tblPrEx>
          <w:tblCellMar>
            <w:top w:w="0" w:type="dxa"/>
            <w:left w:w="108" w:type="dxa"/>
            <w:bottom w:w="0" w:type="dxa"/>
            <w:right w:w="108" w:type="dxa"/>
          </w:tblCellMar>
        </w:tblPrEx>
        <w:trPr>
          <w:trHeight w:val="391" w:hRule="atLeast"/>
        </w:trPr>
        <w:tc>
          <w:tcPr>
            <w:tcW w:w="857" w:type="dxa"/>
            <w:tcBorders>
              <w:top w:val="nil"/>
              <w:left w:val="single" w:color="auto" w:sz="4" w:space="0"/>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2040"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2597"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1110"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1073"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1040"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r>
      <w:tr>
        <w:tblPrEx>
          <w:tblCellMar>
            <w:top w:w="0" w:type="dxa"/>
            <w:left w:w="108" w:type="dxa"/>
            <w:bottom w:w="0" w:type="dxa"/>
            <w:right w:w="108" w:type="dxa"/>
          </w:tblCellMar>
        </w:tblPrEx>
        <w:trPr>
          <w:trHeight w:val="391" w:hRule="atLeast"/>
        </w:trPr>
        <w:tc>
          <w:tcPr>
            <w:tcW w:w="857" w:type="dxa"/>
            <w:tcBorders>
              <w:top w:val="nil"/>
              <w:left w:val="single" w:color="auto" w:sz="4" w:space="0"/>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2040"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2597"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1110"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1073"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1040"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r>
      <w:tr>
        <w:tblPrEx>
          <w:tblCellMar>
            <w:top w:w="0" w:type="dxa"/>
            <w:left w:w="108" w:type="dxa"/>
            <w:bottom w:w="0" w:type="dxa"/>
            <w:right w:w="108" w:type="dxa"/>
          </w:tblCellMar>
        </w:tblPrEx>
        <w:trPr>
          <w:trHeight w:val="424" w:hRule="atLeast"/>
        </w:trPr>
        <w:tc>
          <w:tcPr>
            <w:tcW w:w="857" w:type="dxa"/>
            <w:tcBorders>
              <w:top w:val="nil"/>
              <w:left w:val="single" w:color="auto" w:sz="4" w:space="0"/>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2040"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2597"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1110"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1073"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c>
          <w:tcPr>
            <w:tcW w:w="1040" w:type="dxa"/>
            <w:tcBorders>
              <w:top w:val="nil"/>
              <w:left w:val="nil"/>
              <w:bottom w:val="single" w:color="auto" w:sz="4" w:space="0"/>
              <w:right w:val="single" w:color="auto" w:sz="4" w:space="0"/>
            </w:tcBorders>
            <w:shd w:val="clear" w:color="auto" w:fill="auto"/>
            <w:noWrap/>
            <w:vAlign w:val="center"/>
          </w:tcPr>
          <w:p>
            <w:pPr>
              <w:ind w:firstLine="310" w:firstLineChars="147"/>
              <w:jc w:val="center"/>
              <w:rPr>
                <w:rFonts w:asciiTheme="majorEastAsia" w:hAnsiTheme="majorEastAsia" w:eastAsiaTheme="majorEastAsia"/>
                <w:b/>
                <w:szCs w:val="21"/>
              </w:rPr>
            </w:pPr>
          </w:p>
        </w:tc>
      </w:tr>
    </w:tbl>
    <w:p>
      <w:pPr>
        <w:spacing w:line="360" w:lineRule="auto"/>
        <w:ind w:left="420"/>
        <w:jc w:val="left"/>
        <w:rPr>
          <w:rFonts w:asciiTheme="majorEastAsia" w:hAnsiTheme="majorEastAsia" w:eastAsiaTheme="majorEastAsia"/>
          <w:sz w:val="24"/>
          <w:szCs w:val="24"/>
        </w:rPr>
      </w:pPr>
      <w:r>
        <w:rPr>
          <w:rFonts w:asciiTheme="majorEastAsia" w:hAnsiTheme="majorEastAsia" w:eastAsiaTheme="majorEastAsia"/>
          <w:sz w:val="24"/>
          <w:szCs w:val="24"/>
        </w:rPr>
        <w:t>3.2.5 日常巡检表</w:t>
      </w:r>
    </w:p>
    <w:tbl>
      <w:tblPr>
        <w:tblStyle w:val="46"/>
        <w:tblpPr w:leftFromText="180" w:rightFromText="180" w:vertAnchor="text" w:horzAnchor="page" w:tblpX="1950" w:tblpY="351"/>
        <w:tblOverlap w:val="never"/>
        <w:tblW w:w="8471" w:type="dxa"/>
        <w:tblInd w:w="0" w:type="dxa"/>
        <w:tblLayout w:type="fixed"/>
        <w:tblCellMar>
          <w:top w:w="0" w:type="dxa"/>
          <w:left w:w="108" w:type="dxa"/>
          <w:bottom w:w="0" w:type="dxa"/>
          <w:right w:w="108" w:type="dxa"/>
        </w:tblCellMar>
      </w:tblPr>
      <w:tblGrid>
        <w:gridCol w:w="716"/>
        <w:gridCol w:w="952"/>
        <w:gridCol w:w="1275"/>
        <w:gridCol w:w="1701"/>
        <w:gridCol w:w="1417"/>
        <w:gridCol w:w="1276"/>
        <w:gridCol w:w="1134"/>
      </w:tblGrid>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序号</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日期</w:t>
            </w: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时间</w:t>
            </w: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巡检地点</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巡检情况</w:t>
            </w: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巡查人</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备注</w:t>
            </w: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1</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cs="宋体" w:asciiTheme="majorEastAsia" w:hAnsiTheme="majorEastAsia" w:eastAsiaTheme="majorEastAsia"/>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cs="宋体" w:asciiTheme="majorEastAsia" w:hAnsiTheme="majorEastAsia" w:eastAsiaTheme="majorEastAsia"/>
                <w:bCs/>
                <w:kern w:val="0"/>
                <w:szCs w:val="21"/>
              </w:rPr>
            </w:pP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2</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cs="宋体" w:asciiTheme="majorEastAsia" w:hAnsiTheme="majorEastAsia" w:eastAsiaTheme="majorEastAsia"/>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cs="宋体" w:asciiTheme="majorEastAsia" w:hAnsiTheme="majorEastAsia" w:eastAsiaTheme="majorEastAsia"/>
                <w:bCs/>
                <w:kern w:val="0"/>
                <w:szCs w:val="21"/>
              </w:rPr>
            </w:pP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3</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cs="宋体" w:asciiTheme="majorEastAsia" w:hAnsiTheme="majorEastAsia" w:eastAsiaTheme="majorEastAsia"/>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cs="宋体" w:asciiTheme="majorEastAsia" w:hAnsiTheme="majorEastAsia" w:eastAsiaTheme="majorEastAsia"/>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cs="宋体" w:asciiTheme="majorEastAsia" w:hAnsiTheme="majorEastAsia" w:eastAsiaTheme="majorEastAsia"/>
                <w:bCs/>
                <w:kern w:val="0"/>
                <w:szCs w:val="21"/>
              </w:rPr>
            </w:pPr>
          </w:p>
        </w:tc>
      </w:tr>
    </w:tbl>
    <w:p>
      <w:pPr>
        <w:autoSpaceDE w:val="0"/>
        <w:autoSpaceDN w:val="0"/>
        <w:adjustRightInd w:val="0"/>
        <w:spacing w:line="360" w:lineRule="auto"/>
        <w:ind w:firstLine="482" w:firstLineChars="200"/>
        <w:jc w:val="left"/>
        <w:rPr>
          <w:rFonts w:cs="Times New Roman" w:asciiTheme="majorEastAsia" w:hAnsiTheme="majorEastAsia" w:eastAsiaTheme="majorEastAsia"/>
          <w:b/>
          <w:bCs/>
          <w:sz w:val="24"/>
          <w:szCs w:val="24"/>
          <w:lang w:val="zh-CN"/>
        </w:rPr>
      </w:pPr>
      <w:r>
        <w:rPr>
          <w:rFonts w:hint="eastAsia" w:cs="Times New Roman" w:asciiTheme="majorEastAsia" w:hAnsiTheme="majorEastAsia" w:eastAsiaTheme="majorEastAsia"/>
          <w:b/>
          <w:bCs/>
          <w:sz w:val="24"/>
          <w:szCs w:val="24"/>
        </w:rPr>
        <w:t>4、</w:t>
      </w:r>
      <w:r>
        <w:rPr>
          <w:rFonts w:hint="eastAsia" w:cs="Times New Roman" w:asciiTheme="majorEastAsia" w:hAnsiTheme="majorEastAsia" w:eastAsiaTheme="majorEastAsia"/>
          <w:b/>
          <w:bCs/>
          <w:sz w:val="24"/>
          <w:szCs w:val="24"/>
          <w:lang w:val="zh-CN"/>
        </w:rPr>
        <w:t>设备维保检测</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 xml:space="preserve">4.1 </w:t>
      </w:r>
      <w:r>
        <w:rPr>
          <w:rFonts w:hint="eastAsia" w:cs="Times New Roman" w:asciiTheme="majorEastAsia" w:hAnsiTheme="majorEastAsia" w:eastAsiaTheme="majorEastAsia"/>
          <w:sz w:val="24"/>
          <w:szCs w:val="24"/>
        </w:rPr>
        <w:t>能够保障</w:t>
      </w:r>
      <w:r>
        <w:rPr>
          <w:rFonts w:hint="eastAsia" w:cs="Times New Roman" w:asciiTheme="majorEastAsia" w:hAnsiTheme="majorEastAsia" w:eastAsiaTheme="majorEastAsia"/>
          <w:sz w:val="24"/>
          <w:szCs w:val="24"/>
          <w:lang w:val="zh-CN"/>
        </w:rPr>
        <w:t>给排水系统、供电系统</w:t>
      </w:r>
      <w:r>
        <w:rPr>
          <w:rFonts w:hint="eastAsia" w:cs="Times New Roman" w:asciiTheme="majorEastAsia" w:hAnsiTheme="majorEastAsia" w:eastAsiaTheme="majorEastAsia"/>
          <w:sz w:val="24"/>
          <w:szCs w:val="24"/>
        </w:rPr>
        <w:t>设备设施的完好</w:t>
      </w:r>
      <w:r>
        <w:rPr>
          <w:rFonts w:hint="eastAsia" w:cs="Times New Roman" w:asciiTheme="majorEastAsia" w:hAnsiTheme="majorEastAsia" w:eastAsiaTheme="majorEastAsia"/>
          <w:sz w:val="24"/>
          <w:szCs w:val="24"/>
          <w:lang w:val="zh-CN"/>
        </w:rPr>
        <w:t>，确保</w:t>
      </w:r>
      <w:r>
        <w:rPr>
          <w:rFonts w:hint="eastAsia" w:cs="Times New Roman" w:asciiTheme="majorEastAsia" w:hAnsiTheme="majorEastAsia" w:eastAsiaTheme="majorEastAsia"/>
          <w:sz w:val="24"/>
          <w:szCs w:val="24"/>
        </w:rPr>
        <w:t>基地内部</w:t>
      </w:r>
      <w:r>
        <w:rPr>
          <w:rFonts w:hint="eastAsia" w:cs="Times New Roman" w:asciiTheme="majorEastAsia" w:hAnsiTheme="majorEastAsia" w:eastAsiaTheme="majorEastAsia"/>
          <w:sz w:val="24"/>
          <w:szCs w:val="24"/>
          <w:lang w:val="zh-CN"/>
        </w:rPr>
        <w:t>正常</w:t>
      </w:r>
      <w:r>
        <w:rPr>
          <w:rFonts w:hint="eastAsia" w:cs="Times New Roman" w:asciiTheme="majorEastAsia" w:hAnsiTheme="majorEastAsia" w:eastAsiaTheme="majorEastAsia"/>
          <w:sz w:val="24"/>
          <w:szCs w:val="24"/>
        </w:rPr>
        <w:t>给排</w:t>
      </w:r>
      <w:r>
        <w:rPr>
          <w:rFonts w:hint="eastAsia" w:cs="Times New Roman" w:asciiTheme="majorEastAsia" w:hAnsiTheme="majorEastAsia" w:eastAsiaTheme="majorEastAsia"/>
          <w:sz w:val="24"/>
          <w:szCs w:val="24"/>
          <w:lang w:val="zh-CN"/>
        </w:rPr>
        <w:t>水、供电，</w:t>
      </w:r>
      <w:r>
        <w:rPr>
          <w:rFonts w:hint="eastAsia" w:cs="Times New Roman" w:asciiTheme="majorEastAsia" w:hAnsiTheme="majorEastAsia" w:eastAsiaTheme="majorEastAsia"/>
          <w:sz w:val="24"/>
          <w:szCs w:val="24"/>
        </w:rPr>
        <w:t>做好巡检记录登记存档。</w:t>
      </w:r>
    </w:p>
    <w:p>
      <w:pPr>
        <w:autoSpaceDE w:val="0"/>
        <w:autoSpaceDN w:val="0"/>
        <w:adjustRightInd w:val="0"/>
        <w:spacing w:line="360" w:lineRule="auto"/>
        <w:ind w:firstLine="480" w:firstLineChars="200"/>
        <w:jc w:val="left"/>
        <w:rPr>
          <w:rFonts w:eastAsiaTheme="majorEastAsia"/>
        </w:rPr>
      </w:pPr>
      <w:r>
        <w:rPr>
          <w:rFonts w:hint="eastAsia" w:cs="Times New Roman" w:asciiTheme="majorEastAsia" w:hAnsiTheme="majorEastAsia" w:eastAsiaTheme="majorEastAsia"/>
          <w:sz w:val="24"/>
          <w:szCs w:val="24"/>
        </w:rPr>
        <w:t>4.2 乙方</w:t>
      </w:r>
      <w:r>
        <w:rPr>
          <w:rFonts w:hint="eastAsia" w:cs="Times New Roman" w:asciiTheme="majorEastAsia" w:hAnsiTheme="majorEastAsia" w:eastAsiaTheme="majorEastAsia"/>
          <w:sz w:val="24"/>
          <w:szCs w:val="24"/>
          <w:lang w:val="zh-CN"/>
        </w:rPr>
        <w:t>负责</w:t>
      </w:r>
      <w:r>
        <w:rPr>
          <w:rFonts w:hint="eastAsia" w:cs="Times New Roman" w:asciiTheme="majorEastAsia" w:hAnsiTheme="majorEastAsia" w:eastAsiaTheme="majorEastAsia"/>
          <w:sz w:val="24"/>
          <w:szCs w:val="24"/>
        </w:rPr>
        <w:t>月浦</w:t>
      </w:r>
      <w:r>
        <w:rPr>
          <w:rFonts w:hint="eastAsia" w:cs="Times New Roman" w:asciiTheme="majorEastAsia" w:hAnsiTheme="majorEastAsia" w:eastAsiaTheme="majorEastAsia"/>
          <w:sz w:val="24"/>
          <w:szCs w:val="24"/>
          <w:lang w:val="zh-CN"/>
        </w:rPr>
        <w:t>基地【</w:t>
      </w:r>
      <w:r>
        <w:rPr>
          <w:rFonts w:hint="eastAsia" w:cs="Times New Roman" w:asciiTheme="majorEastAsia" w:hAnsiTheme="majorEastAsia" w:eastAsiaTheme="majorEastAsia"/>
          <w:sz w:val="24"/>
          <w:szCs w:val="24"/>
        </w:rPr>
        <w:t>6】台</w:t>
      </w:r>
      <w:r>
        <w:rPr>
          <w:rFonts w:hint="eastAsia" w:cs="Times New Roman" w:asciiTheme="majorEastAsia" w:hAnsiTheme="majorEastAsia" w:eastAsiaTheme="majorEastAsia"/>
          <w:sz w:val="24"/>
          <w:szCs w:val="24"/>
          <w:lang w:val="zh-CN"/>
        </w:rPr>
        <w:t>空调的一般</w:t>
      </w:r>
      <w:r>
        <w:rPr>
          <w:rFonts w:hint="eastAsia" w:cs="Times New Roman" w:asciiTheme="majorEastAsia" w:hAnsiTheme="majorEastAsia" w:eastAsiaTheme="majorEastAsia"/>
          <w:sz w:val="24"/>
          <w:szCs w:val="24"/>
        </w:rPr>
        <w:t>维保</w:t>
      </w:r>
      <w:r>
        <w:rPr>
          <w:rFonts w:hint="eastAsia" w:cs="Times New Roman" w:asciiTheme="majorEastAsia" w:hAnsiTheme="majorEastAsia" w:eastAsiaTheme="majorEastAsia"/>
          <w:sz w:val="24"/>
          <w:szCs w:val="24"/>
          <w:lang w:val="zh-CN"/>
        </w:rPr>
        <w:t>（不发生除人工之外的成本）：</w:t>
      </w:r>
      <w:r>
        <w:rPr>
          <w:rFonts w:hint="eastAsia" w:cs="Times New Roman" w:asciiTheme="majorEastAsia" w:hAnsiTheme="majorEastAsia" w:eastAsiaTheme="majorEastAsia"/>
          <w:sz w:val="24"/>
          <w:szCs w:val="24"/>
        </w:rPr>
        <w:t>氟利昂更换，滤网清洗等</w:t>
      </w:r>
      <w:r>
        <w:rPr>
          <w:rFonts w:hint="eastAsia"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4.</w:t>
      </w:r>
      <w:r>
        <w:rPr>
          <w:rFonts w:hint="eastAsia" w:cs="Times New Roman" w:asciiTheme="majorEastAsia" w:hAnsiTheme="majorEastAsia" w:eastAsiaTheme="majorEastAsia"/>
          <w:sz w:val="24"/>
          <w:szCs w:val="24"/>
        </w:rPr>
        <w:t>3</w:t>
      </w:r>
      <w:r>
        <w:rPr>
          <w:rFonts w:hint="eastAsia" w:cs="Times New Roman" w:asciiTheme="majorEastAsia" w:hAnsiTheme="majorEastAsia" w:eastAsiaTheme="majorEastAsia"/>
          <w:sz w:val="24"/>
          <w:szCs w:val="24"/>
          <w:lang w:val="zh-CN"/>
        </w:rPr>
        <w:t>依法</w:t>
      </w:r>
      <w:r>
        <w:rPr>
          <w:rFonts w:cs="Times New Roman" w:asciiTheme="majorEastAsia" w:hAnsiTheme="majorEastAsia" w:eastAsiaTheme="majorEastAsia"/>
          <w:sz w:val="24"/>
          <w:szCs w:val="24"/>
          <w:lang w:val="zh-CN"/>
        </w:rPr>
        <w:t>合规做好</w:t>
      </w:r>
      <w:r>
        <w:rPr>
          <w:rFonts w:hint="eastAsia" w:cs="Times New Roman" w:asciiTheme="majorEastAsia" w:hAnsiTheme="majorEastAsia" w:eastAsiaTheme="majorEastAsia"/>
          <w:sz w:val="24"/>
          <w:szCs w:val="24"/>
          <w:lang w:val="zh-CN"/>
        </w:rPr>
        <w:t>实验</w:t>
      </w:r>
      <w:r>
        <w:rPr>
          <w:rFonts w:hint="eastAsia" w:cs="Times New Roman" w:asciiTheme="majorEastAsia" w:hAnsiTheme="majorEastAsia" w:eastAsiaTheme="majorEastAsia"/>
          <w:sz w:val="24"/>
          <w:szCs w:val="24"/>
        </w:rPr>
        <w:t>楼</w:t>
      </w:r>
      <w:r>
        <w:rPr>
          <w:rFonts w:cs="Times New Roman" w:asciiTheme="majorEastAsia" w:hAnsiTheme="majorEastAsia" w:eastAsiaTheme="majorEastAsia"/>
          <w:sz w:val="24"/>
          <w:szCs w:val="24"/>
          <w:lang w:val="zh-CN"/>
        </w:rPr>
        <w:t>电梯</w:t>
      </w:r>
      <w:r>
        <w:rPr>
          <w:rFonts w:hint="eastAsia" w:cs="Times New Roman" w:asciiTheme="majorEastAsia" w:hAnsiTheme="majorEastAsia" w:eastAsiaTheme="majorEastAsia"/>
          <w:sz w:val="24"/>
          <w:szCs w:val="24"/>
          <w:lang w:val="zh-CN"/>
        </w:rPr>
        <w:t>的运行、维修、检查、检验等</w:t>
      </w:r>
      <w:r>
        <w:rPr>
          <w:rFonts w:cs="Times New Roman" w:asciiTheme="majorEastAsia" w:hAnsiTheme="majorEastAsia" w:eastAsiaTheme="majorEastAsia"/>
          <w:sz w:val="24"/>
          <w:szCs w:val="24"/>
          <w:lang w:val="zh-CN"/>
        </w:rPr>
        <w:t>管理</w:t>
      </w:r>
      <w:r>
        <w:rPr>
          <w:rFonts w:hint="eastAsia" w:cs="Times New Roman" w:asciiTheme="majorEastAsia" w:hAnsiTheme="majorEastAsia" w:eastAsiaTheme="majorEastAsia"/>
          <w:sz w:val="24"/>
          <w:szCs w:val="24"/>
          <w:lang w:val="zh-CN"/>
        </w:rPr>
        <w:t>，</w:t>
      </w:r>
      <w:r>
        <w:rPr>
          <w:rFonts w:cs="Times New Roman" w:asciiTheme="majorEastAsia" w:hAnsiTheme="majorEastAsia" w:eastAsiaTheme="majorEastAsia"/>
          <w:sz w:val="24"/>
          <w:szCs w:val="24"/>
          <w:lang w:val="zh-CN"/>
        </w:rPr>
        <w:t>保证</w:t>
      </w:r>
      <w:r>
        <w:rPr>
          <w:rFonts w:hint="eastAsia" w:cs="Times New Roman" w:asciiTheme="majorEastAsia" w:hAnsiTheme="majorEastAsia" w:eastAsiaTheme="majorEastAsia"/>
          <w:sz w:val="24"/>
          <w:szCs w:val="24"/>
          <w:lang w:val="zh-CN"/>
        </w:rPr>
        <w:t>电梯</w:t>
      </w:r>
      <w:r>
        <w:rPr>
          <w:rFonts w:cs="Times New Roman" w:asciiTheme="majorEastAsia" w:hAnsiTheme="majorEastAsia" w:eastAsiaTheme="majorEastAsia"/>
          <w:sz w:val="24"/>
          <w:szCs w:val="24"/>
          <w:lang w:val="zh-CN"/>
        </w:rPr>
        <w:t>安全运行</w:t>
      </w:r>
      <w:r>
        <w:rPr>
          <w:rFonts w:hint="eastAsia"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乙方负责电梯每月【2】次维保、每年电梯的年检工作、合同采办和费用，完成后将年检报告交由甲方存档。</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4.</w:t>
      </w:r>
      <w:r>
        <w:rPr>
          <w:rFonts w:hint="eastAsia" w:cs="Times New Roman" w:asciiTheme="majorEastAsia" w:hAnsiTheme="majorEastAsia" w:eastAsiaTheme="majorEastAsia"/>
          <w:sz w:val="24"/>
          <w:szCs w:val="24"/>
        </w:rPr>
        <w:t>4乙方每年开展【1】次</w:t>
      </w:r>
      <w:r>
        <w:rPr>
          <w:rFonts w:hint="eastAsia" w:cs="Times New Roman" w:asciiTheme="majorEastAsia" w:hAnsiTheme="majorEastAsia" w:eastAsiaTheme="majorEastAsia"/>
          <w:sz w:val="24"/>
          <w:szCs w:val="24"/>
          <w:lang w:val="zh-CN"/>
        </w:rPr>
        <w:t>防雷避雷检测，</w:t>
      </w:r>
      <w:r>
        <w:rPr>
          <w:rFonts w:hint="eastAsia" w:cs="Times New Roman" w:asciiTheme="majorEastAsia" w:hAnsiTheme="majorEastAsia" w:eastAsiaTheme="majorEastAsia"/>
          <w:sz w:val="24"/>
          <w:szCs w:val="24"/>
        </w:rPr>
        <w:t>检测期间的合同采办和费用由乙方负责</w:t>
      </w:r>
      <w:r>
        <w:rPr>
          <w:rFonts w:hint="eastAsia"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检测完后将检测报告交由甲方存档</w:t>
      </w:r>
      <w:r>
        <w:rPr>
          <w:rFonts w:hint="eastAsia"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sz w:val="24"/>
          <w:szCs w:val="24"/>
        </w:rPr>
        <w:t xml:space="preserve">4.5 </w:t>
      </w:r>
      <w:r>
        <w:rPr>
          <w:rFonts w:hint="eastAsia" w:cs="Times New Roman" w:asciiTheme="majorEastAsia" w:hAnsiTheme="majorEastAsia" w:eastAsiaTheme="majorEastAsia"/>
          <w:sz w:val="24"/>
          <w:szCs w:val="24"/>
          <w:lang w:val="zh-CN"/>
        </w:rPr>
        <w:t>乙方</w:t>
      </w:r>
      <w:r>
        <w:rPr>
          <w:rFonts w:hint="eastAsia" w:cs="Times New Roman" w:asciiTheme="majorEastAsia" w:hAnsiTheme="majorEastAsia" w:eastAsiaTheme="majorEastAsia"/>
          <w:sz w:val="24"/>
          <w:szCs w:val="24"/>
        </w:rPr>
        <w:t>在合同签订后首年</w:t>
      </w:r>
      <w:r>
        <w:rPr>
          <w:rFonts w:hint="eastAsia" w:cs="Times New Roman" w:asciiTheme="majorEastAsia" w:hAnsiTheme="majorEastAsia" w:eastAsiaTheme="majorEastAsia"/>
          <w:sz w:val="24"/>
          <w:szCs w:val="24"/>
          <w:lang w:val="zh-CN"/>
        </w:rPr>
        <w:t>对变电所设备进行【</w:t>
      </w:r>
      <w:r>
        <w:rPr>
          <w:rFonts w:hint="eastAsia" w:cs="Times New Roman" w:asciiTheme="majorEastAsia" w:hAnsiTheme="majorEastAsia" w:eastAsiaTheme="majorEastAsia"/>
          <w:sz w:val="24"/>
          <w:szCs w:val="24"/>
        </w:rPr>
        <w:t>1】</w:t>
      </w:r>
      <w:r>
        <w:rPr>
          <w:rFonts w:hint="eastAsia" w:cs="Times New Roman" w:asciiTheme="majorEastAsia" w:hAnsiTheme="majorEastAsia" w:eastAsiaTheme="majorEastAsia"/>
          <w:sz w:val="24"/>
          <w:szCs w:val="24"/>
          <w:lang w:val="zh-CN"/>
        </w:rPr>
        <w:t>次耐高压设备检测，检测期间的合同采办和费用由乙方负责，检测完后将检测报告交由甲方存档。</w:t>
      </w:r>
    </w:p>
    <w:p>
      <w:pPr>
        <w:autoSpaceDE w:val="0"/>
        <w:autoSpaceDN w:val="0"/>
        <w:adjustRightInd w:val="0"/>
        <w:spacing w:line="360" w:lineRule="auto"/>
        <w:ind w:firstLine="482"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b/>
          <w:bCs/>
          <w:sz w:val="24"/>
          <w:szCs w:val="24"/>
        </w:rPr>
        <w:t>5</w:t>
      </w:r>
      <w:r>
        <w:rPr>
          <w:rFonts w:hint="eastAsia" w:cs="Times New Roman" w:asciiTheme="majorEastAsia" w:hAnsiTheme="majorEastAsia" w:eastAsiaTheme="majorEastAsia"/>
          <w:b/>
          <w:bCs/>
          <w:sz w:val="24"/>
          <w:szCs w:val="24"/>
          <w:lang w:val="zh-CN"/>
        </w:rPr>
        <w:t>、 安全管理服务</w:t>
      </w:r>
    </w:p>
    <w:p>
      <w:pPr>
        <w:autoSpaceDE w:val="0"/>
        <w:autoSpaceDN w:val="0"/>
        <w:adjustRightInd w:val="0"/>
        <w:spacing w:line="360" w:lineRule="auto"/>
        <w:ind w:firstLine="480" w:firstLineChars="200"/>
        <w:jc w:val="left"/>
        <w:rPr>
          <w:rFonts w:cs="Calibri" w:asciiTheme="majorEastAsia" w:hAnsiTheme="majorEastAsia" w:eastAsiaTheme="majorEastAsia"/>
          <w:sz w:val="24"/>
          <w:szCs w:val="24"/>
        </w:rPr>
      </w:pPr>
      <w:r>
        <w:rPr>
          <w:rFonts w:hint="eastAsia" w:cs="Calibri" w:asciiTheme="majorEastAsia" w:hAnsiTheme="majorEastAsia" w:eastAsiaTheme="majorEastAsia"/>
          <w:sz w:val="24"/>
          <w:szCs w:val="24"/>
        </w:rPr>
        <w:t>5.1 乙方应熟悉月浦基地情况，完善安全管理制度、设备设施检查制度，对不合格项进行整改。乙方应</w:t>
      </w:r>
      <w:r>
        <w:rPr>
          <w:rFonts w:hint="eastAsia" w:cs="Calibri" w:asciiTheme="majorEastAsia" w:hAnsiTheme="majorEastAsia" w:eastAsiaTheme="majorEastAsia"/>
          <w:sz w:val="24"/>
          <w:szCs w:val="24"/>
          <w:lang w:val="zh-CN"/>
        </w:rPr>
        <w:t>履行基地</w:t>
      </w:r>
      <w:r>
        <w:rPr>
          <w:rFonts w:cs="Calibri" w:asciiTheme="majorEastAsia" w:hAnsiTheme="majorEastAsia" w:eastAsiaTheme="majorEastAsia"/>
          <w:sz w:val="24"/>
          <w:szCs w:val="24"/>
          <w:lang w:val="zh-CN"/>
        </w:rPr>
        <w:t>的</w:t>
      </w:r>
      <w:r>
        <w:rPr>
          <w:rFonts w:hint="eastAsia" w:cs="Calibri" w:asciiTheme="majorEastAsia" w:hAnsiTheme="majorEastAsia" w:eastAsiaTheme="majorEastAsia"/>
          <w:sz w:val="24"/>
          <w:szCs w:val="24"/>
          <w:lang w:val="zh-CN"/>
        </w:rPr>
        <w:t>Q</w:t>
      </w:r>
      <w:r>
        <w:rPr>
          <w:rFonts w:cs="Calibri" w:asciiTheme="majorEastAsia" w:hAnsiTheme="majorEastAsia" w:eastAsiaTheme="majorEastAsia"/>
          <w:sz w:val="24"/>
          <w:szCs w:val="24"/>
          <w:lang w:val="zh-CN"/>
        </w:rPr>
        <w:t>HSE管理</w:t>
      </w:r>
      <w:r>
        <w:rPr>
          <w:rFonts w:hint="eastAsia" w:cs="Calibri" w:asciiTheme="majorEastAsia" w:hAnsiTheme="majorEastAsia" w:eastAsiaTheme="majorEastAsia"/>
          <w:sz w:val="24"/>
          <w:szCs w:val="24"/>
          <w:lang w:val="zh-CN"/>
        </w:rPr>
        <w:t>的</w:t>
      </w:r>
      <w:r>
        <w:rPr>
          <w:rFonts w:cs="Calibri" w:asciiTheme="majorEastAsia" w:hAnsiTheme="majorEastAsia" w:eastAsiaTheme="majorEastAsia"/>
          <w:sz w:val="24"/>
          <w:szCs w:val="24"/>
          <w:lang w:val="zh-CN"/>
        </w:rPr>
        <w:t>责任</w:t>
      </w:r>
      <w:r>
        <w:rPr>
          <w:rFonts w:hint="eastAsia" w:cs="Calibri" w:asciiTheme="majorEastAsia" w:hAnsiTheme="majorEastAsia" w:eastAsiaTheme="majorEastAsia"/>
          <w:sz w:val="24"/>
          <w:szCs w:val="24"/>
          <w:lang w:val="zh-CN"/>
        </w:rPr>
        <w:t>，负责基地</w:t>
      </w:r>
      <w:r>
        <w:rPr>
          <w:rFonts w:cs="Calibri" w:asciiTheme="majorEastAsia" w:hAnsiTheme="majorEastAsia" w:eastAsiaTheme="majorEastAsia"/>
          <w:sz w:val="24"/>
          <w:szCs w:val="24"/>
          <w:lang w:val="zh-CN"/>
        </w:rPr>
        <w:t>的安全</w:t>
      </w:r>
      <w:r>
        <w:rPr>
          <w:rFonts w:hint="eastAsia" w:cs="Calibri" w:asciiTheme="majorEastAsia" w:hAnsiTheme="majorEastAsia" w:eastAsiaTheme="majorEastAsia"/>
          <w:sz w:val="24"/>
          <w:szCs w:val="24"/>
          <w:lang w:val="zh-CN"/>
        </w:rPr>
        <w:t>、</w:t>
      </w:r>
      <w:r>
        <w:rPr>
          <w:rFonts w:cs="Calibri" w:asciiTheme="majorEastAsia" w:hAnsiTheme="majorEastAsia" w:eastAsiaTheme="majorEastAsia"/>
          <w:sz w:val="24"/>
          <w:szCs w:val="24"/>
          <w:lang w:val="zh-CN"/>
        </w:rPr>
        <w:t>环保、消防、应急、防恐、</w:t>
      </w:r>
      <w:r>
        <w:rPr>
          <w:rFonts w:hint="eastAsia" w:cs="Calibri" w:asciiTheme="majorEastAsia" w:hAnsiTheme="majorEastAsia" w:eastAsiaTheme="majorEastAsia"/>
          <w:sz w:val="24"/>
          <w:szCs w:val="24"/>
          <w:lang w:val="zh-CN"/>
        </w:rPr>
        <w:t>防疫、防台、防汛</w:t>
      </w:r>
      <w:r>
        <w:rPr>
          <w:rFonts w:cs="Calibri" w:asciiTheme="majorEastAsia" w:hAnsiTheme="majorEastAsia" w:eastAsiaTheme="majorEastAsia"/>
          <w:sz w:val="24"/>
          <w:szCs w:val="24"/>
          <w:lang w:val="zh-CN"/>
        </w:rPr>
        <w:t>等各项</w:t>
      </w:r>
      <w:r>
        <w:rPr>
          <w:rFonts w:hint="eastAsia" w:cs="Calibri" w:asciiTheme="majorEastAsia" w:hAnsiTheme="majorEastAsia" w:eastAsiaTheme="majorEastAsia"/>
          <w:sz w:val="24"/>
          <w:szCs w:val="24"/>
          <w:lang w:val="zh-CN"/>
        </w:rPr>
        <w:t>工作：</w:t>
      </w:r>
    </w:p>
    <w:p>
      <w:pPr>
        <w:spacing w:line="360" w:lineRule="auto"/>
        <w:ind w:firstLine="480" w:firstLineChars="200"/>
        <w:rPr>
          <w:rFonts w:asciiTheme="majorEastAsia" w:hAnsiTheme="majorEastAsia" w:eastAsiaTheme="majorEastAsia"/>
          <w:sz w:val="24"/>
          <w:szCs w:val="24"/>
          <w:lang w:val="zh-CN"/>
        </w:rPr>
      </w:pPr>
      <w:r>
        <w:rPr>
          <w:rFonts w:hint="eastAsia" w:asciiTheme="majorEastAsia" w:hAnsiTheme="majorEastAsia" w:eastAsiaTheme="majorEastAsia"/>
          <w:sz w:val="24"/>
          <w:szCs w:val="24"/>
        </w:rPr>
        <w:t xml:space="preserve">① </w:t>
      </w:r>
      <w:r>
        <w:rPr>
          <w:rFonts w:hint="eastAsia" w:asciiTheme="majorEastAsia" w:hAnsiTheme="majorEastAsia" w:eastAsiaTheme="majorEastAsia"/>
          <w:sz w:val="24"/>
          <w:szCs w:val="24"/>
          <w:lang w:val="zh-CN"/>
        </w:rPr>
        <w:t>健全</w:t>
      </w:r>
      <w:r>
        <w:rPr>
          <w:rFonts w:asciiTheme="majorEastAsia" w:hAnsiTheme="majorEastAsia" w:eastAsiaTheme="majorEastAsia"/>
          <w:sz w:val="24"/>
          <w:szCs w:val="24"/>
          <w:lang w:val="zh-CN"/>
        </w:rPr>
        <w:t>安全、应急、消防</w:t>
      </w:r>
      <w:r>
        <w:rPr>
          <w:rFonts w:hint="eastAsia" w:asciiTheme="majorEastAsia" w:hAnsiTheme="majorEastAsia" w:eastAsiaTheme="majorEastAsia"/>
          <w:sz w:val="24"/>
          <w:szCs w:val="24"/>
          <w:lang w:val="zh-CN"/>
        </w:rPr>
        <w:t>的</w:t>
      </w:r>
      <w:r>
        <w:rPr>
          <w:rFonts w:asciiTheme="majorEastAsia" w:hAnsiTheme="majorEastAsia" w:eastAsiaTheme="majorEastAsia"/>
          <w:sz w:val="24"/>
          <w:szCs w:val="24"/>
          <w:lang w:val="zh-CN"/>
        </w:rPr>
        <w:t>管理</w:t>
      </w:r>
      <w:r>
        <w:rPr>
          <w:rFonts w:hint="eastAsia" w:asciiTheme="majorEastAsia" w:hAnsiTheme="majorEastAsia" w:eastAsiaTheme="majorEastAsia"/>
          <w:sz w:val="24"/>
          <w:szCs w:val="24"/>
          <w:lang w:val="zh-CN"/>
        </w:rPr>
        <w:t>要求</w:t>
      </w:r>
      <w:r>
        <w:rPr>
          <w:rFonts w:asciiTheme="majorEastAsia" w:hAnsiTheme="majorEastAsia" w:eastAsiaTheme="majorEastAsia"/>
          <w:sz w:val="24"/>
          <w:szCs w:val="24"/>
          <w:lang w:val="zh-CN"/>
        </w:rPr>
        <w:t>，</w:t>
      </w:r>
      <w:r>
        <w:rPr>
          <w:rFonts w:hint="eastAsia" w:asciiTheme="majorEastAsia" w:hAnsiTheme="majorEastAsia" w:eastAsiaTheme="majorEastAsia"/>
          <w:sz w:val="24"/>
          <w:szCs w:val="24"/>
          <w:lang w:val="zh-CN"/>
        </w:rPr>
        <w:t>建立</w:t>
      </w:r>
      <w:r>
        <w:rPr>
          <w:rFonts w:asciiTheme="majorEastAsia" w:hAnsiTheme="majorEastAsia" w:eastAsiaTheme="majorEastAsia"/>
          <w:sz w:val="24"/>
          <w:szCs w:val="24"/>
          <w:lang w:val="zh-CN"/>
        </w:rPr>
        <w:t>安全管理机构</w:t>
      </w:r>
      <w:r>
        <w:rPr>
          <w:rFonts w:hint="eastAsia" w:asciiTheme="majorEastAsia" w:hAnsiTheme="majorEastAsia" w:eastAsiaTheme="majorEastAsia"/>
          <w:sz w:val="24"/>
          <w:szCs w:val="24"/>
          <w:lang w:val="zh-CN"/>
        </w:rPr>
        <w:t>和</w:t>
      </w:r>
      <w:r>
        <w:rPr>
          <w:rFonts w:asciiTheme="majorEastAsia" w:hAnsiTheme="majorEastAsia" w:eastAsiaTheme="majorEastAsia"/>
          <w:sz w:val="24"/>
          <w:szCs w:val="24"/>
          <w:lang w:val="zh-CN"/>
        </w:rPr>
        <w:t>应急管理</w:t>
      </w:r>
      <w:r>
        <w:rPr>
          <w:rFonts w:hint="eastAsia" w:asciiTheme="majorEastAsia" w:hAnsiTheme="majorEastAsia" w:eastAsiaTheme="majorEastAsia"/>
          <w:sz w:val="24"/>
          <w:szCs w:val="24"/>
          <w:lang w:val="zh-CN"/>
        </w:rPr>
        <w:t>组织</w:t>
      </w:r>
      <w:r>
        <w:rPr>
          <w:rFonts w:asciiTheme="majorEastAsia" w:hAnsiTheme="majorEastAsia" w:eastAsiaTheme="majorEastAsia"/>
          <w:sz w:val="24"/>
          <w:szCs w:val="24"/>
          <w:lang w:val="zh-CN"/>
        </w:rPr>
        <w:t>机构，明确负责人、各专业人员的</w:t>
      </w:r>
      <w:r>
        <w:rPr>
          <w:rFonts w:hint="eastAsia" w:asciiTheme="majorEastAsia" w:hAnsiTheme="majorEastAsia" w:eastAsiaTheme="majorEastAsia"/>
          <w:sz w:val="24"/>
          <w:szCs w:val="24"/>
          <w:lang w:val="zh-CN"/>
        </w:rPr>
        <w:t>职责</w:t>
      </w:r>
      <w:r>
        <w:rPr>
          <w:rFonts w:asciiTheme="majorEastAsia" w:hAnsiTheme="majorEastAsia" w:eastAsiaTheme="majorEastAsia"/>
          <w:sz w:val="24"/>
          <w:szCs w:val="24"/>
          <w:lang w:val="zh-CN"/>
        </w:rPr>
        <w:t>，</w:t>
      </w:r>
      <w:r>
        <w:rPr>
          <w:rFonts w:hint="eastAsia" w:asciiTheme="majorEastAsia" w:hAnsiTheme="majorEastAsia" w:eastAsiaTheme="majorEastAsia"/>
          <w:sz w:val="24"/>
          <w:szCs w:val="24"/>
          <w:lang w:val="zh-CN"/>
        </w:rPr>
        <w:t>做到</w:t>
      </w:r>
      <w:r>
        <w:rPr>
          <w:rFonts w:asciiTheme="majorEastAsia" w:hAnsiTheme="majorEastAsia" w:eastAsiaTheme="majorEastAsia"/>
          <w:sz w:val="24"/>
          <w:szCs w:val="24"/>
          <w:lang w:val="zh-CN"/>
        </w:rPr>
        <w:t>各司其责，遇事不乱。</w:t>
      </w:r>
    </w:p>
    <w:p>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② </w:t>
      </w:r>
      <w:r>
        <w:rPr>
          <w:rFonts w:hint="eastAsia" w:asciiTheme="majorEastAsia" w:hAnsiTheme="majorEastAsia" w:eastAsiaTheme="majorEastAsia"/>
          <w:sz w:val="24"/>
          <w:szCs w:val="24"/>
          <w:lang w:val="zh-CN"/>
        </w:rPr>
        <w:t>定期检查消防</w:t>
      </w:r>
      <w:r>
        <w:rPr>
          <w:rFonts w:asciiTheme="majorEastAsia" w:hAnsiTheme="majorEastAsia" w:eastAsiaTheme="majorEastAsia"/>
          <w:sz w:val="24"/>
          <w:szCs w:val="24"/>
          <w:lang w:val="zh-CN"/>
        </w:rPr>
        <w:t>通道和消防器材，确保消防通道畅通、消防器材完好可随时启用。</w:t>
      </w:r>
      <w:r>
        <w:rPr>
          <w:rFonts w:hint="eastAsia" w:cs="Times New Roman" w:asciiTheme="majorEastAsia" w:hAnsiTheme="majorEastAsia" w:eastAsiaTheme="majorEastAsia"/>
          <w:sz w:val="24"/>
          <w:szCs w:val="24"/>
        </w:rPr>
        <w:t>乙方</w:t>
      </w:r>
      <w:r>
        <w:rPr>
          <w:rFonts w:hint="eastAsia" w:cs="Times New Roman" w:asciiTheme="majorEastAsia" w:hAnsiTheme="majorEastAsia" w:eastAsiaTheme="majorEastAsia"/>
          <w:sz w:val="24"/>
          <w:szCs w:val="24"/>
          <w:lang w:val="zh-CN"/>
        </w:rPr>
        <w:t>负责月浦基地所有公共区域水龙带、灭火器、</w:t>
      </w:r>
      <w:r>
        <w:rPr>
          <w:rFonts w:hint="eastAsia" w:cs="Times New Roman" w:asciiTheme="majorEastAsia" w:hAnsiTheme="majorEastAsia" w:eastAsiaTheme="majorEastAsia"/>
          <w:sz w:val="24"/>
          <w:szCs w:val="24"/>
        </w:rPr>
        <w:t>消防沙箱、沙铲、沙袋</w:t>
      </w:r>
      <w:r>
        <w:rPr>
          <w:rFonts w:hint="eastAsia" w:cs="Times New Roman" w:asciiTheme="majorEastAsia" w:hAnsiTheme="majorEastAsia" w:eastAsiaTheme="majorEastAsia"/>
          <w:sz w:val="24"/>
          <w:szCs w:val="24"/>
          <w:lang w:val="zh-CN"/>
        </w:rPr>
        <w:t>等消防设备的日常检查、专项检查、报废、换新、设备台账等管理。负责提供</w:t>
      </w:r>
      <w:r>
        <w:rPr>
          <w:rFonts w:hint="eastAsia" w:cs="Times New Roman" w:asciiTheme="majorEastAsia" w:hAnsiTheme="majorEastAsia" w:eastAsiaTheme="majorEastAsia"/>
          <w:sz w:val="24"/>
          <w:szCs w:val="24"/>
        </w:rPr>
        <w:t>和换新</w:t>
      </w:r>
      <w:r>
        <w:rPr>
          <w:rFonts w:hint="eastAsia" w:cs="Times New Roman" w:asciiTheme="majorEastAsia" w:hAnsiTheme="majorEastAsia" w:eastAsiaTheme="majorEastAsia"/>
          <w:sz w:val="24"/>
          <w:szCs w:val="24"/>
          <w:lang w:val="zh-CN"/>
        </w:rPr>
        <w:t>防恐</w:t>
      </w:r>
      <w:r>
        <w:rPr>
          <w:rFonts w:hint="eastAsia" w:cs="Times New Roman" w:asciiTheme="majorEastAsia" w:hAnsiTheme="majorEastAsia" w:eastAsiaTheme="majorEastAsia"/>
          <w:sz w:val="24"/>
          <w:szCs w:val="24"/>
        </w:rPr>
        <w:t>应急物资</w:t>
      </w:r>
      <w:r>
        <w:rPr>
          <w:rFonts w:hint="eastAsia" w:cs="Times New Roman" w:asciiTheme="majorEastAsia" w:hAnsiTheme="majorEastAsia" w:eastAsiaTheme="majorEastAsia"/>
          <w:sz w:val="24"/>
          <w:szCs w:val="24"/>
          <w:lang w:val="zh-CN"/>
        </w:rPr>
        <w:t>（详见防恐、</w:t>
      </w:r>
      <w:r>
        <w:rPr>
          <w:rFonts w:hint="eastAsia" w:cs="Times New Roman" w:asciiTheme="majorEastAsia" w:hAnsiTheme="majorEastAsia" w:eastAsiaTheme="majorEastAsia"/>
          <w:sz w:val="24"/>
          <w:szCs w:val="24"/>
        </w:rPr>
        <w:t>应急物资</w:t>
      </w:r>
      <w:r>
        <w:rPr>
          <w:rFonts w:hint="eastAsia" w:cs="Times New Roman" w:asciiTheme="majorEastAsia" w:hAnsiTheme="majorEastAsia" w:eastAsiaTheme="majorEastAsia"/>
          <w:sz w:val="24"/>
          <w:szCs w:val="24"/>
          <w:lang w:val="zh-CN"/>
        </w:rPr>
        <w:t>清单）。</w:t>
      </w:r>
      <w:r>
        <w:rPr>
          <w:rFonts w:hint="eastAsia" w:cs="Times New Roman" w:asciiTheme="majorEastAsia" w:hAnsiTheme="majorEastAsia" w:eastAsiaTheme="majorEastAsia"/>
          <w:sz w:val="24"/>
          <w:szCs w:val="24"/>
        </w:rPr>
        <w:t>乙方负责园区内电瓶车停放和充电管理，对电瓶车安全管理负责。</w:t>
      </w:r>
    </w:p>
    <w:p>
      <w:pPr>
        <w:spacing w:line="360" w:lineRule="auto"/>
        <w:ind w:firstLine="480" w:firstLineChars="200"/>
        <w:rPr>
          <w:rFonts w:asciiTheme="majorEastAsia" w:hAnsiTheme="majorEastAsia" w:eastAsiaTheme="majorEastAsia"/>
          <w:sz w:val="24"/>
          <w:szCs w:val="24"/>
          <w:lang w:val="zh-CN"/>
        </w:rPr>
      </w:pPr>
      <w:r>
        <w:rPr>
          <w:rFonts w:hint="eastAsia" w:asciiTheme="majorEastAsia" w:hAnsiTheme="majorEastAsia" w:eastAsiaTheme="majorEastAsia"/>
          <w:sz w:val="24"/>
          <w:szCs w:val="24"/>
        </w:rPr>
        <w:t xml:space="preserve">③ </w:t>
      </w:r>
      <w:r>
        <w:rPr>
          <w:rFonts w:hint="eastAsia" w:asciiTheme="majorEastAsia" w:hAnsiTheme="majorEastAsia" w:eastAsiaTheme="majorEastAsia"/>
          <w:sz w:val="24"/>
          <w:szCs w:val="24"/>
          <w:lang w:val="zh-CN"/>
        </w:rPr>
        <w:t>容易</w:t>
      </w:r>
      <w:r>
        <w:rPr>
          <w:rFonts w:asciiTheme="majorEastAsia" w:hAnsiTheme="majorEastAsia" w:eastAsiaTheme="majorEastAsia"/>
          <w:sz w:val="24"/>
          <w:szCs w:val="24"/>
          <w:lang w:val="zh-CN"/>
        </w:rPr>
        <w:t>危及人身安全的设备设施</w:t>
      </w:r>
      <w:r>
        <w:rPr>
          <w:rFonts w:hint="eastAsia" w:asciiTheme="majorEastAsia" w:hAnsiTheme="majorEastAsia" w:eastAsiaTheme="majorEastAsia"/>
          <w:sz w:val="24"/>
          <w:szCs w:val="24"/>
          <w:lang w:val="zh-CN"/>
        </w:rPr>
        <w:t>有</w:t>
      </w:r>
      <w:r>
        <w:rPr>
          <w:rFonts w:asciiTheme="majorEastAsia" w:hAnsiTheme="majorEastAsia" w:eastAsiaTheme="majorEastAsia"/>
          <w:sz w:val="24"/>
          <w:szCs w:val="24"/>
          <w:lang w:val="zh-CN"/>
        </w:rPr>
        <w:t>明显的警示标志</w:t>
      </w:r>
      <w:r>
        <w:rPr>
          <w:rFonts w:hint="eastAsia" w:asciiTheme="majorEastAsia" w:hAnsiTheme="majorEastAsia" w:eastAsiaTheme="majorEastAsia"/>
          <w:sz w:val="24"/>
          <w:szCs w:val="24"/>
          <w:lang w:val="zh-CN"/>
        </w:rPr>
        <w:t>和</w:t>
      </w:r>
      <w:r>
        <w:rPr>
          <w:rFonts w:asciiTheme="majorEastAsia" w:hAnsiTheme="majorEastAsia" w:eastAsiaTheme="majorEastAsia"/>
          <w:sz w:val="24"/>
          <w:szCs w:val="24"/>
          <w:lang w:val="zh-CN"/>
        </w:rPr>
        <w:t>防范措施。</w:t>
      </w:r>
    </w:p>
    <w:p>
      <w:pPr>
        <w:spacing w:line="360" w:lineRule="auto"/>
        <w:ind w:firstLine="480" w:firstLineChars="200"/>
        <w:rPr>
          <w:rFonts w:asciiTheme="majorEastAsia" w:hAnsiTheme="majorEastAsia" w:eastAsiaTheme="majorEastAsia"/>
          <w:sz w:val="24"/>
          <w:szCs w:val="24"/>
          <w:lang w:val="zh-CN"/>
        </w:rPr>
      </w:pPr>
      <w:r>
        <w:rPr>
          <w:rFonts w:hint="eastAsia" w:asciiTheme="majorEastAsia" w:hAnsiTheme="majorEastAsia" w:eastAsiaTheme="majorEastAsia"/>
          <w:sz w:val="24"/>
          <w:szCs w:val="24"/>
        </w:rPr>
        <w:t xml:space="preserve">④ </w:t>
      </w:r>
      <w:r>
        <w:rPr>
          <w:rFonts w:hint="eastAsia" w:asciiTheme="majorEastAsia" w:hAnsiTheme="majorEastAsia" w:eastAsiaTheme="majorEastAsia"/>
          <w:sz w:val="24"/>
          <w:szCs w:val="24"/>
          <w:lang w:val="zh-CN"/>
        </w:rPr>
        <w:t>对火灾</w:t>
      </w:r>
      <w:r>
        <w:rPr>
          <w:rFonts w:asciiTheme="majorEastAsia" w:hAnsiTheme="majorEastAsia" w:eastAsiaTheme="majorEastAsia"/>
          <w:sz w:val="24"/>
          <w:szCs w:val="24"/>
          <w:lang w:val="zh-CN"/>
        </w:rPr>
        <w:t>、</w:t>
      </w:r>
      <w:r>
        <w:rPr>
          <w:rFonts w:hint="eastAsia" w:asciiTheme="majorEastAsia" w:hAnsiTheme="majorEastAsia" w:eastAsiaTheme="majorEastAsia"/>
          <w:sz w:val="24"/>
          <w:szCs w:val="24"/>
          <w:lang w:val="zh-CN"/>
        </w:rPr>
        <w:t>洪水</w:t>
      </w:r>
      <w:r>
        <w:rPr>
          <w:rFonts w:asciiTheme="majorEastAsia" w:hAnsiTheme="majorEastAsia" w:eastAsiaTheme="majorEastAsia"/>
          <w:sz w:val="24"/>
          <w:szCs w:val="24"/>
          <w:lang w:val="zh-CN"/>
        </w:rPr>
        <w:t>、</w:t>
      </w:r>
      <w:r>
        <w:rPr>
          <w:rFonts w:hint="eastAsia" w:asciiTheme="majorEastAsia" w:hAnsiTheme="majorEastAsia" w:eastAsiaTheme="majorEastAsia"/>
          <w:sz w:val="24"/>
          <w:szCs w:val="24"/>
          <w:lang w:val="zh-CN"/>
        </w:rPr>
        <w:t>治安</w:t>
      </w:r>
      <w:r>
        <w:rPr>
          <w:rFonts w:asciiTheme="majorEastAsia" w:hAnsiTheme="majorEastAsia" w:eastAsiaTheme="majorEastAsia"/>
          <w:sz w:val="24"/>
          <w:szCs w:val="24"/>
          <w:lang w:val="zh-CN"/>
        </w:rPr>
        <w:t>、公共卫生等</w:t>
      </w:r>
      <w:r>
        <w:rPr>
          <w:rFonts w:hint="eastAsia" w:asciiTheme="majorEastAsia" w:hAnsiTheme="majorEastAsia" w:eastAsiaTheme="majorEastAsia"/>
          <w:sz w:val="24"/>
          <w:szCs w:val="24"/>
          <w:lang w:val="zh-CN"/>
        </w:rPr>
        <w:t>突发</w:t>
      </w:r>
      <w:r>
        <w:rPr>
          <w:rFonts w:asciiTheme="majorEastAsia" w:hAnsiTheme="majorEastAsia" w:eastAsiaTheme="majorEastAsia"/>
          <w:sz w:val="24"/>
          <w:szCs w:val="24"/>
          <w:lang w:val="zh-CN"/>
        </w:rPr>
        <w:t>事件有应急预案</w:t>
      </w:r>
      <w:r>
        <w:rPr>
          <w:rFonts w:hint="eastAsia" w:asciiTheme="majorEastAsia" w:hAnsiTheme="majorEastAsia" w:eastAsiaTheme="majorEastAsia"/>
          <w:sz w:val="24"/>
          <w:szCs w:val="24"/>
          <w:lang w:val="zh-CN"/>
        </w:rPr>
        <w:t>和与之</w:t>
      </w:r>
      <w:r>
        <w:rPr>
          <w:rFonts w:asciiTheme="majorEastAsia" w:hAnsiTheme="majorEastAsia" w:eastAsiaTheme="majorEastAsia"/>
          <w:sz w:val="24"/>
          <w:szCs w:val="24"/>
          <w:lang w:val="zh-CN"/>
        </w:rPr>
        <w:t>合适的</w:t>
      </w:r>
      <w:r>
        <w:rPr>
          <w:rFonts w:hint="eastAsia" w:asciiTheme="majorEastAsia" w:hAnsiTheme="majorEastAsia" w:eastAsiaTheme="majorEastAsia"/>
          <w:sz w:val="24"/>
          <w:szCs w:val="24"/>
          <w:lang w:val="zh-CN"/>
        </w:rPr>
        <w:t>应急</w:t>
      </w:r>
      <w:r>
        <w:rPr>
          <w:rFonts w:asciiTheme="majorEastAsia" w:hAnsiTheme="majorEastAsia" w:eastAsiaTheme="majorEastAsia"/>
          <w:sz w:val="24"/>
          <w:szCs w:val="24"/>
          <w:lang w:val="zh-CN"/>
        </w:rPr>
        <w:t>物资准备</w:t>
      </w:r>
      <w:r>
        <w:rPr>
          <w:rFonts w:hint="eastAsia" w:asciiTheme="majorEastAsia" w:hAnsiTheme="majorEastAsia" w:eastAsiaTheme="majorEastAsia"/>
          <w:sz w:val="24"/>
          <w:szCs w:val="24"/>
          <w:lang w:val="zh-CN"/>
        </w:rPr>
        <w:t>。</w:t>
      </w:r>
    </w:p>
    <w:p>
      <w:pPr>
        <w:spacing w:line="360" w:lineRule="auto"/>
        <w:ind w:left="420"/>
        <w:rPr>
          <w:rFonts w:asciiTheme="majorEastAsia" w:hAnsiTheme="majorEastAsia" w:eastAsiaTheme="majorEastAsia"/>
          <w:sz w:val="24"/>
          <w:szCs w:val="24"/>
        </w:rPr>
      </w:pPr>
      <w:r>
        <w:rPr>
          <w:rFonts w:asciiTheme="majorEastAsia" w:hAnsiTheme="majorEastAsia" w:eastAsiaTheme="majorEastAsia"/>
          <w:sz w:val="24"/>
          <w:szCs w:val="24"/>
        </w:rPr>
        <w:t>5.2</w:t>
      </w:r>
      <w:r>
        <w:rPr>
          <w:rFonts w:hint="eastAsia" w:asciiTheme="majorEastAsia" w:hAnsiTheme="majorEastAsia" w:eastAsiaTheme="majorEastAsia"/>
          <w:sz w:val="24"/>
          <w:szCs w:val="24"/>
        </w:rPr>
        <w:t xml:space="preserve"> 应急演习：</w:t>
      </w:r>
    </w:p>
    <w:p>
      <w:pPr>
        <w:autoSpaceDE w:val="0"/>
        <w:autoSpaceDN w:val="0"/>
        <w:adjustRightInd w:val="0"/>
        <w:spacing w:line="360" w:lineRule="auto"/>
        <w:ind w:firstLine="480" w:firstLineChars="200"/>
        <w:jc w:val="left"/>
        <w:rPr>
          <w:rFonts w:cs="Calibri" w:asciiTheme="majorEastAsia" w:hAnsiTheme="majorEastAsia" w:eastAsiaTheme="majorEastAsia"/>
          <w:sz w:val="24"/>
          <w:szCs w:val="24"/>
        </w:rPr>
      </w:pPr>
      <w:r>
        <w:rPr>
          <w:rFonts w:hint="eastAsia" w:cs="Calibri" w:asciiTheme="majorEastAsia" w:hAnsiTheme="majorEastAsia" w:eastAsiaTheme="majorEastAsia"/>
          <w:sz w:val="24"/>
          <w:szCs w:val="24"/>
        </w:rPr>
        <w:t>根据甲方的安排或政府要求，定期组织应急逃生演习和消防演习：</w:t>
      </w:r>
      <w:r>
        <w:rPr>
          <w:rFonts w:hint="eastAsia" w:cs="Calibri" w:asciiTheme="majorEastAsia" w:hAnsiTheme="majorEastAsia" w:eastAsiaTheme="majorEastAsia"/>
          <w:sz w:val="24"/>
          <w:szCs w:val="24"/>
          <w:lang w:val="zh-CN"/>
        </w:rPr>
        <w:t>每年至少组织</w:t>
      </w:r>
      <w:r>
        <w:rPr>
          <w:rFonts w:cs="Calibri" w:asciiTheme="majorEastAsia" w:hAnsiTheme="majorEastAsia" w:eastAsiaTheme="majorEastAsia"/>
          <w:sz w:val="24"/>
          <w:szCs w:val="24"/>
          <w:lang w:val="zh-CN"/>
        </w:rPr>
        <w:t>消防演习和应急逃生演习各</w:t>
      </w:r>
      <w:r>
        <w:rPr>
          <w:rFonts w:hint="eastAsia" w:cs="Calibri" w:asciiTheme="majorEastAsia" w:hAnsiTheme="majorEastAsia" w:eastAsiaTheme="majorEastAsia"/>
          <w:sz w:val="24"/>
          <w:szCs w:val="24"/>
        </w:rPr>
        <w:t>【1】</w:t>
      </w:r>
      <w:r>
        <w:rPr>
          <w:rFonts w:cs="Calibri" w:asciiTheme="majorEastAsia" w:hAnsiTheme="majorEastAsia" w:eastAsiaTheme="majorEastAsia"/>
          <w:sz w:val="24"/>
          <w:szCs w:val="24"/>
          <w:lang w:val="zh-CN"/>
        </w:rPr>
        <w:t>次</w:t>
      </w:r>
      <w:r>
        <w:rPr>
          <w:rFonts w:hint="eastAsia" w:cs="Calibri" w:asciiTheme="majorEastAsia" w:hAnsiTheme="majorEastAsia" w:eastAsiaTheme="majorEastAsia"/>
          <w:sz w:val="24"/>
          <w:szCs w:val="24"/>
          <w:lang w:val="zh-CN"/>
        </w:rPr>
        <w:t>，</w:t>
      </w:r>
      <w:r>
        <w:rPr>
          <w:rFonts w:hint="eastAsia" w:cs="Calibri" w:asciiTheme="majorEastAsia" w:hAnsiTheme="majorEastAsia" w:eastAsiaTheme="majorEastAsia"/>
          <w:sz w:val="24"/>
          <w:szCs w:val="24"/>
        </w:rPr>
        <w:t>建立</w:t>
      </w:r>
      <w:r>
        <w:rPr>
          <w:rFonts w:cs="Calibri" w:asciiTheme="majorEastAsia" w:hAnsiTheme="majorEastAsia" w:eastAsiaTheme="majorEastAsia"/>
          <w:sz w:val="24"/>
          <w:szCs w:val="24"/>
        </w:rPr>
        <w:t>健全组织机构</w:t>
      </w:r>
      <w:r>
        <w:rPr>
          <w:rFonts w:hint="eastAsia" w:cs="Calibri" w:asciiTheme="majorEastAsia" w:hAnsiTheme="majorEastAsia" w:eastAsiaTheme="majorEastAsia"/>
          <w:sz w:val="24"/>
          <w:szCs w:val="24"/>
        </w:rPr>
        <w:t>、制定演习计划、编制演习方案、配齐</w:t>
      </w:r>
      <w:r>
        <w:rPr>
          <w:rFonts w:cs="Calibri" w:asciiTheme="majorEastAsia" w:hAnsiTheme="majorEastAsia" w:eastAsiaTheme="majorEastAsia"/>
          <w:sz w:val="24"/>
          <w:szCs w:val="24"/>
        </w:rPr>
        <w:t>演习物资、</w:t>
      </w:r>
      <w:r>
        <w:rPr>
          <w:rFonts w:hint="eastAsia" w:cs="Calibri" w:asciiTheme="majorEastAsia" w:hAnsiTheme="majorEastAsia" w:eastAsiaTheme="majorEastAsia"/>
          <w:sz w:val="24"/>
          <w:szCs w:val="24"/>
        </w:rPr>
        <w:t>组织演习、总结演习成果并形成演习报告，整理好后交由甲方保存。</w:t>
      </w:r>
    </w:p>
    <w:p>
      <w:pPr>
        <w:autoSpaceDE w:val="0"/>
        <w:autoSpaceDN w:val="0"/>
        <w:adjustRightInd w:val="0"/>
        <w:spacing w:line="360" w:lineRule="auto"/>
        <w:ind w:firstLine="480" w:firstLineChars="200"/>
        <w:jc w:val="left"/>
        <w:rPr>
          <w:b/>
          <w:sz w:val="24"/>
          <w:szCs w:val="32"/>
        </w:rPr>
      </w:pPr>
      <w:r>
        <w:rPr>
          <w:rFonts w:hint="eastAsia" w:cs="Calibri" w:asciiTheme="majorEastAsia" w:hAnsiTheme="majorEastAsia" w:eastAsiaTheme="majorEastAsia"/>
          <w:sz w:val="24"/>
          <w:szCs w:val="24"/>
        </w:rPr>
        <w:t xml:space="preserve">5.3 </w:t>
      </w:r>
      <w:r>
        <w:rPr>
          <w:rFonts w:hint="eastAsia"/>
          <w:bCs/>
          <w:sz w:val="24"/>
          <w:szCs w:val="32"/>
        </w:rPr>
        <w:t>防恐、应急物资清单</w:t>
      </w:r>
    </w:p>
    <w:tbl>
      <w:tblPr>
        <w:tblStyle w:val="46"/>
        <w:tblW w:w="8338" w:type="dxa"/>
        <w:tblInd w:w="0" w:type="dxa"/>
        <w:tblLayout w:type="fixed"/>
        <w:tblCellMar>
          <w:top w:w="0" w:type="dxa"/>
          <w:left w:w="108" w:type="dxa"/>
          <w:bottom w:w="0" w:type="dxa"/>
          <w:right w:w="108" w:type="dxa"/>
        </w:tblCellMar>
      </w:tblPr>
      <w:tblGrid>
        <w:gridCol w:w="1153"/>
        <w:gridCol w:w="2232"/>
        <w:gridCol w:w="3351"/>
        <w:gridCol w:w="1602"/>
      </w:tblGrid>
      <w:tr>
        <w:tblPrEx>
          <w:tblCellMar>
            <w:top w:w="0" w:type="dxa"/>
            <w:left w:w="108" w:type="dxa"/>
            <w:bottom w:w="0" w:type="dxa"/>
            <w:right w:w="108" w:type="dxa"/>
          </w:tblCellMar>
        </w:tblPrEx>
        <w:trPr>
          <w:trHeight w:val="382" w:hRule="atLeast"/>
        </w:trPr>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序号</w:t>
            </w:r>
          </w:p>
        </w:tc>
        <w:tc>
          <w:tcPr>
            <w:tcW w:w="223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防恐器材名称</w:t>
            </w:r>
          </w:p>
        </w:tc>
        <w:tc>
          <w:tcPr>
            <w:tcW w:w="3351"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分布位置</w:t>
            </w:r>
          </w:p>
        </w:tc>
        <w:tc>
          <w:tcPr>
            <w:tcW w:w="160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数量</w:t>
            </w:r>
          </w:p>
        </w:tc>
      </w:tr>
      <w:tr>
        <w:tblPrEx>
          <w:tblCellMar>
            <w:top w:w="0" w:type="dxa"/>
            <w:left w:w="108" w:type="dxa"/>
            <w:bottom w:w="0" w:type="dxa"/>
            <w:right w:w="108" w:type="dxa"/>
          </w:tblCellMar>
        </w:tblPrEx>
        <w:trPr>
          <w:trHeight w:val="382" w:hRule="atLeast"/>
        </w:trPr>
        <w:tc>
          <w:tcPr>
            <w:tcW w:w="11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1</w:t>
            </w:r>
          </w:p>
        </w:tc>
        <w:tc>
          <w:tcPr>
            <w:tcW w:w="223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头盔</w:t>
            </w:r>
          </w:p>
        </w:tc>
        <w:tc>
          <w:tcPr>
            <w:tcW w:w="3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门卫室</w:t>
            </w:r>
          </w:p>
        </w:tc>
        <w:tc>
          <w:tcPr>
            <w:tcW w:w="160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6</w:t>
            </w:r>
          </w:p>
        </w:tc>
      </w:tr>
      <w:tr>
        <w:tblPrEx>
          <w:tblCellMar>
            <w:top w:w="0" w:type="dxa"/>
            <w:left w:w="108" w:type="dxa"/>
            <w:bottom w:w="0" w:type="dxa"/>
            <w:right w:w="108" w:type="dxa"/>
          </w:tblCellMar>
        </w:tblPrEx>
        <w:trPr>
          <w:trHeight w:val="382" w:hRule="atLeast"/>
        </w:trPr>
        <w:tc>
          <w:tcPr>
            <w:tcW w:w="11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2</w:t>
            </w:r>
          </w:p>
        </w:tc>
        <w:tc>
          <w:tcPr>
            <w:tcW w:w="223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防爆警棍</w:t>
            </w:r>
          </w:p>
        </w:tc>
        <w:tc>
          <w:tcPr>
            <w:tcW w:w="3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门卫室</w:t>
            </w:r>
          </w:p>
        </w:tc>
        <w:tc>
          <w:tcPr>
            <w:tcW w:w="160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3</w:t>
            </w:r>
          </w:p>
        </w:tc>
      </w:tr>
      <w:tr>
        <w:tblPrEx>
          <w:tblCellMar>
            <w:top w:w="0" w:type="dxa"/>
            <w:left w:w="108" w:type="dxa"/>
            <w:bottom w:w="0" w:type="dxa"/>
            <w:right w:w="108" w:type="dxa"/>
          </w:tblCellMar>
        </w:tblPrEx>
        <w:trPr>
          <w:trHeight w:val="382" w:hRule="atLeast"/>
        </w:trPr>
        <w:tc>
          <w:tcPr>
            <w:tcW w:w="11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3</w:t>
            </w:r>
          </w:p>
        </w:tc>
        <w:tc>
          <w:tcPr>
            <w:tcW w:w="223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钢叉</w:t>
            </w:r>
          </w:p>
        </w:tc>
        <w:tc>
          <w:tcPr>
            <w:tcW w:w="3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门卫室</w:t>
            </w:r>
          </w:p>
        </w:tc>
        <w:tc>
          <w:tcPr>
            <w:tcW w:w="160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3</w:t>
            </w:r>
          </w:p>
        </w:tc>
      </w:tr>
      <w:tr>
        <w:tblPrEx>
          <w:tblCellMar>
            <w:top w:w="0" w:type="dxa"/>
            <w:left w:w="108" w:type="dxa"/>
            <w:bottom w:w="0" w:type="dxa"/>
            <w:right w:w="108" w:type="dxa"/>
          </w:tblCellMar>
        </w:tblPrEx>
        <w:trPr>
          <w:trHeight w:val="382" w:hRule="atLeast"/>
        </w:trPr>
        <w:tc>
          <w:tcPr>
            <w:tcW w:w="11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4</w:t>
            </w:r>
          </w:p>
        </w:tc>
        <w:tc>
          <w:tcPr>
            <w:tcW w:w="223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伸缩叉</w:t>
            </w:r>
          </w:p>
        </w:tc>
        <w:tc>
          <w:tcPr>
            <w:tcW w:w="3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门卫室</w:t>
            </w:r>
          </w:p>
        </w:tc>
        <w:tc>
          <w:tcPr>
            <w:tcW w:w="160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1</w:t>
            </w:r>
          </w:p>
        </w:tc>
      </w:tr>
      <w:tr>
        <w:tblPrEx>
          <w:tblCellMar>
            <w:top w:w="0" w:type="dxa"/>
            <w:left w:w="108" w:type="dxa"/>
            <w:bottom w:w="0" w:type="dxa"/>
            <w:right w:w="108" w:type="dxa"/>
          </w:tblCellMar>
        </w:tblPrEx>
        <w:trPr>
          <w:trHeight w:val="382" w:hRule="atLeast"/>
        </w:trPr>
        <w:tc>
          <w:tcPr>
            <w:tcW w:w="11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5</w:t>
            </w:r>
          </w:p>
        </w:tc>
        <w:tc>
          <w:tcPr>
            <w:tcW w:w="223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防刺服</w:t>
            </w:r>
          </w:p>
        </w:tc>
        <w:tc>
          <w:tcPr>
            <w:tcW w:w="3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门卫室</w:t>
            </w:r>
          </w:p>
        </w:tc>
        <w:tc>
          <w:tcPr>
            <w:tcW w:w="160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3</w:t>
            </w:r>
          </w:p>
        </w:tc>
      </w:tr>
      <w:tr>
        <w:tblPrEx>
          <w:tblCellMar>
            <w:top w:w="0" w:type="dxa"/>
            <w:left w:w="108" w:type="dxa"/>
            <w:bottom w:w="0" w:type="dxa"/>
            <w:right w:w="108" w:type="dxa"/>
          </w:tblCellMar>
        </w:tblPrEx>
        <w:trPr>
          <w:trHeight w:val="382" w:hRule="atLeast"/>
        </w:trPr>
        <w:tc>
          <w:tcPr>
            <w:tcW w:w="11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6</w:t>
            </w:r>
          </w:p>
        </w:tc>
        <w:tc>
          <w:tcPr>
            <w:tcW w:w="223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对讲机</w:t>
            </w:r>
          </w:p>
        </w:tc>
        <w:tc>
          <w:tcPr>
            <w:tcW w:w="3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门卫室</w:t>
            </w:r>
          </w:p>
        </w:tc>
        <w:tc>
          <w:tcPr>
            <w:tcW w:w="160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6</w:t>
            </w:r>
          </w:p>
        </w:tc>
      </w:tr>
      <w:tr>
        <w:tblPrEx>
          <w:tblCellMar>
            <w:top w:w="0" w:type="dxa"/>
            <w:left w:w="108" w:type="dxa"/>
            <w:bottom w:w="0" w:type="dxa"/>
            <w:right w:w="108" w:type="dxa"/>
          </w:tblCellMar>
        </w:tblPrEx>
        <w:trPr>
          <w:trHeight w:val="382" w:hRule="atLeast"/>
        </w:trPr>
        <w:tc>
          <w:tcPr>
            <w:tcW w:w="11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7</w:t>
            </w:r>
          </w:p>
        </w:tc>
        <w:tc>
          <w:tcPr>
            <w:tcW w:w="223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扩音器</w:t>
            </w:r>
          </w:p>
        </w:tc>
        <w:tc>
          <w:tcPr>
            <w:tcW w:w="3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门卫室</w:t>
            </w:r>
          </w:p>
        </w:tc>
        <w:tc>
          <w:tcPr>
            <w:tcW w:w="160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1</w:t>
            </w:r>
          </w:p>
        </w:tc>
      </w:tr>
      <w:tr>
        <w:tblPrEx>
          <w:tblCellMar>
            <w:top w:w="0" w:type="dxa"/>
            <w:left w:w="108" w:type="dxa"/>
            <w:bottom w:w="0" w:type="dxa"/>
            <w:right w:w="108" w:type="dxa"/>
          </w:tblCellMar>
        </w:tblPrEx>
        <w:trPr>
          <w:trHeight w:val="382" w:hRule="atLeast"/>
        </w:trPr>
        <w:tc>
          <w:tcPr>
            <w:tcW w:w="11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8</w:t>
            </w:r>
          </w:p>
        </w:tc>
        <w:tc>
          <w:tcPr>
            <w:tcW w:w="223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充电式强光手电筒</w:t>
            </w:r>
          </w:p>
        </w:tc>
        <w:tc>
          <w:tcPr>
            <w:tcW w:w="3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门卫室</w:t>
            </w:r>
          </w:p>
        </w:tc>
        <w:tc>
          <w:tcPr>
            <w:tcW w:w="160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1</w:t>
            </w:r>
          </w:p>
        </w:tc>
      </w:tr>
      <w:tr>
        <w:tblPrEx>
          <w:tblCellMar>
            <w:top w:w="0" w:type="dxa"/>
            <w:left w:w="108" w:type="dxa"/>
            <w:bottom w:w="0" w:type="dxa"/>
            <w:right w:w="108" w:type="dxa"/>
          </w:tblCellMar>
        </w:tblPrEx>
        <w:trPr>
          <w:trHeight w:val="382" w:hRule="atLeast"/>
        </w:trPr>
        <w:tc>
          <w:tcPr>
            <w:tcW w:w="1153"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9</w:t>
            </w:r>
          </w:p>
        </w:tc>
        <w:tc>
          <w:tcPr>
            <w:tcW w:w="223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小型手电筒</w:t>
            </w:r>
          </w:p>
        </w:tc>
        <w:tc>
          <w:tcPr>
            <w:tcW w:w="3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门卫室</w:t>
            </w:r>
          </w:p>
        </w:tc>
        <w:tc>
          <w:tcPr>
            <w:tcW w:w="160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1</w:t>
            </w:r>
          </w:p>
        </w:tc>
      </w:tr>
      <w:tr>
        <w:tblPrEx>
          <w:tblCellMar>
            <w:top w:w="0" w:type="dxa"/>
            <w:left w:w="108" w:type="dxa"/>
            <w:bottom w:w="0" w:type="dxa"/>
            <w:right w:w="108" w:type="dxa"/>
          </w:tblCellMar>
        </w:tblPrEx>
        <w:trPr>
          <w:trHeight w:val="382" w:hRule="atLeast"/>
        </w:trPr>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
                <w:bCs/>
                <w:kern w:val="0"/>
                <w:szCs w:val="21"/>
              </w:rPr>
            </w:pPr>
            <w:r>
              <w:rPr>
                <w:rFonts w:hint="eastAsia" w:ascii="宋体" w:hAnsi="宋体" w:eastAsia="宋体" w:cs="宋体"/>
                <w:kern w:val="0"/>
                <w:szCs w:val="21"/>
              </w:rPr>
              <w:t>10</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防汛沙袋</w:t>
            </w:r>
          </w:p>
        </w:tc>
        <w:tc>
          <w:tcPr>
            <w:tcW w:w="33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配电房</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10</w:t>
            </w:r>
          </w:p>
        </w:tc>
      </w:tr>
      <w:tr>
        <w:tblPrEx>
          <w:tblCellMar>
            <w:top w:w="0" w:type="dxa"/>
            <w:left w:w="108" w:type="dxa"/>
            <w:bottom w:w="0" w:type="dxa"/>
            <w:right w:w="108" w:type="dxa"/>
          </w:tblCellMar>
        </w:tblPrEx>
        <w:trPr>
          <w:trHeight w:val="382" w:hRule="atLeast"/>
        </w:trPr>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
                <w:bCs/>
                <w:kern w:val="0"/>
                <w:szCs w:val="21"/>
              </w:rPr>
            </w:pPr>
            <w:r>
              <w:rPr>
                <w:rFonts w:hint="eastAsia" w:ascii="宋体" w:hAnsi="宋体" w:eastAsia="宋体" w:cs="宋体"/>
                <w:kern w:val="0"/>
                <w:szCs w:val="21"/>
              </w:rPr>
              <w:t>11</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eastAsia="宋体" w:cs="宋体"/>
                <w:kern w:val="0"/>
                <w:szCs w:val="21"/>
              </w:rPr>
            </w:pPr>
            <w:r>
              <w:rPr>
                <w:rFonts w:hint="eastAsia" w:ascii="宋体" w:hAnsi="宋体" w:eastAsia="宋体" w:cs="宋体"/>
                <w:kern w:val="0"/>
                <w:szCs w:val="21"/>
              </w:rPr>
              <w:t>应急集合点指示牌</w:t>
            </w:r>
          </w:p>
        </w:tc>
        <w:tc>
          <w:tcPr>
            <w:tcW w:w="33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停车场</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bl>
    <w:p>
      <w:pPr>
        <w:autoSpaceDE w:val="0"/>
        <w:autoSpaceDN w:val="0"/>
        <w:adjustRightInd w:val="0"/>
        <w:spacing w:line="360" w:lineRule="auto"/>
        <w:ind w:firstLine="482"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b/>
          <w:bCs/>
          <w:sz w:val="24"/>
          <w:szCs w:val="24"/>
        </w:rPr>
        <w:t>6、</w:t>
      </w:r>
      <w:r>
        <w:rPr>
          <w:rFonts w:hint="eastAsia" w:asciiTheme="majorEastAsia" w:hAnsiTheme="majorEastAsia" w:eastAsiaTheme="majorEastAsia"/>
          <w:b/>
          <w:bCs/>
          <w:sz w:val="24"/>
          <w:szCs w:val="24"/>
        </w:rPr>
        <w:t>日常</w:t>
      </w:r>
      <w:r>
        <w:rPr>
          <w:rFonts w:hint="eastAsia" w:cs="Times New Roman" w:asciiTheme="majorEastAsia" w:hAnsiTheme="majorEastAsia" w:eastAsiaTheme="majorEastAsia"/>
          <w:b/>
          <w:bCs/>
          <w:sz w:val="24"/>
          <w:szCs w:val="24"/>
          <w:lang w:val="zh-CN"/>
        </w:rPr>
        <w:t>办公服务</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6.1 甲方工作人员日常饮用水（每个月至少保证3桶19升桶装水），纸巾、水笔、笔记本、资料袋、文件夹、电池等办公用品由乙方提供（不包括打印机电脑维修更换、硒鼓墨盒更换）。</w:t>
      </w:r>
    </w:p>
    <w:p>
      <w:pPr>
        <w:spacing w:line="360" w:lineRule="auto"/>
        <w:ind w:firstLine="420" w:firstLineChars="175"/>
        <w:jc w:val="left"/>
        <w:rPr>
          <w:rFonts w:cs="Calibri" w:asciiTheme="majorEastAsia" w:hAnsiTheme="majorEastAsia" w:eastAsiaTheme="majorEastAsia"/>
          <w:sz w:val="24"/>
          <w:szCs w:val="24"/>
        </w:rPr>
      </w:pPr>
      <w:r>
        <w:rPr>
          <w:rFonts w:asciiTheme="majorEastAsia" w:hAnsiTheme="majorEastAsia" w:eastAsiaTheme="majorEastAsia"/>
          <w:sz w:val="24"/>
          <w:szCs w:val="24"/>
          <w:lang w:val="zh-CN"/>
        </w:rPr>
        <w:t>6.2</w:t>
      </w:r>
      <w:r>
        <w:rPr>
          <w:rFonts w:hint="eastAsia" w:asciiTheme="majorEastAsia" w:hAnsiTheme="majorEastAsia" w:eastAsiaTheme="majorEastAsia"/>
          <w:sz w:val="24"/>
          <w:szCs w:val="24"/>
          <w:lang w:val="zh-CN"/>
        </w:rPr>
        <w:t>物料包干</w:t>
      </w:r>
      <w:r>
        <w:rPr>
          <w:rFonts w:asciiTheme="majorEastAsia" w:hAnsiTheme="majorEastAsia" w:eastAsiaTheme="majorEastAsia"/>
          <w:sz w:val="24"/>
          <w:szCs w:val="24"/>
          <w:lang w:val="zh-CN"/>
        </w:rPr>
        <w:t>：</w:t>
      </w:r>
      <w:r>
        <w:rPr>
          <w:rFonts w:hint="eastAsia" w:asciiTheme="majorEastAsia" w:hAnsiTheme="majorEastAsia" w:eastAsiaTheme="majorEastAsia"/>
          <w:sz w:val="24"/>
          <w:szCs w:val="24"/>
          <w:lang w:val="zh-CN"/>
        </w:rPr>
        <w:t>甲方</w:t>
      </w:r>
      <w:r>
        <w:rPr>
          <w:rFonts w:asciiTheme="majorEastAsia" w:hAnsiTheme="majorEastAsia" w:eastAsiaTheme="majorEastAsia"/>
          <w:sz w:val="24"/>
          <w:szCs w:val="24"/>
          <w:lang w:val="zh-CN"/>
        </w:rPr>
        <w:t>不再提供综合服务的</w:t>
      </w:r>
      <w:r>
        <w:rPr>
          <w:rFonts w:hint="eastAsia" w:asciiTheme="majorEastAsia" w:hAnsiTheme="majorEastAsia" w:eastAsiaTheme="majorEastAsia"/>
          <w:sz w:val="24"/>
          <w:szCs w:val="24"/>
          <w:lang w:val="zh-CN"/>
        </w:rPr>
        <w:t>工具</w:t>
      </w:r>
      <w:r>
        <w:rPr>
          <w:rFonts w:asciiTheme="majorEastAsia" w:hAnsiTheme="majorEastAsia" w:eastAsiaTheme="majorEastAsia"/>
          <w:sz w:val="24"/>
          <w:szCs w:val="24"/>
          <w:lang w:val="zh-CN"/>
        </w:rPr>
        <w:t>和易耗品</w:t>
      </w:r>
      <w:r>
        <w:rPr>
          <w:rFonts w:hint="eastAsia" w:asciiTheme="majorEastAsia" w:hAnsiTheme="majorEastAsia" w:eastAsiaTheme="majorEastAsia"/>
          <w:sz w:val="24"/>
          <w:szCs w:val="24"/>
          <w:lang w:val="zh-CN"/>
        </w:rPr>
        <w:t>，</w:t>
      </w:r>
      <w:r>
        <w:rPr>
          <w:rFonts w:hint="eastAsia" w:asciiTheme="majorEastAsia" w:hAnsiTheme="majorEastAsia" w:eastAsiaTheme="majorEastAsia"/>
          <w:sz w:val="24"/>
          <w:szCs w:val="24"/>
        </w:rPr>
        <w:t>乙方</w:t>
      </w:r>
      <w:r>
        <w:rPr>
          <w:rFonts w:asciiTheme="majorEastAsia" w:hAnsiTheme="majorEastAsia" w:eastAsiaTheme="majorEastAsia"/>
          <w:sz w:val="24"/>
          <w:szCs w:val="24"/>
          <w:lang w:val="zh-CN"/>
        </w:rPr>
        <w:t>须</w:t>
      </w:r>
      <w:r>
        <w:rPr>
          <w:rFonts w:hint="eastAsia" w:asciiTheme="majorEastAsia" w:hAnsiTheme="majorEastAsia" w:eastAsiaTheme="majorEastAsia"/>
          <w:sz w:val="24"/>
          <w:szCs w:val="24"/>
          <w:lang w:val="zh-CN"/>
        </w:rPr>
        <w:t>自费</w:t>
      </w:r>
      <w:r>
        <w:rPr>
          <w:rFonts w:asciiTheme="majorEastAsia" w:hAnsiTheme="majorEastAsia" w:eastAsiaTheme="majorEastAsia"/>
          <w:sz w:val="24"/>
          <w:szCs w:val="24"/>
          <w:lang w:val="zh-CN"/>
        </w:rPr>
        <w:t>采购</w:t>
      </w:r>
      <w:r>
        <w:rPr>
          <w:rFonts w:hint="eastAsia" w:asciiTheme="majorEastAsia" w:hAnsiTheme="majorEastAsia" w:eastAsiaTheme="majorEastAsia"/>
          <w:sz w:val="24"/>
          <w:szCs w:val="24"/>
          <w:lang w:val="zh-CN"/>
        </w:rPr>
        <w:t>维修</w:t>
      </w:r>
      <w:r>
        <w:rPr>
          <w:rFonts w:asciiTheme="majorEastAsia" w:hAnsiTheme="majorEastAsia" w:eastAsiaTheme="majorEastAsia"/>
          <w:sz w:val="24"/>
          <w:szCs w:val="24"/>
          <w:lang w:val="zh-CN"/>
        </w:rPr>
        <w:t>用具</w:t>
      </w:r>
      <w:r>
        <w:rPr>
          <w:rFonts w:hint="eastAsia" w:asciiTheme="majorEastAsia" w:hAnsiTheme="majorEastAsia" w:eastAsiaTheme="majorEastAsia"/>
          <w:sz w:val="24"/>
          <w:szCs w:val="24"/>
          <w:lang w:val="zh-CN"/>
        </w:rPr>
        <w:t>、</w:t>
      </w:r>
      <w:r>
        <w:rPr>
          <w:rFonts w:asciiTheme="majorEastAsia" w:hAnsiTheme="majorEastAsia" w:eastAsiaTheme="majorEastAsia"/>
          <w:sz w:val="24"/>
          <w:szCs w:val="24"/>
        </w:rPr>
        <w:t>易耗品</w:t>
      </w:r>
      <w:r>
        <w:rPr>
          <w:rFonts w:hint="eastAsia" w:asciiTheme="majorEastAsia" w:hAnsiTheme="majorEastAsia" w:eastAsiaTheme="majorEastAsia"/>
          <w:sz w:val="24"/>
          <w:szCs w:val="24"/>
        </w:rPr>
        <w:t>、</w:t>
      </w:r>
      <w:r>
        <w:rPr>
          <w:rFonts w:asciiTheme="majorEastAsia" w:hAnsiTheme="majorEastAsia" w:eastAsiaTheme="majorEastAsia"/>
          <w:sz w:val="24"/>
          <w:szCs w:val="24"/>
        </w:rPr>
        <w:t>保洁用料</w:t>
      </w:r>
      <w:r>
        <w:rPr>
          <w:rFonts w:hint="eastAsia" w:asciiTheme="majorEastAsia" w:hAnsiTheme="majorEastAsia" w:eastAsiaTheme="majorEastAsia"/>
          <w:sz w:val="24"/>
          <w:szCs w:val="24"/>
        </w:rPr>
        <w:t>等。</w:t>
      </w:r>
      <w:r>
        <w:rPr>
          <w:rFonts w:hint="eastAsia" w:cs="Calibri" w:asciiTheme="majorEastAsia" w:hAnsiTheme="majorEastAsia" w:eastAsiaTheme="majorEastAsia"/>
          <w:sz w:val="24"/>
          <w:szCs w:val="24"/>
        </w:rPr>
        <w:t>物料详细包括：</w:t>
      </w:r>
    </w:p>
    <w:p>
      <w:pPr>
        <w:numPr>
          <w:ilvl w:val="255"/>
          <w:numId w:val="0"/>
        </w:numPr>
        <w:spacing w:line="360" w:lineRule="auto"/>
        <w:ind w:firstLine="420" w:firstLineChars="175"/>
        <w:jc w:val="left"/>
        <w:rPr>
          <w:rFonts w:asciiTheme="majorEastAsia" w:hAnsiTheme="majorEastAsia" w:eastAsiaTheme="majorEastAsia"/>
          <w:sz w:val="24"/>
          <w:szCs w:val="24"/>
          <w:lang w:val="zh-CN"/>
        </w:rPr>
      </w:pPr>
      <w:r>
        <w:rPr>
          <w:rFonts w:hint="eastAsia" w:asciiTheme="majorEastAsia" w:hAnsiTheme="majorEastAsia" w:eastAsiaTheme="majorEastAsia"/>
          <w:sz w:val="24"/>
          <w:szCs w:val="24"/>
        </w:rPr>
        <w:t>①</w:t>
      </w:r>
      <w:r>
        <w:rPr>
          <w:rFonts w:asciiTheme="majorEastAsia" w:hAnsiTheme="majorEastAsia" w:eastAsiaTheme="majorEastAsia"/>
          <w:sz w:val="24"/>
          <w:szCs w:val="24"/>
          <w:lang w:val="zh-CN"/>
        </w:rPr>
        <w:t>维修物料：油漆修补、道路修补（面积≤1平方米）、锁芯、门把手、照明灯管、水龙头、水管、地漏、电工日常维修工具、配电房交流接触器和空气开关、道闸遥控器、伸缩门遥控器</w:t>
      </w:r>
      <w:r>
        <w:rPr>
          <w:rFonts w:hint="eastAsia" w:asciiTheme="majorEastAsia" w:hAnsiTheme="majorEastAsia" w:eastAsiaTheme="majorEastAsia"/>
          <w:sz w:val="24"/>
          <w:szCs w:val="24"/>
          <w:lang w:val="zh-CN"/>
        </w:rPr>
        <w:t>、</w:t>
      </w:r>
      <w:r>
        <w:rPr>
          <w:rFonts w:asciiTheme="majorEastAsia" w:hAnsiTheme="majorEastAsia" w:eastAsiaTheme="majorEastAsia"/>
          <w:sz w:val="24"/>
          <w:szCs w:val="24"/>
          <w:lang w:val="zh-CN"/>
        </w:rPr>
        <w:t>门卫室内椅子</w:t>
      </w:r>
      <w:r>
        <w:rPr>
          <w:rFonts w:hint="eastAsia" w:asciiTheme="majorEastAsia" w:hAnsiTheme="majorEastAsia" w:eastAsiaTheme="majorEastAsia"/>
          <w:sz w:val="24"/>
          <w:szCs w:val="24"/>
        </w:rPr>
        <w:t>维修</w:t>
      </w:r>
      <w:r>
        <w:rPr>
          <w:rFonts w:asciiTheme="majorEastAsia" w:hAnsiTheme="majorEastAsia" w:eastAsiaTheme="majorEastAsia"/>
          <w:sz w:val="24"/>
          <w:szCs w:val="24"/>
          <w:lang w:val="zh-CN"/>
        </w:rPr>
        <w:t>、马桶盖、淋浴器配件等；</w:t>
      </w:r>
    </w:p>
    <w:p>
      <w:pPr>
        <w:numPr>
          <w:ilvl w:val="255"/>
          <w:numId w:val="0"/>
        </w:numPr>
        <w:spacing w:line="360" w:lineRule="auto"/>
        <w:ind w:firstLine="420" w:firstLineChars="175"/>
        <w:jc w:val="left"/>
        <w:rPr>
          <w:rFonts w:asciiTheme="majorEastAsia" w:hAnsiTheme="majorEastAsia" w:eastAsiaTheme="majorEastAsia"/>
          <w:sz w:val="24"/>
          <w:szCs w:val="24"/>
          <w:lang w:val="zh-CN"/>
        </w:rPr>
      </w:pPr>
      <w:r>
        <w:rPr>
          <w:rFonts w:hint="eastAsia" w:asciiTheme="majorEastAsia" w:hAnsiTheme="majorEastAsia" w:eastAsiaTheme="majorEastAsia"/>
          <w:sz w:val="24"/>
          <w:szCs w:val="24"/>
        </w:rPr>
        <w:t>②</w:t>
      </w:r>
      <w:r>
        <w:rPr>
          <w:rFonts w:asciiTheme="majorEastAsia" w:hAnsiTheme="majorEastAsia" w:eastAsiaTheme="majorEastAsia"/>
          <w:sz w:val="24"/>
          <w:szCs w:val="24"/>
          <w:lang w:val="zh-CN"/>
        </w:rPr>
        <w:t>保洁物料：扫把、拖把、畚箕、抹布、洗洁精、洗手液、除臭剂、卫浴清洁剂、洁厕剂、卫生纸（卷纸和抽纸）、垃圾袋、擦窗器</w:t>
      </w:r>
      <w:r>
        <w:rPr>
          <w:rFonts w:hint="eastAsia" w:asciiTheme="majorEastAsia" w:hAnsiTheme="majorEastAsia" w:eastAsiaTheme="majorEastAsia"/>
          <w:sz w:val="24"/>
          <w:szCs w:val="24"/>
          <w:lang w:val="zh-CN"/>
        </w:rPr>
        <w:t>、</w:t>
      </w:r>
      <w:r>
        <w:rPr>
          <w:rFonts w:asciiTheme="majorEastAsia" w:hAnsiTheme="majorEastAsia" w:eastAsiaTheme="majorEastAsia"/>
          <w:sz w:val="24"/>
          <w:szCs w:val="24"/>
          <w:lang w:val="zh-CN"/>
        </w:rPr>
        <w:t>水刮器、除草剂、割草机、草耙子、铲子等；</w:t>
      </w:r>
    </w:p>
    <w:p>
      <w:pPr>
        <w:numPr>
          <w:ilvl w:val="255"/>
          <w:numId w:val="0"/>
        </w:numPr>
        <w:spacing w:line="360" w:lineRule="auto"/>
        <w:ind w:firstLine="420" w:firstLineChars="175"/>
        <w:jc w:val="left"/>
        <w:rPr>
          <w:rFonts w:asciiTheme="majorEastAsia" w:hAnsiTheme="majorEastAsia" w:eastAsiaTheme="majorEastAsia"/>
          <w:sz w:val="24"/>
          <w:szCs w:val="24"/>
          <w:lang w:val="zh-CN"/>
        </w:rPr>
      </w:pPr>
      <w:r>
        <w:rPr>
          <w:rFonts w:hint="eastAsia" w:asciiTheme="majorEastAsia" w:hAnsiTheme="majorEastAsia" w:eastAsiaTheme="majorEastAsia"/>
          <w:sz w:val="24"/>
          <w:szCs w:val="24"/>
        </w:rPr>
        <w:t>③</w:t>
      </w:r>
      <w:r>
        <w:rPr>
          <w:rFonts w:asciiTheme="majorEastAsia" w:hAnsiTheme="majorEastAsia" w:eastAsiaTheme="majorEastAsia"/>
          <w:sz w:val="24"/>
          <w:szCs w:val="24"/>
          <w:lang w:val="zh-CN"/>
        </w:rPr>
        <w:t>安全物资：沙袋、</w:t>
      </w:r>
      <w:r>
        <w:rPr>
          <w:rFonts w:hint="eastAsia" w:asciiTheme="majorEastAsia" w:hAnsiTheme="majorEastAsia" w:eastAsiaTheme="majorEastAsia"/>
          <w:sz w:val="24"/>
          <w:szCs w:val="24"/>
        </w:rPr>
        <w:t>防爆工具</w:t>
      </w:r>
      <w:r>
        <w:rPr>
          <w:rFonts w:asciiTheme="majorEastAsia" w:hAnsiTheme="majorEastAsia" w:eastAsiaTheme="majorEastAsia"/>
          <w:sz w:val="24"/>
          <w:szCs w:val="24"/>
          <w:lang w:val="zh-CN"/>
        </w:rPr>
        <w:t>等；</w:t>
      </w:r>
    </w:p>
    <w:p>
      <w:pPr>
        <w:numPr>
          <w:ilvl w:val="255"/>
          <w:numId w:val="0"/>
        </w:numPr>
        <w:spacing w:line="360" w:lineRule="auto"/>
        <w:ind w:firstLine="420" w:firstLineChars="175"/>
        <w:jc w:val="left"/>
        <w:rPr>
          <w:rFonts w:cs="Times New Roman" w:asciiTheme="majorEastAsia" w:hAnsiTheme="majorEastAsia" w:eastAsiaTheme="majorEastAsia"/>
          <w:sz w:val="24"/>
          <w:szCs w:val="24"/>
          <w:lang w:val="zh-CN"/>
        </w:rPr>
      </w:pPr>
      <w:r>
        <w:rPr>
          <w:rFonts w:hint="eastAsia" w:asciiTheme="majorEastAsia" w:hAnsiTheme="majorEastAsia" w:eastAsiaTheme="majorEastAsia"/>
          <w:sz w:val="24"/>
          <w:szCs w:val="24"/>
        </w:rPr>
        <w:t>④</w:t>
      </w:r>
      <w:r>
        <w:rPr>
          <w:rFonts w:asciiTheme="majorEastAsia" w:hAnsiTheme="majorEastAsia" w:eastAsiaTheme="majorEastAsia"/>
          <w:sz w:val="24"/>
          <w:szCs w:val="24"/>
          <w:lang w:val="zh-CN"/>
        </w:rPr>
        <w:t>其他物料：</w:t>
      </w:r>
      <w:r>
        <w:rPr>
          <w:rFonts w:hint="eastAsia" w:asciiTheme="majorEastAsia" w:hAnsiTheme="majorEastAsia" w:eastAsiaTheme="majorEastAsia"/>
          <w:sz w:val="24"/>
          <w:szCs w:val="24"/>
        </w:rPr>
        <w:t>工作服</w:t>
      </w:r>
      <w:r>
        <w:rPr>
          <w:rFonts w:asciiTheme="majorEastAsia" w:hAnsiTheme="majorEastAsia" w:eastAsiaTheme="majorEastAsia"/>
          <w:sz w:val="24"/>
          <w:szCs w:val="24"/>
          <w:lang w:val="zh-CN"/>
        </w:rPr>
        <w:t>、横幅、指示牌等。</w:t>
      </w:r>
    </w:p>
    <w:p>
      <w:pPr>
        <w:autoSpaceDE w:val="0"/>
        <w:autoSpaceDN w:val="0"/>
        <w:adjustRightInd w:val="0"/>
        <w:spacing w:line="360" w:lineRule="auto"/>
        <w:ind w:firstLine="482" w:firstLineChars="200"/>
        <w:jc w:val="left"/>
        <w:rPr>
          <w:rFonts w:cs="Times New Roman" w:asciiTheme="majorEastAsia" w:hAnsiTheme="majorEastAsia" w:eastAsiaTheme="majorEastAsia"/>
          <w:b/>
          <w:bCs/>
          <w:sz w:val="24"/>
          <w:szCs w:val="24"/>
          <w:lang w:val="zh-CN"/>
        </w:rPr>
      </w:pPr>
      <w:r>
        <w:rPr>
          <w:rFonts w:hint="eastAsia" w:cs="Times New Roman" w:asciiTheme="majorEastAsia" w:hAnsiTheme="majorEastAsia" w:eastAsiaTheme="majorEastAsia"/>
          <w:b/>
          <w:bCs/>
          <w:sz w:val="24"/>
          <w:szCs w:val="24"/>
        </w:rPr>
        <w:t>7、</w:t>
      </w:r>
      <w:r>
        <w:rPr>
          <w:rFonts w:hint="eastAsia" w:cs="Times New Roman" w:asciiTheme="majorEastAsia" w:hAnsiTheme="majorEastAsia" w:eastAsiaTheme="majorEastAsia"/>
          <w:b/>
          <w:bCs/>
          <w:sz w:val="24"/>
          <w:szCs w:val="24"/>
          <w:lang w:val="zh-CN"/>
        </w:rPr>
        <w:t>计划外维修服务</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sz w:val="24"/>
          <w:szCs w:val="24"/>
        </w:rPr>
        <w:t>7.1 计划外维修服务内容包括：防水维修</w:t>
      </w:r>
      <w:r>
        <w:rPr>
          <w:rFonts w:hint="eastAsia"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外</w:t>
      </w:r>
      <w:r>
        <w:rPr>
          <w:rFonts w:hint="eastAsia" w:cs="Times New Roman" w:asciiTheme="majorEastAsia" w:hAnsiTheme="majorEastAsia" w:eastAsiaTheme="majorEastAsia"/>
          <w:sz w:val="24"/>
          <w:szCs w:val="24"/>
          <w:lang w:val="zh-CN"/>
        </w:rPr>
        <w:t>墙体维修、</w:t>
      </w:r>
      <w:r>
        <w:rPr>
          <w:rFonts w:hint="eastAsia" w:cs="Times New Roman" w:asciiTheme="majorEastAsia" w:hAnsiTheme="majorEastAsia" w:eastAsiaTheme="majorEastAsia"/>
          <w:sz w:val="24"/>
          <w:szCs w:val="24"/>
        </w:rPr>
        <w:t>内部</w:t>
      </w:r>
      <w:r>
        <w:rPr>
          <w:rFonts w:hint="eastAsia" w:cs="Times New Roman" w:asciiTheme="majorEastAsia" w:hAnsiTheme="majorEastAsia" w:eastAsiaTheme="majorEastAsia"/>
          <w:sz w:val="24"/>
          <w:szCs w:val="24"/>
          <w:lang w:val="zh-CN"/>
        </w:rPr>
        <w:t>装修</w:t>
      </w:r>
      <w:r>
        <w:rPr>
          <w:rFonts w:hint="eastAsia" w:cs="Times New Roman" w:asciiTheme="majorEastAsia" w:hAnsiTheme="majorEastAsia" w:eastAsiaTheme="majorEastAsia"/>
          <w:sz w:val="24"/>
          <w:szCs w:val="24"/>
        </w:rPr>
        <w:t>维修</w:t>
      </w:r>
      <w:r>
        <w:rPr>
          <w:rFonts w:hint="eastAsia"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道路维修</w:t>
      </w:r>
      <w:r>
        <w:rPr>
          <w:rFonts w:hint="eastAsia" w:cs="Times New Roman" w:asciiTheme="majorEastAsia" w:hAnsiTheme="majorEastAsia" w:eastAsiaTheme="majorEastAsia"/>
          <w:sz w:val="24"/>
          <w:szCs w:val="24"/>
          <w:lang w:val="zh-CN"/>
        </w:rPr>
        <w:t>、水电管网</w:t>
      </w:r>
      <w:r>
        <w:rPr>
          <w:rFonts w:hint="eastAsia" w:cs="Times New Roman" w:asciiTheme="majorEastAsia" w:hAnsiTheme="majorEastAsia" w:eastAsiaTheme="majorEastAsia"/>
          <w:sz w:val="24"/>
          <w:szCs w:val="24"/>
        </w:rPr>
        <w:t>维修</w:t>
      </w:r>
      <w:r>
        <w:rPr>
          <w:rFonts w:hint="eastAsia"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空调维修、监控网络维修、伸缩门维修、道闸维修、</w:t>
      </w:r>
      <w:r>
        <w:rPr>
          <w:rFonts w:hint="eastAsia" w:cs="Times New Roman" w:asciiTheme="majorEastAsia" w:hAnsiTheme="majorEastAsia" w:eastAsiaTheme="majorEastAsia"/>
          <w:sz w:val="24"/>
          <w:szCs w:val="24"/>
          <w:lang w:val="en-US" w:eastAsia="zh-CN"/>
        </w:rPr>
        <w:t>大型乔木修剪、</w:t>
      </w:r>
      <w:r>
        <w:rPr>
          <w:rFonts w:hint="eastAsia" w:cs="Times New Roman" w:asciiTheme="majorEastAsia" w:hAnsiTheme="majorEastAsia" w:eastAsiaTheme="majorEastAsia"/>
          <w:sz w:val="24"/>
          <w:szCs w:val="24"/>
        </w:rPr>
        <w:t>风损及洪涝修复</w:t>
      </w:r>
      <w:r>
        <w:rPr>
          <w:rFonts w:hint="eastAsia" w:cs="Times New Roman" w:asciiTheme="majorEastAsia" w:hAnsiTheme="majorEastAsia" w:eastAsiaTheme="majorEastAsia"/>
          <w:sz w:val="24"/>
          <w:szCs w:val="24"/>
          <w:lang w:eastAsia="zh-CN"/>
        </w:rPr>
        <w:t>、</w:t>
      </w:r>
      <w:r>
        <w:rPr>
          <w:rFonts w:hint="eastAsia" w:cs="Times New Roman" w:asciiTheme="majorEastAsia" w:hAnsiTheme="majorEastAsia" w:eastAsiaTheme="majorEastAsia"/>
          <w:sz w:val="24"/>
          <w:szCs w:val="24"/>
          <w:lang w:val="en-US" w:eastAsia="zh-CN"/>
        </w:rPr>
        <w:t>建筑外墙真石漆清洗</w:t>
      </w:r>
      <w:r>
        <w:rPr>
          <w:rFonts w:hint="eastAsia" w:cs="Times New Roman" w:asciiTheme="majorEastAsia" w:hAnsiTheme="majorEastAsia" w:eastAsiaTheme="majorEastAsia"/>
          <w:sz w:val="24"/>
          <w:szCs w:val="24"/>
          <w:lang w:val="zh-CN"/>
        </w:rPr>
        <w:t>等</w:t>
      </w:r>
      <w:r>
        <w:rPr>
          <w:rFonts w:hint="eastAsia" w:cs="Times New Roman" w:asciiTheme="majorEastAsia" w:hAnsiTheme="majorEastAsia" w:eastAsiaTheme="majorEastAsia"/>
          <w:sz w:val="24"/>
          <w:szCs w:val="24"/>
        </w:rPr>
        <w:t>影响月浦基地正常功能的工作</w:t>
      </w:r>
      <w:r>
        <w:rPr>
          <w:rFonts w:hint="eastAsia"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sz w:val="24"/>
          <w:szCs w:val="24"/>
        </w:rPr>
        <w:t xml:space="preserve">7.2 </w:t>
      </w:r>
      <w:r>
        <w:rPr>
          <w:rFonts w:hint="eastAsia" w:cs="Times New Roman" w:asciiTheme="majorEastAsia" w:hAnsiTheme="majorEastAsia" w:eastAsiaTheme="majorEastAsia"/>
          <w:sz w:val="24"/>
          <w:szCs w:val="24"/>
          <w:lang w:val="zh-CN"/>
        </w:rPr>
        <w:t>由甲方向</w:t>
      </w:r>
      <w:r>
        <w:rPr>
          <w:rFonts w:hint="eastAsia" w:cs="Times New Roman" w:asciiTheme="majorEastAsia" w:hAnsiTheme="majorEastAsia" w:eastAsiaTheme="majorEastAsia"/>
          <w:sz w:val="24"/>
          <w:szCs w:val="24"/>
        </w:rPr>
        <w:t>乙方</w:t>
      </w:r>
      <w:r>
        <w:rPr>
          <w:rFonts w:hint="eastAsia" w:cs="Times New Roman" w:asciiTheme="majorEastAsia" w:hAnsiTheme="majorEastAsia" w:eastAsiaTheme="majorEastAsia"/>
          <w:sz w:val="24"/>
          <w:szCs w:val="24"/>
          <w:lang w:val="zh-CN"/>
        </w:rPr>
        <w:t>发送《月浦基地综合服务计划外需求通知单》，</w:t>
      </w:r>
      <w:r>
        <w:rPr>
          <w:rFonts w:hint="eastAsia" w:cs="Times New Roman" w:asciiTheme="majorEastAsia" w:hAnsiTheme="majorEastAsia" w:eastAsiaTheme="majorEastAsia"/>
          <w:sz w:val="24"/>
          <w:szCs w:val="24"/>
        </w:rPr>
        <w:t>明确工作内容、工作时间</w:t>
      </w:r>
      <w:r>
        <w:rPr>
          <w:rFonts w:hint="eastAsia"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并</w:t>
      </w:r>
      <w:r>
        <w:rPr>
          <w:rFonts w:hint="eastAsia" w:cs="Times New Roman" w:asciiTheme="majorEastAsia" w:hAnsiTheme="majorEastAsia" w:eastAsiaTheme="majorEastAsia"/>
          <w:sz w:val="24"/>
          <w:szCs w:val="24"/>
          <w:lang w:val="zh-CN"/>
        </w:rPr>
        <w:t>根据《合同费用报价明细表》</w:t>
      </w:r>
      <w:r>
        <w:rPr>
          <w:rFonts w:hint="eastAsia" w:cs="Times New Roman" w:asciiTheme="majorEastAsia" w:hAnsiTheme="majorEastAsia" w:eastAsiaTheme="majorEastAsia"/>
          <w:sz w:val="24"/>
          <w:szCs w:val="24"/>
        </w:rPr>
        <w:t>或</w:t>
      </w:r>
      <w:r>
        <w:rPr>
          <w:rFonts w:hint="eastAsia" w:cs="Times New Roman" w:asciiTheme="majorEastAsia" w:hAnsiTheme="majorEastAsia" w:eastAsiaTheme="majorEastAsia"/>
          <w:sz w:val="24"/>
          <w:szCs w:val="24"/>
          <w:lang w:val="zh-CN"/>
        </w:rPr>
        <w:t>《计划外服务人员费率表》</w:t>
      </w:r>
      <w:r>
        <w:rPr>
          <w:rFonts w:hint="eastAsia" w:cs="Times New Roman" w:asciiTheme="majorEastAsia" w:hAnsiTheme="majorEastAsia" w:eastAsiaTheme="majorEastAsia"/>
          <w:sz w:val="24"/>
          <w:szCs w:val="24"/>
        </w:rPr>
        <w:t>或《计划外服务维修报价表》</w:t>
      </w:r>
      <w:r>
        <w:rPr>
          <w:rFonts w:hint="eastAsia" w:cs="Times New Roman" w:asciiTheme="majorEastAsia" w:hAnsiTheme="majorEastAsia" w:eastAsiaTheme="majorEastAsia"/>
          <w:sz w:val="24"/>
          <w:szCs w:val="24"/>
          <w:lang w:val="zh-CN"/>
        </w:rPr>
        <w:t>确认</w:t>
      </w:r>
      <w:r>
        <w:rPr>
          <w:rFonts w:hint="eastAsia" w:cs="Times New Roman" w:asciiTheme="majorEastAsia" w:hAnsiTheme="majorEastAsia" w:eastAsiaTheme="majorEastAsia"/>
          <w:sz w:val="24"/>
          <w:szCs w:val="24"/>
        </w:rPr>
        <w:t>工作</w:t>
      </w:r>
      <w:r>
        <w:rPr>
          <w:rFonts w:hint="eastAsia" w:cs="Times New Roman" w:asciiTheme="majorEastAsia" w:hAnsiTheme="majorEastAsia" w:eastAsiaTheme="majorEastAsia"/>
          <w:sz w:val="24"/>
          <w:szCs w:val="24"/>
          <w:lang w:val="zh-CN"/>
        </w:rPr>
        <w:t>费用。</w:t>
      </w:r>
      <w:r>
        <w:rPr>
          <w:rFonts w:hint="eastAsia" w:cs="Times New Roman" w:asciiTheme="majorEastAsia" w:hAnsiTheme="majorEastAsia" w:eastAsiaTheme="majorEastAsia"/>
          <w:sz w:val="24"/>
          <w:szCs w:val="24"/>
        </w:rPr>
        <w:t>待工作完工并甲方</w:t>
      </w:r>
      <w:r>
        <w:rPr>
          <w:rFonts w:hint="eastAsia" w:cs="Times New Roman" w:asciiTheme="majorEastAsia" w:hAnsiTheme="majorEastAsia" w:eastAsiaTheme="majorEastAsia"/>
          <w:sz w:val="24"/>
          <w:szCs w:val="24"/>
          <w:lang w:val="zh-CN"/>
        </w:rPr>
        <w:t>验收合格后，</w:t>
      </w:r>
      <w:r>
        <w:rPr>
          <w:rFonts w:hint="eastAsia" w:cs="Times New Roman" w:asciiTheme="majorEastAsia" w:hAnsiTheme="majorEastAsia" w:eastAsiaTheme="majorEastAsia"/>
          <w:sz w:val="24"/>
          <w:szCs w:val="24"/>
        </w:rPr>
        <w:t>双方填写《月浦基地综合服务计划外维修服务确认单》</w:t>
      </w:r>
      <w:r>
        <w:rPr>
          <w:rFonts w:hint="eastAsia"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乙方收集付款所需要的材料</w:t>
      </w:r>
      <w:r>
        <w:rPr>
          <w:rFonts w:hint="eastAsia"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由甲方确认无误后通知乙方开票进行费用结算</w:t>
      </w:r>
      <w:r>
        <w:rPr>
          <w:rFonts w:hint="eastAsia" w:cs="Times New Roman" w:asciiTheme="majorEastAsia" w:hAnsiTheme="majorEastAsia" w:eastAsiaTheme="majorEastAsia"/>
          <w:sz w:val="24"/>
          <w:szCs w:val="24"/>
          <w:lang w:val="zh-CN"/>
        </w:rPr>
        <w:t>。</w:t>
      </w:r>
    </w:p>
    <w:p>
      <w:pPr>
        <w:autoSpaceDE w:val="0"/>
        <w:autoSpaceDN w:val="0"/>
        <w:adjustRightInd w:val="0"/>
        <w:spacing w:line="360" w:lineRule="auto"/>
        <w:ind w:firstLine="482"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b/>
          <w:bCs/>
          <w:sz w:val="24"/>
          <w:szCs w:val="24"/>
        </w:rPr>
        <w:t>8、乙方人员要求</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8.1 基本素质</w:t>
      </w:r>
      <w:r>
        <w:rPr>
          <w:rFonts w:hint="eastAsia"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(1)基本素质：有责任心、事业心强，吃苦耐劳，爱岗敬业，廉洁自律；</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(2)自然条件：五官端正、身体健康、年龄在</w:t>
      </w:r>
      <w:r>
        <w:rPr>
          <w:rFonts w:hint="eastAsia" w:cs="Times New Roman" w:asciiTheme="majorEastAsia" w:hAnsiTheme="majorEastAsia" w:eastAsiaTheme="majorEastAsia"/>
          <w:sz w:val="24"/>
          <w:szCs w:val="24"/>
          <w:lang w:val="zh-CN"/>
        </w:rPr>
        <w:t>【</w:t>
      </w:r>
      <w:r>
        <w:rPr>
          <w:rFonts w:cs="Times New Roman" w:asciiTheme="majorEastAsia" w:hAnsiTheme="majorEastAsia" w:eastAsiaTheme="majorEastAsia"/>
          <w:sz w:val="24"/>
          <w:szCs w:val="24"/>
          <w:lang w:val="zh-CN"/>
        </w:rPr>
        <w:t>35</w:t>
      </w:r>
      <w:r>
        <w:rPr>
          <w:rFonts w:hint="eastAsia" w:cs="Times New Roman" w:asciiTheme="majorEastAsia" w:hAnsiTheme="majorEastAsia" w:eastAsiaTheme="majorEastAsia"/>
          <w:sz w:val="24"/>
          <w:szCs w:val="24"/>
          <w:lang w:val="zh-CN"/>
        </w:rPr>
        <w:t>】</w:t>
      </w:r>
      <w:r>
        <w:rPr>
          <w:rFonts w:cs="Times New Roman" w:asciiTheme="majorEastAsia" w:hAnsiTheme="majorEastAsia" w:eastAsiaTheme="majorEastAsia"/>
          <w:sz w:val="24"/>
          <w:szCs w:val="24"/>
          <w:lang w:val="zh-CN"/>
        </w:rPr>
        <w:t>周岁</w:t>
      </w:r>
      <w:r>
        <w:rPr>
          <w:rFonts w:hint="eastAsia" w:cs="Times New Roman" w:asciiTheme="majorEastAsia" w:hAnsiTheme="majorEastAsia" w:eastAsiaTheme="majorEastAsia"/>
          <w:sz w:val="24"/>
          <w:szCs w:val="24"/>
        </w:rPr>
        <w:t>-【55】周岁</w:t>
      </w:r>
      <w:r>
        <w:rPr>
          <w:rFonts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(3)相关知识要求：熟悉</w:t>
      </w:r>
      <w:r>
        <w:rPr>
          <w:rFonts w:hint="eastAsia" w:cs="Times New Roman" w:asciiTheme="majorEastAsia" w:hAnsiTheme="majorEastAsia" w:eastAsiaTheme="majorEastAsia"/>
          <w:sz w:val="24"/>
          <w:szCs w:val="24"/>
        </w:rPr>
        <w:t>物业</w:t>
      </w:r>
      <w:r>
        <w:rPr>
          <w:rFonts w:cs="Times New Roman" w:asciiTheme="majorEastAsia" w:hAnsiTheme="majorEastAsia" w:eastAsiaTheme="majorEastAsia"/>
          <w:sz w:val="24"/>
          <w:szCs w:val="24"/>
          <w:lang w:val="zh-CN"/>
        </w:rPr>
        <w:t>管理服务专业知识及相关的法律法规；</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(4)</w:t>
      </w:r>
      <w:r>
        <w:rPr>
          <w:rFonts w:hint="eastAsia" w:cs="Times New Roman" w:asciiTheme="majorEastAsia" w:hAnsiTheme="majorEastAsia" w:eastAsiaTheme="majorEastAsia"/>
          <w:sz w:val="24"/>
          <w:szCs w:val="24"/>
          <w:lang w:val="zh-CN"/>
        </w:rPr>
        <w:t>专业资格要求：有关</w:t>
      </w:r>
      <w:r>
        <w:rPr>
          <w:rFonts w:cs="Times New Roman" w:asciiTheme="majorEastAsia" w:hAnsiTheme="majorEastAsia" w:eastAsiaTheme="majorEastAsia"/>
          <w:sz w:val="24"/>
          <w:szCs w:val="24"/>
          <w:lang w:val="zh-CN"/>
        </w:rPr>
        <w:t>岗位应</w:t>
      </w:r>
      <w:r>
        <w:rPr>
          <w:rFonts w:hint="eastAsia" w:cs="Times New Roman" w:asciiTheme="majorEastAsia" w:hAnsiTheme="majorEastAsia" w:eastAsiaTheme="majorEastAsia"/>
          <w:sz w:val="24"/>
          <w:szCs w:val="24"/>
          <w:lang w:val="zh-CN"/>
        </w:rPr>
        <w:t>取得国家相关部门认可的专业资质证书</w:t>
      </w:r>
      <w:r>
        <w:rPr>
          <w:rFonts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(5)经验要求：类似项目</w:t>
      </w:r>
      <w:r>
        <w:rPr>
          <w:rFonts w:hint="eastAsia" w:cs="Times New Roman" w:asciiTheme="majorEastAsia" w:hAnsiTheme="majorEastAsia" w:eastAsiaTheme="majorEastAsia"/>
          <w:sz w:val="24"/>
          <w:szCs w:val="24"/>
        </w:rPr>
        <w:t>的物业</w:t>
      </w:r>
      <w:r>
        <w:rPr>
          <w:rFonts w:cs="Times New Roman" w:asciiTheme="majorEastAsia" w:hAnsiTheme="majorEastAsia" w:eastAsiaTheme="majorEastAsia"/>
          <w:sz w:val="24"/>
          <w:szCs w:val="24"/>
          <w:lang w:val="zh-CN"/>
        </w:rPr>
        <w:t>服务管理经验</w:t>
      </w:r>
      <w:r>
        <w:rPr>
          <w:rFonts w:hint="eastAsia"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8.2 项目经理：</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 专业知识：具备扎实的物业管理专业知识。了解物业管理的法律法规、行业规范，掌握房屋维修、设施设备管理、环境维护等方面的知识。熟悉《物业管理条例》，清楚业主的权利和义务，以及物业的职责范围。</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 沟通协调能力：具备良好的沟通能力，能够与业主和租户进行有效沟通协调，解决问题和建立信任关系。在处理投诉时，能够耐心倾听，清晰表达解决方案，化解矛盾。</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(3) 团队管理能力：能够有效地带领和管理团队。会招聘、培训、考核员工，合理分配工作任务，激励员工提高工作效率。</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(4) 问题解决能力：具备丰富的物业管理经验，能够迅速判断问题的性质和严重程度，采取有效的解决措施。要有较强的应变能力，能够及时处理突发事件。在自然灾害来临时，能够迅速启动应急预案，保障业主的生命财产安全。遇到突发的设施故障，能够迅速组织维修人员进行抢修。</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(5) 良好的服务意识：具备高度的责任心和服务意识。要始终以业主的需求为出发点，提供优质、高效的服务。</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sz w:val="24"/>
          <w:szCs w:val="24"/>
        </w:rPr>
        <w:t>8</w:t>
      </w:r>
      <w:r>
        <w:rPr>
          <w:rFonts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3</w:t>
      </w:r>
      <w:r>
        <w:rPr>
          <w:rFonts w:hint="eastAsia" w:cs="Times New Roman" w:asciiTheme="majorEastAsia" w:hAnsiTheme="majorEastAsia" w:eastAsiaTheme="majorEastAsia"/>
          <w:sz w:val="24"/>
          <w:szCs w:val="24"/>
          <w:lang w:val="zh-CN"/>
        </w:rPr>
        <w:t>安保</w:t>
      </w:r>
      <w:r>
        <w:rPr>
          <w:rFonts w:hint="eastAsia" w:cs="Times New Roman" w:asciiTheme="majorEastAsia" w:hAnsiTheme="majorEastAsia" w:eastAsiaTheme="majorEastAsia"/>
          <w:sz w:val="24"/>
          <w:szCs w:val="24"/>
        </w:rPr>
        <w:t>人员</w:t>
      </w:r>
      <w:r>
        <w:rPr>
          <w:rFonts w:hint="eastAsia"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(1)</w:t>
      </w:r>
      <w:r>
        <w:rPr>
          <w:rFonts w:hint="eastAsia" w:cs="Times New Roman" w:asciiTheme="majorEastAsia" w:hAnsiTheme="majorEastAsia" w:eastAsiaTheme="majorEastAsia"/>
          <w:sz w:val="24"/>
          <w:szCs w:val="24"/>
          <w:lang w:val="zh-CN"/>
        </w:rPr>
        <w:t>符合安保岗位的有关身体素质要求</w:t>
      </w:r>
      <w:r>
        <w:rPr>
          <w:rFonts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(2)</w:t>
      </w:r>
      <w:r>
        <w:rPr>
          <w:rFonts w:hint="eastAsia" w:cs="Times New Roman" w:asciiTheme="majorEastAsia" w:hAnsiTheme="majorEastAsia" w:eastAsiaTheme="majorEastAsia"/>
          <w:sz w:val="24"/>
          <w:szCs w:val="24"/>
          <w:lang w:val="zh-CN"/>
        </w:rPr>
        <w:t>进行</w:t>
      </w:r>
      <w:r>
        <w:rPr>
          <w:rFonts w:cs="Times New Roman" w:asciiTheme="majorEastAsia" w:hAnsiTheme="majorEastAsia" w:eastAsiaTheme="majorEastAsia"/>
          <w:sz w:val="24"/>
          <w:szCs w:val="24"/>
          <w:lang w:val="zh-CN"/>
        </w:rPr>
        <w:t>入职政审，</w:t>
      </w:r>
      <w:r>
        <w:rPr>
          <w:rFonts w:hint="eastAsia" w:cs="Times New Roman" w:asciiTheme="majorEastAsia" w:hAnsiTheme="majorEastAsia" w:eastAsiaTheme="majorEastAsia"/>
          <w:sz w:val="24"/>
          <w:szCs w:val="24"/>
          <w:lang w:val="zh-CN"/>
        </w:rPr>
        <w:t>确认</w:t>
      </w:r>
      <w:r>
        <w:rPr>
          <w:rFonts w:cs="Times New Roman" w:asciiTheme="majorEastAsia" w:hAnsiTheme="majorEastAsia" w:eastAsiaTheme="majorEastAsia"/>
          <w:sz w:val="24"/>
          <w:szCs w:val="24"/>
          <w:lang w:val="zh-CN"/>
        </w:rPr>
        <w:t>无刑事犯罪记录；</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3</w:t>
      </w:r>
      <w:r>
        <w:rPr>
          <w:rFonts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安保队长</w:t>
      </w:r>
      <w:r>
        <w:rPr>
          <w:rFonts w:hint="eastAsia" w:cs="Times New Roman" w:asciiTheme="majorEastAsia" w:hAnsiTheme="majorEastAsia" w:eastAsiaTheme="majorEastAsia"/>
          <w:sz w:val="24"/>
          <w:szCs w:val="24"/>
          <w:lang w:val="zh-CN"/>
        </w:rPr>
        <w:t>需要具备</w:t>
      </w:r>
      <w:r>
        <w:rPr>
          <w:rFonts w:hint="eastAsia" w:cs="Times New Roman" w:asciiTheme="majorEastAsia" w:hAnsiTheme="majorEastAsia" w:eastAsiaTheme="majorEastAsia"/>
          <w:sz w:val="24"/>
          <w:szCs w:val="24"/>
        </w:rPr>
        <w:t>较好的口头表达能力，安保人员应熟悉车辆交通指挥，会使用应急消防及防爆工具，具备维持秩序和应急处置的能力</w:t>
      </w:r>
      <w:r>
        <w:rPr>
          <w:rFonts w:hint="eastAsia"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rPr>
        <w:t>4</w:t>
      </w:r>
      <w:r>
        <w:rPr>
          <w:rFonts w:cs="Times New Roman" w:asciiTheme="majorEastAsia" w:hAnsiTheme="majorEastAsia" w:eastAsiaTheme="majorEastAsia"/>
          <w:sz w:val="24"/>
          <w:szCs w:val="24"/>
          <w:lang w:val="zh-CN"/>
        </w:rPr>
        <w:t>)</w:t>
      </w:r>
      <w:r>
        <w:rPr>
          <w:rFonts w:hint="eastAsia" w:cs="Times New Roman" w:asciiTheme="majorEastAsia" w:hAnsiTheme="majorEastAsia" w:eastAsiaTheme="majorEastAsia"/>
          <w:sz w:val="24"/>
          <w:szCs w:val="24"/>
          <w:lang w:val="zh-CN"/>
        </w:rPr>
        <w:t>熟练掌握监控、道闸系统和电子围栏防入侵装置的基本操作</w:t>
      </w:r>
      <w:r>
        <w:rPr>
          <w:rFonts w:hint="eastAsia" w:cs="Times New Roman" w:asciiTheme="majorEastAsia" w:hAnsiTheme="majorEastAsia" w:eastAsiaTheme="majorEastAsia"/>
          <w:sz w:val="24"/>
          <w:szCs w:val="24"/>
        </w:rPr>
        <w:t>。</w:t>
      </w:r>
    </w:p>
    <w:p>
      <w:pPr>
        <w:autoSpaceDE w:val="0"/>
        <w:autoSpaceDN w:val="0"/>
        <w:adjustRightInd w:val="0"/>
        <w:spacing w:line="360" w:lineRule="auto"/>
        <w:ind w:firstLine="420" w:firstLineChars="17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lang w:val="zh-CN"/>
        </w:rPr>
        <w:t>8.</w:t>
      </w:r>
      <w:r>
        <w:rPr>
          <w:rFonts w:hint="eastAsia" w:cs="Times New Roman" w:asciiTheme="majorEastAsia" w:hAnsiTheme="majorEastAsia" w:eastAsiaTheme="majorEastAsia"/>
          <w:sz w:val="24"/>
          <w:szCs w:val="24"/>
        </w:rPr>
        <w:t>4维修工：</w:t>
      </w:r>
    </w:p>
    <w:p>
      <w:pPr>
        <w:autoSpaceDE w:val="0"/>
        <w:autoSpaceDN w:val="0"/>
        <w:adjustRightInd w:val="0"/>
        <w:spacing w:line="360" w:lineRule="auto"/>
        <w:ind w:firstLine="420" w:firstLineChars="17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lang w:val="zh-CN"/>
        </w:rPr>
        <w:t>(1)</w:t>
      </w:r>
      <w:r>
        <w:rPr>
          <w:rFonts w:hint="eastAsia" w:cs="Times New Roman" w:asciiTheme="majorEastAsia" w:hAnsiTheme="majorEastAsia" w:eastAsiaTheme="majorEastAsia"/>
          <w:sz w:val="24"/>
          <w:szCs w:val="24"/>
        </w:rPr>
        <w:t>机电维修工须具备【高低压电工证】；</w:t>
      </w:r>
    </w:p>
    <w:p>
      <w:pPr>
        <w:autoSpaceDE w:val="0"/>
        <w:autoSpaceDN w:val="0"/>
        <w:adjustRightInd w:val="0"/>
        <w:spacing w:line="360" w:lineRule="auto"/>
        <w:ind w:firstLine="420" w:firstLineChars="175"/>
        <w:jc w:val="left"/>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lang w:val="zh-CN"/>
        </w:rPr>
        <w:t>(2)</w:t>
      </w:r>
      <w:r>
        <w:rPr>
          <w:rFonts w:hint="eastAsia" w:cs="Times New Roman" w:asciiTheme="majorEastAsia" w:hAnsiTheme="majorEastAsia" w:eastAsiaTheme="majorEastAsia"/>
          <w:sz w:val="24"/>
          <w:szCs w:val="24"/>
        </w:rPr>
        <w:t>熟悉掌握基地内部水电管路走向，遇到问题能够第一时间判断原因，防止事态恶化。</w:t>
      </w:r>
    </w:p>
    <w:p>
      <w:pPr>
        <w:spacing w:line="360" w:lineRule="auto"/>
        <w:ind w:firstLine="420" w:firstLineChars="175"/>
        <w:rPr>
          <w:rFonts w:cs="Times New Roman" w:asciiTheme="majorEastAsia" w:hAnsiTheme="majorEastAsia" w:eastAsiaTheme="majorEastAsia"/>
          <w:sz w:val="24"/>
          <w:szCs w:val="24"/>
          <w:lang w:val="zh-CN"/>
        </w:rPr>
      </w:pPr>
      <w:r>
        <w:rPr>
          <w:rFonts w:cs="Times New Roman" w:asciiTheme="majorEastAsia" w:hAnsiTheme="majorEastAsia" w:eastAsiaTheme="majorEastAsia"/>
          <w:sz w:val="24"/>
          <w:szCs w:val="24"/>
          <w:lang w:val="zh-CN"/>
        </w:rPr>
        <w:t>8.</w:t>
      </w:r>
      <w:r>
        <w:rPr>
          <w:rFonts w:hint="eastAsia" w:cs="Times New Roman" w:asciiTheme="majorEastAsia" w:hAnsiTheme="majorEastAsia" w:eastAsiaTheme="majorEastAsia"/>
          <w:sz w:val="24"/>
          <w:szCs w:val="24"/>
        </w:rPr>
        <w:t>5</w:t>
      </w:r>
      <w:r>
        <w:rPr>
          <w:rFonts w:cs="Times New Roman" w:asciiTheme="majorEastAsia" w:hAnsiTheme="majorEastAsia" w:eastAsiaTheme="majorEastAsia"/>
          <w:sz w:val="24"/>
          <w:szCs w:val="24"/>
          <w:lang w:val="zh-CN"/>
        </w:rPr>
        <w:t xml:space="preserve"> 其它要求</w:t>
      </w:r>
      <w:r>
        <w:rPr>
          <w:rFonts w:hint="eastAsia"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sz w:val="24"/>
          <w:szCs w:val="24"/>
        </w:rPr>
        <w:t>乙方</w:t>
      </w:r>
      <w:r>
        <w:rPr>
          <w:rFonts w:cs="Times New Roman" w:asciiTheme="majorEastAsia" w:hAnsiTheme="majorEastAsia" w:eastAsiaTheme="majorEastAsia"/>
          <w:sz w:val="24"/>
          <w:szCs w:val="24"/>
          <w:lang w:val="zh-CN"/>
        </w:rPr>
        <w:t>在聘用、任命、调整、调换、替换</w:t>
      </w:r>
      <w:r>
        <w:rPr>
          <w:rFonts w:hint="eastAsia" w:cs="Times New Roman" w:asciiTheme="majorEastAsia" w:hAnsiTheme="majorEastAsia" w:eastAsiaTheme="majorEastAsia"/>
          <w:sz w:val="24"/>
          <w:szCs w:val="24"/>
          <w:lang w:val="zh-CN"/>
        </w:rPr>
        <w:t>项目经理</w:t>
      </w:r>
      <w:r>
        <w:rPr>
          <w:rFonts w:cs="Times New Roman" w:asciiTheme="majorEastAsia" w:hAnsiTheme="majorEastAsia" w:eastAsiaTheme="majorEastAsia"/>
          <w:sz w:val="24"/>
          <w:szCs w:val="24"/>
          <w:lang w:val="zh-CN"/>
        </w:rPr>
        <w:t>前须征得</w:t>
      </w:r>
      <w:r>
        <w:rPr>
          <w:rFonts w:hint="eastAsia" w:cs="Times New Roman" w:asciiTheme="majorEastAsia" w:hAnsiTheme="majorEastAsia" w:eastAsiaTheme="majorEastAsia"/>
          <w:sz w:val="24"/>
          <w:szCs w:val="24"/>
          <w:lang w:val="zh-CN"/>
        </w:rPr>
        <w:t>甲方</w:t>
      </w:r>
      <w:r>
        <w:rPr>
          <w:rFonts w:cs="Times New Roman" w:asciiTheme="majorEastAsia" w:hAnsiTheme="majorEastAsia" w:eastAsiaTheme="majorEastAsia"/>
          <w:sz w:val="24"/>
          <w:szCs w:val="24"/>
          <w:lang w:val="zh-CN"/>
        </w:rPr>
        <w:t>同意</w:t>
      </w:r>
      <w:r>
        <w:rPr>
          <w:rFonts w:hint="eastAsia" w:cs="Times New Roman" w:asciiTheme="majorEastAsia" w:hAnsiTheme="majorEastAsia" w:eastAsiaTheme="majorEastAsia"/>
          <w:sz w:val="24"/>
          <w:szCs w:val="24"/>
          <w:lang w:val="zh-CN"/>
        </w:rPr>
        <w:t>。</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lang w:val="zh-CN"/>
        </w:rPr>
      </w:pPr>
      <w:r>
        <w:rPr>
          <w:rFonts w:hint="eastAsia" w:cs="Times New Roman" w:asciiTheme="majorEastAsia" w:hAnsiTheme="majorEastAsia" w:eastAsiaTheme="majorEastAsia"/>
          <w:sz w:val="24"/>
          <w:szCs w:val="24"/>
        </w:rPr>
        <w:t>如乙方人员素质未达到要求，</w:t>
      </w:r>
      <w:r>
        <w:rPr>
          <w:rFonts w:hint="eastAsia" w:cs="Times New Roman" w:asciiTheme="majorEastAsia" w:hAnsiTheme="majorEastAsia" w:eastAsiaTheme="majorEastAsia"/>
          <w:sz w:val="24"/>
          <w:szCs w:val="24"/>
          <w:lang w:val="zh-CN"/>
        </w:rPr>
        <w:t>甲方</w:t>
      </w:r>
      <w:r>
        <w:rPr>
          <w:rFonts w:cs="Times New Roman" w:asciiTheme="majorEastAsia" w:hAnsiTheme="majorEastAsia" w:eastAsiaTheme="majorEastAsia"/>
          <w:sz w:val="24"/>
          <w:szCs w:val="24"/>
          <w:lang w:val="zh-CN"/>
        </w:rPr>
        <w:t>同时享有对</w:t>
      </w:r>
      <w:r>
        <w:rPr>
          <w:rFonts w:hint="eastAsia" w:cs="Times New Roman" w:asciiTheme="majorEastAsia" w:hAnsiTheme="majorEastAsia" w:eastAsiaTheme="majorEastAsia"/>
          <w:sz w:val="24"/>
          <w:szCs w:val="24"/>
        </w:rPr>
        <w:t>乙方服</w:t>
      </w:r>
      <w:r>
        <w:rPr>
          <w:rFonts w:cs="Times New Roman" w:asciiTheme="majorEastAsia" w:hAnsiTheme="majorEastAsia" w:eastAsiaTheme="majorEastAsia"/>
          <w:sz w:val="24"/>
          <w:szCs w:val="24"/>
          <w:lang w:val="zh-CN"/>
        </w:rPr>
        <w:t>务人员调整的权利。</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8.6 人员配置参考表：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2782"/>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序号</w:t>
            </w:r>
          </w:p>
        </w:tc>
        <w:tc>
          <w:tcPr>
            <w:tcW w:w="278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岗位名称</w:t>
            </w:r>
          </w:p>
        </w:tc>
        <w:tc>
          <w:tcPr>
            <w:tcW w:w="3875"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1</w:t>
            </w:r>
          </w:p>
        </w:tc>
        <w:tc>
          <w:tcPr>
            <w:tcW w:w="278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项目经理</w:t>
            </w:r>
          </w:p>
        </w:tc>
        <w:tc>
          <w:tcPr>
            <w:tcW w:w="3875"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2</w:t>
            </w:r>
          </w:p>
        </w:tc>
        <w:tc>
          <w:tcPr>
            <w:tcW w:w="278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保安</w:t>
            </w:r>
          </w:p>
        </w:tc>
        <w:tc>
          <w:tcPr>
            <w:tcW w:w="3875"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3</w:t>
            </w:r>
          </w:p>
        </w:tc>
        <w:tc>
          <w:tcPr>
            <w:tcW w:w="278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保洁</w:t>
            </w:r>
          </w:p>
        </w:tc>
        <w:tc>
          <w:tcPr>
            <w:tcW w:w="3875"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4</w:t>
            </w:r>
          </w:p>
        </w:tc>
        <w:tc>
          <w:tcPr>
            <w:tcW w:w="278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维修工</w:t>
            </w:r>
          </w:p>
        </w:tc>
        <w:tc>
          <w:tcPr>
            <w:tcW w:w="3875"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5</w:t>
            </w:r>
          </w:p>
        </w:tc>
        <w:tc>
          <w:tcPr>
            <w:tcW w:w="2782"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绿化</w:t>
            </w:r>
          </w:p>
        </w:tc>
        <w:tc>
          <w:tcPr>
            <w:tcW w:w="3875" w:type="dxa"/>
            <w:vAlign w:val="center"/>
          </w:tcPr>
          <w:p>
            <w:pPr>
              <w:autoSpaceDE w:val="0"/>
              <w:autoSpaceDN w:val="0"/>
              <w:adjustRightInd w:val="0"/>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1</w:t>
            </w:r>
          </w:p>
        </w:tc>
      </w:tr>
    </w:tbl>
    <w:p>
      <w:pPr>
        <w:pStyle w:val="303"/>
        <w:numPr>
          <w:ilvl w:val="0"/>
          <w:numId w:val="42"/>
        </w:numPr>
      </w:pPr>
      <w:r>
        <w:rPr>
          <w:rFonts w:hint="eastAsia"/>
        </w:rPr>
        <w:t>服务质量考核</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甲方</w:t>
      </w:r>
      <w:r>
        <w:rPr>
          <w:rFonts w:hint="eastAsia" w:cs="Times New Roman" w:asciiTheme="majorEastAsia" w:hAnsiTheme="majorEastAsia" w:eastAsiaTheme="majorEastAsia"/>
          <w:sz w:val="24"/>
          <w:szCs w:val="24"/>
          <w:lang w:val="zh-CN"/>
        </w:rPr>
        <w:t>根据</w:t>
      </w:r>
      <w:r>
        <w:rPr>
          <w:rFonts w:hint="eastAsia" w:cs="Times New Roman" w:asciiTheme="majorEastAsia" w:hAnsiTheme="majorEastAsia" w:eastAsiaTheme="majorEastAsia"/>
          <w:sz w:val="24"/>
          <w:szCs w:val="24"/>
        </w:rPr>
        <w:t>合同要求，每年对乙方的各项服务进行监督考核。考评内容分日常巡检表、工作联系、租户满意度三部分：</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1、日常巡检表（附表1）是指对各重点工作、重点区域的巡视、抽查：此项由甲方负责人根据对重点工作、重点区域的巡视情况并参照中标方提出的服务标准进行打分评定，每项扣分0.5分，满分100分，权重30%。</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2、工作联系单（附表2）是指各项交办工作执行情况的监督跟进，此项由甲方根据执行情况和执行质量进行打分评定，满分100分，权重20%。</w:t>
      </w:r>
    </w:p>
    <w:p>
      <w:pPr>
        <w:spacing w:line="360" w:lineRule="auto"/>
        <w:ind w:firstLine="360" w:firstLineChars="150"/>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3、租户满意度年底由甲方牵头，向各租户单位发放满意度调查问卷（附表3），满分100分，权重50%。</w:t>
      </w:r>
    </w:p>
    <w:p>
      <w:pPr>
        <w:spacing w:line="360" w:lineRule="auto"/>
        <w:ind w:firstLine="360" w:firstLineChars="150"/>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rPr>
        <w:t>4、甲方</w:t>
      </w:r>
      <w:r>
        <w:rPr>
          <w:rFonts w:cs="Times New Roman" w:asciiTheme="majorEastAsia" w:hAnsiTheme="majorEastAsia" w:eastAsiaTheme="majorEastAsia"/>
          <w:sz w:val="24"/>
          <w:szCs w:val="24"/>
        </w:rPr>
        <w:t>会定期对乙方的服务</w:t>
      </w:r>
      <w:r>
        <w:rPr>
          <w:rFonts w:hint="eastAsia" w:cs="Times New Roman" w:asciiTheme="majorEastAsia" w:hAnsiTheme="majorEastAsia" w:eastAsiaTheme="majorEastAsia"/>
          <w:sz w:val="24"/>
          <w:szCs w:val="24"/>
        </w:rPr>
        <w:t>质量</w:t>
      </w:r>
      <w:r>
        <w:rPr>
          <w:rFonts w:cs="Times New Roman" w:asciiTheme="majorEastAsia" w:hAnsiTheme="majorEastAsia" w:eastAsiaTheme="majorEastAsia"/>
          <w:sz w:val="24"/>
          <w:szCs w:val="24"/>
        </w:rPr>
        <w:t>进行评价</w:t>
      </w:r>
      <w:r>
        <w:rPr>
          <w:rFonts w:hint="eastAsia" w:cs="Times New Roman" w:asciiTheme="majorEastAsia" w:hAnsiTheme="majorEastAsia" w:eastAsiaTheme="majorEastAsia"/>
          <w:sz w:val="24"/>
          <w:szCs w:val="24"/>
        </w:rPr>
        <w:t>，</w:t>
      </w:r>
      <w:r>
        <w:rPr>
          <w:rFonts w:cs="Times New Roman" w:asciiTheme="majorEastAsia" w:hAnsiTheme="majorEastAsia" w:eastAsiaTheme="majorEastAsia"/>
          <w:sz w:val="24"/>
          <w:szCs w:val="24"/>
        </w:rPr>
        <w:t>见</w:t>
      </w:r>
      <w:r>
        <w:rPr>
          <w:rFonts w:hint="eastAsia" w:cs="Times New Roman" w:asciiTheme="majorEastAsia" w:hAnsiTheme="majorEastAsia" w:eastAsiaTheme="majorEastAsia"/>
          <w:sz w:val="24"/>
          <w:szCs w:val="24"/>
        </w:rPr>
        <w:t>工作检查及验收（附表</w:t>
      </w:r>
      <w:r>
        <w:rPr>
          <w:rFonts w:cs="Times New Roman" w:asciiTheme="majorEastAsia" w:hAnsiTheme="majorEastAsia" w:eastAsiaTheme="majorEastAsia"/>
          <w:sz w:val="24"/>
          <w:szCs w:val="24"/>
        </w:rPr>
        <w:t>4</w:t>
      </w:r>
      <w:r>
        <w:rPr>
          <w:rFonts w:hint="eastAsia" w:cs="Times New Roman" w:asciiTheme="majorEastAsia" w:hAnsiTheme="majorEastAsia" w:eastAsiaTheme="majorEastAsia"/>
          <w:sz w:val="24"/>
          <w:szCs w:val="24"/>
        </w:rPr>
        <w:t>）</w:t>
      </w:r>
      <w:r>
        <w:rPr>
          <w:rFonts w:cs="Times New Roman" w:asciiTheme="majorEastAsia" w:hAnsiTheme="majorEastAsia" w:eastAsiaTheme="majorEastAsia"/>
          <w:sz w:val="24"/>
          <w:szCs w:val="24"/>
        </w:rPr>
        <w:t>作为付款的</w:t>
      </w:r>
      <w:r>
        <w:rPr>
          <w:rFonts w:hint="eastAsia" w:cs="Times New Roman" w:asciiTheme="majorEastAsia" w:hAnsiTheme="majorEastAsia" w:eastAsiaTheme="majorEastAsia"/>
          <w:sz w:val="24"/>
          <w:szCs w:val="24"/>
        </w:rPr>
        <w:t>依据</w:t>
      </w:r>
      <w:r>
        <w:rPr>
          <w:rFonts w:cs="Times New Roman" w:asciiTheme="majorEastAsia" w:hAnsiTheme="majorEastAsia" w:eastAsiaTheme="majorEastAsia"/>
          <w:sz w:val="24"/>
          <w:szCs w:val="24"/>
        </w:rPr>
        <w:t>之一。</w:t>
      </w:r>
    </w:p>
    <w:p>
      <w:pPr>
        <w:autoSpaceDE w:val="0"/>
        <w:autoSpaceDN w:val="0"/>
        <w:adjustRightInd w:val="0"/>
        <w:spacing w:line="360" w:lineRule="auto"/>
        <w:jc w:val="left"/>
        <w:rPr>
          <w:rFonts w:cs="宋体" w:asciiTheme="majorEastAsia" w:hAnsiTheme="majorEastAsia" w:eastAsiaTheme="majorEastAsia"/>
          <w:sz w:val="24"/>
          <w:szCs w:val="24"/>
        </w:rPr>
      </w:pPr>
    </w:p>
    <w:p>
      <w:pPr>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附表1：月浦基地综合服务计划外需求通知单</w:t>
      </w:r>
    </w:p>
    <w:p>
      <w:pPr>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附表2：月浦基地综合服务计划外维修服务确认单</w:t>
      </w:r>
    </w:p>
    <w:p>
      <w:pPr>
        <w:jc w:val="left"/>
        <w:rPr>
          <w:rFonts w:cs="Times New Roman" w:asciiTheme="majorEastAsia" w:hAnsiTheme="majorEastAsia" w:eastAsiaTheme="majorEastAsia"/>
          <w:sz w:val="24"/>
          <w:szCs w:val="24"/>
          <w:highlight w:val="yellow"/>
        </w:rPr>
      </w:pPr>
      <w:r>
        <w:rPr>
          <w:rFonts w:hint="eastAsia" w:cs="Times New Roman" w:asciiTheme="majorEastAsia" w:hAnsiTheme="majorEastAsia" w:eastAsiaTheme="majorEastAsia"/>
          <w:sz w:val="24"/>
          <w:szCs w:val="24"/>
          <w:highlight w:val="yellow"/>
        </w:rPr>
        <w:br w:type="page"/>
      </w:r>
    </w:p>
    <w:p>
      <w:pPr>
        <w:numPr>
          <w:ilvl w:val="255"/>
          <w:numId w:val="0"/>
        </w:numPr>
        <w:spacing w:line="360" w:lineRule="auto"/>
        <w:rPr>
          <w:rFonts w:ascii="宋体" w:hAnsi="宋体" w:eastAsia="宋体" w:cs="Times New Roman"/>
          <w:b/>
          <w:bCs/>
          <w:sz w:val="28"/>
          <w:szCs w:val="28"/>
        </w:rPr>
      </w:pPr>
      <w:r>
        <w:rPr>
          <w:rFonts w:hint="eastAsia" w:ascii="宋体" w:hAnsi="宋体" w:eastAsia="宋体" w:cs="Times New Roman"/>
          <w:b/>
          <w:bCs/>
          <w:sz w:val="28"/>
          <w:szCs w:val="28"/>
        </w:rPr>
        <w:t>附表1：月浦基地综合服务计划外需求通知单</w:t>
      </w:r>
    </w:p>
    <w:tbl>
      <w:tblPr>
        <w:tblStyle w:val="46"/>
        <w:tblW w:w="8312" w:type="dxa"/>
        <w:jc w:val="center"/>
        <w:tblLayout w:type="fixed"/>
        <w:tblCellMar>
          <w:top w:w="0" w:type="dxa"/>
          <w:left w:w="0" w:type="dxa"/>
          <w:bottom w:w="0" w:type="dxa"/>
          <w:right w:w="0" w:type="dxa"/>
        </w:tblCellMar>
      </w:tblPr>
      <w:tblGrid>
        <w:gridCol w:w="1198"/>
        <w:gridCol w:w="1129"/>
        <w:gridCol w:w="1817"/>
        <w:gridCol w:w="1232"/>
        <w:gridCol w:w="2936"/>
      </w:tblGrid>
      <w:tr>
        <w:tblPrEx>
          <w:tblCellMar>
            <w:top w:w="0" w:type="dxa"/>
            <w:left w:w="0" w:type="dxa"/>
            <w:bottom w:w="0" w:type="dxa"/>
            <w:right w:w="0" w:type="dxa"/>
          </w:tblCellMar>
        </w:tblPrEx>
        <w:trPr>
          <w:trHeight w:val="90" w:hRule="atLeast"/>
          <w:jc w:val="center"/>
        </w:trPr>
        <w:tc>
          <w:tcPr>
            <w:tcW w:w="119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ind w:right="-250" w:rightChars="-119"/>
              <w:rPr>
                <w:rFonts w:ascii="宋体" w:hAnsi="宋体"/>
                <w:sz w:val="24"/>
              </w:rPr>
            </w:pPr>
            <w:r>
              <w:rPr>
                <w:rFonts w:hint="eastAsia" w:ascii="宋体" w:hAnsi="宋体"/>
              </w:rPr>
              <w:t>公司名称</w:t>
            </w:r>
          </w:p>
        </w:tc>
        <w:tc>
          <w:tcPr>
            <w:tcW w:w="2946" w:type="dxa"/>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sz w:val="24"/>
              </w:rPr>
            </w:pPr>
            <w:r>
              <w:rPr>
                <w:rFonts w:hint="eastAsia" w:ascii="宋体" w:hAnsi="宋体"/>
              </w:rPr>
              <w:t>中国海洋石油东海有限公司</w:t>
            </w:r>
          </w:p>
        </w:tc>
        <w:tc>
          <w:tcPr>
            <w:tcW w:w="123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sz w:val="24"/>
              </w:rPr>
            </w:pPr>
            <w:r>
              <w:rPr>
                <w:rFonts w:hint="eastAsia" w:ascii="宋体" w:hAnsi="宋体"/>
              </w:rPr>
              <w:t>通知单号</w:t>
            </w:r>
          </w:p>
        </w:tc>
        <w:tc>
          <w:tcPr>
            <w:tcW w:w="293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sz w:val="24"/>
              </w:rPr>
            </w:pPr>
          </w:p>
        </w:tc>
      </w:tr>
      <w:tr>
        <w:tblPrEx>
          <w:tblCellMar>
            <w:top w:w="0" w:type="dxa"/>
            <w:left w:w="0" w:type="dxa"/>
            <w:bottom w:w="0" w:type="dxa"/>
            <w:right w:w="0" w:type="dxa"/>
          </w:tblCellMar>
        </w:tblPrEx>
        <w:trPr>
          <w:trHeight w:val="879" w:hRule="atLeast"/>
          <w:jc w:val="center"/>
        </w:trPr>
        <w:tc>
          <w:tcPr>
            <w:tcW w:w="119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ind w:right="-250" w:rightChars="-119"/>
              <w:rPr>
                <w:rFonts w:ascii="宋体" w:hAnsi="宋体"/>
                <w:sz w:val="24"/>
              </w:rPr>
            </w:pPr>
            <w:r>
              <w:rPr>
                <w:rFonts w:hint="eastAsia" w:ascii="宋体" w:hAnsi="宋体"/>
              </w:rPr>
              <w:t>合同名称</w:t>
            </w:r>
          </w:p>
        </w:tc>
        <w:tc>
          <w:tcPr>
            <w:tcW w:w="294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sz w:val="24"/>
              </w:rPr>
            </w:pPr>
          </w:p>
        </w:tc>
        <w:tc>
          <w:tcPr>
            <w:tcW w:w="123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sz w:val="24"/>
              </w:rPr>
            </w:pPr>
            <w:r>
              <w:rPr>
                <w:rFonts w:hint="eastAsia" w:ascii="宋体" w:hAnsi="宋体"/>
              </w:rPr>
              <w:t>合同编号</w:t>
            </w:r>
          </w:p>
        </w:tc>
        <w:tc>
          <w:tcPr>
            <w:tcW w:w="2936" w:type="dxa"/>
            <w:tcBorders>
              <w:top w:val="nil"/>
              <w:left w:val="nil"/>
              <w:bottom w:val="single" w:color="auto" w:sz="8" w:space="0"/>
              <w:right w:val="single" w:color="auto" w:sz="8" w:space="0"/>
            </w:tcBorders>
            <w:noWrap/>
            <w:tcMar>
              <w:top w:w="0" w:type="dxa"/>
              <w:left w:w="108" w:type="dxa"/>
              <w:bottom w:w="0" w:type="dxa"/>
              <w:right w:w="108" w:type="dxa"/>
            </w:tcMar>
          </w:tcPr>
          <w:p>
            <w:pPr>
              <w:spacing w:beforeLines="50" w:line="360" w:lineRule="auto"/>
              <w:rPr>
                <w:rFonts w:ascii="宋体" w:hAnsi="宋体"/>
                <w:sz w:val="24"/>
              </w:rPr>
            </w:pPr>
          </w:p>
        </w:tc>
      </w:tr>
      <w:tr>
        <w:tblPrEx>
          <w:tblCellMar>
            <w:top w:w="0" w:type="dxa"/>
            <w:left w:w="0" w:type="dxa"/>
            <w:bottom w:w="0" w:type="dxa"/>
            <w:right w:w="0" w:type="dxa"/>
          </w:tblCellMar>
        </w:tblPrEx>
        <w:trPr>
          <w:trHeight w:val="617" w:hRule="atLeast"/>
          <w:jc w:val="center"/>
        </w:trPr>
        <w:tc>
          <w:tcPr>
            <w:tcW w:w="8312" w:type="dxa"/>
            <w:gridSpan w:val="5"/>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eastAsia="宋体"/>
                <w:sz w:val="24"/>
              </w:rPr>
            </w:pPr>
            <w:r>
              <w:rPr>
                <w:rFonts w:hint="eastAsia" w:ascii="宋体" w:hAnsi="宋体"/>
              </w:rPr>
              <w:t>服务商名称(乙方）：</w:t>
            </w:r>
          </w:p>
        </w:tc>
      </w:tr>
      <w:tr>
        <w:tblPrEx>
          <w:tblCellMar>
            <w:top w:w="0" w:type="dxa"/>
            <w:left w:w="0" w:type="dxa"/>
            <w:bottom w:w="0" w:type="dxa"/>
            <w:right w:w="0" w:type="dxa"/>
          </w:tblCellMar>
        </w:tblPrEx>
        <w:trPr>
          <w:trHeight w:val="718" w:hRule="atLeast"/>
          <w:jc w:val="center"/>
        </w:trPr>
        <w:tc>
          <w:tcPr>
            <w:tcW w:w="8312" w:type="dxa"/>
            <w:gridSpan w:val="5"/>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ind w:left="2520" w:hanging="2520"/>
            </w:pPr>
            <w:r>
              <w:rPr>
                <w:rFonts w:hint="eastAsia"/>
              </w:rPr>
              <w:t>服务内容及要求：</w:t>
            </w:r>
          </w:p>
          <w:p>
            <w:pPr>
              <w:pStyle w:val="18"/>
            </w:pPr>
          </w:p>
          <w:p/>
        </w:tc>
      </w:tr>
      <w:tr>
        <w:tblPrEx>
          <w:tblCellMar>
            <w:top w:w="0" w:type="dxa"/>
            <w:left w:w="0" w:type="dxa"/>
            <w:bottom w:w="0" w:type="dxa"/>
            <w:right w:w="0" w:type="dxa"/>
          </w:tblCellMar>
        </w:tblPrEx>
        <w:trPr>
          <w:trHeight w:val="689" w:hRule="atLeast"/>
          <w:jc w:val="center"/>
        </w:trPr>
        <w:tc>
          <w:tcPr>
            <w:tcW w:w="8312" w:type="dxa"/>
            <w:gridSpan w:val="5"/>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sz w:val="24"/>
              </w:rPr>
            </w:pPr>
            <w:r>
              <w:rPr>
                <w:rFonts w:hint="eastAsia" w:ascii="宋体" w:hAnsi="宋体"/>
              </w:rPr>
              <w:t xml:space="preserve">服务地点： </w:t>
            </w:r>
          </w:p>
        </w:tc>
      </w:tr>
      <w:tr>
        <w:tblPrEx>
          <w:tblCellMar>
            <w:top w:w="0" w:type="dxa"/>
            <w:left w:w="0" w:type="dxa"/>
            <w:bottom w:w="0" w:type="dxa"/>
            <w:right w:w="0" w:type="dxa"/>
          </w:tblCellMar>
        </w:tblPrEx>
        <w:trPr>
          <w:trHeight w:val="689" w:hRule="atLeast"/>
          <w:jc w:val="center"/>
        </w:trPr>
        <w:tc>
          <w:tcPr>
            <w:tcW w:w="8312" w:type="dxa"/>
            <w:gridSpan w:val="5"/>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rPr>
            </w:pPr>
            <w:r>
              <w:rPr>
                <w:rFonts w:hint="eastAsia" w:ascii="宋体" w:hAnsi="宋体"/>
              </w:rPr>
              <w:t>时间要求：</w:t>
            </w:r>
          </w:p>
        </w:tc>
      </w:tr>
      <w:tr>
        <w:tblPrEx>
          <w:tblCellMar>
            <w:top w:w="0" w:type="dxa"/>
            <w:left w:w="0" w:type="dxa"/>
            <w:bottom w:w="0" w:type="dxa"/>
            <w:right w:w="0" w:type="dxa"/>
          </w:tblCellMar>
        </w:tblPrEx>
        <w:trPr>
          <w:trHeight w:val="2277" w:hRule="atLeast"/>
          <w:jc w:val="center"/>
        </w:trPr>
        <w:tc>
          <w:tcPr>
            <w:tcW w:w="8312" w:type="dxa"/>
            <w:gridSpan w:val="5"/>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spacing w:beforeLines="50" w:line="360" w:lineRule="auto"/>
            </w:pPr>
            <w:r>
              <w:rPr>
                <w:rFonts w:hint="eastAsia"/>
              </w:rPr>
              <w:t>特别说明：</w:t>
            </w:r>
          </w:p>
        </w:tc>
      </w:tr>
      <w:tr>
        <w:tblPrEx>
          <w:tblCellMar>
            <w:top w:w="0" w:type="dxa"/>
            <w:left w:w="0" w:type="dxa"/>
            <w:bottom w:w="0" w:type="dxa"/>
            <w:right w:w="0" w:type="dxa"/>
          </w:tblCellMar>
        </w:tblPrEx>
        <w:trPr>
          <w:trHeight w:val="723" w:hRule="atLeast"/>
          <w:jc w:val="center"/>
        </w:trPr>
        <w:tc>
          <w:tcPr>
            <w:tcW w:w="8312" w:type="dxa"/>
            <w:gridSpan w:val="5"/>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before="50" w:line="360" w:lineRule="auto"/>
              <w:rPr>
                <w:rFonts w:ascii="宋体" w:hAnsi="宋体"/>
                <w:b/>
                <w:bCs/>
                <w:sz w:val="24"/>
              </w:rPr>
            </w:pPr>
            <w:r>
              <w:rPr>
                <w:rFonts w:hint="eastAsia" w:ascii="宋体" w:hAnsi="宋体"/>
              </w:rPr>
              <w:t>为执行本</w:t>
            </w:r>
            <w:r>
              <w:rPr>
                <w:rFonts w:ascii="宋体" w:hAnsi="宋体"/>
              </w:rPr>
              <w:t>计划外需求通知单</w:t>
            </w:r>
            <w:r>
              <w:rPr>
                <w:rFonts w:hint="eastAsia" w:ascii="宋体" w:hAnsi="宋体"/>
              </w:rPr>
              <w:t>，双方的联系人分别为：</w:t>
            </w:r>
          </w:p>
        </w:tc>
      </w:tr>
      <w:tr>
        <w:tblPrEx>
          <w:tblCellMar>
            <w:top w:w="0" w:type="dxa"/>
            <w:left w:w="0" w:type="dxa"/>
            <w:bottom w:w="0" w:type="dxa"/>
            <w:right w:w="0" w:type="dxa"/>
          </w:tblCellMar>
        </w:tblPrEx>
        <w:trPr>
          <w:cantSplit/>
          <w:trHeight w:val="582" w:hRule="atLeast"/>
          <w:jc w:val="center"/>
        </w:trPr>
        <w:tc>
          <w:tcPr>
            <w:tcW w:w="2327"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eastAsia="宋体" w:cs="Times New Roman"/>
                <w:sz w:val="24"/>
                <w:szCs w:val="24"/>
              </w:rPr>
            </w:pPr>
            <w:r>
              <w:rPr>
                <w:rFonts w:hint="eastAsia" w:ascii="宋体" w:hAnsi="宋体"/>
              </w:rPr>
              <w:t>甲方联系人：</w:t>
            </w:r>
          </w:p>
        </w:tc>
        <w:tc>
          <w:tcPr>
            <w:tcW w:w="304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eastAsia="宋体" w:cs="Times New Roman"/>
                <w:sz w:val="24"/>
                <w:szCs w:val="24"/>
              </w:rPr>
            </w:pPr>
            <w:r>
              <w:rPr>
                <w:rFonts w:hint="eastAsia" w:ascii="宋体" w:hAnsi="宋体"/>
              </w:rPr>
              <w:t>电话：</w:t>
            </w:r>
          </w:p>
        </w:tc>
        <w:tc>
          <w:tcPr>
            <w:tcW w:w="29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eastAsia="宋体" w:cs="Times New Roman"/>
                <w:sz w:val="24"/>
                <w:szCs w:val="24"/>
              </w:rPr>
            </w:pPr>
            <w:r>
              <w:rPr>
                <w:rFonts w:hint="eastAsia" w:ascii="宋体" w:hAnsi="宋体"/>
              </w:rPr>
              <w:t>传真：</w:t>
            </w:r>
          </w:p>
        </w:tc>
      </w:tr>
      <w:tr>
        <w:tblPrEx>
          <w:tblCellMar>
            <w:top w:w="0" w:type="dxa"/>
            <w:left w:w="0" w:type="dxa"/>
            <w:bottom w:w="0" w:type="dxa"/>
            <w:right w:w="0" w:type="dxa"/>
          </w:tblCellMar>
        </w:tblPrEx>
        <w:trPr>
          <w:cantSplit/>
          <w:trHeight w:val="354" w:hRule="atLeast"/>
          <w:jc w:val="center"/>
        </w:trPr>
        <w:tc>
          <w:tcPr>
            <w:tcW w:w="2327"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eastAsia="宋体" w:cs="Times New Roman"/>
                <w:sz w:val="24"/>
                <w:szCs w:val="24"/>
              </w:rPr>
            </w:pPr>
            <w:r>
              <w:rPr>
                <w:rFonts w:hint="eastAsia" w:ascii="宋体" w:hAnsi="宋体"/>
              </w:rPr>
              <w:t xml:space="preserve">乙方联系人： </w:t>
            </w:r>
          </w:p>
        </w:tc>
        <w:tc>
          <w:tcPr>
            <w:tcW w:w="304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eastAsia="宋体" w:cs="Times New Roman"/>
                <w:szCs w:val="21"/>
              </w:rPr>
            </w:pPr>
            <w:r>
              <w:rPr>
                <w:rFonts w:hint="eastAsia" w:ascii="宋体" w:hAnsi="宋体"/>
              </w:rPr>
              <w:t>电话：</w:t>
            </w:r>
          </w:p>
        </w:tc>
        <w:tc>
          <w:tcPr>
            <w:tcW w:w="29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eastAsia="宋体" w:cs="Times New Roman"/>
                <w:sz w:val="24"/>
                <w:szCs w:val="24"/>
              </w:rPr>
            </w:pPr>
            <w:r>
              <w:rPr>
                <w:rFonts w:hint="eastAsia" w:ascii="宋体" w:hAnsi="宋体"/>
              </w:rPr>
              <w:t>传真：</w:t>
            </w:r>
          </w:p>
        </w:tc>
      </w:tr>
      <w:tr>
        <w:tblPrEx>
          <w:tblCellMar>
            <w:top w:w="0" w:type="dxa"/>
            <w:left w:w="0" w:type="dxa"/>
            <w:bottom w:w="0" w:type="dxa"/>
            <w:right w:w="0" w:type="dxa"/>
          </w:tblCellMar>
        </w:tblPrEx>
        <w:trPr>
          <w:trHeight w:val="1191" w:hRule="atLeast"/>
          <w:jc w:val="center"/>
        </w:trPr>
        <w:tc>
          <w:tcPr>
            <w:tcW w:w="8312" w:type="dxa"/>
            <w:gridSpan w:val="5"/>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beforeLines="50" w:line="360" w:lineRule="auto"/>
              <w:rPr>
                <w:rFonts w:ascii="宋体" w:hAnsi="宋体"/>
                <w:sz w:val="24"/>
              </w:rPr>
            </w:pPr>
            <w:r>
              <w:rPr>
                <w:rFonts w:hint="eastAsia" w:ascii="宋体" w:hAnsi="宋体"/>
              </w:rPr>
              <w:t>(甲方) 签发人： 日期：</w:t>
            </w:r>
          </w:p>
          <w:p>
            <w:pPr>
              <w:spacing w:beforeLines="50" w:line="360" w:lineRule="auto"/>
              <w:rPr>
                <w:rFonts w:ascii="宋体" w:hAnsi="宋体" w:eastAsia="宋体" w:cs="Times New Roman"/>
                <w:sz w:val="24"/>
                <w:szCs w:val="24"/>
              </w:rPr>
            </w:pPr>
            <w:r>
              <w:rPr>
                <w:rFonts w:hint="eastAsia" w:ascii="宋体" w:hAnsi="宋体"/>
              </w:rPr>
              <w:t>(乙方）接受人： 日期：</w:t>
            </w:r>
          </w:p>
        </w:tc>
      </w:tr>
    </w:tbl>
    <w:p>
      <w:pPr>
        <w:spacing w:line="360" w:lineRule="auto"/>
        <w:rPr>
          <w:rFonts w:ascii="宋体" w:hAnsi="宋体" w:eastAsia="宋体" w:cs="Times New Roman"/>
          <w:szCs w:val="24"/>
        </w:rPr>
      </w:pPr>
      <w:r>
        <w:rPr>
          <w:rFonts w:hint="eastAsia" w:cs="Times New Roman" w:asciiTheme="majorEastAsia" w:hAnsiTheme="majorEastAsia" w:eastAsiaTheme="majorEastAsia"/>
          <w:szCs w:val="21"/>
        </w:rPr>
        <w:t>注：本表作为完成计划外服务的支持材料</w:t>
      </w:r>
    </w:p>
    <w:p>
      <w:pPr>
        <w:widowControl/>
        <w:jc w:val="left"/>
        <w:rPr>
          <w:rFonts w:ascii="宋体" w:hAnsi="宋体" w:eastAsia="宋体" w:cs="Times New Roman"/>
          <w:szCs w:val="24"/>
        </w:rPr>
      </w:pPr>
      <w:r>
        <w:rPr>
          <w:rFonts w:ascii="宋体" w:hAnsi="宋体" w:eastAsia="宋体" w:cs="Times New Roman"/>
          <w:szCs w:val="24"/>
        </w:rPr>
        <w:br w:type="page"/>
      </w:r>
    </w:p>
    <w:p>
      <w:pPr>
        <w:numPr>
          <w:ilvl w:val="255"/>
          <w:numId w:val="0"/>
        </w:numPr>
        <w:spacing w:line="360" w:lineRule="auto"/>
        <w:rPr>
          <w:rFonts w:ascii="宋体" w:hAnsi="宋体" w:eastAsia="宋体" w:cs="Times New Roman"/>
          <w:b/>
          <w:bCs/>
          <w:sz w:val="28"/>
          <w:szCs w:val="28"/>
        </w:rPr>
      </w:pPr>
      <w:r>
        <w:rPr>
          <w:rFonts w:hint="eastAsia" w:ascii="宋体" w:hAnsi="宋体" w:eastAsia="宋体" w:cs="Times New Roman"/>
          <w:b/>
          <w:bCs/>
          <w:sz w:val="28"/>
          <w:szCs w:val="28"/>
        </w:rPr>
        <w:t>附表2：月浦基地综合服务计划外维修服务确认单</w:t>
      </w:r>
    </w:p>
    <w:p>
      <w:pPr>
        <w:spacing w:line="360" w:lineRule="auto"/>
        <w:rPr>
          <w:rFonts w:ascii="宋体" w:hAnsi="宋体" w:eastAsia="宋体" w:cs="Times New Roman"/>
          <w:szCs w:val="24"/>
          <w:lang w:val="zh-CN"/>
        </w:rPr>
      </w:pPr>
      <w:r>
        <w:rPr>
          <w:rFonts w:hint="eastAsia" w:ascii="宋体" w:hAnsi="宋体" w:eastAsia="宋体" w:cs="Times New Roman"/>
          <w:szCs w:val="24"/>
          <w:lang w:val="zh-CN"/>
        </w:rPr>
        <w:t>计划外需求通知单</w:t>
      </w:r>
      <w:r>
        <w:rPr>
          <w:rFonts w:hint="eastAsia" w:ascii="宋体" w:hAnsi="宋体" w:eastAsia="宋体" w:cs="Times New Roman"/>
          <w:szCs w:val="24"/>
        </w:rPr>
        <w:t>号</w:t>
      </w:r>
      <w:r>
        <w:rPr>
          <w:rFonts w:hint="eastAsia" w:ascii="宋体" w:hAnsi="宋体" w:eastAsia="宋体" w:cs="Times New Roman"/>
          <w:szCs w:val="24"/>
          <w:lang w:val="zh-CN"/>
        </w:rPr>
        <w:t>：</w:t>
      </w:r>
    </w:p>
    <w:tbl>
      <w:tblPr>
        <w:tblStyle w:val="46"/>
        <w:tblpPr w:leftFromText="181" w:rightFromText="181" w:vertAnchor="page" w:horzAnchor="page" w:tblpX="1832" w:tblpY="2830"/>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702"/>
        <w:gridCol w:w="1305"/>
        <w:gridCol w:w="1261"/>
        <w:gridCol w:w="1061"/>
        <w:gridCol w:w="1349"/>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07" w:type="dxa"/>
            <w:vMerge w:val="restart"/>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1702" w:type="dxa"/>
            <w:vMerge w:val="restart"/>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服务内容</w:t>
            </w:r>
          </w:p>
        </w:tc>
        <w:tc>
          <w:tcPr>
            <w:tcW w:w="1305" w:type="dxa"/>
            <w:vMerge w:val="restart"/>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服务时间</w:t>
            </w:r>
          </w:p>
        </w:tc>
        <w:tc>
          <w:tcPr>
            <w:tcW w:w="3671" w:type="dxa"/>
            <w:gridSpan w:val="3"/>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服务费用</w:t>
            </w:r>
          </w:p>
        </w:tc>
        <w:tc>
          <w:tcPr>
            <w:tcW w:w="159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07" w:type="dxa"/>
            <w:vMerge w:val="continue"/>
            <w:vAlign w:val="center"/>
          </w:tcPr>
          <w:p>
            <w:pPr>
              <w:spacing w:line="360" w:lineRule="auto"/>
              <w:jc w:val="center"/>
              <w:rPr>
                <w:rFonts w:ascii="Times New Roman" w:hAnsi="Times New Roman" w:eastAsia="宋体" w:cs="Times New Roman"/>
                <w:szCs w:val="21"/>
              </w:rPr>
            </w:pPr>
          </w:p>
        </w:tc>
        <w:tc>
          <w:tcPr>
            <w:tcW w:w="1702" w:type="dxa"/>
            <w:vMerge w:val="continue"/>
            <w:vAlign w:val="center"/>
          </w:tcPr>
          <w:p>
            <w:pPr>
              <w:spacing w:line="360" w:lineRule="auto"/>
              <w:jc w:val="center"/>
              <w:rPr>
                <w:rFonts w:ascii="Times New Roman" w:hAnsi="Times New Roman" w:eastAsia="宋体" w:cs="Times New Roman"/>
                <w:szCs w:val="21"/>
              </w:rPr>
            </w:pPr>
          </w:p>
        </w:tc>
        <w:tc>
          <w:tcPr>
            <w:tcW w:w="1305" w:type="dxa"/>
            <w:vMerge w:val="continue"/>
            <w:vAlign w:val="center"/>
          </w:tcPr>
          <w:p>
            <w:pPr>
              <w:spacing w:line="360" w:lineRule="auto"/>
              <w:jc w:val="center"/>
              <w:rPr>
                <w:rFonts w:ascii="Times New Roman" w:hAnsi="Times New Roman" w:eastAsia="宋体" w:cs="Times New Roman"/>
                <w:szCs w:val="21"/>
              </w:rPr>
            </w:pPr>
          </w:p>
        </w:tc>
        <w:tc>
          <w:tcPr>
            <w:tcW w:w="1261"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单价</w:t>
            </w:r>
          </w:p>
        </w:tc>
        <w:tc>
          <w:tcPr>
            <w:tcW w:w="1061"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数量</w:t>
            </w:r>
          </w:p>
        </w:tc>
        <w:tc>
          <w:tcPr>
            <w:tcW w:w="1349"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费用合计</w:t>
            </w:r>
          </w:p>
        </w:tc>
        <w:tc>
          <w:tcPr>
            <w:tcW w:w="1593" w:type="dxa"/>
            <w:vAlign w:val="center"/>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07"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1702" w:type="dxa"/>
            <w:vAlign w:val="center"/>
          </w:tcPr>
          <w:p>
            <w:pPr>
              <w:spacing w:line="360" w:lineRule="auto"/>
              <w:jc w:val="center"/>
              <w:rPr>
                <w:rFonts w:ascii="Times New Roman" w:hAnsi="Times New Roman" w:eastAsia="宋体" w:cs="Times New Roman"/>
                <w:szCs w:val="21"/>
              </w:rPr>
            </w:pPr>
          </w:p>
        </w:tc>
        <w:tc>
          <w:tcPr>
            <w:tcW w:w="1305" w:type="dxa"/>
            <w:vAlign w:val="center"/>
          </w:tcPr>
          <w:p>
            <w:pPr>
              <w:spacing w:line="360" w:lineRule="auto"/>
              <w:jc w:val="center"/>
              <w:rPr>
                <w:rFonts w:ascii="Times New Roman" w:hAnsi="Times New Roman" w:eastAsia="宋体" w:cs="Times New Roman"/>
                <w:szCs w:val="21"/>
              </w:rPr>
            </w:pPr>
          </w:p>
        </w:tc>
        <w:tc>
          <w:tcPr>
            <w:tcW w:w="1261" w:type="dxa"/>
            <w:vAlign w:val="center"/>
          </w:tcPr>
          <w:p>
            <w:pPr>
              <w:spacing w:line="360" w:lineRule="auto"/>
              <w:jc w:val="center"/>
              <w:rPr>
                <w:rFonts w:ascii="Times New Roman" w:hAnsi="Times New Roman" w:eastAsia="宋体" w:cs="Times New Roman"/>
                <w:szCs w:val="21"/>
              </w:rPr>
            </w:pPr>
          </w:p>
        </w:tc>
        <w:tc>
          <w:tcPr>
            <w:tcW w:w="1061" w:type="dxa"/>
            <w:vAlign w:val="center"/>
          </w:tcPr>
          <w:p>
            <w:pPr>
              <w:spacing w:line="360" w:lineRule="auto"/>
              <w:jc w:val="center"/>
              <w:rPr>
                <w:rFonts w:ascii="Times New Roman" w:hAnsi="Times New Roman" w:eastAsia="宋体" w:cs="Times New Roman"/>
                <w:szCs w:val="21"/>
              </w:rPr>
            </w:pPr>
          </w:p>
        </w:tc>
        <w:tc>
          <w:tcPr>
            <w:tcW w:w="1349" w:type="dxa"/>
            <w:vAlign w:val="center"/>
          </w:tcPr>
          <w:p>
            <w:pPr>
              <w:spacing w:line="360" w:lineRule="auto"/>
              <w:jc w:val="center"/>
              <w:rPr>
                <w:rFonts w:ascii="Times New Roman" w:hAnsi="Times New Roman" w:eastAsia="宋体" w:cs="Times New Roman"/>
                <w:szCs w:val="21"/>
              </w:rPr>
            </w:pPr>
          </w:p>
        </w:tc>
        <w:tc>
          <w:tcPr>
            <w:tcW w:w="1593" w:type="dxa"/>
            <w:vAlign w:val="center"/>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07"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1702" w:type="dxa"/>
            <w:vAlign w:val="center"/>
          </w:tcPr>
          <w:p>
            <w:pPr>
              <w:spacing w:line="360" w:lineRule="auto"/>
              <w:jc w:val="center"/>
              <w:rPr>
                <w:rFonts w:ascii="Times New Roman" w:hAnsi="Times New Roman" w:eastAsia="宋体" w:cs="Times New Roman"/>
                <w:szCs w:val="21"/>
              </w:rPr>
            </w:pPr>
          </w:p>
        </w:tc>
        <w:tc>
          <w:tcPr>
            <w:tcW w:w="1305" w:type="dxa"/>
            <w:vAlign w:val="center"/>
          </w:tcPr>
          <w:p>
            <w:pPr>
              <w:spacing w:line="360" w:lineRule="auto"/>
              <w:jc w:val="center"/>
              <w:rPr>
                <w:rFonts w:ascii="Times New Roman" w:hAnsi="Times New Roman" w:eastAsia="宋体" w:cs="Times New Roman"/>
                <w:szCs w:val="21"/>
              </w:rPr>
            </w:pPr>
          </w:p>
        </w:tc>
        <w:tc>
          <w:tcPr>
            <w:tcW w:w="1261" w:type="dxa"/>
            <w:vAlign w:val="center"/>
          </w:tcPr>
          <w:p>
            <w:pPr>
              <w:spacing w:line="360" w:lineRule="auto"/>
              <w:jc w:val="center"/>
              <w:rPr>
                <w:rFonts w:ascii="Times New Roman" w:hAnsi="Times New Roman" w:eastAsia="宋体" w:cs="Times New Roman"/>
                <w:szCs w:val="21"/>
              </w:rPr>
            </w:pPr>
          </w:p>
        </w:tc>
        <w:tc>
          <w:tcPr>
            <w:tcW w:w="1061" w:type="dxa"/>
            <w:vAlign w:val="center"/>
          </w:tcPr>
          <w:p>
            <w:pPr>
              <w:spacing w:line="360" w:lineRule="auto"/>
              <w:jc w:val="center"/>
              <w:rPr>
                <w:rFonts w:ascii="Times New Roman" w:hAnsi="Times New Roman" w:eastAsia="宋体" w:cs="Times New Roman"/>
                <w:szCs w:val="21"/>
              </w:rPr>
            </w:pPr>
          </w:p>
        </w:tc>
        <w:tc>
          <w:tcPr>
            <w:tcW w:w="1349" w:type="dxa"/>
            <w:vAlign w:val="center"/>
          </w:tcPr>
          <w:p>
            <w:pPr>
              <w:spacing w:line="360" w:lineRule="auto"/>
              <w:jc w:val="center"/>
              <w:rPr>
                <w:rFonts w:ascii="Times New Roman" w:hAnsi="Times New Roman" w:eastAsia="宋体" w:cs="Times New Roman"/>
                <w:szCs w:val="21"/>
              </w:rPr>
            </w:pPr>
          </w:p>
        </w:tc>
        <w:tc>
          <w:tcPr>
            <w:tcW w:w="1593" w:type="dxa"/>
            <w:vAlign w:val="center"/>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07"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1702" w:type="dxa"/>
            <w:vAlign w:val="center"/>
          </w:tcPr>
          <w:p>
            <w:pPr>
              <w:spacing w:line="360" w:lineRule="auto"/>
              <w:jc w:val="center"/>
              <w:rPr>
                <w:rFonts w:ascii="Times New Roman" w:hAnsi="Times New Roman" w:eastAsia="宋体" w:cs="Times New Roman"/>
                <w:szCs w:val="21"/>
              </w:rPr>
            </w:pPr>
          </w:p>
        </w:tc>
        <w:tc>
          <w:tcPr>
            <w:tcW w:w="1305" w:type="dxa"/>
            <w:vAlign w:val="center"/>
          </w:tcPr>
          <w:p>
            <w:pPr>
              <w:spacing w:line="360" w:lineRule="auto"/>
              <w:jc w:val="center"/>
              <w:rPr>
                <w:rFonts w:ascii="Times New Roman" w:hAnsi="Times New Roman" w:eastAsia="宋体" w:cs="Times New Roman"/>
                <w:szCs w:val="21"/>
              </w:rPr>
            </w:pPr>
          </w:p>
        </w:tc>
        <w:tc>
          <w:tcPr>
            <w:tcW w:w="1261" w:type="dxa"/>
            <w:vAlign w:val="center"/>
          </w:tcPr>
          <w:p>
            <w:pPr>
              <w:spacing w:line="360" w:lineRule="auto"/>
              <w:jc w:val="center"/>
              <w:rPr>
                <w:rFonts w:ascii="Times New Roman" w:hAnsi="Times New Roman" w:eastAsia="宋体" w:cs="Times New Roman"/>
                <w:szCs w:val="21"/>
              </w:rPr>
            </w:pPr>
          </w:p>
        </w:tc>
        <w:tc>
          <w:tcPr>
            <w:tcW w:w="1061" w:type="dxa"/>
            <w:vAlign w:val="center"/>
          </w:tcPr>
          <w:p>
            <w:pPr>
              <w:spacing w:line="360" w:lineRule="auto"/>
              <w:jc w:val="center"/>
              <w:rPr>
                <w:rFonts w:ascii="Times New Roman" w:hAnsi="Times New Roman" w:eastAsia="宋体" w:cs="Times New Roman"/>
                <w:szCs w:val="21"/>
              </w:rPr>
            </w:pPr>
          </w:p>
        </w:tc>
        <w:tc>
          <w:tcPr>
            <w:tcW w:w="1349" w:type="dxa"/>
            <w:vAlign w:val="center"/>
          </w:tcPr>
          <w:p>
            <w:pPr>
              <w:spacing w:line="360" w:lineRule="auto"/>
              <w:jc w:val="center"/>
              <w:rPr>
                <w:rFonts w:ascii="Times New Roman" w:hAnsi="Times New Roman" w:eastAsia="宋体" w:cs="Times New Roman"/>
                <w:szCs w:val="21"/>
              </w:rPr>
            </w:pPr>
          </w:p>
        </w:tc>
        <w:tc>
          <w:tcPr>
            <w:tcW w:w="1593" w:type="dxa"/>
            <w:vAlign w:val="center"/>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07"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1702" w:type="dxa"/>
            <w:vAlign w:val="center"/>
          </w:tcPr>
          <w:p>
            <w:pPr>
              <w:spacing w:line="360" w:lineRule="auto"/>
              <w:jc w:val="center"/>
              <w:rPr>
                <w:rFonts w:ascii="Times New Roman" w:hAnsi="Times New Roman" w:eastAsia="宋体" w:cs="Times New Roman"/>
                <w:szCs w:val="21"/>
              </w:rPr>
            </w:pPr>
          </w:p>
        </w:tc>
        <w:tc>
          <w:tcPr>
            <w:tcW w:w="1305" w:type="dxa"/>
            <w:vAlign w:val="center"/>
          </w:tcPr>
          <w:p>
            <w:pPr>
              <w:spacing w:line="360" w:lineRule="auto"/>
              <w:jc w:val="center"/>
              <w:rPr>
                <w:rFonts w:ascii="Times New Roman" w:hAnsi="Times New Roman" w:eastAsia="宋体" w:cs="Times New Roman"/>
                <w:szCs w:val="21"/>
              </w:rPr>
            </w:pPr>
          </w:p>
        </w:tc>
        <w:tc>
          <w:tcPr>
            <w:tcW w:w="1261" w:type="dxa"/>
            <w:vAlign w:val="center"/>
          </w:tcPr>
          <w:p>
            <w:pPr>
              <w:spacing w:line="360" w:lineRule="auto"/>
              <w:jc w:val="center"/>
              <w:rPr>
                <w:rFonts w:ascii="Times New Roman" w:hAnsi="Times New Roman" w:eastAsia="宋体" w:cs="Times New Roman"/>
                <w:szCs w:val="21"/>
              </w:rPr>
            </w:pPr>
          </w:p>
        </w:tc>
        <w:tc>
          <w:tcPr>
            <w:tcW w:w="1061" w:type="dxa"/>
            <w:vAlign w:val="center"/>
          </w:tcPr>
          <w:p>
            <w:pPr>
              <w:spacing w:line="360" w:lineRule="auto"/>
              <w:jc w:val="center"/>
              <w:rPr>
                <w:rFonts w:ascii="Times New Roman" w:hAnsi="Times New Roman" w:eastAsia="宋体" w:cs="Times New Roman"/>
                <w:szCs w:val="21"/>
              </w:rPr>
            </w:pPr>
          </w:p>
        </w:tc>
        <w:tc>
          <w:tcPr>
            <w:tcW w:w="1349" w:type="dxa"/>
            <w:vAlign w:val="center"/>
          </w:tcPr>
          <w:p>
            <w:pPr>
              <w:spacing w:line="360" w:lineRule="auto"/>
              <w:jc w:val="center"/>
              <w:rPr>
                <w:rFonts w:ascii="Times New Roman" w:hAnsi="Times New Roman" w:eastAsia="宋体" w:cs="Times New Roman"/>
                <w:szCs w:val="21"/>
              </w:rPr>
            </w:pPr>
          </w:p>
        </w:tc>
        <w:tc>
          <w:tcPr>
            <w:tcW w:w="1593" w:type="dxa"/>
            <w:vAlign w:val="center"/>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07"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1702" w:type="dxa"/>
            <w:vAlign w:val="center"/>
          </w:tcPr>
          <w:p>
            <w:pPr>
              <w:spacing w:line="360" w:lineRule="auto"/>
              <w:jc w:val="center"/>
              <w:rPr>
                <w:rFonts w:ascii="Times New Roman" w:hAnsi="Times New Roman" w:eastAsia="宋体" w:cs="Times New Roman"/>
                <w:szCs w:val="21"/>
              </w:rPr>
            </w:pPr>
          </w:p>
        </w:tc>
        <w:tc>
          <w:tcPr>
            <w:tcW w:w="1305" w:type="dxa"/>
            <w:vAlign w:val="center"/>
          </w:tcPr>
          <w:p>
            <w:pPr>
              <w:spacing w:line="360" w:lineRule="auto"/>
              <w:jc w:val="center"/>
              <w:rPr>
                <w:rFonts w:ascii="Times New Roman" w:hAnsi="Times New Roman" w:eastAsia="宋体" w:cs="Times New Roman"/>
                <w:szCs w:val="21"/>
              </w:rPr>
            </w:pPr>
          </w:p>
        </w:tc>
        <w:tc>
          <w:tcPr>
            <w:tcW w:w="1261" w:type="dxa"/>
            <w:vAlign w:val="center"/>
          </w:tcPr>
          <w:p>
            <w:pPr>
              <w:spacing w:line="360" w:lineRule="auto"/>
              <w:jc w:val="center"/>
              <w:rPr>
                <w:rFonts w:ascii="Times New Roman" w:hAnsi="Times New Roman" w:eastAsia="宋体" w:cs="Times New Roman"/>
                <w:szCs w:val="21"/>
              </w:rPr>
            </w:pPr>
          </w:p>
        </w:tc>
        <w:tc>
          <w:tcPr>
            <w:tcW w:w="1061" w:type="dxa"/>
            <w:vAlign w:val="center"/>
          </w:tcPr>
          <w:p>
            <w:pPr>
              <w:spacing w:line="360" w:lineRule="auto"/>
              <w:jc w:val="center"/>
              <w:rPr>
                <w:rFonts w:ascii="Times New Roman" w:hAnsi="Times New Roman" w:eastAsia="宋体" w:cs="Times New Roman"/>
                <w:szCs w:val="21"/>
              </w:rPr>
            </w:pPr>
          </w:p>
        </w:tc>
        <w:tc>
          <w:tcPr>
            <w:tcW w:w="1349" w:type="dxa"/>
            <w:vAlign w:val="center"/>
          </w:tcPr>
          <w:p>
            <w:pPr>
              <w:spacing w:line="360" w:lineRule="auto"/>
              <w:jc w:val="center"/>
              <w:rPr>
                <w:rFonts w:ascii="Times New Roman" w:hAnsi="Times New Roman" w:eastAsia="宋体" w:cs="Times New Roman"/>
                <w:szCs w:val="21"/>
              </w:rPr>
            </w:pPr>
          </w:p>
        </w:tc>
        <w:tc>
          <w:tcPr>
            <w:tcW w:w="1593" w:type="dxa"/>
            <w:vAlign w:val="center"/>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07"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1702" w:type="dxa"/>
            <w:vAlign w:val="center"/>
          </w:tcPr>
          <w:p>
            <w:pPr>
              <w:spacing w:line="360" w:lineRule="auto"/>
              <w:jc w:val="center"/>
              <w:rPr>
                <w:rFonts w:ascii="Times New Roman" w:hAnsi="Times New Roman" w:eastAsia="宋体" w:cs="Times New Roman"/>
                <w:szCs w:val="21"/>
              </w:rPr>
            </w:pPr>
          </w:p>
        </w:tc>
        <w:tc>
          <w:tcPr>
            <w:tcW w:w="1305" w:type="dxa"/>
            <w:vAlign w:val="center"/>
          </w:tcPr>
          <w:p>
            <w:pPr>
              <w:spacing w:line="360" w:lineRule="auto"/>
              <w:jc w:val="center"/>
              <w:rPr>
                <w:rFonts w:ascii="Times New Roman" w:hAnsi="Times New Roman" w:eastAsia="宋体" w:cs="Times New Roman"/>
                <w:szCs w:val="21"/>
              </w:rPr>
            </w:pPr>
          </w:p>
        </w:tc>
        <w:tc>
          <w:tcPr>
            <w:tcW w:w="1261" w:type="dxa"/>
            <w:vAlign w:val="center"/>
          </w:tcPr>
          <w:p>
            <w:pPr>
              <w:spacing w:line="360" w:lineRule="auto"/>
              <w:jc w:val="center"/>
              <w:rPr>
                <w:rFonts w:ascii="Times New Roman" w:hAnsi="Times New Roman" w:eastAsia="宋体" w:cs="Times New Roman"/>
                <w:szCs w:val="21"/>
              </w:rPr>
            </w:pPr>
          </w:p>
        </w:tc>
        <w:tc>
          <w:tcPr>
            <w:tcW w:w="1061" w:type="dxa"/>
            <w:vAlign w:val="center"/>
          </w:tcPr>
          <w:p>
            <w:pPr>
              <w:spacing w:line="360" w:lineRule="auto"/>
              <w:jc w:val="center"/>
              <w:rPr>
                <w:rFonts w:ascii="Times New Roman" w:hAnsi="Times New Roman" w:eastAsia="宋体" w:cs="Times New Roman"/>
                <w:szCs w:val="21"/>
              </w:rPr>
            </w:pPr>
          </w:p>
        </w:tc>
        <w:tc>
          <w:tcPr>
            <w:tcW w:w="1349" w:type="dxa"/>
            <w:vAlign w:val="center"/>
          </w:tcPr>
          <w:p>
            <w:pPr>
              <w:spacing w:line="360" w:lineRule="auto"/>
              <w:jc w:val="center"/>
              <w:rPr>
                <w:rFonts w:ascii="Times New Roman" w:hAnsi="Times New Roman" w:eastAsia="宋体" w:cs="Times New Roman"/>
                <w:szCs w:val="21"/>
              </w:rPr>
            </w:pPr>
          </w:p>
        </w:tc>
        <w:tc>
          <w:tcPr>
            <w:tcW w:w="1593" w:type="dxa"/>
            <w:vAlign w:val="center"/>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09" w:type="dxa"/>
            <w:gridSpan w:val="2"/>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累计</w:t>
            </w:r>
          </w:p>
        </w:tc>
        <w:tc>
          <w:tcPr>
            <w:tcW w:w="1305" w:type="dxa"/>
            <w:vAlign w:val="center"/>
          </w:tcPr>
          <w:p>
            <w:pPr>
              <w:spacing w:line="360" w:lineRule="auto"/>
              <w:jc w:val="center"/>
              <w:rPr>
                <w:rFonts w:ascii="Times New Roman" w:hAnsi="Times New Roman" w:eastAsia="宋体" w:cs="Times New Roman"/>
                <w:szCs w:val="21"/>
              </w:rPr>
            </w:pPr>
          </w:p>
        </w:tc>
        <w:tc>
          <w:tcPr>
            <w:tcW w:w="1261" w:type="dxa"/>
            <w:vAlign w:val="center"/>
          </w:tcPr>
          <w:p>
            <w:pPr>
              <w:spacing w:line="360" w:lineRule="auto"/>
              <w:jc w:val="center"/>
              <w:rPr>
                <w:rFonts w:ascii="Times New Roman" w:hAnsi="Times New Roman" w:eastAsia="宋体" w:cs="Times New Roman"/>
                <w:szCs w:val="21"/>
              </w:rPr>
            </w:pPr>
          </w:p>
        </w:tc>
        <w:tc>
          <w:tcPr>
            <w:tcW w:w="1061" w:type="dxa"/>
            <w:vAlign w:val="center"/>
          </w:tcPr>
          <w:p>
            <w:pPr>
              <w:spacing w:line="360" w:lineRule="auto"/>
              <w:jc w:val="center"/>
              <w:rPr>
                <w:rFonts w:ascii="Times New Roman" w:hAnsi="Times New Roman" w:eastAsia="宋体" w:cs="Times New Roman"/>
                <w:szCs w:val="21"/>
              </w:rPr>
            </w:pPr>
          </w:p>
        </w:tc>
        <w:tc>
          <w:tcPr>
            <w:tcW w:w="1349" w:type="dxa"/>
            <w:vAlign w:val="center"/>
          </w:tcPr>
          <w:p>
            <w:pPr>
              <w:spacing w:line="360" w:lineRule="auto"/>
              <w:jc w:val="center"/>
              <w:rPr>
                <w:rFonts w:ascii="Times New Roman" w:hAnsi="Times New Roman" w:eastAsia="宋体" w:cs="Times New Roman"/>
                <w:szCs w:val="21"/>
              </w:rPr>
            </w:pPr>
          </w:p>
        </w:tc>
        <w:tc>
          <w:tcPr>
            <w:tcW w:w="1593" w:type="dxa"/>
            <w:vAlign w:val="center"/>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8678" w:type="dxa"/>
            <w:gridSpan w:val="7"/>
            <w:vAlign w:val="center"/>
          </w:tcPr>
          <w:p>
            <w:pPr>
              <w:spacing w:line="360" w:lineRule="auto"/>
              <w:jc w:val="center"/>
              <w:rPr>
                <w:rFonts w:ascii="宋体" w:hAnsi="宋体" w:eastAsia="宋体" w:cs="Times New Roman"/>
                <w:szCs w:val="24"/>
                <w:lang w:val="zh-CN"/>
              </w:rPr>
            </w:pPr>
          </w:p>
          <w:p>
            <w:pPr>
              <w:spacing w:line="360" w:lineRule="auto"/>
              <w:jc w:val="center"/>
              <w:rPr>
                <w:rFonts w:ascii="宋体" w:hAnsi="宋体" w:eastAsia="宋体" w:cs="Times New Roman"/>
                <w:szCs w:val="24"/>
                <w:lang w:val="zh-CN"/>
              </w:rPr>
            </w:pPr>
            <w:r>
              <w:rPr>
                <w:rFonts w:hint="eastAsia" w:ascii="宋体" w:hAnsi="宋体" w:eastAsia="宋体" w:cs="Times New Roman"/>
                <w:szCs w:val="24"/>
                <w:lang w:val="zh-CN"/>
              </w:rPr>
              <w:t>甲方签字：乙方签字：</w:t>
            </w:r>
          </w:p>
          <w:p>
            <w:pPr>
              <w:spacing w:line="360" w:lineRule="auto"/>
              <w:jc w:val="center"/>
              <w:rPr>
                <w:rFonts w:ascii="宋体" w:hAnsi="宋体" w:eastAsia="宋体" w:cs="Times New Roman"/>
                <w:szCs w:val="24"/>
                <w:lang w:val="zh-CN"/>
              </w:rPr>
            </w:pPr>
          </w:p>
          <w:p>
            <w:pPr>
              <w:spacing w:line="360" w:lineRule="auto"/>
              <w:jc w:val="center"/>
              <w:rPr>
                <w:rFonts w:ascii="宋体" w:hAnsi="宋体" w:eastAsia="宋体" w:cs="Times New Roman"/>
                <w:szCs w:val="24"/>
                <w:lang w:val="zh-CN"/>
              </w:rPr>
            </w:pPr>
            <w:r>
              <w:rPr>
                <w:rFonts w:hint="eastAsia" w:ascii="宋体" w:hAnsi="宋体" w:eastAsia="宋体" w:cs="Times New Roman"/>
                <w:szCs w:val="24"/>
                <w:lang w:val="zh-CN"/>
              </w:rPr>
              <w:t>日期：日期：</w:t>
            </w:r>
          </w:p>
          <w:p>
            <w:pPr>
              <w:spacing w:line="360" w:lineRule="auto"/>
              <w:jc w:val="center"/>
              <w:rPr>
                <w:rFonts w:ascii="Times New Roman" w:hAnsi="Times New Roman" w:eastAsia="宋体" w:cs="Times New Roman"/>
                <w:szCs w:val="21"/>
              </w:rPr>
            </w:pPr>
          </w:p>
        </w:tc>
      </w:tr>
    </w:tbl>
    <w:p>
      <w:pPr>
        <w:autoSpaceDE w:val="0"/>
        <w:autoSpaceDN w:val="0"/>
        <w:adjustRightInd w:val="0"/>
        <w:spacing w:line="360" w:lineRule="auto"/>
        <w:jc w:val="left"/>
        <w:rPr>
          <w:rFonts w:cs="Times New Roman" w:asciiTheme="majorEastAsia" w:hAnsiTheme="majorEastAsia" w:eastAsiaTheme="majorEastAsia"/>
          <w:sz w:val="24"/>
          <w:szCs w:val="24"/>
          <w:highlight w:val="yellow"/>
        </w:rPr>
      </w:pPr>
      <w:r>
        <w:rPr>
          <w:rFonts w:hint="eastAsia" w:cs="Times New Roman" w:asciiTheme="majorEastAsia" w:hAnsiTheme="majorEastAsia" w:eastAsiaTheme="majorEastAsia"/>
          <w:szCs w:val="21"/>
        </w:rPr>
        <w:t>注：本表作为完成计划外服务的支持材料</w:t>
      </w: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highlight w:val="yellow"/>
        </w:rPr>
      </w:pP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highlight w:val="yellow"/>
        </w:rPr>
      </w:pPr>
    </w:p>
    <w:p>
      <w:pPr>
        <w:autoSpaceDE w:val="0"/>
        <w:autoSpaceDN w:val="0"/>
        <w:adjustRightInd w:val="0"/>
        <w:spacing w:line="360" w:lineRule="auto"/>
        <w:ind w:firstLine="480" w:firstLineChars="200"/>
        <w:jc w:val="left"/>
        <w:rPr>
          <w:rFonts w:cs="Times New Roman" w:asciiTheme="majorEastAsia" w:hAnsiTheme="majorEastAsia" w:eastAsiaTheme="majorEastAsia"/>
          <w:sz w:val="24"/>
          <w:szCs w:val="24"/>
          <w:highlight w:val="yellow"/>
        </w:rPr>
        <w:sectPr>
          <w:pgSz w:w="11906" w:h="16838"/>
          <w:pgMar w:top="1440" w:right="1700" w:bottom="1440" w:left="1800" w:header="851" w:footer="992" w:gutter="0"/>
          <w:cols w:space="425" w:num="1"/>
          <w:docGrid w:type="lines" w:linePitch="312" w:charSpace="0"/>
        </w:sectPr>
      </w:pPr>
    </w:p>
    <w:p>
      <w:pPr>
        <w:spacing w:line="360" w:lineRule="auto"/>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月浦基地综合服务考评办法</w:t>
      </w:r>
    </w:p>
    <w:p>
      <w:pPr>
        <w:spacing w:line="360" w:lineRule="auto"/>
        <w:rPr>
          <w:rFonts w:cs="宋体" w:asciiTheme="majorEastAsia" w:hAnsiTheme="majorEastAsia" w:eastAsiaTheme="majorEastAsia"/>
          <w:b/>
          <w:szCs w:val="21"/>
        </w:rPr>
      </w:pPr>
      <w:r>
        <w:rPr>
          <w:rFonts w:hint="eastAsia" w:cs="宋体" w:asciiTheme="majorEastAsia" w:hAnsiTheme="majorEastAsia" w:eastAsiaTheme="majorEastAsia"/>
          <w:b/>
          <w:szCs w:val="21"/>
        </w:rPr>
        <w:t>1、  考评构成</w:t>
      </w:r>
    </w:p>
    <w:p>
      <w:pPr>
        <w:spacing w:line="360" w:lineRule="auto"/>
        <w:ind w:firstLine="480" w:firstLineChars="200"/>
        <w:rPr>
          <w:rFonts w:cs="宋体" w:asciiTheme="majorEastAsia" w:hAnsiTheme="majorEastAsia" w:eastAsiaTheme="majorEastAsia"/>
          <w:b/>
          <w:sz w:val="24"/>
          <w:szCs w:val="24"/>
        </w:rPr>
      </w:pPr>
      <w:r>
        <w:rPr>
          <w:rFonts w:hint="eastAsia" w:cs="宋体" w:asciiTheme="majorEastAsia" w:hAnsiTheme="majorEastAsia" w:eastAsiaTheme="majorEastAsia"/>
          <w:sz w:val="24"/>
          <w:szCs w:val="24"/>
        </w:rPr>
        <w:t>甲方根据合同要求，每年对乙方的各项服务进行监督考核。依据合同、满意度调查、甲方日常考评等进行考核。</w:t>
      </w:r>
    </w:p>
    <w:p>
      <w:pPr>
        <w:spacing w:line="360" w:lineRule="auto"/>
        <w:rPr>
          <w:rFonts w:cs="宋体" w:asciiTheme="majorEastAsia" w:hAnsiTheme="majorEastAsia" w:eastAsiaTheme="majorEastAsia"/>
          <w:b/>
          <w:szCs w:val="21"/>
        </w:rPr>
      </w:pPr>
      <w:r>
        <w:rPr>
          <w:rFonts w:hint="eastAsia" w:cs="宋体" w:asciiTheme="majorEastAsia" w:hAnsiTheme="majorEastAsia" w:eastAsiaTheme="majorEastAsia"/>
          <w:b/>
          <w:szCs w:val="21"/>
        </w:rPr>
        <w:t>2、  考评内容</w:t>
      </w:r>
    </w:p>
    <w:p>
      <w:pPr>
        <w:spacing w:line="360" w:lineRule="auto"/>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分日常巡检表、工作联系单租户满意度三部分。</w:t>
      </w:r>
    </w:p>
    <w:p>
      <w:pPr>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2.1日常巡检表（详见附件）是指对各重点工作、重点区域的巡视、抽查：此项由甲方负责人根据对重点工作、重点区域的巡视情况并参照中标方提出的服务标准进行打分评定，每项扣分0.5分，满分100分，权重【30%】。</w:t>
      </w:r>
    </w:p>
    <w:p>
      <w:pPr>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2.2工作联系单（详见附件）是指各项交办工作执行情况的监督跟进，此项由甲方负责人根据执行情况和执行质量进行打分评定，满分100分，权重【20%】。</w:t>
      </w:r>
    </w:p>
    <w:p>
      <w:pPr>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2.3 租户满意度年底由月浦基地牵头，向各租户单位发放满意度调查问卷，满分100分，权重【50%】。</w:t>
      </w:r>
    </w:p>
    <w:p>
      <w:pPr>
        <w:numPr>
          <w:ilvl w:val="0"/>
          <w:numId w:val="60"/>
        </w:numPr>
        <w:spacing w:line="360" w:lineRule="auto"/>
        <w:rPr>
          <w:rFonts w:cs="宋体" w:asciiTheme="majorEastAsia" w:hAnsiTheme="majorEastAsia" w:eastAsiaTheme="majorEastAsia"/>
          <w:b/>
          <w:szCs w:val="21"/>
        </w:rPr>
      </w:pPr>
      <w:r>
        <w:rPr>
          <w:rFonts w:hint="eastAsia" w:cs="宋体" w:asciiTheme="majorEastAsia" w:hAnsiTheme="majorEastAsia" w:eastAsiaTheme="majorEastAsia"/>
          <w:b/>
          <w:szCs w:val="21"/>
        </w:rPr>
        <w:t xml:space="preserve"> 考评程序</w:t>
      </w:r>
    </w:p>
    <w:p>
      <w:pPr>
        <w:spacing w:line="360" w:lineRule="auto"/>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甲方通过日常监督，每年对乙方各项工作进行打分评定。</w:t>
      </w:r>
    </w:p>
    <w:p>
      <w:pPr>
        <w:numPr>
          <w:ilvl w:val="0"/>
          <w:numId w:val="60"/>
        </w:numPr>
        <w:spacing w:line="360" w:lineRule="auto"/>
        <w:rPr>
          <w:rFonts w:cs="宋体" w:asciiTheme="majorEastAsia" w:hAnsiTheme="majorEastAsia" w:eastAsiaTheme="majorEastAsia"/>
          <w:b/>
          <w:szCs w:val="21"/>
        </w:rPr>
      </w:pPr>
      <w:r>
        <w:rPr>
          <w:rFonts w:hint="eastAsia" w:cs="宋体" w:asciiTheme="majorEastAsia" w:hAnsiTheme="majorEastAsia" w:eastAsiaTheme="majorEastAsia"/>
          <w:b/>
          <w:szCs w:val="21"/>
        </w:rPr>
        <w:t xml:space="preserve"> 考评要求</w:t>
      </w:r>
    </w:p>
    <w:p>
      <w:pPr>
        <w:spacing w:line="360" w:lineRule="auto"/>
        <w:ind w:left="36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要求中标单位每年考评分高于【85】分。若考评分低于【70】分，甲方有权提前结束合同。</w:t>
      </w:r>
    </w:p>
    <w:p>
      <w:pPr>
        <w:spacing w:line="360" w:lineRule="auto"/>
        <w:ind w:left="360"/>
        <w:rPr>
          <w:rFonts w:cs="宋体" w:asciiTheme="majorEastAsia" w:hAnsiTheme="majorEastAsia" w:eastAsiaTheme="majorEastAsia"/>
          <w:sz w:val="24"/>
          <w:szCs w:val="24"/>
        </w:rPr>
      </w:pPr>
    </w:p>
    <w:p>
      <w:pPr>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附表3：工作联系单</w:t>
      </w:r>
    </w:p>
    <w:p>
      <w:pPr>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附表4：满意度调查表</w:t>
      </w:r>
    </w:p>
    <w:p>
      <w:pPr>
        <w:spacing w:line="360" w:lineRule="auto"/>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附表5：工作检查及验收表</w:t>
      </w:r>
    </w:p>
    <w:p>
      <w:pPr>
        <w:spacing w:line="360" w:lineRule="auto"/>
        <w:rPr>
          <w:rFonts w:cs="宋体" w:asciiTheme="majorEastAsia" w:hAnsiTheme="majorEastAsia" w:eastAsiaTheme="majorEastAsia"/>
          <w:szCs w:val="21"/>
        </w:rPr>
      </w:pPr>
    </w:p>
    <w:p>
      <w:pPr>
        <w:spacing w:line="360" w:lineRule="auto"/>
        <w:rPr>
          <w:rFonts w:cs="宋体" w:asciiTheme="majorEastAsia" w:hAnsiTheme="majorEastAsia" w:eastAsiaTheme="majorEastAsia"/>
          <w:szCs w:val="21"/>
        </w:rPr>
      </w:pPr>
    </w:p>
    <w:p>
      <w:pPr>
        <w:spacing w:line="360" w:lineRule="auto"/>
        <w:rPr>
          <w:rFonts w:cs="宋体" w:asciiTheme="majorEastAsia" w:hAnsiTheme="majorEastAsia" w:eastAsiaTheme="majorEastAsia"/>
          <w:szCs w:val="21"/>
        </w:rPr>
      </w:pPr>
    </w:p>
    <w:p>
      <w:pPr>
        <w:spacing w:line="360" w:lineRule="auto"/>
        <w:rPr>
          <w:rFonts w:cs="宋体" w:asciiTheme="majorEastAsia" w:hAnsiTheme="majorEastAsia" w:eastAsiaTheme="majorEastAsia"/>
          <w:szCs w:val="21"/>
        </w:rPr>
      </w:pPr>
    </w:p>
    <w:p>
      <w:pPr>
        <w:widowControl/>
        <w:spacing w:line="360" w:lineRule="auto"/>
        <w:rPr>
          <w:rFonts w:cs="宋体" w:asciiTheme="majorEastAsia" w:hAnsiTheme="majorEastAsia" w:eastAsiaTheme="majorEastAsia"/>
          <w:szCs w:val="21"/>
        </w:rPr>
      </w:pPr>
    </w:p>
    <w:p>
      <w:pPr>
        <w:widowControl/>
        <w:spacing w:line="360" w:lineRule="auto"/>
        <w:rPr>
          <w:rFonts w:cs="宋体" w:asciiTheme="majorEastAsia" w:hAnsiTheme="majorEastAsia" w:eastAsiaTheme="majorEastAsia"/>
          <w:szCs w:val="21"/>
        </w:rPr>
      </w:pPr>
    </w:p>
    <w:p>
      <w:pPr>
        <w:widowControl/>
        <w:spacing w:line="360" w:lineRule="auto"/>
        <w:rPr>
          <w:rFonts w:cs="宋体" w:asciiTheme="majorEastAsia" w:hAnsiTheme="majorEastAsia" w:eastAsiaTheme="majorEastAsia"/>
          <w:szCs w:val="21"/>
        </w:rPr>
      </w:pPr>
    </w:p>
    <w:p>
      <w:pPr>
        <w:widowControl/>
        <w:spacing w:line="360" w:lineRule="auto"/>
        <w:rPr>
          <w:rFonts w:cs="宋体" w:asciiTheme="majorEastAsia" w:hAnsiTheme="majorEastAsia" w:eastAsiaTheme="majorEastAsia"/>
          <w:szCs w:val="21"/>
        </w:rPr>
        <w:sectPr>
          <w:pgSz w:w="11906" w:h="16838"/>
          <w:pgMar w:top="1440" w:right="1700" w:bottom="1440" w:left="1800" w:header="851" w:footer="992" w:gutter="0"/>
          <w:cols w:space="425" w:num="1"/>
          <w:docGrid w:type="lines" w:linePitch="312" w:charSpace="0"/>
        </w:sectPr>
      </w:pPr>
    </w:p>
    <w:p>
      <w:pPr>
        <w:spacing w:line="360" w:lineRule="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附表3：              </w:t>
      </w:r>
    </w:p>
    <w:p>
      <w:pPr>
        <w:spacing w:line="360" w:lineRule="auto"/>
        <w:ind w:left="-19" w:leftChars="-67" w:hanging="122" w:hangingChars="58"/>
        <w:jc w:val="center"/>
        <w:rPr>
          <w:rFonts w:cs="Times New Roman" w:asciiTheme="majorEastAsia" w:hAnsiTheme="majorEastAsia" w:eastAsiaTheme="majorEastAsia"/>
          <w:b/>
          <w:szCs w:val="21"/>
        </w:rPr>
      </w:pPr>
      <w:r>
        <w:rPr>
          <w:rFonts w:hint="eastAsia" w:cs="Times New Roman" w:asciiTheme="majorEastAsia" w:hAnsiTheme="majorEastAsia" w:eastAsiaTheme="majorEastAsia"/>
          <w:b/>
          <w:szCs w:val="21"/>
        </w:rPr>
        <w:t>工作联系单</w:t>
      </w:r>
    </w:p>
    <w:tbl>
      <w:tblPr>
        <w:tblStyle w:val="46"/>
        <w:tblpPr w:leftFromText="180" w:rightFromText="180" w:vertAnchor="page" w:horzAnchor="margin" w:tblpXSpec="center" w:tblpY="28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632"/>
        <w:gridCol w:w="1301"/>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0"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通知单号</w:t>
            </w:r>
          </w:p>
        </w:tc>
        <w:tc>
          <w:tcPr>
            <w:tcW w:w="2632"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例：2</w:t>
            </w:r>
            <w:r>
              <w:rPr>
                <w:rFonts w:cs="Times New Roman" w:asciiTheme="majorEastAsia" w:hAnsiTheme="majorEastAsia" w:eastAsiaTheme="majorEastAsia"/>
                <w:szCs w:val="21"/>
              </w:rPr>
              <w:t>022-01-01</w:t>
            </w:r>
          </w:p>
        </w:tc>
        <w:tc>
          <w:tcPr>
            <w:tcW w:w="1301"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甲方负责人</w:t>
            </w:r>
          </w:p>
        </w:tc>
        <w:tc>
          <w:tcPr>
            <w:tcW w:w="3119" w:type="dxa"/>
            <w:shd w:val="clear" w:color="auto" w:fill="auto"/>
            <w:vAlign w:val="center"/>
          </w:tcPr>
          <w:p>
            <w:pPr>
              <w:spacing w:line="360" w:lineRule="auto"/>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0"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ascii="宋体" w:hAnsi="宋体"/>
              </w:rPr>
              <w:t>服务商名称</w:t>
            </w:r>
          </w:p>
        </w:tc>
        <w:tc>
          <w:tcPr>
            <w:tcW w:w="2632" w:type="dxa"/>
            <w:shd w:val="clear" w:color="auto" w:fill="auto"/>
            <w:vAlign w:val="center"/>
          </w:tcPr>
          <w:p>
            <w:pPr>
              <w:spacing w:line="360" w:lineRule="auto"/>
              <w:jc w:val="center"/>
              <w:rPr>
                <w:rFonts w:cs="Times New Roman" w:asciiTheme="majorEastAsia" w:hAnsiTheme="majorEastAsia" w:eastAsiaTheme="majorEastAsia"/>
                <w:szCs w:val="21"/>
              </w:rPr>
            </w:pPr>
          </w:p>
        </w:tc>
        <w:tc>
          <w:tcPr>
            <w:tcW w:w="1301"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乙方负责人</w:t>
            </w:r>
          </w:p>
        </w:tc>
        <w:tc>
          <w:tcPr>
            <w:tcW w:w="3119" w:type="dxa"/>
            <w:shd w:val="clear" w:color="auto" w:fill="auto"/>
            <w:vAlign w:val="center"/>
          </w:tcPr>
          <w:p>
            <w:pPr>
              <w:spacing w:line="360" w:lineRule="auto"/>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0"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服务内容</w:t>
            </w:r>
          </w:p>
        </w:tc>
        <w:tc>
          <w:tcPr>
            <w:tcW w:w="7052" w:type="dxa"/>
            <w:gridSpan w:val="3"/>
            <w:shd w:val="clear" w:color="auto" w:fill="auto"/>
            <w:vAlign w:val="center"/>
          </w:tcPr>
          <w:p>
            <w:pPr>
              <w:spacing w:line="360" w:lineRule="auto"/>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0"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服务地点</w:t>
            </w:r>
          </w:p>
        </w:tc>
        <w:tc>
          <w:tcPr>
            <w:tcW w:w="7052" w:type="dxa"/>
            <w:gridSpan w:val="3"/>
            <w:shd w:val="clear" w:color="auto" w:fill="auto"/>
            <w:vAlign w:val="center"/>
          </w:tcPr>
          <w:p>
            <w:pPr>
              <w:spacing w:line="360" w:lineRule="auto"/>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420" w:type="dxa"/>
            <w:vMerge w:val="restart"/>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任务描述</w:t>
            </w:r>
          </w:p>
        </w:tc>
        <w:tc>
          <w:tcPr>
            <w:tcW w:w="7052" w:type="dxa"/>
            <w:gridSpan w:val="3"/>
            <w:shd w:val="clear" w:color="auto" w:fill="auto"/>
            <w:vAlign w:val="center"/>
          </w:tcPr>
          <w:p>
            <w:pPr>
              <w:spacing w:line="360" w:lineRule="auto"/>
              <w:jc w:val="left"/>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20" w:type="dxa"/>
            <w:vMerge w:val="continue"/>
            <w:shd w:val="clear" w:color="auto" w:fill="auto"/>
            <w:vAlign w:val="center"/>
          </w:tcPr>
          <w:p>
            <w:pPr>
              <w:spacing w:line="360" w:lineRule="auto"/>
              <w:jc w:val="center"/>
              <w:rPr>
                <w:rFonts w:cs="Times New Roman" w:asciiTheme="majorEastAsia" w:hAnsiTheme="majorEastAsia" w:eastAsiaTheme="majorEastAsia"/>
                <w:szCs w:val="21"/>
              </w:rPr>
            </w:pPr>
          </w:p>
        </w:tc>
        <w:tc>
          <w:tcPr>
            <w:tcW w:w="7052" w:type="dxa"/>
            <w:gridSpan w:val="3"/>
            <w:shd w:val="clear" w:color="auto" w:fill="auto"/>
            <w:vAlign w:val="center"/>
          </w:tcPr>
          <w:p>
            <w:pPr>
              <w:spacing w:line="360" w:lineRule="auto"/>
              <w:jc w:val="left"/>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计划完成标准：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420" w:type="dxa"/>
            <w:vMerge w:val="restart"/>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执行情况</w:t>
            </w:r>
          </w:p>
        </w:tc>
        <w:tc>
          <w:tcPr>
            <w:tcW w:w="7052" w:type="dxa"/>
            <w:gridSpan w:val="3"/>
            <w:shd w:val="clear" w:color="auto" w:fill="auto"/>
            <w:vAlign w:val="center"/>
          </w:tcPr>
          <w:p>
            <w:pPr>
              <w:spacing w:line="360" w:lineRule="auto"/>
              <w:jc w:val="left"/>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实际完成时间：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420" w:type="dxa"/>
            <w:vMerge w:val="continue"/>
            <w:shd w:val="clear" w:color="auto" w:fill="auto"/>
            <w:vAlign w:val="center"/>
          </w:tcPr>
          <w:p>
            <w:pPr>
              <w:spacing w:line="360" w:lineRule="auto"/>
              <w:jc w:val="center"/>
              <w:rPr>
                <w:rFonts w:cs="Times New Roman" w:asciiTheme="majorEastAsia" w:hAnsiTheme="majorEastAsia" w:eastAsiaTheme="majorEastAsia"/>
                <w:szCs w:val="21"/>
              </w:rPr>
            </w:pPr>
          </w:p>
        </w:tc>
        <w:tc>
          <w:tcPr>
            <w:tcW w:w="7052" w:type="dxa"/>
            <w:gridSpan w:val="3"/>
            <w:shd w:val="clear" w:color="auto" w:fill="auto"/>
            <w:vAlign w:val="center"/>
          </w:tcPr>
          <w:p>
            <w:pPr>
              <w:spacing w:line="360" w:lineRule="auto"/>
              <w:jc w:val="left"/>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实际完成标准：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420"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处理结果</w:t>
            </w:r>
          </w:p>
        </w:tc>
        <w:tc>
          <w:tcPr>
            <w:tcW w:w="7052" w:type="dxa"/>
            <w:gridSpan w:val="3"/>
            <w:shd w:val="clear" w:color="auto" w:fill="auto"/>
            <w:vAlign w:val="center"/>
          </w:tcPr>
          <w:p>
            <w:pPr>
              <w:spacing w:line="360" w:lineRule="auto"/>
              <w:jc w:val="left"/>
              <w:rPr>
                <w:rFonts w:cs="Times New Roman" w:asciiTheme="majorEastAsia" w:hAnsiTheme="majorEastAsia" w:eastAsiaTheme="majorEastAsia"/>
                <w:szCs w:val="21"/>
              </w:rPr>
            </w:pPr>
          </w:p>
        </w:tc>
      </w:tr>
    </w:tbl>
    <w:p>
      <w:pPr>
        <w:widowControl/>
        <w:spacing w:line="360" w:lineRule="auto"/>
        <w:jc w:val="left"/>
        <w:rPr>
          <w:rFonts w:cs="Times New Roman" w:asciiTheme="majorEastAsia" w:hAnsiTheme="majorEastAsia" w:eastAsiaTheme="majorEastAsia"/>
          <w:szCs w:val="21"/>
        </w:rPr>
      </w:pPr>
    </w:p>
    <w:p>
      <w:pPr>
        <w:spacing w:line="360" w:lineRule="auto"/>
        <w:rPr>
          <w:rFonts w:cs="Times New Roman" w:asciiTheme="majorEastAsia" w:hAnsiTheme="majorEastAsia" w:eastAsiaTheme="majorEastAsia"/>
          <w:szCs w:val="21"/>
        </w:rPr>
        <w:sectPr>
          <w:pgSz w:w="11906" w:h="16838"/>
          <w:pgMar w:top="1440" w:right="1700" w:bottom="1440" w:left="1800" w:header="851" w:footer="992" w:gutter="0"/>
          <w:cols w:space="425" w:num="1"/>
          <w:docGrid w:type="lines" w:linePitch="312" w:charSpace="0"/>
        </w:sectPr>
      </w:pPr>
    </w:p>
    <w:p>
      <w:pPr>
        <w:spacing w:line="360" w:lineRule="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附表4:</w:t>
      </w:r>
    </w:p>
    <w:tbl>
      <w:tblPr>
        <w:tblStyle w:val="46"/>
        <w:tblW w:w="4998" w:type="pct"/>
        <w:jc w:val="center"/>
        <w:tblLayout w:type="fixed"/>
        <w:tblCellMar>
          <w:top w:w="0" w:type="dxa"/>
          <w:left w:w="108" w:type="dxa"/>
          <w:bottom w:w="0" w:type="dxa"/>
          <w:right w:w="108" w:type="dxa"/>
        </w:tblCellMar>
      </w:tblPr>
      <w:tblGrid>
        <w:gridCol w:w="4492"/>
        <w:gridCol w:w="3444"/>
        <w:gridCol w:w="683"/>
      </w:tblGrid>
      <w:tr>
        <w:tblPrEx>
          <w:tblCellMar>
            <w:top w:w="0" w:type="dxa"/>
            <w:left w:w="108" w:type="dxa"/>
            <w:bottom w:w="0" w:type="dxa"/>
            <w:right w:w="108" w:type="dxa"/>
          </w:tblCellMar>
        </w:tblPrEx>
        <w:trPr>
          <w:trHeight w:val="469" w:hRule="atLeast"/>
          <w:jc w:val="center"/>
        </w:trPr>
        <w:tc>
          <w:tcPr>
            <w:tcW w:w="5000" w:type="pct"/>
            <w:gridSpan w:val="3"/>
            <w:tcBorders>
              <w:top w:val="nil"/>
              <w:left w:val="nil"/>
              <w:bottom w:val="single" w:color="auto" w:sz="4" w:space="0"/>
              <w:right w:val="nil"/>
            </w:tcBorders>
            <w:shd w:val="clear" w:color="auto" w:fill="auto"/>
            <w:noWrap/>
            <w:vAlign w:val="center"/>
          </w:tcPr>
          <w:p>
            <w:pPr>
              <w:widowControl/>
              <w:spacing w:line="360" w:lineRule="auto"/>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月浦基地综合服务满意度调查表</w:t>
            </w:r>
          </w:p>
        </w:tc>
      </w:tr>
      <w:tr>
        <w:tblPrEx>
          <w:tblCellMar>
            <w:top w:w="0" w:type="dxa"/>
            <w:left w:w="108" w:type="dxa"/>
            <w:bottom w:w="0" w:type="dxa"/>
            <w:right w:w="108" w:type="dxa"/>
          </w:tblCellMar>
        </w:tblPrEx>
        <w:trPr>
          <w:trHeight w:val="1915"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尊敬的入驻单位：</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   为了提高月浦基地的综合服务和管理水平，更好地为您提供优质满意的服务，请您在百忙之中为我们的各项工作进行评分。谢谢您的支持！</w:t>
            </w:r>
          </w:p>
        </w:tc>
      </w:tr>
      <w:tr>
        <w:tblPrEx>
          <w:tblCellMar>
            <w:top w:w="0" w:type="dxa"/>
            <w:left w:w="108" w:type="dxa"/>
            <w:bottom w:w="0" w:type="dxa"/>
            <w:right w:w="108" w:type="dxa"/>
          </w:tblCellMar>
        </w:tblPrEx>
        <w:trPr>
          <w:trHeight w:val="675" w:hRule="atLeast"/>
          <w:jc w:val="center"/>
        </w:trPr>
        <w:tc>
          <w:tcPr>
            <w:tcW w:w="26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入驻单位名称：     </w:t>
            </w:r>
          </w:p>
        </w:tc>
        <w:tc>
          <w:tcPr>
            <w:tcW w:w="239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签名：</w:t>
            </w:r>
          </w:p>
        </w:tc>
      </w:tr>
      <w:tr>
        <w:tblPrEx>
          <w:tblCellMar>
            <w:top w:w="0" w:type="dxa"/>
            <w:left w:w="108" w:type="dxa"/>
            <w:bottom w:w="0" w:type="dxa"/>
            <w:right w:w="108" w:type="dxa"/>
          </w:tblCellMar>
        </w:tblPrEx>
        <w:trPr>
          <w:trHeight w:val="666" w:hRule="atLeast"/>
          <w:jc w:val="center"/>
        </w:trPr>
        <w:tc>
          <w:tcPr>
            <w:tcW w:w="26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服务项</w:t>
            </w:r>
          </w:p>
        </w:tc>
        <w:tc>
          <w:tcPr>
            <w:tcW w:w="1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服务满意度</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评分</w:t>
            </w:r>
          </w:p>
        </w:tc>
      </w:tr>
      <w:tr>
        <w:tblPrEx>
          <w:tblCellMar>
            <w:top w:w="0" w:type="dxa"/>
            <w:left w:w="108" w:type="dxa"/>
            <w:bottom w:w="0" w:type="dxa"/>
            <w:right w:w="108" w:type="dxa"/>
          </w:tblCellMar>
        </w:tblPrEx>
        <w:trPr>
          <w:trHeight w:val="479"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一、管理服务类</w:t>
            </w:r>
          </w:p>
        </w:tc>
      </w:tr>
      <w:tr>
        <w:tblPrEx>
          <w:tblCellMar>
            <w:top w:w="0" w:type="dxa"/>
            <w:left w:w="108" w:type="dxa"/>
            <w:bottom w:w="0" w:type="dxa"/>
            <w:right w:w="108" w:type="dxa"/>
          </w:tblCellMar>
        </w:tblPrEx>
        <w:trPr>
          <w:trHeight w:val="480"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1、服务人员的仪容仪表、行为规范、服务态度</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2、现场协调与解决问题能力</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二、安全服务类</w:t>
            </w: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1、园区秩序与安全保障</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2、机动车、非机动车管理</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三、卫生绿化服务类</w:t>
            </w: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1、园区公共区域卫生</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2、园区绿化与休闲</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四、工程维修类</w:t>
            </w: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1、工程维修质量</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2、维修处理及时性</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2175"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noWrap/>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其他意见与建议：</w:t>
            </w:r>
          </w:p>
          <w:p>
            <w:pPr>
              <w:widowControl/>
              <w:spacing w:line="360" w:lineRule="auto"/>
              <w:jc w:val="left"/>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729"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after="240" w:line="360" w:lineRule="auto"/>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再次感谢您对月浦基地管理工作的支持和理解！</w:t>
            </w:r>
          </w:p>
        </w:tc>
      </w:tr>
    </w:tbl>
    <w:p>
      <w:pPr>
        <w:spacing w:line="360" w:lineRule="auto"/>
        <w:rPr>
          <w:rFonts w:cs="Times New Roman" w:asciiTheme="majorEastAsia" w:hAnsiTheme="majorEastAsia" w:eastAsiaTheme="majorEastAsia"/>
          <w:szCs w:val="21"/>
        </w:rPr>
        <w:sectPr>
          <w:pgSz w:w="11906" w:h="16838"/>
          <w:pgMar w:top="1440" w:right="1700" w:bottom="1440" w:left="1800" w:header="851" w:footer="992" w:gutter="0"/>
          <w:cols w:space="425" w:num="1"/>
          <w:docGrid w:type="lines" w:linePitch="312" w:charSpace="0"/>
        </w:sectPr>
      </w:pPr>
    </w:p>
    <w:p>
      <w:pPr>
        <w:pageBreakBefore/>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附表5： </w:t>
      </w:r>
    </w:p>
    <w:p>
      <w:pPr>
        <w:widowControl/>
        <w:jc w:val="center"/>
        <w:rPr>
          <w:rFonts w:cs="Times New Roman" w:asciiTheme="majorEastAsia" w:hAnsiTheme="majorEastAsia" w:eastAsiaTheme="majorEastAsia"/>
          <w:b/>
          <w:szCs w:val="21"/>
        </w:rPr>
      </w:pPr>
      <w:r>
        <w:rPr>
          <w:rFonts w:hint="eastAsia" w:cs="Times New Roman" w:asciiTheme="majorEastAsia" w:hAnsiTheme="majorEastAsia" w:eastAsiaTheme="majorEastAsia"/>
          <w:b/>
          <w:szCs w:val="21"/>
        </w:rPr>
        <w:t>工作检查及验收表</w:t>
      </w:r>
    </w:p>
    <w:p>
      <w:pPr>
        <w:tabs>
          <w:tab w:val="left" w:pos="5580"/>
        </w:tabs>
        <w:ind w:right="720"/>
        <w:jc w:val="right"/>
        <w:rPr>
          <w:rFonts w:cs="Times New Roman" w:asciiTheme="majorEastAsia" w:hAnsiTheme="majorEastAsia" w:eastAsiaTheme="majorEastAsia"/>
          <w:szCs w:val="21"/>
        </w:rPr>
      </w:pPr>
    </w:p>
    <w:p>
      <w:pPr>
        <w:tabs>
          <w:tab w:val="left" w:pos="5580"/>
        </w:tabs>
        <w:ind w:right="720"/>
        <w:jc w:val="right"/>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年 月 日</w:t>
      </w:r>
    </w:p>
    <w:tbl>
      <w:tblPr>
        <w:tblStyle w:val="4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74"/>
        <w:gridCol w:w="1766"/>
        <w:gridCol w:w="2840"/>
        <w:gridCol w:w="28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jc w:val="center"/>
        </w:trPr>
        <w:tc>
          <w:tcPr>
            <w:tcW w:w="2840" w:type="dxa"/>
            <w:gridSpan w:val="2"/>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合同执行部门</w:t>
            </w:r>
          </w:p>
        </w:tc>
        <w:tc>
          <w:tcPr>
            <w:tcW w:w="2840"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合同编号</w:t>
            </w:r>
          </w:p>
        </w:tc>
        <w:tc>
          <w:tcPr>
            <w:tcW w:w="2840"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合同名称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2840" w:type="dxa"/>
            <w:gridSpan w:val="2"/>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综合服务管理部</w:t>
            </w:r>
          </w:p>
        </w:tc>
        <w:tc>
          <w:tcPr>
            <w:tcW w:w="2840" w:type="dxa"/>
            <w:vAlign w:val="center"/>
          </w:tcPr>
          <w:p>
            <w:pPr>
              <w:jc w:val="center"/>
              <w:rPr>
                <w:rFonts w:cs="Times New Roman" w:asciiTheme="majorEastAsia" w:hAnsiTheme="majorEastAsia" w:eastAsiaTheme="majorEastAsia"/>
                <w:szCs w:val="21"/>
              </w:rPr>
            </w:pPr>
          </w:p>
        </w:tc>
        <w:tc>
          <w:tcPr>
            <w:tcW w:w="2840" w:type="dxa"/>
            <w:vAlign w:val="center"/>
          </w:tcPr>
          <w:p>
            <w:pPr>
              <w:jc w:val="center"/>
              <w:rPr>
                <w:rFonts w:cs="Times New Roman" w:asciiTheme="majorEastAsia" w:hAnsiTheme="majorEastAsia" w:eastAsiaTheme="maj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jc w:val="center"/>
        </w:trPr>
        <w:tc>
          <w:tcPr>
            <w:tcW w:w="8520" w:type="dxa"/>
            <w:gridSpan w:val="4"/>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履行情况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jc w:val="center"/>
        </w:trPr>
        <w:tc>
          <w:tcPr>
            <w:tcW w:w="1074"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进度</w:t>
            </w:r>
          </w:p>
        </w:tc>
        <w:tc>
          <w:tcPr>
            <w:tcW w:w="7446" w:type="dxa"/>
            <w:gridSpan w:val="3"/>
          </w:tcPr>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jc w:val="center"/>
        </w:trPr>
        <w:tc>
          <w:tcPr>
            <w:tcW w:w="1074"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技术实力</w:t>
            </w:r>
          </w:p>
        </w:tc>
        <w:tc>
          <w:tcPr>
            <w:tcW w:w="7446" w:type="dxa"/>
            <w:gridSpan w:val="3"/>
          </w:tcPr>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jc w:val="center"/>
        </w:trPr>
        <w:tc>
          <w:tcPr>
            <w:tcW w:w="1074"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工作质量</w:t>
            </w:r>
          </w:p>
        </w:tc>
        <w:tc>
          <w:tcPr>
            <w:tcW w:w="7446" w:type="dxa"/>
            <w:gridSpan w:val="3"/>
          </w:tcPr>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jc w:val="center"/>
        </w:trPr>
        <w:tc>
          <w:tcPr>
            <w:tcW w:w="1074"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合作态度</w:t>
            </w:r>
          </w:p>
        </w:tc>
        <w:tc>
          <w:tcPr>
            <w:tcW w:w="7446" w:type="dxa"/>
            <w:gridSpan w:val="3"/>
          </w:tcPr>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jc w:val="center"/>
        </w:trPr>
        <w:tc>
          <w:tcPr>
            <w:tcW w:w="1074"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合同变更原因及</w:t>
            </w:r>
          </w:p>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合理性</w:t>
            </w:r>
          </w:p>
        </w:tc>
        <w:tc>
          <w:tcPr>
            <w:tcW w:w="7446" w:type="dxa"/>
            <w:gridSpan w:val="3"/>
          </w:tcPr>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8" w:hRule="atLeast"/>
          <w:jc w:val="center"/>
        </w:trPr>
        <w:tc>
          <w:tcPr>
            <w:tcW w:w="1074"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合同条款存在问题</w:t>
            </w:r>
          </w:p>
        </w:tc>
        <w:tc>
          <w:tcPr>
            <w:tcW w:w="7446" w:type="dxa"/>
            <w:gridSpan w:val="3"/>
          </w:tcPr>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p>
        </w:tc>
      </w:tr>
    </w:tbl>
    <w:p>
      <w:pPr>
        <w:rPr>
          <w:rFonts w:cs="Times New Roman" w:asciiTheme="majorEastAsia" w:hAnsiTheme="majorEastAsia" w:eastAsiaTheme="majorEastAsia"/>
          <w:szCs w:val="21"/>
        </w:rPr>
      </w:pPr>
    </w:p>
    <w:p>
      <w:pPr>
        <w:ind w:firstLine="420" w:firstLineChars="200"/>
        <w:rPr>
          <w:rFonts w:cs="Times New Roman" w:asciiTheme="majorEastAsia" w:hAnsiTheme="majorEastAsia" w:eastAsiaTheme="majorEastAsia"/>
          <w:szCs w:val="21"/>
        </w:rPr>
      </w:pPr>
    </w:p>
    <w:p>
      <w:pPr>
        <w:ind w:left="3825" w:firstLine="425"/>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验收签字：____________________</w:t>
      </w:r>
    </w:p>
    <w:p>
      <w:pPr>
        <w:rPr>
          <w:rFonts w:cs="Times New Roman" w:asciiTheme="majorEastAsia" w:hAnsiTheme="majorEastAsia" w:eastAsiaTheme="majorEastAsia"/>
          <w:szCs w:val="21"/>
        </w:rPr>
      </w:pPr>
    </w:p>
    <w:p>
      <w:pP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注：本表作为每月付款的支持材料。</w:t>
      </w:r>
    </w:p>
    <w:bookmarkEnd w:id="150"/>
    <w:bookmarkEnd w:id="151"/>
    <w:bookmarkEnd w:id="152"/>
    <w:p>
      <w:pPr>
        <w:pStyle w:val="2"/>
        <w:rPr>
          <w:szCs w:val="24"/>
        </w:rPr>
        <w:sectPr>
          <w:pgSz w:w="11906" w:h="16838"/>
          <w:pgMar w:top="1440" w:right="1236" w:bottom="1440" w:left="1236" w:header="851" w:footer="992" w:gutter="0"/>
          <w:cols w:space="425" w:num="1"/>
          <w:docGrid w:type="lines" w:linePitch="312" w:charSpace="0"/>
        </w:sectPr>
      </w:pPr>
    </w:p>
    <w:p>
      <w:pPr>
        <w:pStyle w:val="253"/>
      </w:pPr>
      <w:bookmarkStart w:id="153" w:name="_Toc18434"/>
      <w:bookmarkStart w:id="154" w:name="_Toc21308"/>
      <w:bookmarkStart w:id="155" w:name="_Toc15238"/>
      <w:bookmarkStart w:id="156" w:name="_Toc30981"/>
      <w:bookmarkStart w:id="157" w:name="_Toc15832"/>
      <w:bookmarkStart w:id="158" w:name="_Toc8769"/>
      <w:bookmarkStart w:id="159" w:name="_Toc10869"/>
      <w:bookmarkStart w:id="160" w:name="_Toc31806"/>
      <w:bookmarkStart w:id="161" w:name="_Toc30583"/>
      <w:bookmarkStart w:id="162" w:name="_Toc25009"/>
      <w:bookmarkStart w:id="163" w:name="_Toc15808"/>
      <w:bookmarkStart w:id="164" w:name="_Toc421626577"/>
      <w:bookmarkStart w:id="165" w:name="_Toc152042580"/>
      <w:bookmarkStart w:id="166" w:name="_Toc152045791"/>
      <w:bookmarkStart w:id="167" w:name="_Toc357153001"/>
      <w:bookmarkStart w:id="168" w:name="_Toc144974860"/>
      <w:r>
        <w:rPr>
          <w:rFonts w:hint="eastAsia"/>
        </w:rPr>
        <w:t>应答文件内容及格式</w:t>
      </w:r>
      <w:bookmarkEnd w:id="153"/>
      <w:bookmarkEnd w:id="154"/>
      <w:bookmarkEnd w:id="155"/>
      <w:bookmarkEnd w:id="156"/>
      <w:bookmarkEnd w:id="157"/>
      <w:bookmarkEnd w:id="158"/>
      <w:bookmarkEnd w:id="159"/>
      <w:bookmarkEnd w:id="160"/>
      <w:bookmarkEnd w:id="161"/>
      <w:bookmarkEnd w:id="162"/>
      <w:bookmarkEnd w:id="163"/>
      <w:bookmarkEnd w:id="164"/>
    </w:p>
    <w:p>
      <w:pPr>
        <w:spacing w:line="360" w:lineRule="exact"/>
        <w:ind w:firstLine="451" w:firstLineChars="215"/>
        <w:rPr>
          <w:szCs w:val="21"/>
        </w:rPr>
      </w:pPr>
      <w:r>
        <w:rPr>
          <w:rFonts w:hint="eastAsia"/>
          <w:szCs w:val="21"/>
        </w:rPr>
        <w:t>投标人</w:t>
      </w:r>
      <w:r>
        <w:rPr>
          <w:szCs w:val="21"/>
        </w:rPr>
        <w:t>在编制商务文件、技术文件和价格文件时</w:t>
      </w:r>
      <w:r>
        <w:rPr>
          <w:rFonts w:hint="eastAsia"/>
          <w:szCs w:val="21"/>
        </w:rPr>
        <w:t>应提供和编制</w:t>
      </w:r>
      <w:r>
        <w:rPr>
          <w:szCs w:val="21"/>
        </w:rPr>
        <w:t>下述文件</w:t>
      </w:r>
      <w:r>
        <w:rPr>
          <w:rFonts w:hint="eastAsia"/>
          <w:szCs w:val="21"/>
        </w:rPr>
        <w:t>，并按第二章要求及本章附件格式进行整理排版、装订：</w:t>
      </w:r>
    </w:p>
    <w:p>
      <w:pPr>
        <w:pStyle w:val="254"/>
        <w:spacing w:before="156" w:line="480" w:lineRule="auto"/>
      </w:pPr>
      <w:bookmarkStart w:id="169" w:name="_Toc2101"/>
      <w:bookmarkStart w:id="170" w:name="_Toc22075"/>
      <w:bookmarkStart w:id="171" w:name="_Toc9919"/>
      <w:bookmarkStart w:id="172" w:name="_Toc11256"/>
      <w:bookmarkStart w:id="173" w:name="_Toc25817"/>
      <w:bookmarkStart w:id="174" w:name="_Toc23620"/>
      <w:bookmarkStart w:id="175" w:name="_Toc13548"/>
      <w:bookmarkStart w:id="176" w:name="_Toc421626578"/>
      <w:bookmarkStart w:id="177" w:name="_Toc13504"/>
      <w:bookmarkStart w:id="178" w:name="_Toc6503"/>
      <w:bookmarkStart w:id="179" w:name="_Toc22186"/>
      <w:bookmarkStart w:id="180" w:name="_Toc11208"/>
      <w:r>
        <w:rPr>
          <w:rFonts w:hint="eastAsia"/>
        </w:rPr>
        <w:t>商务文件内容及格式</w:t>
      </w:r>
      <w:bookmarkEnd w:id="169"/>
      <w:bookmarkEnd w:id="170"/>
      <w:bookmarkEnd w:id="171"/>
      <w:bookmarkEnd w:id="172"/>
      <w:bookmarkEnd w:id="173"/>
      <w:bookmarkEnd w:id="174"/>
      <w:bookmarkEnd w:id="175"/>
      <w:bookmarkEnd w:id="176"/>
      <w:bookmarkEnd w:id="177"/>
      <w:bookmarkEnd w:id="178"/>
      <w:bookmarkEnd w:id="179"/>
      <w:bookmarkEnd w:id="180"/>
    </w:p>
    <w:p>
      <w:pPr>
        <w:numPr>
          <w:ilvl w:val="0"/>
          <w:numId w:val="61"/>
        </w:numPr>
        <w:autoSpaceDE w:val="0"/>
        <w:autoSpaceDN w:val="0"/>
        <w:adjustRightInd w:val="0"/>
        <w:spacing w:afterLines="50" w:line="360" w:lineRule="exact"/>
        <w:ind w:left="629" w:hanging="629"/>
        <w:jc w:val="left"/>
        <w:rPr>
          <w:rFonts w:ascii="宋体" w:hAnsi="宋体"/>
        </w:rPr>
      </w:pPr>
      <w:r>
        <w:rPr>
          <w:rFonts w:hint="eastAsia" w:ascii="宋体" w:hAnsi="宋体"/>
        </w:rPr>
        <w:t>商务文件封面；</w:t>
      </w:r>
    </w:p>
    <w:p>
      <w:pPr>
        <w:numPr>
          <w:ilvl w:val="0"/>
          <w:numId w:val="61"/>
        </w:numPr>
        <w:autoSpaceDE w:val="0"/>
        <w:autoSpaceDN w:val="0"/>
        <w:adjustRightInd w:val="0"/>
        <w:spacing w:afterLines="50" w:line="360" w:lineRule="auto"/>
        <w:ind w:left="630" w:hanging="630"/>
        <w:jc w:val="left"/>
        <w:rPr>
          <w:rFonts w:ascii="宋体" w:hAnsi="宋体"/>
        </w:rPr>
      </w:pPr>
      <w:r>
        <w:rPr>
          <w:rFonts w:hint="eastAsia" w:ascii="宋体" w:hAnsi="宋体"/>
        </w:rPr>
        <w:t>投标人基本信息；</w:t>
      </w:r>
    </w:p>
    <w:p>
      <w:pPr>
        <w:numPr>
          <w:ilvl w:val="0"/>
          <w:numId w:val="61"/>
        </w:numPr>
        <w:autoSpaceDE w:val="0"/>
        <w:autoSpaceDN w:val="0"/>
        <w:adjustRightInd w:val="0"/>
        <w:spacing w:afterLines="50" w:line="360" w:lineRule="exact"/>
        <w:ind w:left="629" w:hanging="629"/>
        <w:jc w:val="left"/>
        <w:rPr>
          <w:rFonts w:ascii="宋体" w:hAnsi="宋体"/>
        </w:rPr>
      </w:pPr>
      <w:r>
        <w:rPr>
          <w:rFonts w:hint="eastAsia" w:ascii="宋体" w:hAnsi="宋体"/>
        </w:rPr>
        <w:t>法定代表人身份证明；</w:t>
      </w:r>
    </w:p>
    <w:p>
      <w:pPr>
        <w:numPr>
          <w:ilvl w:val="0"/>
          <w:numId w:val="61"/>
        </w:numPr>
        <w:autoSpaceDE w:val="0"/>
        <w:autoSpaceDN w:val="0"/>
        <w:adjustRightInd w:val="0"/>
        <w:spacing w:afterLines="50" w:line="360" w:lineRule="exact"/>
        <w:ind w:left="629" w:hanging="629"/>
        <w:jc w:val="left"/>
        <w:rPr>
          <w:rFonts w:ascii="宋体" w:hAnsi="宋体"/>
        </w:rPr>
      </w:pPr>
      <w:r>
        <w:rPr>
          <w:rFonts w:hint="eastAsia" w:ascii="宋体" w:hAnsi="宋体"/>
        </w:rPr>
        <w:t>授权委托书；</w:t>
      </w:r>
    </w:p>
    <w:p>
      <w:pPr>
        <w:numPr>
          <w:ilvl w:val="0"/>
          <w:numId w:val="61"/>
        </w:numPr>
        <w:autoSpaceDE w:val="0"/>
        <w:autoSpaceDN w:val="0"/>
        <w:adjustRightInd w:val="0"/>
        <w:spacing w:afterLines="50" w:line="360" w:lineRule="exact"/>
        <w:ind w:left="629" w:hanging="629"/>
        <w:jc w:val="left"/>
        <w:rPr>
          <w:rFonts w:ascii="宋体" w:hAnsi="宋体"/>
        </w:rPr>
      </w:pPr>
      <w:r>
        <w:rPr>
          <w:rFonts w:ascii="宋体" w:hAnsi="宋体"/>
        </w:rPr>
        <w:t>营业执照</w:t>
      </w:r>
      <w:r>
        <w:rPr>
          <w:rFonts w:hint="eastAsia" w:ascii="宋体" w:hAnsi="宋体"/>
        </w:rPr>
        <w:t>（</w:t>
      </w:r>
      <w:r>
        <w:rPr>
          <w:rFonts w:hint="eastAsia" w:ascii="宋体" w:hAnsi="宋体" w:eastAsia="宋体" w:cs="宋体"/>
          <w:szCs w:val="21"/>
        </w:rPr>
        <w:t>投标人应为中华人民共和国境内注册的独立法人单位，具有合法有效 的企业法人营业执照、税务登记证及组织机构代码证或证照合一的营业执照，并提供上述文件。</w:t>
      </w:r>
      <w:r>
        <w:rPr>
          <w:rFonts w:hint="eastAsia" w:ascii="宋体" w:hAnsi="宋体"/>
        </w:rPr>
        <w:t>）；</w:t>
      </w:r>
    </w:p>
    <w:p>
      <w:pPr>
        <w:numPr>
          <w:ilvl w:val="0"/>
          <w:numId w:val="61"/>
        </w:numPr>
        <w:autoSpaceDE w:val="0"/>
        <w:autoSpaceDN w:val="0"/>
        <w:adjustRightInd w:val="0"/>
        <w:spacing w:afterLines="50" w:line="360" w:lineRule="exact"/>
        <w:ind w:left="629" w:hanging="629"/>
        <w:jc w:val="left"/>
        <w:rPr>
          <w:rFonts w:ascii="宋体" w:hAnsi="宋体"/>
        </w:rPr>
      </w:pPr>
      <w:r>
        <w:rPr>
          <w:rFonts w:ascii="宋体" w:hAnsi="宋体"/>
        </w:rPr>
        <w:t>业绩</w:t>
      </w:r>
      <w:r>
        <w:rPr>
          <w:rFonts w:hint="eastAsia" w:ascii="宋体" w:hAnsi="宋体"/>
        </w:rPr>
        <w:t>（按</w:t>
      </w:r>
      <w:r>
        <w:rPr>
          <w:rFonts w:hint="eastAsia" w:ascii="宋体"/>
          <w:kern w:val="0"/>
          <w:szCs w:val="21"/>
        </w:rPr>
        <w:t>商务评议标准提供）</w:t>
      </w:r>
      <w:r>
        <w:rPr>
          <w:rFonts w:hint="eastAsia" w:ascii="宋体" w:hAnsi="宋体"/>
        </w:rPr>
        <w:t>；</w:t>
      </w:r>
    </w:p>
    <w:p>
      <w:pPr>
        <w:numPr>
          <w:ilvl w:val="0"/>
          <w:numId w:val="61"/>
        </w:numPr>
        <w:autoSpaceDE w:val="0"/>
        <w:autoSpaceDN w:val="0"/>
        <w:adjustRightInd w:val="0"/>
        <w:spacing w:afterLines="50" w:line="360" w:lineRule="exact"/>
        <w:ind w:left="629" w:hanging="629"/>
        <w:jc w:val="left"/>
        <w:rPr>
          <w:rFonts w:ascii="宋体" w:hAnsi="宋体"/>
        </w:rPr>
      </w:pPr>
      <w:r>
        <w:rPr>
          <w:rFonts w:ascii="宋体" w:hAnsi="宋体"/>
        </w:rPr>
        <w:t>企业信用及异常经营</w:t>
      </w:r>
      <w:r>
        <w:rPr>
          <w:rFonts w:hint="eastAsia" w:ascii="宋体" w:hAnsi="宋体"/>
        </w:rPr>
        <w:t>（按</w:t>
      </w:r>
      <w:r>
        <w:rPr>
          <w:rFonts w:hint="eastAsia" w:ascii="宋体"/>
          <w:kern w:val="0"/>
          <w:szCs w:val="21"/>
        </w:rPr>
        <w:t>商务评议标准提供）</w:t>
      </w:r>
      <w:r>
        <w:rPr>
          <w:rFonts w:hint="eastAsia" w:ascii="宋体" w:hAnsi="宋体"/>
        </w:rPr>
        <w:t>；</w:t>
      </w:r>
    </w:p>
    <w:p>
      <w:pPr>
        <w:numPr>
          <w:ilvl w:val="0"/>
          <w:numId w:val="61"/>
        </w:numPr>
        <w:autoSpaceDE w:val="0"/>
        <w:autoSpaceDN w:val="0"/>
        <w:adjustRightInd w:val="0"/>
        <w:spacing w:afterLines="50" w:line="360" w:lineRule="exact"/>
        <w:ind w:left="629" w:hanging="629"/>
        <w:jc w:val="left"/>
        <w:rPr>
          <w:rFonts w:ascii="宋体" w:hAnsi="宋体"/>
        </w:rPr>
      </w:pPr>
      <w:r>
        <w:rPr>
          <w:rFonts w:ascii="宋体" w:hAnsi="宋体"/>
        </w:rPr>
        <w:t>商务偏离</w:t>
      </w:r>
      <w:r>
        <w:rPr>
          <w:rFonts w:hint="eastAsia" w:ascii="宋体" w:hAnsi="宋体"/>
        </w:rPr>
        <w:t>；</w:t>
      </w:r>
    </w:p>
    <w:p>
      <w:pPr>
        <w:numPr>
          <w:ilvl w:val="0"/>
          <w:numId w:val="61"/>
        </w:numPr>
        <w:autoSpaceDE w:val="0"/>
        <w:autoSpaceDN w:val="0"/>
        <w:adjustRightInd w:val="0"/>
        <w:spacing w:afterLines="50" w:line="360" w:lineRule="exact"/>
        <w:ind w:left="629" w:hanging="629"/>
        <w:jc w:val="left"/>
        <w:rPr>
          <w:rFonts w:ascii="宋体" w:hAnsi="宋体"/>
          <w:sz w:val="22"/>
        </w:rPr>
      </w:pPr>
      <w:r>
        <w:rPr>
          <w:rFonts w:hint="eastAsia" w:ascii="宋体" w:hAnsi="宋体"/>
        </w:rPr>
        <w:t>其他商务</w:t>
      </w:r>
      <w:r>
        <w:rPr>
          <w:rFonts w:ascii="宋体" w:hAnsi="宋体"/>
        </w:rPr>
        <w:t>材料</w:t>
      </w:r>
      <w:r>
        <w:rPr>
          <w:rFonts w:hint="eastAsia" w:ascii="宋体" w:hAnsi="宋体"/>
        </w:rPr>
        <w:t>。</w:t>
      </w:r>
    </w:p>
    <w:p>
      <w:pPr>
        <w:pStyle w:val="254"/>
        <w:spacing w:before="156" w:line="480" w:lineRule="auto"/>
      </w:pPr>
      <w:bookmarkStart w:id="181" w:name="_Toc5382"/>
      <w:bookmarkStart w:id="182" w:name="_Toc13165"/>
      <w:bookmarkStart w:id="183" w:name="_Toc16611"/>
      <w:bookmarkStart w:id="184" w:name="_Toc32740"/>
      <w:bookmarkStart w:id="185" w:name="_Toc2770"/>
      <w:bookmarkStart w:id="186" w:name="_Toc421626579"/>
      <w:bookmarkStart w:id="187" w:name="_Toc20342"/>
      <w:bookmarkStart w:id="188" w:name="_Toc22462"/>
      <w:bookmarkStart w:id="189" w:name="_Toc7719"/>
      <w:bookmarkStart w:id="190" w:name="_Toc6874"/>
      <w:bookmarkStart w:id="191" w:name="_Toc11041"/>
      <w:bookmarkStart w:id="192" w:name="_Toc9798"/>
      <w:r>
        <w:rPr>
          <w:rFonts w:hint="eastAsia"/>
        </w:rPr>
        <w:t>技术文件内容及格式</w:t>
      </w:r>
      <w:bookmarkEnd w:id="181"/>
      <w:bookmarkEnd w:id="182"/>
      <w:bookmarkEnd w:id="183"/>
      <w:bookmarkEnd w:id="184"/>
      <w:bookmarkEnd w:id="185"/>
      <w:bookmarkEnd w:id="186"/>
      <w:bookmarkEnd w:id="187"/>
      <w:bookmarkEnd w:id="188"/>
      <w:bookmarkEnd w:id="189"/>
      <w:bookmarkEnd w:id="190"/>
      <w:bookmarkEnd w:id="191"/>
      <w:bookmarkEnd w:id="192"/>
    </w:p>
    <w:p>
      <w:pPr>
        <w:numPr>
          <w:ilvl w:val="0"/>
          <w:numId w:val="62"/>
        </w:numPr>
        <w:autoSpaceDE w:val="0"/>
        <w:autoSpaceDN w:val="0"/>
        <w:adjustRightInd w:val="0"/>
        <w:spacing w:afterLines="50" w:line="360" w:lineRule="exact"/>
        <w:ind w:left="630" w:hanging="630"/>
        <w:jc w:val="left"/>
        <w:rPr>
          <w:rFonts w:ascii="宋体" w:hAnsi="宋体"/>
        </w:rPr>
      </w:pPr>
      <w:r>
        <w:rPr>
          <w:rFonts w:hint="eastAsia" w:ascii="宋体" w:hAnsi="宋体"/>
        </w:rPr>
        <w:t>技术文件封面；</w:t>
      </w:r>
    </w:p>
    <w:p>
      <w:pPr>
        <w:numPr>
          <w:ilvl w:val="0"/>
          <w:numId w:val="62"/>
        </w:numPr>
        <w:autoSpaceDE w:val="0"/>
        <w:autoSpaceDN w:val="0"/>
        <w:adjustRightInd w:val="0"/>
        <w:spacing w:afterLines="50" w:line="360" w:lineRule="exact"/>
        <w:ind w:left="630" w:hanging="630"/>
        <w:jc w:val="left"/>
        <w:rPr>
          <w:rFonts w:ascii="宋体" w:hAnsi="宋体"/>
        </w:rPr>
      </w:pPr>
      <w:r>
        <w:rPr>
          <w:rFonts w:ascii="宋体" w:hAnsi="宋体"/>
        </w:rPr>
        <w:t>技术</w:t>
      </w:r>
      <w:r>
        <w:rPr>
          <w:rFonts w:hint="eastAsia" w:ascii="宋体" w:hAnsi="宋体"/>
        </w:rPr>
        <w:t>响应程度（是否充分响应（包括但不限于技术要求的材质、尺寸、规格、安装等）），详见第四章：工作内容及要求；</w:t>
      </w:r>
    </w:p>
    <w:p>
      <w:pPr>
        <w:numPr>
          <w:ilvl w:val="0"/>
          <w:numId w:val="62"/>
        </w:numPr>
        <w:autoSpaceDE w:val="0"/>
        <w:autoSpaceDN w:val="0"/>
        <w:adjustRightInd w:val="0"/>
        <w:spacing w:afterLines="50" w:line="360" w:lineRule="exact"/>
        <w:ind w:left="630" w:hanging="630"/>
        <w:jc w:val="left"/>
        <w:rPr>
          <w:rFonts w:ascii="宋体" w:hAnsi="宋体"/>
        </w:rPr>
      </w:pPr>
      <w:r>
        <w:rPr>
          <w:rFonts w:hint="eastAsia" w:ascii="宋体" w:hAnsi="宋体"/>
        </w:rPr>
        <w:t>技术差异；</w:t>
      </w:r>
    </w:p>
    <w:p>
      <w:pPr>
        <w:numPr>
          <w:ilvl w:val="0"/>
          <w:numId w:val="62"/>
        </w:numPr>
        <w:autoSpaceDE w:val="0"/>
        <w:autoSpaceDN w:val="0"/>
        <w:adjustRightInd w:val="0"/>
        <w:spacing w:afterLines="50" w:line="360" w:lineRule="exact"/>
        <w:ind w:left="630" w:hanging="630"/>
        <w:jc w:val="left"/>
        <w:rPr>
          <w:rFonts w:ascii="宋体" w:hAnsi="宋体"/>
        </w:rPr>
      </w:pPr>
      <w:r>
        <w:rPr>
          <w:rFonts w:hint="eastAsia" w:ascii="宋体" w:hAnsi="宋体"/>
        </w:rPr>
        <w:t>合理化建议。</w:t>
      </w:r>
    </w:p>
    <w:p>
      <w:pPr>
        <w:pStyle w:val="254"/>
        <w:spacing w:before="156" w:line="480" w:lineRule="auto"/>
      </w:pPr>
      <w:bookmarkStart w:id="193" w:name="_Toc12959614"/>
      <w:bookmarkEnd w:id="193"/>
      <w:bookmarkStart w:id="194" w:name="_Toc4283"/>
      <w:bookmarkStart w:id="195" w:name="_Toc3888"/>
      <w:bookmarkStart w:id="196" w:name="_Toc7060"/>
      <w:bookmarkStart w:id="197" w:name="_Toc14087"/>
      <w:bookmarkStart w:id="198" w:name="_Toc421626580"/>
      <w:bookmarkStart w:id="199" w:name="_Toc15757"/>
      <w:bookmarkStart w:id="200" w:name="_Toc7783"/>
      <w:bookmarkStart w:id="201" w:name="_Toc31163"/>
      <w:bookmarkStart w:id="202" w:name="_Toc28598"/>
      <w:bookmarkStart w:id="203" w:name="_Toc9567"/>
      <w:bookmarkStart w:id="204" w:name="_Toc15719"/>
      <w:bookmarkStart w:id="205" w:name="_Toc11904"/>
      <w:r>
        <w:rPr>
          <w:rFonts w:hint="eastAsia"/>
        </w:rPr>
        <w:t>价格文件内容及格式</w:t>
      </w:r>
      <w:bookmarkEnd w:id="194"/>
      <w:bookmarkEnd w:id="195"/>
      <w:bookmarkEnd w:id="196"/>
      <w:bookmarkEnd w:id="197"/>
      <w:bookmarkEnd w:id="198"/>
      <w:bookmarkEnd w:id="199"/>
      <w:bookmarkEnd w:id="200"/>
      <w:bookmarkEnd w:id="201"/>
      <w:bookmarkEnd w:id="202"/>
      <w:bookmarkEnd w:id="203"/>
      <w:bookmarkEnd w:id="204"/>
      <w:bookmarkEnd w:id="205"/>
    </w:p>
    <w:p>
      <w:pPr>
        <w:numPr>
          <w:ilvl w:val="0"/>
          <w:numId w:val="63"/>
        </w:numPr>
        <w:autoSpaceDE w:val="0"/>
        <w:autoSpaceDN w:val="0"/>
        <w:adjustRightInd w:val="0"/>
        <w:spacing w:afterLines="50" w:line="360" w:lineRule="exact"/>
        <w:ind w:left="630" w:hanging="630"/>
        <w:jc w:val="left"/>
        <w:rPr>
          <w:rFonts w:ascii="宋体" w:hAnsi="宋体"/>
        </w:rPr>
      </w:pPr>
      <w:r>
        <w:rPr>
          <w:rFonts w:hint="eastAsia" w:ascii="宋体" w:hAnsi="宋体"/>
        </w:rPr>
        <w:t>报价函；</w:t>
      </w:r>
    </w:p>
    <w:p>
      <w:pPr>
        <w:numPr>
          <w:ilvl w:val="0"/>
          <w:numId w:val="63"/>
        </w:numPr>
        <w:autoSpaceDE w:val="0"/>
        <w:autoSpaceDN w:val="0"/>
        <w:adjustRightInd w:val="0"/>
        <w:spacing w:afterLines="50" w:line="360" w:lineRule="exact"/>
        <w:ind w:left="630" w:hanging="630"/>
        <w:jc w:val="left"/>
        <w:rPr>
          <w:rFonts w:ascii="宋体" w:hAnsi="宋体"/>
        </w:rPr>
      </w:pPr>
      <w:r>
        <w:rPr>
          <w:rFonts w:hint="eastAsia" w:ascii="宋体" w:hAnsi="宋体"/>
        </w:rPr>
        <w:t>报价表</w:t>
      </w:r>
    </w:p>
    <w:p>
      <w:pPr>
        <w:spacing w:line="360" w:lineRule="auto"/>
        <w:ind w:right="18"/>
        <w:rPr>
          <w:b/>
        </w:rPr>
      </w:pPr>
    </w:p>
    <w:p>
      <w:pPr>
        <w:widowControl/>
        <w:jc w:val="left"/>
        <w:rPr>
          <w:b/>
        </w:rPr>
      </w:pPr>
      <w:r>
        <w:rPr>
          <w:b/>
        </w:rPr>
        <w:br w:type="page"/>
      </w:r>
    </w:p>
    <w:p>
      <w:pPr>
        <w:pStyle w:val="254"/>
        <w:spacing w:before="156" w:line="480" w:lineRule="auto"/>
        <w:rPr>
          <w:sz w:val="32"/>
          <w:szCs w:val="32"/>
        </w:rPr>
      </w:pPr>
      <w:bookmarkStart w:id="206" w:name="_Toc21732"/>
      <w:bookmarkStart w:id="207" w:name="_Toc7274"/>
      <w:bookmarkStart w:id="208" w:name="_Toc18088"/>
      <w:bookmarkStart w:id="209" w:name="_Toc13348"/>
      <w:bookmarkStart w:id="210" w:name="_Toc18470"/>
      <w:bookmarkStart w:id="211" w:name="_Toc10837"/>
      <w:bookmarkStart w:id="212" w:name="_Toc836"/>
      <w:r>
        <w:rPr>
          <w:rFonts w:hint="eastAsia"/>
          <w:sz w:val="32"/>
          <w:szCs w:val="32"/>
        </w:rPr>
        <w:t>应答商务文件格式</w:t>
      </w:r>
      <w:bookmarkEnd w:id="206"/>
      <w:bookmarkEnd w:id="207"/>
      <w:bookmarkEnd w:id="208"/>
      <w:bookmarkEnd w:id="209"/>
      <w:bookmarkEnd w:id="210"/>
      <w:bookmarkEnd w:id="211"/>
      <w:bookmarkEnd w:id="212"/>
    </w:p>
    <w:p>
      <w:pPr>
        <w:spacing w:line="360" w:lineRule="auto"/>
        <w:ind w:right="18"/>
        <w:jc w:val="center"/>
        <w:rPr>
          <w:b/>
        </w:rPr>
      </w:pPr>
      <w:r>
        <w:rPr>
          <w:rFonts w:hint="eastAsia"/>
          <w:b/>
          <w:sz w:val="32"/>
          <w:szCs w:val="32"/>
        </w:rPr>
        <w:t>中国海洋石油东海有限公司</w:t>
      </w:r>
    </w:p>
    <w:p>
      <w:pPr>
        <w:spacing w:line="360" w:lineRule="auto"/>
        <w:ind w:right="18" w:firstLine="2108" w:firstLineChars="1000"/>
        <w:rPr>
          <w:b/>
        </w:rPr>
      </w:pPr>
    </w:p>
    <w:p>
      <w:pPr>
        <w:ind w:right="18"/>
        <w:jc w:val="center"/>
        <w:rPr>
          <w:b/>
          <w:sz w:val="36"/>
          <w:szCs w:val="36"/>
        </w:rPr>
      </w:pPr>
      <w:r>
        <w:rPr>
          <w:rFonts w:hint="eastAsia"/>
          <w:b/>
          <w:sz w:val="36"/>
          <w:szCs w:val="36"/>
        </w:rPr>
        <w:t>月浦基地综合服务</w:t>
      </w:r>
    </w:p>
    <w:p>
      <w:pPr>
        <w:ind w:right="18"/>
        <w:jc w:val="center"/>
        <w:rPr>
          <w:b/>
          <w:sz w:val="36"/>
          <w:szCs w:val="36"/>
        </w:rPr>
      </w:pPr>
    </w:p>
    <w:p>
      <w:pPr>
        <w:pStyle w:val="6"/>
        <w:spacing w:before="0" w:after="0"/>
        <w:jc w:val="center"/>
        <w:rPr>
          <w:rFonts w:ascii="宋体" w:hAnsi="宋体"/>
          <w:sz w:val="72"/>
          <w:szCs w:val="72"/>
        </w:rPr>
      </w:pPr>
      <w:r>
        <w:rPr>
          <w:rFonts w:hint="eastAsia" w:ascii="宋体" w:hAnsi="宋体"/>
          <w:sz w:val="72"/>
          <w:szCs w:val="72"/>
        </w:rPr>
        <w:t>商务文件</w:t>
      </w:r>
    </w:p>
    <w:p>
      <w:pPr>
        <w:ind w:right="18"/>
      </w:pPr>
    </w:p>
    <w:p>
      <w:pPr>
        <w:ind w:right="18"/>
        <w:rPr>
          <w:b/>
          <w:bCs/>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spacing w:line="480" w:lineRule="auto"/>
        <w:ind w:right="18"/>
        <w:rPr>
          <w:rFonts w:ascii="宋体" w:hAnsi="宋体"/>
          <w:b/>
          <w:sz w:val="24"/>
        </w:rPr>
      </w:pPr>
    </w:p>
    <w:p>
      <w:pPr>
        <w:spacing w:line="480" w:lineRule="auto"/>
        <w:ind w:right="17"/>
        <w:jc w:val="center"/>
        <w:rPr>
          <w:rFonts w:ascii="宋体" w:hAnsi="宋体"/>
          <w:sz w:val="24"/>
          <w:u w:val="single"/>
        </w:rPr>
      </w:pPr>
      <w:r>
        <w:rPr>
          <w:rFonts w:hint="eastAsia" w:ascii="宋体" w:hAnsi="宋体"/>
          <w:sz w:val="24"/>
        </w:rPr>
        <w:t>投标人：</w:t>
      </w:r>
      <w:r>
        <w:rPr>
          <w:rFonts w:hint="eastAsia" w:ascii="仿宋_GB2312" w:hAnsi="宋体" w:eastAsia="仿宋_GB2312"/>
          <w:sz w:val="24"/>
          <w:szCs w:val="21"/>
          <w:u w:val="single"/>
        </w:rPr>
        <w:t>（全称、单位公章）</w:t>
      </w:r>
    </w:p>
    <w:p>
      <w:pPr>
        <w:spacing w:line="480" w:lineRule="auto"/>
        <w:ind w:right="17"/>
        <w:jc w:val="center"/>
        <w:rPr>
          <w:rFonts w:ascii="宋体" w:hAnsi="宋体"/>
          <w:sz w:val="24"/>
          <w:u w:val="single"/>
        </w:rPr>
      </w:pPr>
      <w:r>
        <w:rPr>
          <w:rFonts w:hint="eastAsia" w:ascii="宋体" w:hAnsi="宋体"/>
          <w:sz w:val="24"/>
        </w:rPr>
        <w:t>法定代表人或其授权代理人：</w:t>
      </w:r>
      <w:r>
        <w:rPr>
          <w:rFonts w:hint="eastAsia" w:ascii="仿宋_GB2312" w:hAnsi="宋体" w:eastAsia="仿宋_GB2312"/>
          <w:sz w:val="24"/>
          <w:szCs w:val="21"/>
          <w:u w:val="single"/>
        </w:rPr>
        <w:t>（签字）</w:t>
      </w:r>
    </w:p>
    <w:p>
      <w:pPr>
        <w:spacing w:line="480" w:lineRule="auto"/>
        <w:ind w:right="18"/>
        <w:jc w:val="center"/>
        <w:rPr>
          <w:rFonts w:ascii="宋体" w:hAnsi="宋体"/>
          <w:sz w:val="24"/>
        </w:rPr>
      </w:pPr>
      <w:r>
        <w:rPr>
          <w:rFonts w:hint="eastAsia" w:ascii="宋体" w:hAnsi="宋体"/>
          <w:sz w:val="24"/>
        </w:rPr>
        <w:t>日期：202*年**月**日</w:t>
      </w:r>
    </w:p>
    <w:p>
      <w:pPr>
        <w:spacing w:line="360" w:lineRule="auto"/>
        <w:ind w:left="568"/>
        <w:jc w:val="center"/>
        <w:rPr>
          <w:b/>
        </w:rPr>
      </w:pPr>
      <w:r>
        <w:br w:type="page"/>
      </w:r>
      <w:bookmarkStart w:id="213" w:name="_Toc241814868"/>
      <w:r>
        <w:rPr>
          <w:rFonts w:hint="eastAsia"/>
          <w:b/>
          <w:sz w:val="28"/>
        </w:rPr>
        <w:t>投标人基本信息</w:t>
      </w:r>
    </w:p>
    <w:tbl>
      <w:tblPr>
        <w:tblStyle w:val="46"/>
        <w:tblW w:w="7919"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897"/>
        <w:gridCol w:w="2259"/>
        <w:gridCol w:w="1142"/>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382" w:type="dxa"/>
            <w:vAlign w:val="center"/>
          </w:tcPr>
          <w:p>
            <w:pPr>
              <w:jc w:val="center"/>
            </w:pPr>
            <w:r>
              <w:rPr>
                <w:rFonts w:hint="eastAsia"/>
              </w:rPr>
              <w:t>单位名称</w:t>
            </w:r>
          </w:p>
        </w:tc>
        <w:tc>
          <w:tcPr>
            <w:tcW w:w="6537"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382" w:type="dxa"/>
            <w:vAlign w:val="center"/>
          </w:tcPr>
          <w:p>
            <w:pPr>
              <w:jc w:val="center"/>
            </w:pPr>
            <w:r>
              <w:rPr>
                <w:rFonts w:hint="eastAsia"/>
              </w:rPr>
              <w:t>注册地址</w:t>
            </w:r>
          </w:p>
        </w:tc>
        <w:tc>
          <w:tcPr>
            <w:tcW w:w="6537"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382" w:type="dxa"/>
            <w:vMerge w:val="restart"/>
            <w:vAlign w:val="center"/>
          </w:tcPr>
          <w:p>
            <w:pPr>
              <w:jc w:val="center"/>
            </w:pPr>
            <w:r>
              <w:rPr>
                <w:rFonts w:hint="eastAsia"/>
              </w:rPr>
              <w:t>联系方式</w:t>
            </w:r>
          </w:p>
        </w:tc>
        <w:tc>
          <w:tcPr>
            <w:tcW w:w="897" w:type="dxa"/>
            <w:vAlign w:val="center"/>
          </w:tcPr>
          <w:p>
            <w:pPr>
              <w:jc w:val="center"/>
            </w:pPr>
            <w:r>
              <w:rPr>
                <w:rFonts w:hint="eastAsia"/>
              </w:rPr>
              <w:t>邮 编</w:t>
            </w:r>
          </w:p>
        </w:tc>
        <w:tc>
          <w:tcPr>
            <w:tcW w:w="2259" w:type="dxa"/>
            <w:vAlign w:val="center"/>
          </w:tcPr>
          <w:p>
            <w:pPr>
              <w:jc w:val="center"/>
            </w:pPr>
          </w:p>
        </w:tc>
        <w:tc>
          <w:tcPr>
            <w:tcW w:w="1142" w:type="dxa"/>
            <w:vAlign w:val="center"/>
          </w:tcPr>
          <w:p>
            <w:pPr>
              <w:jc w:val="center"/>
            </w:pPr>
            <w:r>
              <w:rPr>
                <w:rFonts w:hint="eastAsia"/>
              </w:rPr>
              <w:t>传 真</w:t>
            </w:r>
          </w:p>
        </w:tc>
        <w:tc>
          <w:tcPr>
            <w:tcW w:w="223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382" w:type="dxa"/>
            <w:vMerge w:val="continue"/>
            <w:tcBorders>
              <w:bottom w:val="single" w:color="auto" w:sz="4" w:space="0"/>
            </w:tcBorders>
            <w:vAlign w:val="center"/>
          </w:tcPr>
          <w:p>
            <w:pPr>
              <w:jc w:val="center"/>
            </w:pPr>
          </w:p>
        </w:tc>
        <w:tc>
          <w:tcPr>
            <w:tcW w:w="897" w:type="dxa"/>
            <w:tcBorders>
              <w:bottom w:val="single" w:color="auto" w:sz="4" w:space="0"/>
            </w:tcBorders>
            <w:vAlign w:val="center"/>
          </w:tcPr>
          <w:p>
            <w:pPr>
              <w:jc w:val="center"/>
            </w:pPr>
            <w:r>
              <w:rPr>
                <w:rFonts w:hint="eastAsia"/>
              </w:rPr>
              <w:t>联系人</w:t>
            </w:r>
          </w:p>
        </w:tc>
        <w:tc>
          <w:tcPr>
            <w:tcW w:w="2259" w:type="dxa"/>
            <w:tcBorders>
              <w:bottom w:val="single" w:color="auto" w:sz="4" w:space="0"/>
            </w:tcBorders>
            <w:vAlign w:val="center"/>
          </w:tcPr>
          <w:p>
            <w:pPr>
              <w:jc w:val="center"/>
            </w:pPr>
          </w:p>
        </w:tc>
        <w:tc>
          <w:tcPr>
            <w:tcW w:w="1142" w:type="dxa"/>
            <w:tcBorders>
              <w:bottom w:val="single" w:color="auto" w:sz="4" w:space="0"/>
            </w:tcBorders>
            <w:vAlign w:val="center"/>
          </w:tcPr>
          <w:p>
            <w:pPr>
              <w:jc w:val="center"/>
            </w:pPr>
            <w:r>
              <w:rPr>
                <w:rFonts w:hint="eastAsia"/>
              </w:rPr>
              <w:t>电 话</w:t>
            </w:r>
          </w:p>
        </w:tc>
        <w:tc>
          <w:tcPr>
            <w:tcW w:w="2239" w:type="dxa"/>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8" w:hRule="atLeast"/>
        </w:trPr>
        <w:tc>
          <w:tcPr>
            <w:tcW w:w="1382" w:type="dxa"/>
            <w:tcBorders>
              <w:bottom w:val="single" w:color="auto" w:sz="4" w:space="0"/>
            </w:tcBorders>
            <w:vAlign w:val="center"/>
          </w:tcPr>
          <w:p>
            <w:pPr>
              <w:jc w:val="center"/>
            </w:pPr>
          </w:p>
          <w:p>
            <w:pPr>
              <w:jc w:val="center"/>
            </w:pPr>
          </w:p>
          <w:p>
            <w:pPr>
              <w:jc w:val="center"/>
            </w:pPr>
          </w:p>
          <w:p>
            <w:pPr>
              <w:jc w:val="center"/>
            </w:pPr>
          </w:p>
          <w:p>
            <w:pPr>
              <w:jc w:val="center"/>
            </w:pPr>
            <w:r>
              <w:t>单位简介</w:t>
            </w:r>
          </w:p>
          <w:p>
            <w:pPr>
              <w:jc w:val="center"/>
            </w:pPr>
          </w:p>
          <w:p>
            <w:pPr>
              <w:jc w:val="center"/>
            </w:pPr>
          </w:p>
          <w:p>
            <w:pPr>
              <w:jc w:val="center"/>
            </w:pPr>
          </w:p>
          <w:p>
            <w:pPr>
              <w:jc w:val="center"/>
            </w:pPr>
          </w:p>
          <w:p>
            <w:pPr>
              <w:jc w:val="center"/>
            </w:pPr>
          </w:p>
        </w:tc>
        <w:tc>
          <w:tcPr>
            <w:tcW w:w="6537" w:type="dxa"/>
            <w:gridSpan w:val="4"/>
            <w:tcBorders>
              <w:bottom w:val="single" w:color="auto" w:sz="4" w:space="0"/>
            </w:tcBorders>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tc>
      </w:tr>
    </w:tbl>
    <w:p>
      <w:pPr>
        <w:widowControl/>
        <w:rPr>
          <w:b/>
        </w:rPr>
      </w:pPr>
      <w:r>
        <w:rPr>
          <w:b/>
        </w:rPr>
        <w:br w:type="page"/>
      </w:r>
    </w:p>
    <w:p>
      <w:pPr>
        <w:pStyle w:val="123"/>
        <w:autoSpaceDE w:val="0"/>
        <w:autoSpaceDN w:val="0"/>
        <w:adjustRightInd w:val="0"/>
        <w:spacing w:afterLines="50" w:line="360" w:lineRule="auto"/>
        <w:ind w:firstLine="0" w:firstLineChars="0"/>
        <w:jc w:val="left"/>
        <w:rPr>
          <w:rFonts w:ascii="宋体" w:hAnsi="宋体"/>
        </w:rPr>
      </w:pPr>
      <w:bookmarkStart w:id="214" w:name="_Toc241814869"/>
    </w:p>
    <w:p>
      <w:pPr>
        <w:pStyle w:val="123"/>
        <w:spacing w:line="540" w:lineRule="exact"/>
        <w:ind w:right="466" w:rightChars="222" w:firstLine="0" w:firstLineChars="0"/>
        <w:jc w:val="center"/>
      </w:pPr>
      <w:r>
        <w:rPr>
          <w:rFonts w:hint="eastAsia" w:asciiTheme="minorEastAsia" w:hAnsiTheme="minorEastAsia"/>
          <w:b/>
          <w:sz w:val="28"/>
        </w:rPr>
        <w:t>法定代表人身份证明</w:t>
      </w:r>
    </w:p>
    <w:p>
      <w:pPr>
        <w:pStyle w:val="123"/>
        <w:spacing w:line="440" w:lineRule="exact"/>
        <w:ind w:right="466" w:rightChars="222" w:firstLine="0" w:firstLineChars="0"/>
        <w:rPr>
          <w:sz w:val="20"/>
          <w:szCs w:val="20"/>
        </w:rPr>
      </w:pPr>
    </w:p>
    <w:p>
      <w:pPr>
        <w:pStyle w:val="123"/>
        <w:spacing w:line="480" w:lineRule="auto"/>
        <w:ind w:right="466" w:rightChars="222" w:firstLine="0" w:firstLineChars="0"/>
        <w:rPr>
          <w:szCs w:val="21"/>
        </w:rPr>
      </w:pPr>
    </w:p>
    <w:p>
      <w:pPr>
        <w:pStyle w:val="123"/>
        <w:spacing w:line="480" w:lineRule="auto"/>
        <w:ind w:right="466" w:rightChars="222" w:firstLine="0" w:firstLineChars="0"/>
        <w:rPr>
          <w:sz w:val="24"/>
        </w:rPr>
      </w:pPr>
      <w:r>
        <w:rPr>
          <w:rFonts w:hint="eastAsia"/>
          <w:sz w:val="24"/>
        </w:rPr>
        <w:t>投标人名称：</w:t>
      </w:r>
    </w:p>
    <w:p>
      <w:pPr>
        <w:pStyle w:val="123"/>
        <w:tabs>
          <w:tab w:val="left" w:pos="8222"/>
        </w:tabs>
        <w:spacing w:line="480" w:lineRule="auto"/>
        <w:ind w:right="84" w:rightChars="40" w:firstLine="0" w:firstLineChars="0"/>
        <w:rPr>
          <w:sz w:val="24"/>
        </w:rPr>
      </w:pPr>
      <w:r>
        <w:rPr>
          <w:rFonts w:hint="eastAsia"/>
          <w:sz w:val="24"/>
        </w:rPr>
        <w:t>法定代表人姓名：性别：</w:t>
      </w:r>
    </w:p>
    <w:p>
      <w:pPr>
        <w:pStyle w:val="123"/>
        <w:tabs>
          <w:tab w:val="left" w:pos="8222"/>
        </w:tabs>
        <w:spacing w:line="480" w:lineRule="auto"/>
        <w:ind w:right="84" w:rightChars="40" w:firstLine="1200" w:firstLineChars="500"/>
        <w:rPr>
          <w:sz w:val="24"/>
        </w:rPr>
      </w:pPr>
      <w:r>
        <w:rPr>
          <w:rFonts w:hint="eastAsia"/>
          <w:sz w:val="24"/>
        </w:rPr>
        <w:t>年龄：职务：</w:t>
      </w:r>
    </w:p>
    <w:p>
      <w:pPr>
        <w:pStyle w:val="123"/>
        <w:spacing w:line="480" w:lineRule="auto"/>
        <w:ind w:right="466" w:rightChars="222" w:firstLine="0" w:firstLineChars="0"/>
        <w:rPr>
          <w:sz w:val="24"/>
        </w:rPr>
      </w:pPr>
      <w:r>
        <w:rPr>
          <w:rFonts w:hint="eastAsia"/>
          <w:sz w:val="24"/>
        </w:rPr>
        <w:t>系（投标人名称）的法定代表人。</w:t>
      </w:r>
    </w:p>
    <w:p>
      <w:pPr>
        <w:pStyle w:val="123"/>
        <w:spacing w:line="480" w:lineRule="auto"/>
        <w:ind w:right="466" w:rightChars="222" w:firstLine="0" w:firstLineChars="0"/>
        <w:rPr>
          <w:sz w:val="24"/>
        </w:rPr>
      </w:pPr>
      <w:r>
        <w:rPr>
          <w:rFonts w:hint="eastAsia"/>
          <w:sz w:val="24"/>
        </w:rPr>
        <w:t>特此证明。</w:t>
      </w:r>
    </w:p>
    <w:p>
      <w:pPr>
        <w:pStyle w:val="123"/>
        <w:spacing w:line="440" w:lineRule="exact"/>
        <w:ind w:right="466" w:rightChars="222" w:firstLine="0" w:firstLineChars="0"/>
        <w:rPr>
          <w:sz w:val="24"/>
        </w:rPr>
      </w:pPr>
      <w:r>
        <w:rPr>
          <w:sz w:val="24"/>
        </w:rPr>
        <w:t>附</w:t>
      </w:r>
      <w:r>
        <w:rPr>
          <w:rFonts w:hint="eastAsia"/>
          <w:sz w:val="24"/>
        </w:rPr>
        <w:t>：</w:t>
      </w:r>
      <w:r>
        <w:rPr>
          <w:sz w:val="24"/>
        </w:rPr>
        <w:t>法定代表人身份证复印件</w:t>
      </w:r>
      <w:r>
        <w:rPr>
          <w:rFonts w:hint="eastAsia"/>
          <w:sz w:val="24"/>
        </w:rPr>
        <w:t>（正、反面）</w:t>
      </w:r>
    </w:p>
    <w:p>
      <w:pPr>
        <w:pStyle w:val="123"/>
        <w:spacing w:line="440" w:lineRule="exact"/>
        <w:ind w:right="466" w:rightChars="222" w:firstLine="0" w:firstLineChars="0"/>
        <w:rPr>
          <w:sz w:val="24"/>
        </w:rPr>
      </w:pPr>
    </w:p>
    <w:p>
      <w:pPr>
        <w:pStyle w:val="123"/>
        <w:spacing w:line="440" w:lineRule="exact"/>
        <w:ind w:right="466" w:rightChars="222" w:firstLine="0" w:firstLineChars="0"/>
        <w:rPr>
          <w:sz w:val="24"/>
        </w:rPr>
      </w:pPr>
    </w:p>
    <w:p>
      <w:pPr>
        <w:pStyle w:val="123"/>
        <w:spacing w:line="440" w:lineRule="exact"/>
        <w:ind w:right="466" w:rightChars="222" w:firstLine="0" w:firstLineChars="0"/>
        <w:rPr>
          <w:sz w:val="24"/>
        </w:rPr>
      </w:pPr>
    </w:p>
    <w:p>
      <w:pPr>
        <w:pStyle w:val="123"/>
        <w:spacing w:line="480" w:lineRule="auto"/>
        <w:ind w:right="466" w:rightChars="222" w:firstLine="0" w:firstLineChars="0"/>
        <w:rPr>
          <w:sz w:val="24"/>
        </w:rPr>
      </w:pPr>
      <w:r>
        <w:rPr>
          <w:rFonts w:hint="eastAsia"/>
          <w:sz w:val="24"/>
        </w:rPr>
        <w:t>投标人：（盖单位章）</w:t>
      </w:r>
    </w:p>
    <w:p>
      <w:pPr>
        <w:pStyle w:val="123"/>
        <w:spacing w:line="440" w:lineRule="exact"/>
        <w:ind w:right="466" w:rightChars="222" w:firstLine="0" w:firstLineChars="0"/>
        <w:rPr>
          <w:sz w:val="24"/>
        </w:rPr>
      </w:pPr>
    </w:p>
    <w:p>
      <w:pPr>
        <w:pStyle w:val="123"/>
        <w:spacing w:line="440" w:lineRule="exact"/>
        <w:ind w:right="466" w:rightChars="222" w:firstLine="0" w:firstLineChars="0"/>
        <w:rPr>
          <w:sz w:val="24"/>
        </w:rPr>
      </w:pPr>
      <w:r>
        <w:rPr>
          <w:rFonts w:hint="eastAsia"/>
          <w:sz w:val="24"/>
        </w:rPr>
        <w:t>年月日</w:t>
      </w:r>
    </w:p>
    <w:p>
      <w:pPr>
        <w:pStyle w:val="123"/>
        <w:numPr>
          <w:ilvl w:val="0"/>
          <w:numId w:val="64"/>
        </w:numPr>
        <w:spacing w:line="440" w:lineRule="exact"/>
        <w:ind w:right="466" w:rightChars="222" w:firstLineChars="0"/>
        <w:jc w:val="center"/>
        <w:rPr>
          <w:rFonts w:eastAsia="黑体"/>
          <w:sz w:val="20"/>
          <w:szCs w:val="20"/>
        </w:rPr>
      </w:pPr>
      <w:r>
        <w:rPr>
          <w:rFonts w:eastAsia="黑体"/>
          <w:kern w:val="0"/>
          <w:sz w:val="20"/>
          <w:szCs w:val="20"/>
        </w:rPr>
        <w:br w:type="page"/>
      </w:r>
    </w:p>
    <w:bookmarkEnd w:id="213"/>
    <w:bookmarkEnd w:id="214"/>
    <w:p>
      <w:pPr>
        <w:pStyle w:val="123"/>
        <w:spacing w:line="540" w:lineRule="exact"/>
        <w:ind w:right="466" w:rightChars="222" w:firstLine="0" w:firstLineChars="0"/>
        <w:jc w:val="center"/>
        <w:rPr>
          <w:rFonts w:asciiTheme="minorEastAsia" w:hAnsiTheme="minorEastAsia"/>
          <w:b/>
          <w:sz w:val="28"/>
        </w:rPr>
      </w:pPr>
      <w:bookmarkStart w:id="215" w:name="_Toc241814873"/>
      <w:r>
        <w:rPr>
          <w:rFonts w:hint="eastAsia" w:asciiTheme="minorEastAsia" w:hAnsiTheme="minorEastAsia"/>
          <w:b/>
          <w:sz w:val="28"/>
        </w:rPr>
        <w:t>授权委托书</w:t>
      </w:r>
    </w:p>
    <w:p>
      <w:pPr>
        <w:pStyle w:val="123"/>
        <w:spacing w:line="440" w:lineRule="exact"/>
        <w:ind w:right="466" w:rightChars="222" w:firstLine="0" w:firstLineChars="0"/>
        <w:rPr>
          <w:rFonts w:eastAsia="黑体"/>
          <w:szCs w:val="21"/>
        </w:rPr>
      </w:pPr>
    </w:p>
    <w:p>
      <w:pPr>
        <w:pStyle w:val="123"/>
        <w:topLinePunct/>
        <w:spacing w:line="440" w:lineRule="exact"/>
        <w:ind w:right="466" w:rightChars="222" w:firstLine="480"/>
        <w:rPr>
          <w:sz w:val="24"/>
        </w:rPr>
      </w:pPr>
      <w:r>
        <w:rPr>
          <w:rFonts w:hint="eastAsia"/>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pStyle w:val="123"/>
        <w:spacing w:line="440" w:lineRule="exact"/>
        <w:ind w:right="466" w:rightChars="222" w:firstLine="480"/>
        <w:rPr>
          <w:sz w:val="24"/>
        </w:rPr>
      </w:pPr>
      <w:r>
        <w:rPr>
          <w:rFonts w:hint="eastAsia"/>
          <w:sz w:val="24"/>
        </w:rPr>
        <w:t>委托期限：。</w:t>
      </w:r>
    </w:p>
    <w:p>
      <w:pPr>
        <w:pStyle w:val="123"/>
        <w:spacing w:line="440" w:lineRule="exact"/>
        <w:ind w:right="466" w:rightChars="222" w:firstLine="480"/>
        <w:rPr>
          <w:sz w:val="24"/>
        </w:rPr>
      </w:pPr>
      <w:r>
        <w:rPr>
          <w:rFonts w:hint="eastAsia"/>
          <w:sz w:val="24"/>
        </w:rPr>
        <w:t>代理人无转委托权。</w:t>
      </w:r>
    </w:p>
    <w:p>
      <w:pPr>
        <w:pStyle w:val="123"/>
        <w:spacing w:line="440" w:lineRule="exact"/>
        <w:ind w:right="466" w:rightChars="222" w:firstLine="480"/>
        <w:rPr>
          <w:sz w:val="24"/>
        </w:rPr>
      </w:pPr>
      <w:r>
        <w:rPr>
          <w:rFonts w:hint="eastAsia"/>
          <w:sz w:val="24"/>
        </w:rPr>
        <w:t>附：法定代表人身份证明</w:t>
      </w:r>
    </w:p>
    <w:p>
      <w:pPr>
        <w:pStyle w:val="123"/>
        <w:spacing w:line="440" w:lineRule="exact"/>
        <w:ind w:right="466" w:rightChars="222" w:firstLine="0" w:firstLineChars="0"/>
        <w:rPr>
          <w:sz w:val="24"/>
        </w:rPr>
      </w:pPr>
    </w:p>
    <w:p>
      <w:pPr>
        <w:pStyle w:val="123"/>
        <w:spacing w:line="440" w:lineRule="exact"/>
        <w:ind w:right="466" w:rightChars="222" w:firstLine="0" w:firstLineChars="0"/>
        <w:rPr>
          <w:sz w:val="24"/>
        </w:rPr>
      </w:pPr>
    </w:p>
    <w:p>
      <w:pPr>
        <w:pStyle w:val="123"/>
        <w:spacing w:line="440" w:lineRule="exact"/>
        <w:ind w:right="466" w:rightChars="222" w:firstLine="0" w:firstLineChars="0"/>
        <w:rPr>
          <w:sz w:val="24"/>
        </w:rPr>
      </w:pPr>
      <w:r>
        <w:rPr>
          <w:rFonts w:hint="eastAsia"/>
          <w:sz w:val="24"/>
        </w:rPr>
        <w:t>投标人：（盖单位章）</w:t>
      </w:r>
    </w:p>
    <w:p>
      <w:pPr>
        <w:pStyle w:val="123"/>
        <w:spacing w:line="440" w:lineRule="exact"/>
        <w:ind w:right="466" w:rightChars="222" w:firstLine="0" w:firstLineChars="0"/>
        <w:rPr>
          <w:sz w:val="24"/>
        </w:rPr>
      </w:pPr>
    </w:p>
    <w:p>
      <w:pPr>
        <w:pStyle w:val="123"/>
        <w:spacing w:line="440" w:lineRule="exact"/>
        <w:ind w:right="466" w:rightChars="222" w:firstLine="0" w:firstLineChars="0"/>
        <w:rPr>
          <w:sz w:val="24"/>
        </w:rPr>
      </w:pPr>
      <w:r>
        <w:rPr>
          <w:rFonts w:hint="eastAsia"/>
          <w:sz w:val="24"/>
        </w:rPr>
        <w:t>法定代表人：（签字）</w:t>
      </w:r>
    </w:p>
    <w:p>
      <w:pPr>
        <w:pStyle w:val="123"/>
        <w:spacing w:line="440" w:lineRule="exact"/>
        <w:ind w:right="466" w:rightChars="222" w:firstLine="0" w:firstLineChars="0"/>
        <w:rPr>
          <w:sz w:val="24"/>
        </w:rPr>
      </w:pPr>
    </w:p>
    <w:p>
      <w:pPr>
        <w:pStyle w:val="123"/>
        <w:spacing w:line="440" w:lineRule="exact"/>
        <w:ind w:right="466" w:rightChars="222" w:firstLine="0" w:firstLineChars="0"/>
        <w:rPr>
          <w:sz w:val="24"/>
        </w:rPr>
      </w:pPr>
      <w:r>
        <w:rPr>
          <w:rFonts w:hint="eastAsia"/>
          <w:sz w:val="24"/>
        </w:rPr>
        <w:t>身份证号码：</w:t>
      </w:r>
    </w:p>
    <w:p>
      <w:pPr>
        <w:pStyle w:val="123"/>
        <w:spacing w:line="440" w:lineRule="exact"/>
        <w:ind w:right="466" w:rightChars="222" w:firstLine="0" w:firstLineChars="0"/>
        <w:rPr>
          <w:sz w:val="24"/>
        </w:rPr>
      </w:pPr>
    </w:p>
    <w:p>
      <w:pPr>
        <w:pStyle w:val="123"/>
        <w:spacing w:line="440" w:lineRule="exact"/>
        <w:ind w:right="466" w:rightChars="222" w:firstLine="0" w:firstLineChars="0"/>
        <w:rPr>
          <w:sz w:val="24"/>
        </w:rPr>
      </w:pPr>
      <w:r>
        <w:rPr>
          <w:rFonts w:hint="eastAsia"/>
          <w:sz w:val="24"/>
        </w:rPr>
        <w:t>委托代理人：（签字）</w:t>
      </w:r>
    </w:p>
    <w:p>
      <w:pPr>
        <w:pStyle w:val="123"/>
        <w:spacing w:line="440" w:lineRule="exact"/>
        <w:ind w:right="466" w:rightChars="222" w:firstLine="0" w:firstLineChars="0"/>
        <w:rPr>
          <w:sz w:val="24"/>
        </w:rPr>
      </w:pPr>
    </w:p>
    <w:p>
      <w:pPr>
        <w:pStyle w:val="123"/>
        <w:spacing w:line="440" w:lineRule="exact"/>
        <w:ind w:right="466" w:rightChars="222" w:firstLine="0" w:firstLineChars="0"/>
        <w:rPr>
          <w:sz w:val="24"/>
        </w:rPr>
      </w:pPr>
      <w:r>
        <w:rPr>
          <w:rFonts w:hint="eastAsia"/>
          <w:sz w:val="24"/>
        </w:rPr>
        <w:t>身份证号码：</w:t>
      </w:r>
    </w:p>
    <w:p>
      <w:pPr>
        <w:pStyle w:val="123"/>
        <w:spacing w:line="440" w:lineRule="exact"/>
        <w:ind w:right="466" w:rightChars="222" w:firstLine="0" w:firstLineChars="0"/>
        <w:rPr>
          <w:sz w:val="24"/>
        </w:rPr>
      </w:pPr>
    </w:p>
    <w:p>
      <w:pPr>
        <w:pStyle w:val="123"/>
        <w:spacing w:line="440" w:lineRule="exact"/>
        <w:ind w:right="466" w:rightChars="222" w:firstLine="0" w:firstLineChars="0"/>
        <w:rPr>
          <w:sz w:val="24"/>
        </w:rPr>
      </w:pPr>
    </w:p>
    <w:p>
      <w:pPr>
        <w:spacing w:line="440" w:lineRule="exact"/>
        <w:ind w:right="466" w:rightChars="222"/>
        <w:jc w:val="right"/>
        <w:rPr>
          <w:sz w:val="24"/>
        </w:rPr>
      </w:pPr>
      <w:r>
        <w:rPr>
          <w:rFonts w:hint="eastAsia"/>
          <w:sz w:val="24"/>
        </w:rPr>
        <w:t>年月日</w:t>
      </w:r>
    </w:p>
    <w:p>
      <w:pPr>
        <w:spacing w:line="440" w:lineRule="exact"/>
        <w:ind w:right="466" w:rightChars="222"/>
        <w:jc w:val="right"/>
        <w:rPr>
          <w:sz w:val="24"/>
        </w:rPr>
      </w:pPr>
    </w:p>
    <w:p>
      <w:pPr>
        <w:spacing w:line="440" w:lineRule="exact"/>
        <w:ind w:right="466" w:rightChars="222"/>
        <w:jc w:val="right"/>
        <w:rPr>
          <w:sz w:val="24"/>
        </w:rPr>
      </w:pPr>
    </w:p>
    <w:p>
      <w:pPr>
        <w:spacing w:line="440" w:lineRule="exact"/>
        <w:ind w:right="466" w:rightChars="222"/>
        <w:jc w:val="right"/>
        <w:rPr>
          <w:sz w:val="24"/>
        </w:rPr>
      </w:pPr>
    </w:p>
    <w:p>
      <w:pPr>
        <w:spacing w:line="440" w:lineRule="exact"/>
        <w:ind w:right="466" w:rightChars="222"/>
        <w:jc w:val="left"/>
        <w:rPr>
          <w:sz w:val="24"/>
        </w:rPr>
      </w:pPr>
    </w:p>
    <w:p>
      <w:pPr>
        <w:spacing w:line="440" w:lineRule="exact"/>
        <w:ind w:right="466" w:rightChars="222"/>
        <w:jc w:val="left"/>
        <w:rPr>
          <w:sz w:val="24"/>
        </w:rPr>
      </w:pPr>
    </w:p>
    <w:p>
      <w:pPr>
        <w:spacing w:line="440" w:lineRule="exact"/>
        <w:ind w:right="466" w:rightChars="222"/>
        <w:jc w:val="left"/>
        <w:rPr>
          <w:sz w:val="24"/>
        </w:rPr>
      </w:pPr>
    </w:p>
    <w:p>
      <w:pPr>
        <w:spacing w:line="440" w:lineRule="exact"/>
        <w:ind w:right="466" w:rightChars="222"/>
        <w:jc w:val="left"/>
        <w:rPr>
          <w:sz w:val="24"/>
        </w:rPr>
      </w:pPr>
    </w:p>
    <w:p>
      <w:pPr>
        <w:spacing w:line="440" w:lineRule="exact"/>
        <w:ind w:right="466" w:rightChars="222"/>
        <w:jc w:val="left"/>
        <w:rPr>
          <w:sz w:val="24"/>
        </w:rPr>
      </w:pPr>
    </w:p>
    <w:p>
      <w:pPr>
        <w:spacing w:line="440" w:lineRule="exact"/>
        <w:ind w:right="466" w:rightChars="222"/>
        <w:jc w:val="left"/>
        <w:rPr>
          <w:b/>
          <w:sz w:val="24"/>
        </w:rPr>
      </w:pPr>
      <w:r>
        <w:rPr>
          <w:b/>
          <w:sz w:val="24"/>
        </w:rPr>
        <w:t>业绩</w:t>
      </w:r>
    </w:p>
    <w:p>
      <w:pPr>
        <w:rPr>
          <w:rFonts w:eastAsia="仿宋_GB2312"/>
          <w:sz w:val="24"/>
        </w:rPr>
      </w:pPr>
    </w:p>
    <w:tbl>
      <w:tblPr>
        <w:tblStyle w:val="46"/>
        <w:tblW w:w="9095" w:type="dxa"/>
        <w:tblInd w:w="-87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1214"/>
        <w:gridCol w:w="905"/>
        <w:gridCol w:w="1188"/>
        <w:gridCol w:w="750"/>
        <w:gridCol w:w="1200"/>
        <w:gridCol w:w="1009"/>
        <w:gridCol w:w="1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66" w:type="dxa"/>
            <w:vAlign w:val="center"/>
          </w:tcPr>
          <w:p>
            <w:pPr>
              <w:jc w:val="center"/>
              <w:rPr>
                <w:rFonts w:eastAsia="仿宋_GB2312"/>
                <w:sz w:val="24"/>
              </w:rPr>
            </w:pPr>
            <w:r>
              <w:rPr>
                <w:rFonts w:hint="eastAsia" w:eastAsia="仿宋_GB2312"/>
                <w:sz w:val="24"/>
              </w:rPr>
              <w:t>投标</w:t>
            </w:r>
            <w:r>
              <w:rPr>
                <w:rFonts w:eastAsia="仿宋_GB2312"/>
                <w:sz w:val="24"/>
              </w:rPr>
              <w:t>单位名称</w:t>
            </w:r>
          </w:p>
        </w:tc>
        <w:tc>
          <w:tcPr>
            <w:tcW w:w="1214" w:type="dxa"/>
            <w:vAlign w:val="center"/>
          </w:tcPr>
          <w:p>
            <w:pPr>
              <w:jc w:val="center"/>
              <w:rPr>
                <w:rFonts w:eastAsia="仿宋_GB2312"/>
                <w:sz w:val="24"/>
              </w:rPr>
            </w:pPr>
            <w:r>
              <w:rPr>
                <w:rFonts w:eastAsia="仿宋_GB2312"/>
                <w:sz w:val="24"/>
              </w:rPr>
              <w:t>项目名称</w:t>
            </w:r>
          </w:p>
        </w:tc>
        <w:tc>
          <w:tcPr>
            <w:tcW w:w="905" w:type="dxa"/>
            <w:vAlign w:val="center"/>
          </w:tcPr>
          <w:p>
            <w:pPr>
              <w:jc w:val="center"/>
              <w:rPr>
                <w:rFonts w:eastAsia="仿宋_GB2312"/>
                <w:sz w:val="24"/>
              </w:rPr>
            </w:pPr>
            <w:r>
              <w:rPr>
                <w:rFonts w:hint="eastAsia" w:eastAsia="仿宋_GB2312"/>
                <w:sz w:val="24"/>
              </w:rPr>
              <w:t>工作内容</w:t>
            </w:r>
          </w:p>
        </w:tc>
        <w:tc>
          <w:tcPr>
            <w:tcW w:w="1188" w:type="dxa"/>
            <w:vAlign w:val="center"/>
          </w:tcPr>
          <w:p>
            <w:pPr>
              <w:jc w:val="center"/>
              <w:rPr>
                <w:rFonts w:eastAsia="仿宋_GB2312"/>
                <w:sz w:val="24"/>
              </w:rPr>
            </w:pPr>
            <w:r>
              <w:rPr>
                <w:rFonts w:hint="eastAsia" w:eastAsia="仿宋_GB2312"/>
                <w:sz w:val="24"/>
              </w:rPr>
              <w:t>合同金额</w:t>
            </w:r>
          </w:p>
        </w:tc>
        <w:tc>
          <w:tcPr>
            <w:tcW w:w="750" w:type="dxa"/>
            <w:vAlign w:val="center"/>
          </w:tcPr>
          <w:p>
            <w:pPr>
              <w:jc w:val="center"/>
              <w:rPr>
                <w:rFonts w:eastAsia="仿宋_GB2312"/>
                <w:sz w:val="24"/>
              </w:rPr>
            </w:pPr>
            <w:r>
              <w:rPr>
                <w:rFonts w:hint="eastAsia" w:eastAsia="仿宋_GB2312"/>
                <w:sz w:val="24"/>
              </w:rPr>
              <w:t>履约</w:t>
            </w:r>
          </w:p>
          <w:p>
            <w:pPr>
              <w:jc w:val="center"/>
              <w:rPr>
                <w:rFonts w:eastAsia="仿宋_GB2312"/>
                <w:sz w:val="24"/>
              </w:rPr>
            </w:pPr>
            <w:r>
              <w:rPr>
                <w:rFonts w:eastAsia="仿宋_GB2312"/>
                <w:sz w:val="24"/>
              </w:rPr>
              <w:t>状况</w:t>
            </w:r>
          </w:p>
        </w:tc>
        <w:tc>
          <w:tcPr>
            <w:tcW w:w="1200" w:type="dxa"/>
            <w:vAlign w:val="center"/>
          </w:tcPr>
          <w:p>
            <w:pPr>
              <w:jc w:val="center"/>
              <w:rPr>
                <w:rFonts w:eastAsia="仿宋_GB2312"/>
                <w:sz w:val="24"/>
              </w:rPr>
            </w:pPr>
            <w:r>
              <w:rPr>
                <w:rFonts w:hint="eastAsia" w:eastAsia="仿宋_GB2312"/>
                <w:sz w:val="24"/>
              </w:rPr>
              <w:t>投标</w:t>
            </w:r>
            <w:r>
              <w:rPr>
                <w:rFonts w:eastAsia="仿宋_GB2312"/>
                <w:sz w:val="24"/>
              </w:rPr>
              <w:t>单位联系人/电话</w:t>
            </w:r>
          </w:p>
        </w:tc>
        <w:tc>
          <w:tcPr>
            <w:tcW w:w="1009" w:type="dxa"/>
            <w:vAlign w:val="center"/>
          </w:tcPr>
          <w:p>
            <w:pPr>
              <w:jc w:val="center"/>
              <w:rPr>
                <w:rFonts w:eastAsia="仿宋_GB2312"/>
                <w:sz w:val="24"/>
              </w:rPr>
            </w:pPr>
            <w:r>
              <w:rPr>
                <w:rFonts w:hint="eastAsia" w:eastAsia="仿宋_GB2312"/>
                <w:sz w:val="24"/>
              </w:rPr>
              <w:t>合同执行时间</w:t>
            </w:r>
          </w:p>
        </w:tc>
        <w:tc>
          <w:tcPr>
            <w:tcW w:w="1063" w:type="dxa"/>
            <w:vAlign w:val="center"/>
          </w:tcPr>
          <w:p>
            <w:pPr>
              <w:jc w:val="center"/>
              <w:rPr>
                <w:rFonts w:eastAsia="仿宋_GB2312"/>
                <w:sz w:val="24"/>
              </w:rPr>
            </w:pPr>
            <w:r>
              <w:rPr>
                <w:rFonts w:hint="eastAsia" w:eastAsia="仿宋_GB2312"/>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66" w:type="dxa"/>
            <w:vAlign w:val="center"/>
          </w:tcPr>
          <w:p>
            <w:pPr>
              <w:jc w:val="center"/>
              <w:rPr>
                <w:rFonts w:eastAsia="仿宋_GB2312"/>
                <w:sz w:val="24"/>
              </w:rPr>
            </w:pPr>
          </w:p>
          <w:p>
            <w:pPr>
              <w:jc w:val="center"/>
              <w:rPr>
                <w:rFonts w:eastAsia="仿宋_GB2312"/>
                <w:sz w:val="24"/>
              </w:rPr>
            </w:pPr>
          </w:p>
        </w:tc>
        <w:tc>
          <w:tcPr>
            <w:tcW w:w="1214" w:type="dxa"/>
            <w:vAlign w:val="center"/>
          </w:tcPr>
          <w:p>
            <w:pPr>
              <w:jc w:val="center"/>
              <w:rPr>
                <w:rFonts w:eastAsia="仿宋_GB2312"/>
                <w:sz w:val="24"/>
              </w:rPr>
            </w:pPr>
          </w:p>
        </w:tc>
        <w:tc>
          <w:tcPr>
            <w:tcW w:w="905" w:type="dxa"/>
            <w:vAlign w:val="center"/>
          </w:tcPr>
          <w:p>
            <w:pPr>
              <w:jc w:val="center"/>
              <w:rPr>
                <w:rFonts w:eastAsia="仿宋_GB2312"/>
                <w:sz w:val="24"/>
              </w:rPr>
            </w:pPr>
          </w:p>
        </w:tc>
        <w:tc>
          <w:tcPr>
            <w:tcW w:w="1188" w:type="dxa"/>
            <w:vAlign w:val="center"/>
          </w:tcPr>
          <w:p>
            <w:pPr>
              <w:jc w:val="center"/>
              <w:rPr>
                <w:rFonts w:eastAsia="仿宋_GB2312"/>
                <w:sz w:val="24"/>
              </w:rPr>
            </w:pPr>
          </w:p>
        </w:tc>
        <w:tc>
          <w:tcPr>
            <w:tcW w:w="750" w:type="dxa"/>
            <w:vAlign w:val="center"/>
          </w:tcPr>
          <w:p>
            <w:pPr>
              <w:jc w:val="center"/>
              <w:rPr>
                <w:rFonts w:eastAsia="仿宋_GB2312"/>
                <w:sz w:val="24"/>
              </w:rPr>
            </w:pPr>
          </w:p>
        </w:tc>
        <w:tc>
          <w:tcPr>
            <w:tcW w:w="1200" w:type="dxa"/>
            <w:vAlign w:val="center"/>
          </w:tcPr>
          <w:p>
            <w:pPr>
              <w:jc w:val="center"/>
              <w:rPr>
                <w:rFonts w:eastAsia="仿宋_GB2312"/>
                <w:sz w:val="24"/>
              </w:rPr>
            </w:pPr>
          </w:p>
        </w:tc>
        <w:tc>
          <w:tcPr>
            <w:tcW w:w="1009" w:type="dxa"/>
            <w:vAlign w:val="center"/>
          </w:tcPr>
          <w:p>
            <w:pPr>
              <w:jc w:val="center"/>
              <w:rPr>
                <w:rFonts w:eastAsia="仿宋_GB2312"/>
                <w:sz w:val="24"/>
              </w:rPr>
            </w:pPr>
          </w:p>
        </w:tc>
        <w:tc>
          <w:tcPr>
            <w:tcW w:w="1063" w:type="dxa"/>
            <w:vAlign w:val="center"/>
          </w:tcPr>
          <w:p>
            <w:pPr>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66" w:type="dxa"/>
            <w:vAlign w:val="center"/>
          </w:tcPr>
          <w:p>
            <w:pPr>
              <w:pStyle w:val="32"/>
              <w:pBdr>
                <w:bottom w:val="none" w:color="auto" w:sz="0" w:space="0"/>
              </w:pBdr>
              <w:tabs>
                <w:tab w:val="clear" w:pos="4153"/>
                <w:tab w:val="clear" w:pos="8306"/>
              </w:tabs>
              <w:snapToGrid/>
              <w:rPr>
                <w:rFonts w:eastAsia="仿宋_GB2312"/>
                <w:sz w:val="24"/>
                <w:szCs w:val="24"/>
              </w:rPr>
            </w:pPr>
          </w:p>
          <w:p>
            <w:pPr>
              <w:jc w:val="center"/>
              <w:rPr>
                <w:rFonts w:eastAsia="仿宋_GB2312"/>
                <w:sz w:val="24"/>
              </w:rPr>
            </w:pPr>
          </w:p>
        </w:tc>
        <w:tc>
          <w:tcPr>
            <w:tcW w:w="1214" w:type="dxa"/>
            <w:vAlign w:val="center"/>
          </w:tcPr>
          <w:p>
            <w:pPr>
              <w:jc w:val="center"/>
              <w:rPr>
                <w:rFonts w:eastAsia="仿宋_GB2312"/>
                <w:sz w:val="24"/>
              </w:rPr>
            </w:pPr>
          </w:p>
        </w:tc>
        <w:tc>
          <w:tcPr>
            <w:tcW w:w="905" w:type="dxa"/>
            <w:vAlign w:val="center"/>
          </w:tcPr>
          <w:p>
            <w:pPr>
              <w:jc w:val="center"/>
              <w:rPr>
                <w:rFonts w:eastAsia="仿宋_GB2312"/>
                <w:sz w:val="24"/>
              </w:rPr>
            </w:pPr>
          </w:p>
        </w:tc>
        <w:tc>
          <w:tcPr>
            <w:tcW w:w="1188" w:type="dxa"/>
            <w:vAlign w:val="center"/>
          </w:tcPr>
          <w:p>
            <w:pPr>
              <w:jc w:val="center"/>
              <w:rPr>
                <w:rFonts w:eastAsia="仿宋_GB2312"/>
                <w:sz w:val="24"/>
              </w:rPr>
            </w:pPr>
          </w:p>
        </w:tc>
        <w:tc>
          <w:tcPr>
            <w:tcW w:w="750" w:type="dxa"/>
            <w:vAlign w:val="center"/>
          </w:tcPr>
          <w:p>
            <w:pPr>
              <w:jc w:val="center"/>
              <w:rPr>
                <w:rFonts w:eastAsia="仿宋_GB2312"/>
                <w:sz w:val="24"/>
              </w:rPr>
            </w:pPr>
          </w:p>
        </w:tc>
        <w:tc>
          <w:tcPr>
            <w:tcW w:w="1200" w:type="dxa"/>
            <w:vAlign w:val="center"/>
          </w:tcPr>
          <w:p>
            <w:pPr>
              <w:jc w:val="center"/>
              <w:rPr>
                <w:rFonts w:eastAsia="仿宋_GB2312"/>
                <w:sz w:val="24"/>
              </w:rPr>
            </w:pPr>
          </w:p>
        </w:tc>
        <w:tc>
          <w:tcPr>
            <w:tcW w:w="1009" w:type="dxa"/>
            <w:vAlign w:val="center"/>
          </w:tcPr>
          <w:p>
            <w:pPr>
              <w:jc w:val="center"/>
              <w:rPr>
                <w:rFonts w:eastAsia="仿宋_GB2312"/>
                <w:sz w:val="24"/>
              </w:rPr>
            </w:pPr>
          </w:p>
        </w:tc>
        <w:tc>
          <w:tcPr>
            <w:tcW w:w="1063" w:type="dxa"/>
            <w:vAlign w:val="center"/>
          </w:tcPr>
          <w:p>
            <w:pPr>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66" w:type="dxa"/>
            <w:vAlign w:val="center"/>
          </w:tcPr>
          <w:p>
            <w:pPr>
              <w:pStyle w:val="32"/>
              <w:pBdr>
                <w:bottom w:val="none" w:color="auto" w:sz="0" w:space="0"/>
              </w:pBdr>
              <w:tabs>
                <w:tab w:val="clear" w:pos="4153"/>
                <w:tab w:val="clear" w:pos="8306"/>
              </w:tabs>
              <w:snapToGrid/>
              <w:rPr>
                <w:rFonts w:eastAsia="仿宋_GB2312"/>
                <w:sz w:val="24"/>
                <w:szCs w:val="24"/>
              </w:rPr>
            </w:pPr>
          </w:p>
        </w:tc>
        <w:tc>
          <w:tcPr>
            <w:tcW w:w="1214" w:type="dxa"/>
            <w:vAlign w:val="center"/>
          </w:tcPr>
          <w:p>
            <w:pPr>
              <w:jc w:val="center"/>
              <w:rPr>
                <w:rFonts w:eastAsia="仿宋_GB2312"/>
                <w:sz w:val="24"/>
              </w:rPr>
            </w:pPr>
          </w:p>
        </w:tc>
        <w:tc>
          <w:tcPr>
            <w:tcW w:w="905" w:type="dxa"/>
            <w:vAlign w:val="center"/>
          </w:tcPr>
          <w:p>
            <w:pPr>
              <w:jc w:val="center"/>
              <w:rPr>
                <w:rFonts w:eastAsia="仿宋_GB2312"/>
                <w:sz w:val="24"/>
              </w:rPr>
            </w:pPr>
          </w:p>
        </w:tc>
        <w:tc>
          <w:tcPr>
            <w:tcW w:w="1188" w:type="dxa"/>
            <w:vAlign w:val="center"/>
          </w:tcPr>
          <w:p>
            <w:pPr>
              <w:jc w:val="center"/>
              <w:rPr>
                <w:rFonts w:eastAsia="仿宋_GB2312"/>
                <w:sz w:val="24"/>
              </w:rPr>
            </w:pPr>
          </w:p>
        </w:tc>
        <w:tc>
          <w:tcPr>
            <w:tcW w:w="750" w:type="dxa"/>
            <w:vAlign w:val="center"/>
          </w:tcPr>
          <w:p>
            <w:pPr>
              <w:jc w:val="center"/>
              <w:rPr>
                <w:rFonts w:eastAsia="仿宋_GB2312"/>
                <w:sz w:val="24"/>
              </w:rPr>
            </w:pPr>
          </w:p>
        </w:tc>
        <w:tc>
          <w:tcPr>
            <w:tcW w:w="1200" w:type="dxa"/>
            <w:vAlign w:val="center"/>
          </w:tcPr>
          <w:p>
            <w:pPr>
              <w:jc w:val="center"/>
              <w:rPr>
                <w:rFonts w:eastAsia="仿宋_GB2312"/>
                <w:sz w:val="24"/>
              </w:rPr>
            </w:pPr>
          </w:p>
        </w:tc>
        <w:tc>
          <w:tcPr>
            <w:tcW w:w="1009" w:type="dxa"/>
            <w:vAlign w:val="center"/>
          </w:tcPr>
          <w:p>
            <w:pPr>
              <w:jc w:val="center"/>
              <w:rPr>
                <w:rFonts w:eastAsia="仿宋_GB2312"/>
                <w:sz w:val="24"/>
              </w:rPr>
            </w:pPr>
          </w:p>
        </w:tc>
        <w:tc>
          <w:tcPr>
            <w:tcW w:w="1063" w:type="dxa"/>
            <w:vAlign w:val="center"/>
          </w:tcPr>
          <w:p>
            <w:pPr>
              <w:jc w:val="center"/>
              <w:rPr>
                <w:rFonts w:eastAsia="仿宋_GB2312"/>
                <w:sz w:val="24"/>
              </w:rPr>
            </w:pPr>
          </w:p>
        </w:tc>
      </w:tr>
    </w:tbl>
    <w:p>
      <w:pPr>
        <w:ind w:firstLine="480" w:firstLineChars="200"/>
        <w:rPr>
          <w:rFonts w:eastAsia="仿宋_GB2312"/>
          <w:sz w:val="24"/>
        </w:rPr>
      </w:pPr>
    </w:p>
    <w:p>
      <w:pPr>
        <w:numPr>
          <w:ilvl w:val="0"/>
          <w:numId w:val="65"/>
        </w:numPr>
        <w:rPr>
          <w:rFonts w:eastAsia="仿宋_GB2312"/>
          <w:sz w:val="24"/>
        </w:rPr>
      </w:pPr>
      <w:r>
        <w:rPr>
          <w:rFonts w:hint="eastAsia" w:eastAsia="仿宋_GB2312"/>
          <w:sz w:val="24"/>
        </w:rPr>
        <w:t>如上述项目如有合作伙伴或其它需说明事项，请在备注栏注明</w:t>
      </w:r>
    </w:p>
    <w:p>
      <w:pPr>
        <w:rPr>
          <w:rFonts w:eastAsia="仿宋_GB2312"/>
        </w:rPr>
      </w:pPr>
      <w:r>
        <w:rPr>
          <w:rFonts w:hint="eastAsia" w:eastAsia="仿宋_GB2312"/>
          <w:b/>
        </w:rPr>
        <w:t>提示</w:t>
      </w:r>
      <w:r>
        <w:rPr>
          <w:rFonts w:eastAsia="仿宋_GB2312"/>
          <w:b/>
        </w:rPr>
        <w:t>：</w:t>
      </w:r>
      <w:r>
        <w:rPr>
          <w:rFonts w:hint="eastAsia" w:eastAsia="仿宋_GB2312"/>
          <w:b/>
        </w:rPr>
        <w:t>投标人</w:t>
      </w:r>
      <w:r>
        <w:rPr>
          <w:rFonts w:eastAsia="仿宋_GB2312"/>
          <w:b/>
        </w:rPr>
        <w:t>业绩必须真实有效，一旦查明为虚假业绩，则上报上级</w:t>
      </w:r>
      <w:r>
        <w:rPr>
          <w:rFonts w:hint="eastAsia" w:eastAsia="仿宋_GB2312"/>
          <w:b/>
        </w:rPr>
        <w:t>公司</w:t>
      </w:r>
      <w:r>
        <w:rPr>
          <w:rFonts w:eastAsia="仿宋_GB2312"/>
          <w:b/>
        </w:rPr>
        <w:t>加入</w:t>
      </w:r>
      <w:r>
        <w:rPr>
          <w:rFonts w:hint="eastAsia" w:eastAsia="仿宋_GB2312"/>
          <w:b/>
        </w:rPr>
        <w:t>中海油</w:t>
      </w:r>
      <w:r>
        <w:rPr>
          <w:rFonts w:eastAsia="仿宋_GB2312"/>
          <w:b/>
        </w:rPr>
        <w:t>供应商</w:t>
      </w:r>
      <w:r>
        <w:rPr>
          <w:rFonts w:hint="eastAsia" w:eastAsia="仿宋_GB2312"/>
          <w:b/>
        </w:rPr>
        <w:t>处罚</w:t>
      </w:r>
      <w:r>
        <w:rPr>
          <w:rFonts w:eastAsia="仿宋_GB2312"/>
          <w:b/>
        </w:rPr>
        <w:t>名单</w:t>
      </w:r>
      <w:r>
        <w:rPr>
          <w:rFonts w:hint="eastAsia" w:eastAsia="仿宋_GB2312"/>
          <w:b/>
        </w:rPr>
        <w:t xml:space="preserve">。 </w:t>
      </w:r>
    </w:p>
    <w:p>
      <w:pPr>
        <w:spacing w:line="440" w:lineRule="exact"/>
        <w:ind w:right="466" w:rightChars="222"/>
        <w:jc w:val="left"/>
        <w:rPr>
          <w:sz w:val="24"/>
        </w:rPr>
      </w:pPr>
    </w:p>
    <w:p>
      <w:pPr>
        <w:spacing w:line="440" w:lineRule="exact"/>
        <w:ind w:right="466" w:rightChars="222"/>
        <w:jc w:val="left"/>
        <w:rPr>
          <w:b/>
          <w:sz w:val="24"/>
        </w:rPr>
      </w:pPr>
      <w:r>
        <w:rPr>
          <w:b/>
          <w:sz w:val="24"/>
        </w:rPr>
        <w:t>营业执照</w:t>
      </w:r>
    </w:p>
    <w:p>
      <w:pPr>
        <w:spacing w:line="440" w:lineRule="exact"/>
        <w:ind w:right="466" w:rightChars="222"/>
        <w:jc w:val="left"/>
        <w:rPr>
          <w:sz w:val="24"/>
        </w:rPr>
      </w:pPr>
      <w:r>
        <w:rPr>
          <w:rFonts w:hint="eastAsia"/>
          <w:sz w:val="24"/>
        </w:rPr>
        <w:t>（按商务评议标准提供）</w:t>
      </w:r>
    </w:p>
    <w:p>
      <w:pPr>
        <w:spacing w:line="440" w:lineRule="exact"/>
        <w:ind w:right="466" w:rightChars="222"/>
        <w:jc w:val="left"/>
        <w:rPr>
          <w:b/>
          <w:sz w:val="24"/>
        </w:rPr>
      </w:pPr>
    </w:p>
    <w:p>
      <w:pPr>
        <w:spacing w:line="440" w:lineRule="exact"/>
        <w:ind w:right="466" w:rightChars="222"/>
        <w:jc w:val="left"/>
        <w:rPr>
          <w:sz w:val="24"/>
        </w:rPr>
      </w:pPr>
      <w:r>
        <w:rPr>
          <w:b/>
          <w:sz w:val="24"/>
        </w:rPr>
        <w:t>企业信用及异常经营查询结果</w:t>
      </w:r>
      <w:r>
        <w:rPr>
          <w:rFonts w:hint="eastAsia"/>
          <w:sz w:val="24"/>
        </w:rPr>
        <w:t>（自查，将结果盖章）</w:t>
      </w:r>
    </w:p>
    <w:p>
      <w:pPr>
        <w:spacing w:line="440" w:lineRule="exact"/>
        <w:ind w:right="466" w:rightChars="222"/>
        <w:jc w:val="left"/>
        <w:rPr>
          <w:sz w:val="24"/>
        </w:rPr>
      </w:pPr>
      <w:r>
        <w:rPr>
          <w:rFonts w:hint="eastAsia"/>
          <w:sz w:val="24"/>
        </w:rPr>
        <w:t>（按商务评议标准提供）</w:t>
      </w:r>
    </w:p>
    <w:p>
      <w:pPr>
        <w:spacing w:line="440" w:lineRule="exact"/>
        <w:ind w:right="466" w:rightChars="222"/>
        <w:jc w:val="right"/>
        <w:rPr>
          <w:sz w:val="24"/>
        </w:rPr>
      </w:pPr>
    </w:p>
    <w:p>
      <w:pPr>
        <w:spacing w:line="440" w:lineRule="exact"/>
        <w:ind w:right="466" w:rightChars="222"/>
        <w:jc w:val="right"/>
        <w:rPr>
          <w:sz w:val="24"/>
        </w:rPr>
      </w:pPr>
    </w:p>
    <w:p>
      <w:pPr>
        <w:spacing w:line="440" w:lineRule="exact"/>
        <w:ind w:right="466" w:rightChars="222"/>
        <w:jc w:val="right"/>
        <w:rPr>
          <w:sz w:val="24"/>
        </w:rPr>
      </w:pPr>
    </w:p>
    <w:p>
      <w:pPr>
        <w:spacing w:line="440" w:lineRule="exact"/>
        <w:ind w:right="466" w:rightChars="222"/>
        <w:jc w:val="right"/>
        <w:rPr>
          <w:sz w:val="24"/>
        </w:rPr>
      </w:pPr>
    </w:p>
    <w:p>
      <w:pPr>
        <w:jc w:val="left"/>
        <w:rPr>
          <w:sz w:val="24"/>
        </w:rPr>
      </w:pPr>
      <w:r>
        <w:rPr>
          <w:sz w:val="24"/>
        </w:rPr>
        <w:br w:type="page"/>
      </w:r>
    </w:p>
    <w:p>
      <w:pPr>
        <w:spacing w:line="440" w:lineRule="exact"/>
        <w:ind w:right="466" w:rightChars="222"/>
        <w:jc w:val="right"/>
        <w:rPr>
          <w:sz w:val="24"/>
        </w:rPr>
      </w:pPr>
    </w:p>
    <w:p>
      <w:pPr>
        <w:pStyle w:val="123"/>
        <w:spacing w:line="540" w:lineRule="exact"/>
        <w:ind w:right="466" w:rightChars="222" w:firstLine="0" w:firstLineChars="0"/>
        <w:jc w:val="center"/>
        <w:rPr>
          <w:rFonts w:asciiTheme="minorEastAsia" w:hAnsiTheme="minorEastAsia"/>
          <w:b/>
          <w:sz w:val="28"/>
        </w:rPr>
      </w:pPr>
    </w:p>
    <w:p>
      <w:pPr>
        <w:pStyle w:val="123"/>
        <w:spacing w:line="540" w:lineRule="exact"/>
        <w:ind w:right="466" w:rightChars="222" w:firstLine="0" w:firstLineChars="0"/>
        <w:jc w:val="center"/>
        <w:rPr>
          <w:rFonts w:asciiTheme="minorEastAsia" w:hAnsiTheme="minorEastAsia"/>
          <w:b/>
          <w:sz w:val="28"/>
        </w:rPr>
      </w:pPr>
    </w:p>
    <w:p>
      <w:pPr>
        <w:pStyle w:val="123"/>
        <w:spacing w:line="540" w:lineRule="exact"/>
        <w:ind w:right="466" w:rightChars="222" w:firstLine="0" w:firstLineChars="0"/>
        <w:jc w:val="center"/>
        <w:rPr>
          <w:rFonts w:asciiTheme="minorEastAsia" w:hAnsiTheme="minorEastAsia"/>
          <w:b/>
          <w:sz w:val="28"/>
        </w:rPr>
      </w:pPr>
    </w:p>
    <w:p>
      <w:pPr>
        <w:pStyle w:val="123"/>
        <w:spacing w:line="540" w:lineRule="exact"/>
        <w:ind w:right="466" w:rightChars="222" w:firstLine="0" w:firstLineChars="0"/>
        <w:jc w:val="center"/>
        <w:rPr>
          <w:rFonts w:asciiTheme="minorEastAsia" w:hAnsiTheme="minorEastAsia"/>
          <w:b/>
          <w:sz w:val="28"/>
        </w:rPr>
      </w:pPr>
      <w:r>
        <w:rPr>
          <w:rFonts w:hint="eastAsia" w:asciiTheme="minorEastAsia" w:hAnsiTheme="minorEastAsia"/>
          <w:b/>
          <w:sz w:val="28"/>
        </w:rPr>
        <w:t>商务偏离表</w:t>
      </w:r>
    </w:p>
    <w:p>
      <w:pPr>
        <w:adjustRightInd w:val="0"/>
        <w:snapToGrid w:val="0"/>
        <w:spacing w:line="360" w:lineRule="auto"/>
        <w:jc w:val="center"/>
        <w:rPr>
          <w:rFonts w:ascii="宋体" w:hAnsi="宋体"/>
          <w:spacing w:val="20"/>
          <w:sz w:val="32"/>
        </w:rPr>
      </w:pPr>
    </w:p>
    <w:p>
      <w:pPr>
        <w:adjustRightInd w:val="0"/>
        <w:snapToGrid w:val="0"/>
        <w:spacing w:line="360" w:lineRule="auto"/>
        <w:rPr>
          <w:rFonts w:ascii="宋体" w:hAnsi="宋体"/>
          <w:spacing w:val="20"/>
          <w:sz w:val="24"/>
        </w:rPr>
      </w:pPr>
      <w:r>
        <w:rPr>
          <w:rFonts w:hint="eastAsia" w:ascii="宋体" w:hAnsi="宋体"/>
          <w:spacing w:val="20"/>
          <w:sz w:val="24"/>
        </w:rPr>
        <w:t>投标人要将应答文件和采办文件的差异之处汇集成表。技术部分和商务部分要分开单独列表。</w:t>
      </w:r>
    </w:p>
    <w:p>
      <w:pPr>
        <w:adjustRightInd w:val="0"/>
        <w:snapToGrid w:val="0"/>
        <w:spacing w:line="360" w:lineRule="auto"/>
        <w:jc w:val="center"/>
        <w:rPr>
          <w:rFonts w:ascii="宋体" w:hAnsi="宋体"/>
          <w:spacing w:val="20"/>
          <w:sz w:val="28"/>
        </w:rPr>
      </w:pPr>
    </w:p>
    <w:tbl>
      <w:tblPr>
        <w:tblStyle w:val="4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15"/>
        <w:gridCol w:w="2719"/>
        <w:gridCol w:w="1296"/>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Merge w:val="restart"/>
            <w:vAlign w:val="center"/>
          </w:tcPr>
          <w:p>
            <w:pPr>
              <w:adjustRightInd w:val="0"/>
              <w:snapToGrid w:val="0"/>
              <w:jc w:val="center"/>
              <w:rPr>
                <w:rFonts w:ascii="宋体" w:hAnsi="宋体"/>
                <w:sz w:val="24"/>
              </w:rPr>
            </w:pPr>
            <w:r>
              <w:rPr>
                <w:rFonts w:hint="eastAsia" w:ascii="宋体" w:hAnsi="宋体"/>
                <w:sz w:val="24"/>
              </w:rPr>
              <w:t>序号</w:t>
            </w:r>
          </w:p>
        </w:tc>
        <w:tc>
          <w:tcPr>
            <w:tcW w:w="3834" w:type="dxa"/>
            <w:gridSpan w:val="2"/>
            <w:vAlign w:val="center"/>
          </w:tcPr>
          <w:p>
            <w:pPr>
              <w:adjustRightInd w:val="0"/>
              <w:snapToGrid w:val="0"/>
              <w:jc w:val="center"/>
              <w:rPr>
                <w:rFonts w:ascii="宋体" w:hAnsi="宋体"/>
                <w:sz w:val="24"/>
              </w:rPr>
            </w:pPr>
            <w:r>
              <w:rPr>
                <w:rFonts w:hint="eastAsia" w:ascii="宋体" w:hAnsi="宋体"/>
                <w:sz w:val="24"/>
              </w:rPr>
              <w:t>采办文件</w:t>
            </w:r>
          </w:p>
        </w:tc>
        <w:tc>
          <w:tcPr>
            <w:tcW w:w="4252" w:type="dxa"/>
            <w:gridSpan w:val="2"/>
            <w:vAlign w:val="center"/>
          </w:tcPr>
          <w:p>
            <w:pPr>
              <w:adjustRightInd w:val="0"/>
              <w:snapToGrid w:val="0"/>
              <w:jc w:val="center"/>
              <w:rPr>
                <w:rFonts w:ascii="宋体" w:hAnsi="宋体"/>
                <w:spacing w:val="20"/>
                <w:sz w:val="24"/>
              </w:rPr>
            </w:pPr>
            <w:r>
              <w:rPr>
                <w:rFonts w:hint="eastAsia" w:ascii="宋体" w:hAnsi="宋体"/>
                <w:spacing w:val="20"/>
                <w:sz w:val="24"/>
              </w:rPr>
              <w:t>应答文件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Merge w:val="continue"/>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r>
              <w:rPr>
                <w:rFonts w:hint="eastAsia" w:ascii="宋体" w:hAnsi="宋体"/>
                <w:spacing w:val="20"/>
                <w:sz w:val="24"/>
              </w:rPr>
              <w:t>条目</w:t>
            </w:r>
          </w:p>
        </w:tc>
        <w:tc>
          <w:tcPr>
            <w:tcW w:w="2719" w:type="dxa"/>
            <w:vAlign w:val="center"/>
          </w:tcPr>
          <w:p>
            <w:pPr>
              <w:adjustRightInd w:val="0"/>
              <w:snapToGrid w:val="0"/>
              <w:jc w:val="center"/>
              <w:rPr>
                <w:rFonts w:ascii="宋体" w:hAnsi="宋体"/>
                <w:spacing w:val="20"/>
                <w:sz w:val="24"/>
              </w:rPr>
            </w:pPr>
            <w:r>
              <w:rPr>
                <w:rFonts w:hint="eastAsia" w:ascii="宋体" w:hAnsi="宋体"/>
                <w:spacing w:val="20"/>
                <w:sz w:val="24"/>
              </w:rPr>
              <w:t>简 要 内 容</w:t>
            </w:r>
          </w:p>
        </w:tc>
        <w:tc>
          <w:tcPr>
            <w:tcW w:w="1296" w:type="dxa"/>
            <w:vAlign w:val="center"/>
          </w:tcPr>
          <w:p>
            <w:pPr>
              <w:adjustRightInd w:val="0"/>
              <w:snapToGrid w:val="0"/>
              <w:jc w:val="center"/>
              <w:rPr>
                <w:rFonts w:ascii="宋体" w:hAnsi="宋体"/>
                <w:spacing w:val="20"/>
                <w:sz w:val="24"/>
              </w:rPr>
            </w:pPr>
            <w:r>
              <w:rPr>
                <w:rFonts w:hint="eastAsia" w:ascii="宋体" w:hAnsi="宋体"/>
                <w:spacing w:val="20"/>
                <w:sz w:val="24"/>
              </w:rPr>
              <w:t>条目</w:t>
            </w:r>
          </w:p>
        </w:tc>
        <w:tc>
          <w:tcPr>
            <w:tcW w:w="2956" w:type="dxa"/>
            <w:vAlign w:val="center"/>
          </w:tcPr>
          <w:p>
            <w:pPr>
              <w:adjustRightInd w:val="0"/>
              <w:snapToGrid w:val="0"/>
              <w:jc w:val="center"/>
              <w:rPr>
                <w:rFonts w:ascii="宋体" w:hAnsi="宋体"/>
                <w:spacing w:val="20"/>
                <w:sz w:val="24"/>
              </w:rPr>
            </w:pPr>
            <w:r>
              <w:rPr>
                <w:rFonts w:hint="eastAsia" w:ascii="宋体" w:hAnsi="宋体"/>
                <w:spacing w:val="20"/>
                <w:sz w:val="24"/>
              </w:rPr>
              <w:t>简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bl>
    <w:p>
      <w:pPr>
        <w:pStyle w:val="123"/>
        <w:spacing w:line="540" w:lineRule="exact"/>
        <w:ind w:right="466" w:rightChars="222" w:firstLine="0" w:firstLineChars="0"/>
        <w:rPr>
          <w:rFonts w:asciiTheme="minorEastAsia" w:hAnsiTheme="minorEastAsia"/>
          <w:b/>
          <w:sz w:val="28"/>
        </w:rPr>
      </w:pPr>
    </w:p>
    <w:p>
      <w:pPr>
        <w:pStyle w:val="123"/>
        <w:spacing w:line="540" w:lineRule="exact"/>
        <w:ind w:right="466" w:rightChars="222" w:firstLine="0" w:firstLineChars="0"/>
        <w:rPr>
          <w:rFonts w:asciiTheme="minorEastAsia" w:hAnsiTheme="minorEastAsia"/>
          <w:b/>
          <w:sz w:val="28"/>
        </w:rPr>
      </w:pPr>
    </w:p>
    <w:p>
      <w:pPr>
        <w:pStyle w:val="123"/>
        <w:spacing w:line="540" w:lineRule="exact"/>
        <w:ind w:right="466" w:rightChars="222" w:firstLine="0" w:firstLineChars="0"/>
        <w:rPr>
          <w:rFonts w:asciiTheme="minorEastAsia" w:hAnsiTheme="minorEastAsia"/>
          <w:b/>
          <w:sz w:val="28"/>
        </w:rPr>
      </w:pPr>
    </w:p>
    <w:p>
      <w:pPr>
        <w:pStyle w:val="123"/>
        <w:spacing w:line="540" w:lineRule="exact"/>
        <w:ind w:right="466" w:rightChars="222" w:firstLine="0" w:firstLineChars="0"/>
        <w:rPr>
          <w:rFonts w:asciiTheme="minorEastAsia" w:hAnsiTheme="minorEastAsia"/>
          <w:b/>
          <w:sz w:val="28"/>
        </w:rPr>
        <w:sectPr>
          <w:pgSz w:w="11906" w:h="16838"/>
          <w:pgMar w:top="1440" w:right="1700" w:bottom="1440" w:left="1800" w:header="851" w:footer="992" w:gutter="0"/>
          <w:cols w:space="425" w:num="1"/>
          <w:docGrid w:type="lines" w:linePitch="312" w:charSpace="0"/>
        </w:sectPr>
      </w:pPr>
      <w:r>
        <w:rPr>
          <w:rFonts w:hint="eastAsia" w:asciiTheme="minorEastAsia" w:hAnsiTheme="minorEastAsia"/>
          <w:b/>
          <w:sz w:val="28"/>
        </w:rPr>
        <w:t>其它商务材料</w:t>
      </w:r>
    </w:p>
    <w:p>
      <w:pPr>
        <w:widowControl/>
        <w:rPr>
          <w:lang w:val="zh-CN"/>
        </w:rPr>
      </w:pPr>
    </w:p>
    <w:p>
      <w:pPr>
        <w:pStyle w:val="254"/>
        <w:spacing w:before="120"/>
      </w:pPr>
      <w:bookmarkStart w:id="216" w:name="_Toc29871"/>
      <w:bookmarkStart w:id="217" w:name="_Toc16553"/>
      <w:bookmarkStart w:id="218" w:name="_Toc3488"/>
      <w:bookmarkStart w:id="219" w:name="_Toc2871"/>
      <w:bookmarkStart w:id="220" w:name="_Toc20543"/>
      <w:bookmarkStart w:id="221" w:name="_Toc32017"/>
      <w:bookmarkStart w:id="222" w:name="_Toc18249"/>
      <w:r>
        <w:rPr>
          <w:rFonts w:hint="eastAsia"/>
        </w:rPr>
        <w:t>应答</w:t>
      </w:r>
      <w:r>
        <w:rPr>
          <w:rFonts w:hint="eastAsia"/>
          <w:lang w:val="en-US"/>
        </w:rPr>
        <w:t>技术</w:t>
      </w:r>
      <w:r>
        <w:rPr>
          <w:rFonts w:hint="eastAsia"/>
        </w:rPr>
        <w:t>文件格式</w:t>
      </w:r>
      <w:bookmarkEnd w:id="216"/>
      <w:bookmarkEnd w:id="217"/>
      <w:bookmarkEnd w:id="218"/>
      <w:bookmarkEnd w:id="219"/>
      <w:bookmarkEnd w:id="220"/>
      <w:bookmarkEnd w:id="221"/>
      <w:bookmarkEnd w:id="222"/>
    </w:p>
    <w:p>
      <w:pPr>
        <w:spacing w:line="360" w:lineRule="auto"/>
        <w:ind w:right="18"/>
        <w:jc w:val="center"/>
        <w:rPr>
          <w:b/>
          <w:sz w:val="32"/>
          <w:szCs w:val="32"/>
        </w:rPr>
      </w:pPr>
    </w:p>
    <w:p>
      <w:pPr>
        <w:spacing w:line="360" w:lineRule="auto"/>
        <w:ind w:right="18"/>
        <w:jc w:val="center"/>
        <w:rPr>
          <w:b/>
          <w:sz w:val="32"/>
          <w:szCs w:val="32"/>
        </w:rPr>
      </w:pPr>
    </w:p>
    <w:p>
      <w:pPr>
        <w:spacing w:line="360" w:lineRule="auto"/>
        <w:ind w:right="18"/>
        <w:jc w:val="center"/>
        <w:rPr>
          <w:b/>
          <w:sz w:val="32"/>
          <w:szCs w:val="32"/>
        </w:rPr>
      </w:pPr>
      <w:r>
        <w:rPr>
          <w:rFonts w:hint="eastAsia"/>
          <w:b/>
          <w:sz w:val="32"/>
          <w:szCs w:val="32"/>
        </w:rPr>
        <w:t>中国海洋石油东海有限公司</w:t>
      </w:r>
    </w:p>
    <w:p>
      <w:pPr>
        <w:spacing w:line="360" w:lineRule="auto"/>
        <w:ind w:right="18"/>
        <w:jc w:val="center"/>
        <w:rPr>
          <w:b/>
          <w:sz w:val="32"/>
          <w:szCs w:val="32"/>
        </w:rPr>
      </w:pPr>
    </w:p>
    <w:p>
      <w:pPr>
        <w:spacing w:line="360" w:lineRule="auto"/>
        <w:ind w:right="18"/>
        <w:jc w:val="center"/>
        <w:rPr>
          <w:b/>
        </w:rPr>
      </w:pPr>
      <w:r>
        <w:rPr>
          <w:rFonts w:hint="eastAsia"/>
          <w:b/>
          <w:sz w:val="36"/>
          <w:szCs w:val="36"/>
        </w:rPr>
        <w:t>月浦基地综合服务</w:t>
      </w:r>
    </w:p>
    <w:p>
      <w:pPr>
        <w:ind w:right="18"/>
        <w:rPr>
          <w:b/>
        </w:rPr>
      </w:pPr>
    </w:p>
    <w:p>
      <w:pPr>
        <w:ind w:right="18"/>
        <w:rPr>
          <w:b/>
        </w:rPr>
      </w:pPr>
    </w:p>
    <w:p>
      <w:pPr>
        <w:ind w:right="18"/>
        <w:rPr>
          <w:b/>
        </w:rPr>
      </w:pPr>
    </w:p>
    <w:p>
      <w:pPr>
        <w:pStyle w:val="6"/>
        <w:spacing w:before="0" w:after="0"/>
        <w:jc w:val="center"/>
        <w:rPr>
          <w:rFonts w:ascii="宋体" w:hAnsi="宋体"/>
          <w:sz w:val="72"/>
          <w:szCs w:val="72"/>
        </w:rPr>
      </w:pPr>
      <w:r>
        <w:rPr>
          <w:rFonts w:hint="eastAsia" w:ascii="宋体" w:hAnsi="宋体"/>
          <w:sz w:val="72"/>
          <w:szCs w:val="72"/>
        </w:rPr>
        <w:t>技术文件</w:t>
      </w:r>
    </w:p>
    <w:p>
      <w:pPr>
        <w:ind w:right="18"/>
      </w:pPr>
    </w:p>
    <w:p>
      <w:pPr>
        <w:ind w:right="18"/>
        <w:rPr>
          <w:b/>
          <w:bCs/>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ind w:right="18"/>
        <w:rPr>
          <w:b/>
        </w:rPr>
      </w:pPr>
    </w:p>
    <w:bookmarkEnd w:id="215"/>
    <w:p>
      <w:pPr>
        <w:pStyle w:val="123"/>
        <w:spacing w:line="480" w:lineRule="auto"/>
        <w:ind w:right="18" w:firstLine="0" w:firstLineChars="0"/>
        <w:rPr>
          <w:rFonts w:ascii="宋体" w:hAnsi="宋体"/>
          <w:b/>
          <w:sz w:val="24"/>
        </w:rPr>
      </w:pPr>
    </w:p>
    <w:p>
      <w:pPr>
        <w:pStyle w:val="123"/>
        <w:spacing w:line="480" w:lineRule="auto"/>
        <w:ind w:right="17" w:firstLine="0" w:firstLineChars="0"/>
        <w:jc w:val="center"/>
        <w:rPr>
          <w:rFonts w:ascii="宋体" w:hAnsi="宋体"/>
          <w:sz w:val="24"/>
          <w:u w:val="single"/>
        </w:rPr>
      </w:pPr>
      <w:r>
        <w:rPr>
          <w:rFonts w:hint="eastAsia" w:ascii="宋体" w:hAnsi="宋体"/>
          <w:sz w:val="24"/>
        </w:rPr>
        <w:t>投标人：</w:t>
      </w:r>
      <w:r>
        <w:rPr>
          <w:rFonts w:hint="eastAsia" w:ascii="仿宋_GB2312" w:hAnsi="宋体" w:eastAsia="仿宋_GB2312"/>
          <w:sz w:val="24"/>
          <w:szCs w:val="21"/>
          <w:u w:val="single"/>
        </w:rPr>
        <w:t>（全称、单位公章）</w:t>
      </w:r>
    </w:p>
    <w:p>
      <w:pPr>
        <w:pStyle w:val="123"/>
        <w:spacing w:line="480" w:lineRule="auto"/>
        <w:ind w:right="17" w:firstLine="0" w:firstLineChars="0"/>
        <w:jc w:val="center"/>
        <w:rPr>
          <w:rFonts w:ascii="宋体" w:hAnsi="宋体"/>
          <w:sz w:val="24"/>
          <w:u w:val="single"/>
        </w:rPr>
      </w:pPr>
      <w:r>
        <w:rPr>
          <w:rFonts w:hint="eastAsia" w:ascii="宋体" w:hAnsi="宋体"/>
          <w:sz w:val="24"/>
        </w:rPr>
        <w:t>法定代表人或其授权代理人：</w:t>
      </w:r>
      <w:r>
        <w:rPr>
          <w:rFonts w:hint="eastAsia" w:ascii="仿宋_GB2312" w:hAnsi="宋体" w:eastAsia="仿宋_GB2312"/>
          <w:sz w:val="24"/>
          <w:szCs w:val="21"/>
          <w:u w:val="single"/>
        </w:rPr>
        <w:t>（签字）</w:t>
      </w:r>
    </w:p>
    <w:p>
      <w:pPr>
        <w:spacing w:line="480" w:lineRule="auto"/>
        <w:ind w:right="18"/>
        <w:jc w:val="center"/>
        <w:rPr>
          <w:rFonts w:ascii="宋体" w:hAnsi="宋体"/>
          <w:sz w:val="24"/>
        </w:rPr>
      </w:pPr>
      <w:r>
        <w:rPr>
          <w:rFonts w:hint="eastAsia" w:ascii="宋体" w:hAnsi="宋体"/>
          <w:sz w:val="24"/>
        </w:rPr>
        <w:t>日期：202*年**月**日</w:t>
      </w:r>
    </w:p>
    <w:p>
      <w:pPr>
        <w:spacing w:line="480" w:lineRule="auto"/>
        <w:ind w:right="18"/>
        <w:jc w:val="center"/>
        <w:rPr>
          <w:rFonts w:ascii="宋体" w:hAnsi="宋体"/>
          <w:sz w:val="24"/>
        </w:rPr>
        <w:sectPr>
          <w:pgSz w:w="11906" w:h="16838"/>
          <w:pgMar w:top="1332" w:right="1797" w:bottom="1332" w:left="1797" w:header="851" w:footer="873" w:gutter="0"/>
          <w:cols w:space="425" w:num="1"/>
          <w:titlePg/>
          <w:docGrid w:linePitch="326" w:charSpace="0"/>
        </w:sectPr>
      </w:pPr>
    </w:p>
    <w:p>
      <w:pPr>
        <w:jc w:val="center"/>
        <w:rPr>
          <w:rFonts w:ascii="黑体" w:hAnsi="黑体" w:eastAsia="黑体"/>
          <w:b/>
          <w:sz w:val="32"/>
          <w:szCs w:val="30"/>
        </w:rPr>
      </w:pPr>
      <w:r>
        <w:rPr>
          <w:rFonts w:hint="eastAsia"/>
          <w:b/>
          <w:sz w:val="28"/>
        </w:rPr>
        <w:t>技术文件内容要求</w:t>
      </w:r>
    </w:p>
    <w:p>
      <w:pPr>
        <w:tabs>
          <w:tab w:val="left" w:pos="2977"/>
        </w:tabs>
        <w:spacing w:line="360" w:lineRule="auto"/>
        <w:ind w:firstLine="441" w:firstLineChars="210"/>
        <w:rPr>
          <w:rFonts w:ascii="宋体" w:hAnsi="宋体"/>
        </w:rPr>
      </w:pPr>
      <w:r>
        <w:rPr>
          <w:rFonts w:hint="eastAsia" w:ascii="宋体" w:hAnsi="宋体"/>
        </w:rPr>
        <w:t>投标人编制的技术文件包括但不限于以下内容：</w:t>
      </w:r>
    </w:p>
    <w:p>
      <w:pPr>
        <w:tabs>
          <w:tab w:val="left" w:pos="2977"/>
        </w:tabs>
        <w:spacing w:line="360" w:lineRule="auto"/>
        <w:ind w:firstLine="441" w:firstLineChars="210"/>
        <w:rPr>
          <w:rFonts w:ascii="宋体" w:hAnsi="宋体"/>
        </w:rPr>
      </w:pPr>
    </w:p>
    <w:p>
      <w:pPr>
        <w:ind w:firstLine="2749" w:firstLineChars="1141"/>
        <w:rPr>
          <w:b/>
          <w:bCs/>
          <w:sz w:val="24"/>
          <w:szCs w:val="24"/>
        </w:rPr>
      </w:pPr>
      <w:r>
        <w:rPr>
          <w:rFonts w:hint="eastAsia"/>
          <w:b/>
          <w:bCs/>
          <w:sz w:val="24"/>
          <w:szCs w:val="24"/>
        </w:rPr>
        <w:t>拟投入的主要人员汇总表</w:t>
      </w:r>
    </w:p>
    <w:p>
      <w:pPr>
        <w:numPr>
          <w:ilvl w:val="0"/>
          <w:numId w:val="66"/>
        </w:numPr>
        <w:spacing w:line="360" w:lineRule="auto"/>
        <w:jc w:val="left"/>
        <w:rPr>
          <w:rFonts w:ascii="宋体" w:hAnsi="宋体"/>
          <w:b/>
          <w:sz w:val="28"/>
        </w:rPr>
      </w:pPr>
      <w:r>
        <w:rPr>
          <w:rFonts w:hint="eastAsia" w:ascii="宋体" w:hAnsi="宋体"/>
          <w:b/>
          <w:sz w:val="28"/>
        </w:rPr>
        <w:t>技术响应</w:t>
      </w:r>
    </w:p>
    <w:p>
      <w:pPr>
        <w:pStyle w:val="123"/>
        <w:numPr>
          <w:ilvl w:val="1"/>
          <w:numId w:val="66"/>
        </w:numPr>
        <w:spacing w:line="360" w:lineRule="auto"/>
        <w:ind w:firstLineChars="0"/>
        <w:jc w:val="left"/>
        <w:rPr>
          <w:rFonts w:ascii="宋体" w:hAnsi="宋体"/>
        </w:rPr>
      </w:pPr>
      <w:r>
        <w:rPr>
          <w:rFonts w:hint="eastAsia" w:ascii="宋体" w:hAnsi="宋体"/>
        </w:rPr>
        <w:t>服务工作范围：描述投标人一旦成交并签订合同后，投标人将依据询价文件及合同条款约定，必须完成的相应工作内容及工作标准；</w:t>
      </w:r>
    </w:p>
    <w:p>
      <w:pPr>
        <w:pStyle w:val="123"/>
        <w:numPr>
          <w:ilvl w:val="1"/>
          <w:numId w:val="66"/>
        </w:numPr>
        <w:spacing w:line="360" w:lineRule="auto"/>
        <w:ind w:firstLineChars="0"/>
        <w:jc w:val="left"/>
        <w:rPr>
          <w:rFonts w:ascii="宋体" w:hAnsi="宋体"/>
        </w:rPr>
      </w:pPr>
      <w:r>
        <w:rPr>
          <w:rFonts w:ascii="宋体" w:hAnsi="宋体"/>
        </w:rPr>
        <w:t>如</w:t>
      </w:r>
      <w:r>
        <w:rPr>
          <w:rFonts w:hint="eastAsia" w:ascii="宋体" w:hAnsi="宋体"/>
        </w:rPr>
        <w:t>投标人</w:t>
      </w:r>
      <w:r>
        <w:rPr>
          <w:rFonts w:ascii="宋体" w:hAnsi="宋体"/>
        </w:rPr>
        <w:t>对技术要求有异议</w:t>
      </w:r>
      <w:r>
        <w:rPr>
          <w:rFonts w:hint="eastAsia" w:ascii="宋体" w:hAnsi="宋体"/>
        </w:rPr>
        <w:t>（包括但不限于</w:t>
      </w:r>
      <w:r>
        <w:rPr>
          <w:rFonts w:ascii="宋体" w:hAnsi="宋体"/>
        </w:rPr>
        <w:t>规格</w:t>
      </w:r>
      <w:r>
        <w:rPr>
          <w:rFonts w:hint="eastAsia" w:ascii="宋体" w:hAnsi="宋体"/>
        </w:rPr>
        <w:t>、</w:t>
      </w:r>
      <w:r>
        <w:rPr>
          <w:rFonts w:ascii="宋体" w:hAnsi="宋体"/>
        </w:rPr>
        <w:t>尺寸</w:t>
      </w:r>
      <w:r>
        <w:rPr>
          <w:rFonts w:hint="eastAsia" w:ascii="宋体" w:hAnsi="宋体"/>
        </w:rPr>
        <w:t>、</w:t>
      </w:r>
      <w:r>
        <w:rPr>
          <w:rFonts w:ascii="宋体" w:hAnsi="宋体"/>
        </w:rPr>
        <w:t>材质</w:t>
      </w:r>
      <w:r>
        <w:rPr>
          <w:rFonts w:hint="eastAsia" w:ascii="宋体" w:hAnsi="宋体"/>
        </w:rPr>
        <w:t>、</w:t>
      </w:r>
      <w:r>
        <w:rPr>
          <w:rFonts w:ascii="宋体" w:hAnsi="宋体"/>
        </w:rPr>
        <w:t>安装等</w:t>
      </w:r>
      <w:r>
        <w:rPr>
          <w:rFonts w:hint="eastAsia" w:ascii="宋体" w:hAnsi="宋体"/>
        </w:rPr>
        <w:t>），</w:t>
      </w:r>
      <w:r>
        <w:rPr>
          <w:rFonts w:ascii="宋体" w:hAnsi="宋体"/>
        </w:rPr>
        <w:t>请在差异表中提出</w:t>
      </w:r>
      <w:r>
        <w:rPr>
          <w:rFonts w:hint="eastAsia" w:ascii="宋体" w:hAnsi="宋体"/>
        </w:rPr>
        <w:t>；</w:t>
      </w:r>
      <w:r>
        <w:rPr>
          <w:rFonts w:ascii="宋体" w:hAnsi="宋体"/>
        </w:rPr>
        <w:t>如无差异</w:t>
      </w:r>
      <w:r>
        <w:rPr>
          <w:rFonts w:hint="eastAsia" w:ascii="宋体" w:hAnsi="宋体"/>
        </w:rPr>
        <w:t>，</w:t>
      </w:r>
      <w:r>
        <w:rPr>
          <w:rFonts w:ascii="宋体" w:hAnsi="宋体"/>
        </w:rPr>
        <w:t>则视为</w:t>
      </w:r>
      <w:r>
        <w:rPr>
          <w:rFonts w:hint="eastAsia" w:ascii="宋体" w:hAnsi="宋体"/>
        </w:rPr>
        <w:t>投标人</w:t>
      </w:r>
      <w:r>
        <w:rPr>
          <w:rFonts w:ascii="宋体" w:hAnsi="宋体"/>
        </w:rPr>
        <w:t>完全接受并可按技术要求执行服务</w:t>
      </w:r>
      <w:r>
        <w:rPr>
          <w:rFonts w:hint="eastAsia" w:ascii="宋体" w:hAnsi="宋体"/>
        </w:rPr>
        <w:t>。</w:t>
      </w:r>
    </w:p>
    <w:p>
      <w:pPr>
        <w:numPr>
          <w:ilvl w:val="0"/>
          <w:numId w:val="66"/>
        </w:numPr>
        <w:spacing w:line="360" w:lineRule="auto"/>
        <w:jc w:val="left"/>
        <w:rPr>
          <w:rFonts w:ascii="宋体" w:hAnsi="宋体"/>
          <w:b/>
          <w:sz w:val="28"/>
        </w:rPr>
      </w:pPr>
      <w:r>
        <w:rPr>
          <w:rFonts w:hint="eastAsia" w:ascii="宋体" w:hAnsi="宋体"/>
          <w:b/>
          <w:sz w:val="28"/>
        </w:rPr>
        <w:t>技术偏离表</w:t>
      </w:r>
    </w:p>
    <w:p>
      <w:pPr>
        <w:adjustRightInd w:val="0"/>
        <w:snapToGrid w:val="0"/>
        <w:spacing w:line="360" w:lineRule="auto"/>
        <w:rPr>
          <w:rFonts w:ascii="宋体" w:hAnsi="宋体"/>
          <w:spacing w:val="20"/>
          <w:sz w:val="24"/>
        </w:rPr>
      </w:pPr>
      <w:r>
        <w:rPr>
          <w:rFonts w:hint="eastAsia" w:ascii="宋体" w:hAnsi="宋体"/>
          <w:spacing w:val="20"/>
          <w:sz w:val="24"/>
        </w:rPr>
        <w:t>投标人要将应答文件和采办文件的差异之处汇集成表。技术部分和商务部分要分开单独列表。</w:t>
      </w:r>
    </w:p>
    <w:tbl>
      <w:tblPr>
        <w:tblStyle w:val="46"/>
        <w:tblpPr w:leftFromText="180" w:rightFromText="180" w:vertAnchor="text" w:horzAnchor="margin" w:tblpY="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15"/>
        <w:gridCol w:w="2719"/>
        <w:gridCol w:w="1296"/>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Merge w:val="restart"/>
            <w:vAlign w:val="center"/>
          </w:tcPr>
          <w:p>
            <w:pPr>
              <w:adjustRightInd w:val="0"/>
              <w:snapToGrid w:val="0"/>
              <w:jc w:val="center"/>
              <w:rPr>
                <w:rFonts w:ascii="宋体" w:hAnsi="宋体"/>
                <w:sz w:val="24"/>
              </w:rPr>
            </w:pPr>
            <w:r>
              <w:rPr>
                <w:rFonts w:hint="eastAsia" w:ascii="宋体" w:hAnsi="宋体"/>
                <w:sz w:val="24"/>
              </w:rPr>
              <w:t>序号</w:t>
            </w:r>
          </w:p>
        </w:tc>
        <w:tc>
          <w:tcPr>
            <w:tcW w:w="3834" w:type="dxa"/>
            <w:gridSpan w:val="2"/>
            <w:vAlign w:val="center"/>
          </w:tcPr>
          <w:p>
            <w:pPr>
              <w:adjustRightInd w:val="0"/>
              <w:snapToGrid w:val="0"/>
              <w:jc w:val="center"/>
              <w:rPr>
                <w:rFonts w:ascii="宋体" w:hAnsi="宋体"/>
                <w:sz w:val="24"/>
              </w:rPr>
            </w:pPr>
            <w:r>
              <w:rPr>
                <w:rFonts w:hint="eastAsia" w:ascii="宋体" w:hAnsi="宋体"/>
                <w:sz w:val="24"/>
              </w:rPr>
              <w:t>采办文件</w:t>
            </w:r>
          </w:p>
        </w:tc>
        <w:tc>
          <w:tcPr>
            <w:tcW w:w="4252" w:type="dxa"/>
            <w:gridSpan w:val="2"/>
            <w:vAlign w:val="center"/>
          </w:tcPr>
          <w:p>
            <w:pPr>
              <w:adjustRightInd w:val="0"/>
              <w:snapToGrid w:val="0"/>
              <w:jc w:val="center"/>
              <w:rPr>
                <w:rFonts w:ascii="宋体" w:hAnsi="宋体"/>
                <w:spacing w:val="20"/>
                <w:sz w:val="24"/>
              </w:rPr>
            </w:pPr>
            <w:r>
              <w:rPr>
                <w:rFonts w:hint="eastAsia" w:ascii="宋体" w:hAnsi="宋体"/>
                <w:spacing w:val="20"/>
                <w:sz w:val="24"/>
              </w:rPr>
              <w:t>应答文件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Merge w:val="continue"/>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r>
              <w:rPr>
                <w:rFonts w:hint="eastAsia" w:ascii="宋体" w:hAnsi="宋体"/>
                <w:spacing w:val="20"/>
                <w:sz w:val="24"/>
              </w:rPr>
              <w:t>条目</w:t>
            </w:r>
          </w:p>
        </w:tc>
        <w:tc>
          <w:tcPr>
            <w:tcW w:w="2719" w:type="dxa"/>
            <w:vAlign w:val="center"/>
          </w:tcPr>
          <w:p>
            <w:pPr>
              <w:adjustRightInd w:val="0"/>
              <w:snapToGrid w:val="0"/>
              <w:jc w:val="center"/>
              <w:rPr>
                <w:rFonts w:ascii="宋体" w:hAnsi="宋体"/>
                <w:spacing w:val="20"/>
                <w:sz w:val="24"/>
              </w:rPr>
            </w:pPr>
            <w:r>
              <w:rPr>
                <w:rFonts w:hint="eastAsia" w:ascii="宋体" w:hAnsi="宋体"/>
                <w:spacing w:val="20"/>
                <w:sz w:val="24"/>
              </w:rPr>
              <w:t>简 要 内 容</w:t>
            </w:r>
          </w:p>
        </w:tc>
        <w:tc>
          <w:tcPr>
            <w:tcW w:w="1296" w:type="dxa"/>
            <w:vAlign w:val="center"/>
          </w:tcPr>
          <w:p>
            <w:pPr>
              <w:adjustRightInd w:val="0"/>
              <w:snapToGrid w:val="0"/>
              <w:jc w:val="center"/>
              <w:rPr>
                <w:rFonts w:ascii="宋体" w:hAnsi="宋体"/>
                <w:spacing w:val="20"/>
                <w:sz w:val="24"/>
              </w:rPr>
            </w:pPr>
            <w:r>
              <w:rPr>
                <w:rFonts w:hint="eastAsia" w:ascii="宋体" w:hAnsi="宋体"/>
                <w:spacing w:val="20"/>
                <w:sz w:val="24"/>
              </w:rPr>
              <w:t>条目</w:t>
            </w:r>
          </w:p>
        </w:tc>
        <w:tc>
          <w:tcPr>
            <w:tcW w:w="2956" w:type="dxa"/>
            <w:vAlign w:val="center"/>
          </w:tcPr>
          <w:p>
            <w:pPr>
              <w:adjustRightInd w:val="0"/>
              <w:snapToGrid w:val="0"/>
              <w:jc w:val="center"/>
              <w:rPr>
                <w:rFonts w:ascii="宋体" w:hAnsi="宋体"/>
                <w:spacing w:val="20"/>
                <w:sz w:val="24"/>
              </w:rPr>
            </w:pPr>
            <w:r>
              <w:rPr>
                <w:rFonts w:hint="eastAsia" w:ascii="宋体" w:hAnsi="宋体"/>
                <w:spacing w:val="20"/>
                <w:sz w:val="24"/>
              </w:rPr>
              <w:t>简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69" w:type="dxa"/>
            <w:vAlign w:val="center"/>
          </w:tcPr>
          <w:p>
            <w:pPr>
              <w:adjustRightInd w:val="0"/>
              <w:snapToGrid w:val="0"/>
              <w:jc w:val="center"/>
              <w:rPr>
                <w:rFonts w:ascii="宋体" w:hAnsi="宋体"/>
                <w:spacing w:val="20"/>
                <w:sz w:val="24"/>
              </w:rPr>
            </w:pPr>
          </w:p>
        </w:tc>
        <w:tc>
          <w:tcPr>
            <w:tcW w:w="1115" w:type="dxa"/>
            <w:vAlign w:val="center"/>
          </w:tcPr>
          <w:p>
            <w:pPr>
              <w:adjustRightInd w:val="0"/>
              <w:snapToGrid w:val="0"/>
              <w:jc w:val="center"/>
              <w:rPr>
                <w:rFonts w:ascii="宋体" w:hAnsi="宋体"/>
                <w:spacing w:val="20"/>
                <w:sz w:val="24"/>
              </w:rPr>
            </w:pPr>
          </w:p>
        </w:tc>
        <w:tc>
          <w:tcPr>
            <w:tcW w:w="2719" w:type="dxa"/>
            <w:vAlign w:val="center"/>
          </w:tcPr>
          <w:p>
            <w:pPr>
              <w:adjustRightInd w:val="0"/>
              <w:snapToGrid w:val="0"/>
              <w:jc w:val="center"/>
              <w:rPr>
                <w:rFonts w:ascii="宋体" w:hAnsi="宋体"/>
                <w:spacing w:val="20"/>
                <w:sz w:val="24"/>
              </w:rPr>
            </w:pPr>
          </w:p>
        </w:tc>
        <w:tc>
          <w:tcPr>
            <w:tcW w:w="1296" w:type="dxa"/>
            <w:vAlign w:val="center"/>
          </w:tcPr>
          <w:p>
            <w:pPr>
              <w:adjustRightInd w:val="0"/>
              <w:snapToGrid w:val="0"/>
              <w:jc w:val="center"/>
              <w:rPr>
                <w:rFonts w:ascii="宋体" w:hAnsi="宋体"/>
                <w:spacing w:val="20"/>
                <w:sz w:val="24"/>
              </w:rPr>
            </w:pPr>
          </w:p>
        </w:tc>
        <w:tc>
          <w:tcPr>
            <w:tcW w:w="2956" w:type="dxa"/>
            <w:vAlign w:val="center"/>
          </w:tcPr>
          <w:p>
            <w:pPr>
              <w:adjustRightInd w:val="0"/>
              <w:snapToGrid w:val="0"/>
              <w:jc w:val="center"/>
              <w:rPr>
                <w:rFonts w:ascii="宋体" w:hAnsi="宋体"/>
                <w:spacing w:val="20"/>
                <w:sz w:val="24"/>
              </w:rPr>
            </w:pPr>
          </w:p>
        </w:tc>
      </w:tr>
    </w:tbl>
    <w:p>
      <w:pPr>
        <w:spacing w:line="360" w:lineRule="auto"/>
        <w:jc w:val="left"/>
        <w:rPr>
          <w:rFonts w:ascii="宋体" w:hAnsi="宋体"/>
          <w:b/>
          <w:sz w:val="28"/>
        </w:rPr>
      </w:pPr>
    </w:p>
    <w:p>
      <w:pPr>
        <w:numPr>
          <w:ilvl w:val="0"/>
          <w:numId w:val="66"/>
        </w:numPr>
        <w:spacing w:line="360" w:lineRule="auto"/>
        <w:jc w:val="left"/>
        <w:rPr>
          <w:rFonts w:ascii="宋体" w:hAnsi="宋体"/>
          <w:b/>
          <w:sz w:val="28"/>
        </w:rPr>
      </w:pPr>
      <w:r>
        <w:rPr>
          <w:rFonts w:hint="eastAsia" w:ascii="宋体" w:hAnsi="宋体"/>
          <w:b/>
          <w:sz w:val="28"/>
        </w:rPr>
        <w:t>合理化</w:t>
      </w:r>
      <w:r>
        <w:rPr>
          <w:rFonts w:ascii="宋体" w:hAnsi="宋体"/>
          <w:b/>
          <w:sz w:val="28"/>
        </w:rPr>
        <w:t>建议</w:t>
      </w:r>
    </w:p>
    <w:p>
      <w:pPr>
        <w:ind w:left="567"/>
        <w:rPr>
          <w:rFonts w:ascii="宋体" w:hAnsi="宋体"/>
        </w:rPr>
      </w:pPr>
      <w:r>
        <w:rPr>
          <w:rFonts w:hint="eastAsia" w:ascii="宋体" w:hAnsi="宋体"/>
        </w:rPr>
        <w:t>投标人如有合理化建议可以加以描述。</w:t>
      </w:r>
    </w:p>
    <w:p>
      <w:pPr>
        <w:spacing w:beforeLines="700" w:line="360" w:lineRule="auto"/>
        <w:ind w:left="568" w:right="17"/>
        <w:jc w:val="center"/>
        <w:rPr>
          <w:rFonts w:ascii="宋体" w:hAnsi="宋体"/>
        </w:rPr>
      </w:pPr>
      <w:r>
        <w:rPr>
          <w:rFonts w:ascii="宋体" w:hAnsi="宋体"/>
        </w:rPr>
        <w:br w:type="page"/>
      </w:r>
    </w:p>
    <w:p>
      <w:pPr>
        <w:pStyle w:val="254"/>
        <w:spacing w:before="156"/>
        <w:rPr>
          <w:rFonts w:ascii="宋体" w:hAnsi="宋体"/>
        </w:rPr>
      </w:pPr>
      <w:bookmarkStart w:id="223" w:name="_Toc6508"/>
      <w:bookmarkStart w:id="224" w:name="_Toc21178"/>
      <w:bookmarkStart w:id="225" w:name="_Toc12281"/>
      <w:bookmarkStart w:id="226" w:name="_Toc11145"/>
      <w:bookmarkStart w:id="227" w:name="_Toc940"/>
      <w:bookmarkStart w:id="228" w:name="_Toc20434"/>
      <w:bookmarkStart w:id="229" w:name="_Toc6179"/>
      <w:r>
        <w:rPr>
          <w:rFonts w:hint="eastAsia"/>
          <w:sz w:val="32"/>
          <w:szCs w:val="32"/>
        </w:rPr>
        <w:t>应答价格文件格式</w:t>
      </w:r>
      <w:bookmarkEnd w:id="223"/>
      <w:bookmarkEnd w:id="224"/>
      <w:bookmarkEnd w:id="225"/>
      <w:bookmarkEnd w:id="226"/>
      <w:bookmarkEnd w:id="227"/>
      <w:bookmarkEnd w:id="228"/>
      <w:bookmarkEnd w:id="229"/>
    </w:p>
    <w:p>
      <w:pPr>
        <w:ind w:right="18"/>
        <w:jc w:val="center"/>
        <w:rPr>
          <w:b/>
          <w:sz w:val="32"/>
          <w:szCs w:val="32"/>
        </w:rPr>
      </w:pPr>
    </w:p>
    <w:p>
      <w:pPr>
        <w:ind w:right="18"/>
        <w:jc w:val="center"/>
        <w:rPr>
          <w:b/>
          <w:sz w:val="32"/>
          <w:szCs w:val="32"/>
        </w:rPr>
      </w:pPr>
    </w:p>
    <w:p>
      <w:pPr>
        <w:ind w:right="18"/>
        <w:jc w:val="center"/>
        <w:rPr>
          <w:b/>
          <w:sz w:val="32"/>
          <w:szCs w:val="32"/>
        </w:rPr>
      </w:pPr>
      <w:r>
        <w:rPr>
          <w:rFonts w:hint="eastAsia"/>
          <w:b/>
          <w:sz w:val="32"/>
          <w:szCs w:val="32"/>
        </w:rPr>
        <w:t>中国海洋石油东海有限公司</w:t>
      </w:r>
    </w:p>
    <w:p>
      <w:pPr>
        <w:ind w:right="18"/>
        <w:jc w:val="center"/>
        <w:rPr>
          <w:b/>
          <w:sz w:val="36"/>
          <w:szCs w:val="36"/>
        </w:rPr>
      </w:pPr>
    </w:p>
    <w:p>
      <w:pPr>
        <w:ind w:right="18"/>
        <w:jc w:val="center"/>
        <w:rPr>
          <w:b/>
        </w:rPr>
      </w:pPr>
      <w:r>
        <w:rPr>
          <w:rFonts w:hint="eastAsia"/>
          <w:b/>
          <w:sz w:val="36"/>
          <w:szCs w:val="36"/>
        </w:rPr>
        <w:t>月浦基地综合服务</w:t>
      </w:r>
    </w:p>
    <w:p>
      <w:pPr>
        <w:ind w:right="18"/>
        <w:rPr>
          <w:b/>
        </w:rPr>
      </w:pPr>
    </w:p>
    <w:p>
      <w:pPr>
        <w:ind w:right="18"/>
        <w:rPr>
          <w:b/>
        </w:rPr>
      </w:pPr>
    </w:p>
    <w:p>
      <w:pPr>
        <w:ind w:right="18"/>
        <w:rPr>
          <w:b/>
        </w:rPr>
      </w:pPr>
    </w:p>
    <w:p>
      <w:pPr>
        <w:pStyle w:val="6"/>
        <w:spacing w:before="0" w:after="0"/>
        <w:jc w:val="center"/>
        <w:rPr>
          <w:rFonts w:ascii="宋体" w:hAnsi="宋体"/>
          <w:sz w:val="72"/>
          <w:szCs w:val="72"/>
        </w:rPr>
      </w:pPr>
      <w:r>
        <w:rPr>
          <w:rFonts w:hint="eastAsia" w:ascii="宋体" w:hAnsi="宋体"/>
          <w:sz w:val="72"/>
          <w:szCs w:val="72"/>
        </w:rPr>
        <w:t>价格文件</w:t>
      </w:r>
    </w:p>
    <w:p>
      <w:pPr>
        <w:ind w:right="18"/>
      </w:pPr>
    </w:p>
    <w:p>
      <w:pPr>
        <w:ind w:right="18"/>
        <w:rPr>
          <w:b/>
          <w:bCs/>
        </w:rPr>
      </w:pPr>
    </w:p>
    <w:p>
      <w:pPr>
        <w:ind w:right="18"/>
        <w:rPr>
          <w:b/>
        </w:rPr>
      </w:pPr>
    </w:p>
    <w:p>
      <w:pPr>
        <w:ind w:right="18"/>
        <w:rPr>
          <w:b/>
        </w:rPr>
      </w:pPr>
    </w:p>
    <w:p>
      <w:pPr>
        <w:ind w:right="18"/>
        <w:rPr>
          <w:b/>
        </w:rPr>
      </w:pPr>
    </w:p>
    <w:p>
      <w:pPr>
        <w:ind w:right="18"/>
        <w:rPr>
          <w:b/>
        </w:rPr>
      </w:pPr>
    </w:p>
    <w:p>
      <w:pPr>
        <w:ind w:right="18"/>
        <w:rPr>
          <w:b/>
        </w:rPr>
      </w:pPr>
    </w:p>
    <w:p>
      <w:pPr>
        <w:ind w:right="18"/>
        <w:rPr>
          <w:b/>
        </w:rPr>
      </w:pPr>
    </w:p>
    <w:p>
      <w:pPr>
        <w:ind w:right="18"/>
        <w:rPr>
          <w:rFonts w:ascii="宋体" w:hAnsi="宋体"/>
          <w:b/>
        </w:rPr>
      </w:pPr>
    </w:p>
    <w:p>
      <w:pPr>
        <w:pStyle w:val="123"/>
        <w:spacing w:line="480" w:lineRule="auto"/>
        <w:ind w:right="17" w:firstLine="0" w:firstLineChars="0"/>
        <w:jc w:val="center"/>
        <w:rPr>
          <w:rFonts w:ascii="宋体" w:hAnsi="宋体"/>
          <w:sz w:val="24"/>
          <w:u w:val="single"/>
        </w:rPr>
      </w:pPr>
      <w:r>
        <w:rPr>
          <w:rFonts w:hint="eastAsia" w:ascii="宋体" w:hAnsi="宋体"/>
          <w:sz w:val="24"/>
        </w:rPr>
        <w:t>投标人：</w:t>
      </w:r>
      <w:r>
        <w:rPr>
          <w:rFonts w:hint="eastAsia" w:ascii="仿宋_GB2312" w:hAnsi="宋体" w:eastAsia="仿宋_GB2312"/>
          <w:sz w:val="24"/>
          <w:szCs w:val="21"/>
          <w:u w:val="single"/>
        </w:rPr>
        <w:t>（全称、单位公章）</w:t>
      </w:r>
    </w:p>
    <w:p>
      <w:pPr>
        <w:pStyle w:val="123"/>
        <w:spacing w:line="480" w:lineRule="auto"/>
        <w:ind w:right="17" w:firstLine="0" w:firstLineChars="0"/>
        <w:jc w:val="center"/>
        <w:rPr>
          <w:rFonts w:ascii="宋体" w:hAnsi="宋体"/>
          <w:sz w:val="24"/>
          <w:u w:val="single"/>
        </w:rPr>
      </w:pPr>
      <w:r>
        <w:rPr>
          <w:rFonts w:hint="eastAsia" w:ascii="宋体" w:hAnsi="宋体"/>
          <w:sz w:val="24"/>
        </w:rPr>
        <w:t>法定代表人或其授权代理人：</w:t>
      </w:r>
      <w:r>
        <w:rPr>
          <w:rFonts w:hint="eastAsia" w:ascii="仿宋_GB2312" w:hAnsi="宋体" w:eastAsia="仿宋_GB2312"/>
          <w:sz w:val="24"/>
          <w:szCs w:val="21"/>
          <w:u w:val="single"/>
        </w:rPr>
        <w:t>（签字）</w:t>
      </w:r>
    </w:p>
    <w:p>
      <w:pPr>
        <w:spacing w:line="360" w:lineRule="auto"/>
        <w:jc w:val="center"/>
        <w:rPr>
          <w:b/>
          <w:sz w:val="28"/>
        </w:rPr>
      </w:pPr>
      <w:r>
        <w:rPr>
          <w:rFonts w:hint="eastAsia" w:ascii="宋体" w:hAnsi="宋体"/>
          <w:sz w:val="24"/>
        </w:rPr>
        <w:t>日期：202*年</w:t>
      </w:r>
      <w:r>
        <w:rPr>
          <w:rFonts w:hint="eastAsia"/>
          <w:sz w:val="24"/>
        </w:rPr>
        <w:t>**</w:t>
      </w:r>
      <w:r>
        <w:rPr>
          <w:rFonts w:hint="eastAsia" w:ascii="宋体" w:hAnsi="宋体"/>
          <w:sz w:val="24"/>
        </w:rPr>
        <w:t>月</w:t>
      </w:r>
      <w:r>
        <w:rPr>
          <w:rFonts w:hint="eastAsia"/>
          <w:sz w:val="24"/>
        </w:rPr>
        <w:t>**</w:t>
      </w:r>
      <w:r>
        <w:rPr>
          <w:rFonts w:hint="eastAsia" w:ascii="宋体" w:hAnsi="宋体"/>
          <w:sz w:val="24"/>
        </w:rPr>
        <w:t>日</w:t>
      </w:r>
      <w:r>
        <w:rPr>
          <w:rFonts w:ascii="宋体" w:hAnsi="宋体"/>
        </w:rPr>
        <w:br w:type="page"/>
      </w:r>
      <w:r>
        <w:rPr>
          <w:rFonts w:hint="eastAsia"/>
          <w:b/>
          <w:sz w:val="28"/>
        </w:rPr>
        <w:t>报价函</w:t>
      </w:r>
    </w:p>
    <w:p>
      <w:pPr>
        <w:spacing w:line="360" w:lineRule="auto"/>
        <w:jc w:val="left"/>
        <w:rPr>
          <w:rFonts w:ascii="宋体" w:hAnsi="宋体"/>
          <w:szCs w:val="21"/>
        </w:rPr>
      </w:pPr>
      <w:r>
        <w:rPr>
          <w:rFonts w:hint="eastAsia" w:ascii="宋体" w:hAnsi="宋体"/>
        </w:rPr>
        <w:t>致：中国海洋石油东海有限公司</w:t>
      </w:r>
    </w:p>
    <w:p>
      <w:pPr>
        <w:overflowPunct w:val="0"/>
        <w:autoSpaceDE w:val="0"/>
        <w:autoSpaceDN w:val="0"/>
        <w:adjustRightInd w:val="0"/>
        <w:rPr>
          <w:rFonts w:ascii="宋体"/>
          <w:b/>
          <w:bCs/>
        </w:rPr>
      </w:pPr>
      <w:r>
        <w:rPr>
          <w:rFonts w:hint="eastAsia" w:ascii="宋体" w:hAnsi="宋体"/>
          <w:b/>
        </w:rPr>
        <w:t>事由：月浦基地综合服务</w:t>
      </w:r>
    </w:p>
    <w:p>
      <w:pPr>
        <w:widowControl/>
        <w:overflowPunct w:val="0"/>
        <w:autoSpaceDE w:val="0"/>
        <w:autoSpaceDN w:val="0"/>
        <w:adjustRightInd w:val="0"/>
        <w:spacing w:line="360" w:lineRule="auto"/>
        <w:ind w:firstLine="420" w:firstLineChars="200"/>
        <w:rPr>
          <w:rFonts w:ascii="宋体" w:hAnsi="宋体"/>
        </w:rPr>
      </w:pPr>
      <w:r>
        <w:rPr>
          <w:rFonts w:hint="eastAsia" w:ascii="宋体" w:hAnsi="宋体"/>
        </w:rPr>
        <w:t>根据贵司为中国海洋石油东海有限公司</w:t>
      </w:r>
      <w:r>
        <w:rPr>
          <w:rFonts w:hint="eastAsia" w:ascii="宋体" w:hAnsi="宋体" w:eastAsia="宋体"/>
          <w:b/>
          <w:bCs/>
          <w:spacing w:val="40"/>
          <w:sz w:val="28"/>
          <w:szCs w:val="28"/>
        </w:rPr>
        <w:t>【</w:t>
      </w:r>
      <w:r>
        <w:rPr>
          <w:rFonts w:hint="eastAsia" w:ascii="宋体" w:hAnsi="宋体" w:eastAsia="宋体"/>
        </w:rPr>
        <w:t>月浦基地综合服务</w:t>
      </w:r>
      <w:r>
        <w:rPr>
          <w:rFonts w:hint="eastAsia" w:ascii="宋体" w:hAnsi="宋体" w:eastAsia="宋体"/>
          <w:b/>
          <w:bCs/>
          <w:spacing w:val="40"/>
          <w:sz w:val="28"/>
          <w:szCs w:val="28"/>
        </w:rPr>
        <w:t>】</w:t>
      </w:r>
      <w:r>
        <w:rPr>
          <w:rFonts w:hint="eastAsia" w:ascii="宋体" w:hAnsi="宋体"/>
        </w:rPr>
        <w:t>发出的《询价文件》，我司作为报价者在此同意按本报价书承诺的报价、工作范围和技术要求、合同条件、条款以及附件要求实施并完成承包商工作范围内的全部工作。</w:t>
      </w:r>
    </w:p>
    <w:p>
      <w:pPr>
        <w:overflowPunct w:val="0"/>
        <w:autoSpaceDE w:val="0"/>
        <w:autoSpaceDN w:val="0"/>
        <w:adjustRightInd w:val="0"/>
        <w:spacing w:line="360" w:lineRule="auto"/>
        <w:ind w:left="210" w:leftChars="100" w:firstLine="210" w:firstLineChars="100"/>
        <w:rPr>
          <w:rFonts w:ascii="宋体" w:hAnsi="宋体"/>
        </w:rPr>
      </w:pPr>
      <w:r>
        <w:rPr>
          <w:rFonts w:hint="eastAsia" w:ascii="宋体" w:hAnsi="宋体"/>
        </w:rPr>
        <w:t>我司签字代表</w:t>
      </w:r>
      <w:r>
        <w:rPr>
          <w:rFonts w:ascii="宋体" w:hAnsi="宋体"/>
        </w:rPr>
        <w:t>___(</w:t>
      </w:r>
      <w:r>
        <w:rPr>
          <w:rFonts w:hint="eastAsia" w:ascii="宋体" w:hAnsi="宋体"/>
        </w:rPr>
        <w:t>签字全名</w:t>
      </w:r>
      <w:r>
        <w:rPr>
          <w:rFonts w:ascii="宋体" w:hAnsi="宋体"/>
        </w:rPr>
        <w:t>)</w:t>
      </w:r>
      <w:r>
        <w:rPr>
          <w:rFonts w:hint="eastAsia" w:ascii="宋体" w:hAnsi="宋体"/>
        </w:rPr>
        <w:t>经正式授权并代表报价者：（公司地址为）签署并提交本报价书。本报价书包括下列文件</w:t>
      </w:r>
      <w:r>
        <w:rPr>
          <w:rFonts w:ascii="宋体" w:hAnsi="宋体"/>
        </w:rPr>
        <w:t>:</w:t>
      </w:r>
    </w:p>
    <w:p>
      <w:pPr>
        <w:overflowPunct w:val="0"/>
        <w:autoSpaceDE w:val="0"/>
        <w:autoSpaceDN w:val="0"/>
        <w:adjustRightInd w:val="0"/>
        <w:spacing w:line="360" w:lineRule="auto"/>
        <w:ind w:firstLine="560"/>
        <w:rPr>
          <w:rFonts w:ascii="宋体" w:hAnsi="宋体"/>
        </w:rPr>
      </w:pPr>
      <w:r>
        <w:rPr>
          <w:rFonts w:hint="eastAsia" w:ascii="宋体" w:hAnsi="宋体"/>
        </w:rPr>
        <w:t>在此</w:t>
      </w:r>
      <w:r>
        <w:rPr>
          <w:rFonts w:ascii="宋体" w:hAnsi="宋体"/>
        </w:rPr>
        <w:t xml:space="preserve">, </w:t>
      </w:r>
      <w:r>
        <w:rPr>
          <w:rFonts w:hint="eastAsia" w:ascii="宋体" w:hAnsi="宋体"/>
        </w:rPr>
        <w:t>签字代表宣布同意如下</w:t>
      </w:r>
      <w:r>
        <w:rPr>
          <w:rFonts w:ascii="宋体" w:hAnsi="宋体"/>
        </w:rPr>
        <w:t>:</w:t>
      </w:r>
    </w:p>
    <w:p>
      <w:pPr>
        <w:numPr>
          <w:ilvl w:val="0"/>
          <w:numId w:val="67"/>
        </w:numPr>
        <w:overflowPunct w:val="0"/>
        <w:autoSpaceDE w:val="0"/>
        <w:autoSpaceDN w:val="0"/>
        <w:adjustRightInd w:val="0"/>
        <w:spacing w:line="360" w:lineRule="auto"/>
        <w:rPr>
          <w:rFonts w:ascii="宋体"/>
        </w:rPr>
      </w:pPr>
      <w:r>
        <w:rPr>
          <w:rFonts w:hint="eastAsia" w:ascii="宋体" w:hAnsi="宋体"/>
        </w:rPr>
        <w:t>我司按《询价文件》的要求和本报价书中的承诺，实施并完成承包商工作范围的工作的报价；</w:t>
      </w:r>
    </w:p>
    <w:p>
      <w:pPr>
        <w:numPr>
          <w:ilvl w:val="0"/>
          <w:numId w:val="67"/>
        </w:numPr>
        <w:overflowPunct w:val="0"/>
        <w:autoSpaceDE w:val="0"/>
        <w:autoSpaceDN w:val="0"/>
        <w:adjustRightInd w:val="0"/>
        <w:spacing w:line="360" w:lineRule="auto"/>
        <w:rPr>
          <w:rFonts w:ascii="宋体"/>
        </w:rPr>
      </w:pPr>
      <w:r>
        <w:rPr>
          <w:rFonts w:hint="eastAsia" w:ascii="宋体" w:hAnsi="宋体"/>
        </w:rPr>
        <w:t>我司已详细审查了《询价文件》的全部内容</w:t>
      </w:r>
      <w:r>
        <w:rPr>
          <w:rFonts w:ascii="宋体" w:hAnsi="宋体"/>
        </w:rPr>
        <w:t xml:space="preserve">, </w:t>
      </w:r>
      <w:r>
        <w:rPr>
          <w:rFonts w:hint="eastAsia" w:ascii="宋体" w:hAnsi="宋体"/>
        </w:rPr>
        <w:t>包括其修改文件</w:t>
      </w:r>
      <w:r>
        <w:rPr>
          <w:rFonts w:ascii="宋体" w:hAnsi="宋体"/>
        </w:rPr>
        <w:t>(</w:t>
      </w:r>
      <w:r>
        <w:rPr>
          <w:rFonts w:hint="eastAsia" w:ascii="宋体" w:hAnsi="宋体"/>
        </w:rPr>
        <w:t>如有</w:t>
      </w:r>
      <w:r>
        <w:rPr>
          <w:rFonts w:ascii="宋体" w:hAnsi="宋体"/>
        </w:rPr>
        <w:t>)</w:t>
      </w:r>
      <w:r>
        <w:rPr>
          <w:rFonts w:hint="eastAsia" w:ascii="宋体" w:hAnsi="宋体"/>
        </w:rPr>
        <w:t>和全部参考资料和有关附件</w:t>
      </w:r>
      <w:r>
        <w:rPr>
          <w:rFonts w:ascii="宋体" w:hAnsi="宋体"/>
        </w:rPr>
        <w:t xml:space="preserve">, </w:t>
      </w:r>
      <w:r>
        <w:rPr>
          <w:rFonts w:hint="eastAsia" w:ascii="宋体" w:hAnsi="宋体"/>
        </w:rPr>
        <w:t>并已充分认识到我司为此必须放弃对《询价文件》存有含糊不清</w:t>
      </w:r>
      <w:r>
        <w:rPr>
          <w:rFonts w:ascii="宋体"/>
        </w:rPr>
        <w:t>,</w:t>
      </w:r>
      <w:r>
        <w:rPr>
          <w:rFonts w:hint="eastAsia" w:ascii="宋体" w:hAnsi="宋体"/>
        </w:rPr>
        <w:t>模棱两可或误解的权力；</w:t>
      </w:r>
    </w:p>
    <w:p>
      <w:pPr>
        <w:numPr>
          <w:ilvl w:val="0"/>
          <w:numId w:val="67"/>
        </w:numPr>
        <w:overflowPunct w:val="0"/>
        <w:autoSpaceDE w:val="0"/>
        <w:autoSpaceDN w:val="0"/>
        <w:adjustRightInd w:val="0"/>
        <w:spacing w:line="360" w:lineRule="auto"/>
        <w:rPr>
          <w:rFonts w:ascii="宋体"/>
        </w:rPr>
      </w:pPr>
      <w:r>
        <w:rPr>
          <w:rFonts w:hint="eastAsia" w:ascii="宋体" w:hAnsi="宋体"/>
        </w:rPr>
        <w:t>本报价文件的有效期为贵司收到之日起</w:t>
      </w:r>
      <w:r>
        <w:rPr>
          <w:rFonts w:hint="eastAsia" w:ascii="宋体" w:hAnsi="宋体" w:eastAsia="宋体"/>
        </w:rPr>
        <w:t>【</w:t>
      </w:r>
      <w:r>
        <w:rPr>
          <w:rFonts w:hint="eastAsia" w:asciiTheme="minorEastAsia" w:hAnsiTheme="minorEastAsia"/>
        </w:rPr>
        <w:t>60</w:t>
      </w:r>
      <w:r>
        <w:rPr>
          <w:rFonts w:hint="eastAsia" w:ascii="宋体" w:hAnsi="宋体" w:eastAsia="宋体"/>
        </w:rPr>
        <w:t>】个</w:t>
      </w:r>
      <w:r>
        <w:rPr>
          <w:rFonts w:hint="eastAsia" w:ascii="宋体" w:hAnsi="宋体"/>
        </w:rPr>
        <w:t>日历日。在此期限内，本报价书对我司始终有约束力；</w:t>
      </w:r>
    </w:p>
    <w:p>
      <w:pPr>
        <w:numPr>
          <w:ilvl w:val="0"/>
          <w:numId w:val="67"/>
        </w:numPr>
        <w:overflowPunct w:val="0"/>
        <w:autoSpaceDE w:val="0"/>
        <w:autoSpaceDN w:val="0"/>
        <w:adjustRightInd w:val="0"/>
        <w:spacing w:line="360" w:lineRule="auto"/>
        <w:rPr>
          <w:rFonts w:ascii="宋体"/>
          <w:lang w:val="en-GB"/>
        </w:rPr>
      </w:pPr>
      <w:r>
        <w:rPr>
          <w:rFonts w:hint="eastAsia" w:ascii="宋体" w:hAnsi="宋体"/>
        </w:rPr>
        <w:t>我司将按照《询价文件》的规定履行合同的责任和义务；</w:t>
      </w:r>
    </w:p>
    <w:p>
      <w:pPr>
        <w:numPr>
          <w:ilvl w:val="0"/>
          <w:numId w:val="67"/>
        </w:numPr>
        <w:overflowPunct w:val="0"/>
        <w:autoSpaceDE w:val="0"/>
        <w:autoSpaceDN w:val="0"/>
        <w:adjustRightInd w:val="0"/>
        <w:spacing w:line="360" w:lineRule="auto"/>
        <w:rPr>
          <w:rFonts w:ascii="宋体"/>
        </w:rPr>
      </w:pPr>
      <w:r>
        <w:rPr>
          <w:rFonts w:hint="eastAsia" w:ascii="宋体" w:hAnsi="宋体"/>
        </w:rPr>
        <w:t>在正式合同准备和执行之前</w:t>
      </w:r>
      <w:r>
        <w:rPr>
          <w:rFonts w:ascii="宋体"/>
        </w:rPr>
        <w:t>,</w:t>
      </w:r>
      <w:r>
        <w:rPr>
          <w:rFonts w:hint="eastAsia" w:ascii="宋体" w:hAnsi="宋体"/>
        </w:rPr>
        <w:t>本报价书和你司的授予合同通知对我们双方而言将作为有约束力的合同；</w:t>
      </w:r>
    </w:p>
    <w:p>
      <w:pPr>
        <w:numPr>
          <w:ilvl w:val="0"/>
          <w:numId w:val="67"/>
        </w:numPr>
        <w:overflowPunct w:val="0"/>
        <w:autoSpaceDE w:val="0"/>
        <w:autoSpaceDN w:val="0"/>
        <w:adjustRightInd w:val="0"/>
        <w:spacing w:line="360" w:lineRule="auto"/>
        <w:textAlignment w:val="top"/>
        <w:rPr>
          <w:rFonts w:ascii="宋体"/>
        </w:rPr>
      </w:pPr>
      <w:r>
        <w:rPr>
          <w:rFonts w:hint="eastAsia" w:ascii="宋体" w:hAnsi="宋体"/>
        </w:rPr>
        <w:t>我司理解并同意贵司无义务必须接受价格最低的报价或所收到的任何报价书，且对拒绝接受的报价书无需说明理由；</w:t>
      </w:r>
    </w:p>
    <w:p>
      <w:pPr>
        <w:numPr>
          <w:ilvl w:val="0"/>
          <w:numId w:val="67"/>
        </w:numPr>
        <w:overflowPunct w:val="0"/>
        <w:autoSpaceDE w:val="0"/>
        <w:autoSpaceDN w:val="0"/>
        <w:adjustRightInd w:val="0"/>
        <w:spacing w:line="360" w:lineRule="auto"/>
        <w:textAlignment w:val="top"/>
        <w:rPr>
          <w:rFonts w:ascii="宋体"/>
          <w:lang w:val="en-GB"/>
        </w:rPr>
      </w:pPr>
      <w:r>
        <w:rPr>
          <w:rFonts w:hint="eastAsia" w:ascii="宋体" w:hAnsi="宋体"/>
        </w:rPr>
        <w:t>我司同意由于提交报价书和随后可能对其进行澄清与讨论所发生的任何和所有费用均由我司自负。</w:t>
      </w:r>
    </w:p>
    <w:p>
      <w:pPr>
        <w:wordWrap w:val="0"/>
        <w:overflowPunct w:val="0"/>
        <w:autoSpaceDE w:val="0"/>
        <w:autoSpaceDN w:val="0"/>
        <w:adjustRightInd w:val="0"/>
        <w:spacing w:line="360" w:lineRule="auto"/>
        <w:ind w:right="1080" w:firstLine="3360" w:firstLineChars="1600"/>
        <w:rPr>
          <w:rFonts w:ascii="宋体"/>
          <w:lang w:val="en-GB"/>
        </w:rPr>
      </w:pPr>
      <w:r>
        <w:rPr>
          <w:rFonts w:hint="eastAsia" w:ascii="宋体" w:hAnsi="宋体"/>
          <w:lang w:val="en-GB"/>
        </w:rPr>
        <w:t>投标人：（盖章）</w:t>
      </w:r>
    </w:p>
    <w:p>
      <w:pPr>
        <w:overflowPunct w:val="0"/>
        <w:autoSpaceDE w:val="0"/>
        <w:autoSpaceDN w:val="0"/>
        <w:adjustRightInd w:val="0"/>
        <w:spacing w:line="360" w:lineRule="auto"/>
        <w:ind w:firstLine="3360" w:firstLineChars="1600"/>
        <w:rPr>
          <w:rFonts w:ascii="宋体"/>
          <w:lang w:val="en-GB"/>
        </w:rPr>
      </w:pPr>
      <w:r>
        <w:rPr>
          <w:rFonts w:hint="eastAsia" w:ascii="宋体" w:hAnsi="宋体"/>
          <w:lang w:val="en-GB"/>
        </w:rPr>
        <w:t>法定代表人/授权代表：（签署）</w:t>
      </w:r>
    </w:p>
    <w:p>
      <w:pPr>
        <w:overflowPunct w:val="0"/>
        <w:autoSpaceDE w:val="0"/>
        <w:autoSpaceDN w:val="0"/>
        <w:adjustRightInd w:val="0"/>
        <w:spacing w:line="360" w:lineRule="auto"/>
        <w:ind w:firstLine="3360" w:firstLineChars="1600"/>
        <w:rPr>
          <w:rFonts w:ascii="宋体"/>
          <w:lang w:val="en-GB"/>
        </w:rPr>
      </w:pPr>
      <w:r>
        <w:rPr>
          <w:rFonts w:hint="eastAsia" w:ascii="宋体" w:hAnsi="宋体"/>
          <w:lang w:val="en-GB"/>
        </w:rPr>
        <w:t>姓名：（打印）</w:t>
      </w:r>
    </w:p>
    <w:p>
      <w:pPr>
        <w:overflowPunct w:val="0"/>
        <w:autoSpaceDE w:val="0"/>
        <w:autoSpaceDN w:val="0"/>
        <w:adjustRightInd w:val="0"/>
        <w:spacing w:line="360" w:lineRule="auto"/>
        <w:ind w:firstLine="3360" w:firstLineChars="1600"/>
        <w:rPr>
          <w:rFonts w:ascii="宋体"/>
          <w:lang w:val="en-GB"/>
        </w:rPr>
      </w:pPr>
      <w:r>
        <w:rPr>
          <w:rFonts w:hint="eastAsia" w:ascii="宋体" w:hAnsi="宋体"/>
          <w:lang w:val="en-GB"/>
        </w:rPr>
        <w:t>职务：（打印）</w:t>
      </w:r>
    </w:p>
    <w:p>
      <w:pPr>
        <w:ind w:left="-141" w:leftChars="-67" w:firstLine="140" w:firstLineChars="67"/>
      </w:pPr>
      <w:r>
        <w:t xml:space="preserve">                                     年   月    日</w:t>
      </w:r>
    </w:p>
    <w:p>
      <w:pPr>
        <w:ind w:left="-141" w:leftChars="-67" w:firstLine="140" w:firstLineChars="67"/>
        <w:sectPr>
          <w:pgSz w:w="11906" w:h="16838"/>
          <w:pgMar w:top="1134" w:right="1700" w:bottom="568" w:left="1800" w:header="851" w:footer="992" w:gutter="0"/>
          <w:cols w:space="425" w:num="1"/>
          <w:docGrid w:type="lines" w:linePitch="312" w:charSpace="0"/>
        </w:sectPr>
      </w:pPr>
    </w:p>
    <w:p>
      <w:pPr>
        <w:pStyle w:val="6"/>
        <w:spacing w:before="0" w:after="0"/>
        <w:jc w:val="center"/>
        <w:rPr>
          <w:rFonts w:ascii="宋体" w:hAnsi="宋体"/>
          <w:sz w:val="44"/>
          <w:szCs w:val="44"/>
        </w:rPr>
      </w:pPr>
      <w:r>
        <w:rPr>
          <w:rFonts w:hint="eastAsia" w:ascii="宋体" w:hAnsi="宋体"/>
          <w:sz w:val="44"/>
          <w:szCs w:val="44"/>
        </w:rPr>
        <w:t>报价表（格式）</w:t>
      </w:r>
    </w:p>
    <w:p>
      <w:pPr>
        <w:spacing w:line="540" w:lineRule="exact"/>
        <w:ind w:left="-3515" w:right="-87" w:rightChars="-41" w:firstLine="10753" w:firstLineChars="5025"/>
        <w:jc w:val="right"/>
        <w:rPr>
          <w:rFonts w:ascii="宋体" w:hAnsi="宋体"/>
          <w:bCs/>
          <w:szCs w:val="21"/>
        </w:rPr>
      </w:pPr>
    </w:p>
    <w:p>
      <w:pPr>
        <w:numPr>
          <w:ilvl w:val="0"/>
          <w:numId w:val="68"/>
        </w:numPr>
        <w:spacing w:line="360" w:lineRule="auto"/>
        <w:jc w:val="left"/>
        <w:rPr>
          <w:rFonts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合同费用明细（此项参与价格评标）</w:t>
      </w:r>
    </w:p>
    <w:tbl>
      <w:tblPr>
        <w:tblStyle w:val="46"/>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3"/>
        <w:gridCol w:w="1796"/>
        <w:gridCol w:w="998"/>
        <w:gridCol w:w="786"/>
        <w:gridCol w:w="4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附件一、合同费用报价明细表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费用项目</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月度费用小计</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月度固定服务</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每月固定发生费用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人员成本</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人员直接成本、管理费等，为满足综合服务要求，人员构成可参考《人员配置参考表》。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绿化养护</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树木、草坪、花卉、地被植物等总面积3543㎡按照《园林绿化养护标准》（DG/TJ08—19—2023 J11852—2023）二级养护、修剪、施肥、补种、换种等。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1、草坪具体参考2.2标准进行养护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2、花卉具体参考2.3标准进行养护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3、树木具体参考2.4标准进行养护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特别说明：种植及租摆的花卉在正常花期内如出现枯萎死亡等情况，需要及时进行更换。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设备维保</w:t>
            </w:r>
          </w:p>
        </w:tc>
        <w:tc>
          <w:tcPr>
            <w:tcW w:w="17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1、每年1次防雷综合检测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2、实验楼电梯每月2次维保；限速器和电梯整体年检.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3、每3年变电所设备进行一次耐高压设备检测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4、基地内6台挂式空调的日常维护、滤网清洗、零部件和氟利昂更换等。空调压缩机等大件维修不在此范围。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物料包干</w:t>
            </w:r>
          </w:p>
        </w:tc>
        <w:tc>
          <w:tcPr>
            <w:tcW w:w="17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维修物料：标识牌宣传栏掉漆修补、道路小面积修补（≤1平方米）、锁芯、门把手、照明灯管、水龙头、水管、地漏、电工日常维修工具、配电房交流接触器空气开关、道闸遥控器、伸缩门遥控器、门卫室内椅子维修、马桶盖、淋浴器配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2、保洁物料：扫把、拖把、畚箕、抹布、洗洁精、洗手液、除臭剂、卫浴清洁剂、洁厕剂、卫生纸（卷纸和抽纸）、垃圾袋、擦窗器、水刮器、除草剂、割草机、草耙子、铲子等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3、安全物资：沙袋、防爆工具等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4、其他物料：保安制服、横幅、指示牌等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办公用品</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甲方工作人员日常饮用水（每个月至少保证3桶19升桶装水），纸巾、水笔、笔记本、文件夹、资料袋、标签贴、电池、计算器、订书机等办公用品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垃圾外运</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根据上海市市政垃圾清运要求，基地内需设置1个湿垃圾桶，4个干垃圾桶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投标人自定义（新增）</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投标人可根据技术文件的要求另外列支的费用。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月度固定费用（不含税）合计</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年度固定费用（不含税）合计</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月度费用*12月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计划外维修服务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暂估价</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计划外维修服务报价均为暂估价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防水维修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1"/>
                <w:lang w:val="en-US" w:eastAsia="zh-CN" w:bidi="ar"/>
              </w:rPr>
              <w:t>单价按照每平方米含人工、材料、机具设备单价进行报价，年度维修面积约50㎡，据实结算。</w:t>
            </w:r>
            <w:r>
              <w:rPr>
                <w:rStyle w:val="312"/>
                <w:lang w:val="en-US" w:eastAsia="zh-CN" w:bidi="ar"/>
              </w:rPr>
              <w:t>暂估价为单价*50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外墙体维修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1"/>
                <w:lang w:val="en-US" w:eastAsia="zh-CN" w:bidi="ar"/>
              </w:rPr>
              <w:t>单价按照每平方米含人工、材料、机具设备单价进行报价，年度维修面积约50㎡，据实结算。</w:t>
            </w:r>
            <w:r>
              <w:rPr>
                <w:rStyle w:val="312"/>
                <w:lang w:val="en-US" w:eastAsia="zh-CN" w:bidi="ar"/>
              </w:rPr>
              <w:t>暂估价为单价*50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内部装修维修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1"/>
                <w:lang w:val="en-US" w:eastAsia="zh-CN" w:bidi="ar"/>
              </w:rPr>
              <w:t>单价按照每平方米含人工、材料、机具设备单价进行报价，年度维修面积约50㎡，据实结算。</w:t>
            </w:r>
            <w:r>
              <w:rPr>
                <w:rStyle w:val="312"/>
                <w:lang w:val="en-US" w:eastAsia="zh-CN" w:bidi="ar"/>
              </w:rPr>
              <w:t>暂估价为单价*50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水电管网维修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1"/>
                <w:lang w:val="en-US" w:eastAsia="zh-CN" w:bidi="ar"/>
              </w:rPr>
              <w:t>单价按照每米含人工、材料、机具设备单价进行报价，年度维修面积约40m，据实结算。</w:t>
            </w:r>
            <w:r>
              <w:rPr>
                <w:rStyle w:val="312"/>
                <w:lang w:val="en-US" w:eastAsia="zh-CN" w:bidi="ar"/>
              </w:rPr>
              <w:t>暂估价为单价*40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道路修复（沥青）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1"/>
                <w:lang w:val="en-US" w:eastAsia="zh-CN" w:bidi="ar"/>
              </w:rPr>
              <w:t>单价按照每平方米含人工、材料、机具设备单价进行报价，年度维修面积约20㎡，据实结算。</w:t>
            </w:r>
            <w:r>
              <w:rPr>
                <w:rStyle w:val="312"/>
                <w:lang w:val="en-US" w:eastAsia="zh-CN" w:bidi="ar"/>
              </w:rPr>
              <w:t>暂估价为单价*20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道路修复（地砖）</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1"/>
                <w:lang w:val="en-US" w:eastAsia="zh-CN" w:bidi="ar"/>
              </w:rPr>
              <w:t>暂估量按照每平方米含人工、材料、机具设备单价进行报价，年度维修面积约20㎡，据实结算。</w:t>
            </w:r>
            <w:r>
              <w:rPr>
                <w:rStyle w:val="312"/>
                <w:lang w:val="en-US" w:eastAsia="zh-CN" w:bidi="ar"/>
              </w:rPr>
              <w:t>暂估价为单价*20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道路修复（大理石）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1"/>
                <w:lang w:val="en-US" w:eastAsia="zh-CN" w:bidi="ar"/>
              </w:rPr>
              <w:t>单价按照每平方米含人工、材料、机具设备单价进行报价，年度维修面积约20㎡，厚度≥2.5cm，据实结算。</w:t>
            </w:r>
            <w:r>
              <w:rPr>
                <w:rStyle w:val="312"/>
                <w:lang w:val="en-US" w:eastAsia="zh-CN" w:bidi="ar"/>
              </w:rPr>
              <w:t>暂估价为单价*20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大型乔木修剪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1"/>
                <w:lang w:val="en-US" w:eastAsia="zh-CN" w:bidi="ar"/>
              </w:rPr>
              <w:t>大型乔木高度10-15米，单价按照每棵树修剪所需人工、材料、机具设备单价等之和进行报价，年度修剪棵树约10棵，据实结算。</w:t>
            </w:r>
            <w:r>
              <w:rPr>
                <w:rStyle w:val="312"/>
                <w:lang w:val="en-US" w:eastAsia="zh-CN" w:bidi="ar"/>
              </w:rPr>
              <w:t>暂估价为单价*10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自然灾害受损大型树木清理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1"/>
                <w:lang w:val="en-US" w:eastAsia="zh-CN" w:bidi="ar"/>
              </w:rPr>
              <w:t>单价包含人工、机具和苗木等费用之和，年度清理大型树木预估为5棵，据实结算。</w:t>
            </w:r>
            <w:r>
              <w:rPr>
                <w:rStyle w:val="312"/>
                <w:lang w:val="en-US" w:eastAsia="zh-CN" w:bidi="ar"/>
              </w:rPr>
              <w:t>暂估价为单价*5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建筑外墙真石漆清洗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单价按照每平方米含人工、材料、机具设备单价进行报价，计划每三年清理一次，年度平均清理面积约2000㎡，据实结算。暂估价为单价*2000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年度费率（不含税）合计</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年度费用（不含税）总计</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三年费用（不含税）总计</w:t>
            </w: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   </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1"/>
                <w:lang w:val="en-US" w:eastAsia="zh-CN" w:bidi="ar"/>
              </w:rPr>
              <w:t>“6*3”，</w:t>
            </w:r>
            <w:r>
              <w:rPr>
                <w:rStyle w:val="312"/>
                <w:lang w:val="en-US" w:eastAsia="zh-CN" w:bidi="ar"/>
              </w:rPr>
              <w:t>此价格为评标价</w:t>
            </w:r>
          </w:p>
        </w:tc>
      </w:tr>
    </w:tbl>
    <w:p>
      <w:pPr>
        <w:pStyle w:val="2"/>
      </w:pPr>
    </w:p>
    <w:p>
      <w:pPr>
        <w:pStyle w:val="2"/>
      </w:pPr>
    </w:p>
    <w:p>
      <w:pPr>
        <w:spacing w:line="360" w:lineRule="auto"/>
        <w:jc w:val="left"/>
        <w:rPr>
          <w:rFonts w:cs="Times New Roman" w:asciiTheme="majorEastAsia" w:hAnsiTheme="majorEastAsia" w:eastAsiaTheme="majorEastAsia"/>
          <w:bCs/>
          <w:szCs w:val="21"/>
        </w:rPr>
      </w:pPr>
    </w:p>
    <w:p>
      <w:pPr>
        <w:numPr>
          <w:ilvl w:val="0"/>
          <w:numId w:val="68"/>
        </w:numPr>
        <w:spacing w:line="360" w:lineRule="auto"/>
        <w:ind w:left="0" w:firstLine="0"/>
        <w:jc w:val="left"/>
        <w:rPr>
          <w:rFonts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计划外服务人员费率表（此项不参与价格评标）</w:t>
      </w:r>
    </w:p>
    <w:p>
      <w:pPr>
        <w:spacing w:line="360" w:lineRule="auto"/>
        <w:ind w:firstLine="568" w:firstLineChars="200"/>
        <w:jc w:val="left"/>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由于甲方经营管理需要，如在《附件一、合同费用报价明细表》中工作量基础上另外增加工作量导致需增加人员的，双方同意按以下服务费率进行增员部分结算：</w:t>
      </w:r>
    </w:p>
    <w:tbl>
      <w:tblPr>
        <w:tblStyle w:val="46"/>
        <w:tblW w:w="48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2579"/>
        <w:gridCol w:w="3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tcBorders>
              <w:right w:val="single" w:color="auto" w:sz="4" w:space="0"/>
              <w:tl2br w:val="single" w:color="auto" w:sz="4" w:space="0"/>
            </w:tcBorders>
            <w:shd w:val="clear" w:color="auto" w:fill="auto"/>
          </w:tcPr>
          <w:p>
            <w:pPr>
              <w:snapToGrid w:val="0"/>
              <w:spacing w:beforeLines="50" w:afterLines="50"/>
              <w:ind w:firstLine="1605" w:firstLineChars="750"/>
              <w:rPr>
                <w:rFonts w:asciiTheme="majorEastAsia" w:hAnsiTheme="majorEastAsia" w:eastAsiaTheme="majorEastAsia"/>
                <w:szCs w:val="21"/>
              </w:rPr>
            </w:pPr>
            <w:r>
              <w:rPr>
                <w:rFonts w:hint="eastAsia" w:asciiTheme="majorEastAsia" w:hAnsiTheme="majorEastAsia" w:eastAsiaTheme="majorEastAsia"/>
                <w:szCs w:val="21"/>
              </w:rPr>
              <w:t>小时费</w:t>
            </w:r>
          </w:p>
          <w:p>
            <w:pPr>
              <w:snapToGrid w:val="0"/>
              <w:spacing w:beforeLines="50" w:afterLines="50"/>
              <w:ind w:firstLine="107" w:firstLineChars="50"/>
              <w:rPr>
                <w:rFonts w:asciiTheme="majorEastAsia" w:hAnsiTheme="majorEastAsia" w:eastAsiaTheme="majorEastAsia"/>
                <w:szCs w:val="21"/>
              </w:rPr>
            </w:pPr>
            <w:r>
              <w:rPr>
                <w:rFonts w:hint="eastAsia" w:asciiTheme="majorEastAsia" w:hAnsiTheme="majorEastAsia" w:eastAsiaTheme="majorEastAsia"/>
                <w:szCs w:val="21"/>
              </w:rPr>
              <w:t>岗 位</w:t>
            </w:r>
          </w:p>
        </w:tc>
        <w:tc>
          <w:tcPr>
            <w:tcW w:w="1403" w:type="pct"/>
            <w:tcBorders>
              <w:left w:val="single" w:color="auto" w:sz="4" w:space="0"/>
            </w:tcBorders>
            <w:shd w:val="clear" w:color="auto" w:fill="auto"/>
            <w:vAlign w:val="center"/>
          </w:tcPr>
          <w:p>
            <w:pPr>
              <w:snapToGrid w:val="0"/>
              <w:spacing w:beforeLines="50" w:afterLines="50"/>
              <w:jc w:val="center"/>
              <w:rPr>
                <w:rFonts w:asciiTheme="majorEastAsia" w:hAnsiTheme="majorEastAsia" w:eastAsiaTheme="majorEastAsia"/>
                <w:szCs w:val="21"/>
              </w:rPr>
            </w:pPr>
            <w:r>
              <w:rPr>
                <w:rFonts w:hint="eastAsia" w:asciiTheme="majorEastAsia" w:hAnsiTheme="majorEastAsia" w:eastAsiaTheme="majorEastAsia"/>
                <w:szCs w:val="21"/>
              </w:rPr>
              <w:t>小时费(元)</w:t>
            </w:r>
          </w:p>
        </w:tc>
        <w:tc>
          <w:tcPr>
            <w:tcW w:w="2014" w:type="pct"/>
            <w:shd w:val="clear" w:color="auto" w:fill="auto"/>
            <w:vAlign w:val="center"/>
          </w:tcPr>
          <w:p>
            <w:pPr>
              <w:snapToGrid w:val="0"/>
              <w:spacing w:beforeLines="50" w:afterLines="50"/>
              <w:jc w:val="center"/>
              <w:rPr>
                <w:rFonts w:asciiTheme="majorEastAsia" w:hAnsiTheme="majorEastAsia" w:eastAsiaTheme="majorEastAsia"/>
                <w:szCs w:val="21"/>
              </w:rPr>
            </w:pPr>
            <w:r>
              <w:rPr>
                <w:rFonts w:hint="eastAsia" w:asciiTheme="majorEastAsia" w:hAnsiTheme="majorEastAsia" w:eastAsiaTheme="major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shd w:val="clear" w:color="auto" w:fill="auto"/>
          </w:tcPr>
          <w:p>
            <w:pPr>
              <w:tabs>
                <w:tab w:val="right" w:pos="2421"/>
              </w:tabs>
              <w:snapToGrid w:val="0"/>
              <w:spacing w:beforeLines="50" w:afterLines="50"/>
              <w:rPr>
                <w:rFonts w:asciiTheme="majorEastAsia" w:hAnsiTheme="majorEastAsia" w:eastAsiaTheme="majorEastAsia"/>
                <w:szCs w:val="21"/>
              </w:rPr>
            </w:pPr>
            <w:r>
              <w:rPr>
                <w:rFonts w:hint="eastAsia" w:asciiTheme="majorEastAsia" w:hAnsiTheme="majorEastAsia" w:eastAsiaTheme="majorEastAsia"/>
                <w:szCs w:val="21"/>
              </w:rPr>
              <w:t>1.保洁服务员</w:t>
            </w:r>
          </w:p>
        </w:tc>
        <w:tc>
          <w:tcPr>
            <w:tcW w:w="1403" w:type="pct"/>
            <w:shd w:val="clear" w:color="auto" w:fill="auto"/>
          </w:tcPr>
          <w:p>
            <w:pPr>
              <w:snapToGrid w:val="0"/>
              <w:spacing w:beforeLines="50" w:afterLines="50"/>
              <w:jc w:val="center"/>
              <w:rPr>
                <w:rFonts w:cs="Times New Roman" w:asciiTheme="majorEastAsia" w:hAnsiTheme="majorEastAsia" w:eastAsiaTheme="majorEastAsia"/>
                <w:b/>
                <w:sz w:val="24"/>
                <w:szCs w:val="21"/>
                <w:lang w:eastAsia="en-US"/>
              </w:rPr>
            </w:pPr>
          </w:p>
        </w:tc>
        <w:tc>
          <w:tcPr>
            <w:tcW w:w="2014" w:type="pct"/>
            <w:vMerge w:val="restart"/>
            <w:shd w:val="clear" w:color="auto" w:fill="auto"/>
          </w:tcPr>
          <w:p>
            <w:pPr>
              <w:rPr>
                <w:rFonts w:asciiTheme="majorEastAsia" w:hAnsiTheme="majorEastAsia" w:eastAsiaTheme="majorEastAsia"/>
                <w:szCs w:val="21"/>
              </w:rPr>
            </w:pPr>
            <w:r>
              <w:rPr>
                <w:rFonts w:hint="eastAsia" w:asciiTheme="majorEastAsia" w:hAnsiTheme="majorEastAsia" w:eastAsiaTheme="majorEastAsia"/>
                <w:szCs w:val="21"/>
              </w:rPr>
              <w:t>此结算费用按甲方通知单及经甲方确认的服务确认单及本表费率进行结算，经甲、乙双方签字确认后才能按次结算。</w:t>
            </w:r>
          </w:p>
          <w:p>
            <w:pPr>
              <w:snapToGrid w:val="0"/>
              <w:spacing w:beforeLines="50" w:afterLines="50"/>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shd w:val="clear" w:color="auto" w:fill="auto"/>
          </w:tcPr>
          <w:p>
            <w:pPr>
              <w:snapToGrid w:val="0"/>
              <w:spacing w:beforeLines="50" w:afterLines="50"/>
              <w:rPr>
                <w:rFonts w:asciiTheme="majorEastAsia" w:hAnsiTheme="majorEastAsia" w:eastAsiaTheme="majorEastAsia"/>
                <w:szCs w:val="21"/>
              </w:rPr>
            </w:pPr>
            <w:r>
              <w:rPr>
                <w:rFonts w:hint="eastAsia" w:asciiTheme="majorEastAsia" w:hAnsiTheme="majorEastAsia" w:eastAsiaTheme="majorEastAsia"/>
                <w:szCs w:val="21"/>
              </w:rPr>
              <w:t>2.维修工</w:t>
            </w:r>
          </w:p>
        </w:tc>
        <w:tc>
          <w:tcPr>
            <w:tcW w:w="1403" w:type="pct"/>
            <w:shd w:val="clear" w:color="auto" w:fill="auto"/>
          </w:tcPr>
          <w:p>
            <w:pPr>
              <w:snapToGrid w:val="0"/>
              <w:spacing w:beforeLines="50" w:afterLines="50"/>
              <w:jc w:val="center"/>
              <w:rPr>
                <w:rFonts w:cs="Times New Roman" w:asciiTheme="majorEastAsia" w:hAnsiTheme="majorEastAsia" w:eastAsiaTheme="majorEastAsia"/>
                <w:b/>
                <w:sz w:val="24"/>
                <w:szCs w:val="21"/>
                <w:highlight w:val="green"/>
                <w:lang w:eastAsia="en-US"/>
              </w:rPr>
            </w:pPr>
          </w:p>
        </w:tc>
        <w:tc>
          <w:tcPr>
            <w:tcW w:w="2014" w:type="pct"/>
            <w:vMerge w:val="continue"/>
            <w:shd w:val="clear" w:color="auto" w:fill="auto"/>
          </w:tcPr>
          <w:p>
            <w:pPr>
              <w:snapToGrid w:val="0"/>
              <w:spacing w:beforeLines="50" w:afterLines="50"/>
              <w:jc w:val="center"/>
              <w:rPr>
                <w:rFonts w:cs="Times New Roman" w:asciiTheme="majorEastAsia" w:hAnsiTheme="majorEastAsia" w:eastAsiaTheme="majorEastAsia"/>
                <w:b/>
                <w:sz w:val="24"/>
                <w:szCs w:val="21"/>
                <w:highlight w:val="gree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shd w:val="clear" w:color="auto" w:fill="auto"/>
          </w:tcPr>
          <w:p>
            <w:pPr>
              <w:snapToGrid w:val="0"/>
              <w:spacing w:beforeLines="50" w:afterLines="50"/>
              <w:rPr>
                <w:rFonts w:asciiTheme="majorEastAsia" w:hAnsiTheme="majorEastAsia" w:eastAsiaTheme="majorEastAsia"/>
                <w:szCs w:val="21"/>
              </w:rPr>
            </w:pPr>
            <w:r>
              <w:rPr>
                <w:rFonts w:hint="eastAsia" w:asciiTheme="majorEastAsia" w:hAnsiTheme="majorEastAsia" w:eastAsiaTheme="majorEastAsia"/>
                <w:szCs w:val="21"/>
              </w:rPr>
              <w:t>3.门卫</w:t>
            </w:r>
          </w:p>
        </w:tc>
        <w:tc>
          <w:tcPr>
            <w:tcW w:w="1403" w:type="pct"/>
            <w:shd w:val="clear" w:color="auto" w:fill="auto"/>
          </w:tcPr>
          <w:p>
            <w:pPr>
              <w:snapToGrid w:val="0"/>
              <w:spacing w:beforeLines="50" w:afterLines="50"/>
              <w:jc w:val="center"/>
              <w:rPr>
                <w:rFonts w:cs="Times New Roman" w:asciiTheme="majorEastAsia" w:hAnsiTheme="majorEastAsia" w:eastAsiaTheme="majorEastAsia"/>
                <w:b/>
                <w:sz w:val="24"/>
                <w:szCs w:val="21"/>
                <w:highlight w:val="green"/>
                <w:lang w:eastAsia="en-US"/>
              </w:rPr>
            </w:pPr>
          </w:p>
        </w:tc>
        <w:tc>
          <w:tcPr>
            <w:tcW w:w="2014" w:type="pct"/>
            <w:vMerge w:val="continue"/>
            <w:shd w:val="clear" w:color="auto" w:fill="auto"/>
          </w:tcPr>
          <w:p>
            <w:pPr>
              <w:snapToGrid w:val="0"/>
              <w:spacing w:beforeLines="50" w:afterLines="50"/>
              <w:jc w:val="center"/>
              <w:rPr>
                <w:rFonts w:cs="Times New Roman" w:asciiTheme="majorEastAsia" w:hAnsiTheme="majorEastAsia" w:eastAsiaTheme="majorEastAsia"/>
                <w:b/>
                <w:sz w:val="24"/>
                <w:szCs w:val="21"/>
                <w:lang w:eastAsia="en-US"/>
              </w:rPr>
            </w:pPr>
          </w:p>
        </w:tc>
      </w:tr>
    </w:tbl>
    <w:p>
      <w:pPr>
        <w:spacing w:line="360" w:lineRule="auto"/>
        <w:ind w:left="720"/>
        <w:rPr>
          <w:rFonts w:ascii="宋体" w:hAnsi="宋体" w:eastAsia="宋体" w:cs="Times New Roman"/>
          <w:b/>
          <w:bCs/>
          <w:sz w:val="28"/>
          <w:szCs w:val="28"/>
        </w:rPr>
      </w:pPr>
    </w:p>
    <w:p>
      <w:pPr>
        <w:numPr>
          <w:ilvl w:val="0"/>
          <w:numId w:val="68"/>
        </w:numPr>
        <w:spacing w:line="360" w:lineRule="auto"/>
        <w:ind w:left="0" w:firstLine="0"/>
        <w:jc w:val="left"/>
        <w:rPr>
          <w:rFonts w:ascii="宋体" w:hAnsi="宋体" w:eastAsia="宋体" w:cs="Times New Roman"/>
          <w:b/>
          <w:bCs/>
          <w:sz w:val="28"/>
          <w:szCs w:val="28"/>
        </w:rPr>
      </w:pPr>
      <w:r>
        <w:rPr>
          <w:rFonts w:hint="eastAsia" w:ascii="宋体" w:hAnsi="宋体" w:eastAsia="宋体" w:cs="Times New Roman"/>
          <w:b/>
          <w:bCs/>
          <w:sz w:val="28"/>
          <w:szCs w:val="28"/>
        </w:rPr>
        <w:t>计划外服务维修报价表</w:t>
      </w:r>
      <w:r>
        <w:rPr>
          <w:rFonts w:hint="eastAsia" w:cs="Times New Roman" w:asciiTheme="majorEastAsia" w:hAnsiTheme="majorEastAsia" w:eastAsiaTheme="majorEastAsia"/>
          <w:b/>
          <w:bCs/>
          <w:sz w:val="28"/>
          <w:szCs w:val="28"/>
        </w:rPr>
        <w:t>（此项不参与价格评标）</w:t>
      </w:r>
    </w:p>
    <w:p>
      <w:pPr>
        <w:numPr>
          <w:ilvl w:val="255"/>
          <w:numId w:val="0"/>
        </w:numPr>
        <w:spacing w:line="360" w:lineRule="auto"/>
        <w:ind w:firstLine="568" w:firstLineChars="200"/>
        <w:jc w:val="left"/>
        <w:rPr>
          <w:rFonts w:ascii="宋体" w:hAnsi="宋体" w:cs="Times New Roman" w:eastAsiaTheme="majorEastAsia"/>
          <w:sz w:val="28"/>
          <w:szCs w:val="28"/>
        </w:rPr>
      </w:pPr>
      <w:r>
        <w:rPr>
          <w:rFonts w:hint="eastAsia" w:ascii="宋体" w:hAnsi="宋体" w:cs="Times New Roman" w:eastAsiaTheme="majorEastAsia"/>
          <w:sz w:val="28"/>
          <w:szCs w:val="28"/>
        </w:rPr>
        <w:t>由于甲方设备维修需要，如在《附件一、合同费用报价明细表》中工作量基础上另外增加维修服务的，双方同意按实际发生费用+服务费（按实际发生费用的百分比收取）形式进行结算。乙方在申请费用付款时需提供维修单位开具的发票和服务确认单。</w:t>
      </w:r>
    </w:p>
    <w:p>
      <w:pPr>
        <w:pStyle w:val="2"/>
      </w:pPr>
    </w:p>
    <w:p>
      <w:pPr>
        <w:numPr>
          <w:ilvl w:val="255"/>
          <w:numId w:val="0"/>
        </w:numPr>
        <w:spacing w:line="360" w:lineRule="auto"/>
        <w:ind w:firstLine="568" w:firstLineChars="200"/>
        <w:jc w:val="left"/>
        <w:rPr>
          <w:rFonts w:ascii="宋体" w:hAnsi="宋体" w:cs="Times New Roman" w:eastAsiaTheme="majorEastAsia"/>
          <w:sz w:val="28"/>
          <w:szCs w:val="28"/>
        </w:rPr>
      </w:pPr>
      <w:r>
        <w:rPr>
          <w:rFonts w:hint="eastAsia" w:ascii="宋体" w:hAnsi="宋体" w:cs="Times New Roman" w:eastAsiaTheme="majorEastAsia"/>
          <w:b/>
          <w:bCs/>
          <w:sz w:val="28"/>
          <w:szCs w:val="28"/>
        </w:rPr>
        <w:t>请在表中“服务费（%）”一栏补充响应内容。</w:t>
      </w:r>
    </w:p>
    <w:tbl>
      <w:tblPr>
        <w:tblStyle w:val="47"/>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779"/>
        <w:gridCol w:w="1404"/>
        <w:gridCol w:w="2328"/>
        <w:gridCol w:w="1471"/>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9" w:type="dxa"/>
            <w:vAlign w:val="center"/>
          </w:tcPr>
          <w:p>
            <w:pPr>
              <w:numPr>
                <w:ilvl w:val="255"/>
                <w:numId w:val="0"/>
              </w:numPr>
              <w:spacing w:line="360" w:lineRule="auto"/>
              <w:jc w:val="left"/>
              <w:rPr>
                <w:rFonts w:ascii="宋体" w:hAnsi="宋体" w:eastAsia="宋体" w:cs="Times New Roman"/>
                <w:b/>
                <w:bCs/>
                <w:sz w:val="22"/>
              </w:rPr>
            </w:pPr>
            <w:r>
              <w:rPr>
                <w:rFonts w:hint="eastAsia" w:ascii="宋体" w:hAnsi="宋体" w:eastAsia="宋体" w:cs="Times New Roman"/>
                <w:b/>
                <w:bCs/>
                <w:sz w:val="22"/>
              </w:rPr>
              <w:t>序号</w:t>
            </w:r>
          </w:p>
        </w:tc>
        <w:tc>
          <w:tcPr>
            <w:tcW w:w="1779" w:type="dxa"/>
            <w:vAlign w:val="center"/>
          </w:tcPr>
          <w:p>
            <w:pPr>
              <w:numPr>
                <w:ilvl w:val="255"/>
                <w:numId w:val="0"/>
              </w:numPr>
              <w:spacing w:line="360" w:lineRule="auto"/>
              <w:jc w:val="left"/>
              <w:rPr>
                <w:rFonts w:ascii="宋体" w:hAnsi="宋体" w:eastAsia="宋体" w:cs="Times New Roman"/>
                <w:b/>
                <w:bCs/>
                <w:sz w:val="22"/>
              </w:rPr>
            </w:pPr>
            <w:r>
              <w:rPr>
                <w:rFonts w:hint="eastAsia" w:ascii="宋体" w:hAnsi="宋体" w:eastAsia="宋体" w:cs="Times New Roman"/>
                <w:b/>
                <w:bCs/>
                <w:sz w:val="22"/>
              </w:rPr>
              <w:t>服务内容</w:t>
            </w:r>
          </w:p>
        </w:tc>
        <w:tc>
          <w:tcPr>
            <w:tcW w:w="1404" w:type="dxa"/>
            <w:vAlign w:val="center"/>
          </w:tcPr>
          <w:p>
            <w:pPr>
              <w:numPr>
                <w:ilvl w:val="255"/>
                <w:numId w:val="0"/>
              </w:numPr>
              <w:spacing w:line="360" w:lineRule="auto"/>
              <w:jc w:val="left"/>
              <w:rPr>
                <w:rFonts w:ascii="宋体" w:hAnsi="宋体" w:eastAsia="宋体" w:cs="Times New Roman"/>
                <w:b/>
                <w:bCs/>
                <w:sz w:val="22"/>
              </w:rPr>
            </w:pPr>
            <w:r>
              <w:rPr>
                <w:rFonts w:hint="eastAsia" w:ascii="宋体" w:hAnsi="宋体" w:eastAsia="宋体" w:cs="Times New Roman"/>
                <w:b/>
                <w:bCs/>
                <w:sz w:val="22"/>
              </w:rPr>
              <w:t>服务费（%）</w:t>
            </w:r>
          </w:p>
        </w:tc>
        <w:tc>
          <w:tcPr>
            <w:tcW w:w="2328" w:type="dxa"/>
            <w:vAlign w:val="center"/>
          </w:tcPr>
          <w:p>
            <w:pPr>
              <w:numPr>
                <w:ilvl w:val="255"/>
                <w:numId w:val="0"/>
              </w:numPr>
              <w:spacing w:line="360" w:lineRule="auto"/>
              <w:jc w:val="left"/>
              <w:rPr>
                <w:rFonts w:ascii="宋体" w:hAnsi="宋体" w:eastAsia="宋体" w:cs="Times New Roman"/>
                <w:b/>
                <w:bCs/>
                <w:sz w:val="22"/>
              </w:rPr>
            </w:pPr>
            <w:r>
              <w:rPr>
                <w:rFonts w:hint="eastAsia" w:ascii="宋体" w:hAnsi="宋体" w:eastAsia="宋体" w:cs="Times New Roman"/>
                <w:b/>
                <w:bCs/>
                <w:sz w:val="22"/>
              </w:rPr>
              <w:t>实际发生费用（元）</w:t>
            </w:r>
          </w:p>
        </w:tc>
        <w:tc>
          <w:tcPr>
            <w:tcW w:w="1471" w:type="dxa"/>
            <w:vAlign w:val="center"/>
          </w:tcPr>
          <w:p>
            <w:pPr>
              <w:numPr>
                <w:ilvl w:val="255"/>
                <w:numId w:val="0"/>
              </w:numPr>
              <w:spacing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申请费用</w:t>
            </w:r>
          </w:p>
        </w:tc>
        <w:tc>
          <w:tcPr>
            <w:tcW w:w="1455" w:type="dxa"/>
            <w:vAlign w:val="center"/>
          </w:tcPr>
          <w:p>
            <w:pPr>
              <w:numPr>
                <w:ilvl w:val="255"/>
                <w:numId w:val="0"/>
              </w:numPr>
              <w:spacing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59" w:type="dxa"/>
            <w:vAlign w:val="center"/>
          </w:tcPr>
          <w:p>
            <w:pPr>
              <w:numPr>
                <w:ilvl w:val="255"/>
                <w:numId w:val="0"/>
              </w:numPr>
              <w:spacing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例：</w:t>
            </w:r>
          </w:p>
        </w:tc>
        <w:tc>
          <w:tcPr>
            <w:tcW w:w="1779" w:type="dxa"/>
            <w:vAlign w:val="center"/>
          </w:tcPr>
          <w:p>
            <w:pPr>
              <w:numPr>
                <w:ilvl w:val="255"/>
                <w:numId w:val="0"/>
              </w:numPr>
              <w:spacing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家具维修</w:t>
            </w:r>
          </w:p>
        </w:tc>
        <w:tc>
          <w:tcPr>
            <w:tcW w:w="1404" w:type="dxa"/>
            <w:vAlign w:val="center"/>
          </w:tcPr>
          <w:p>
            <w:pPr>
              <w:numPr>
                <w:ilvl w:val="255"/>
                <w:numId w:val="0"/>
              </w:numPr>
              <w:spacing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10%</w:t>
            </w:r>
          </w:p>
        </w:tc>
        <w:tc>
          <w:tcPr>
            <w:tcW w:w="2328" w:type="dxa"/>
            <w:vAlign w:val="center"/>
          </w:tcPr>
          <w:p>
            <w:pPr>
              <w:numPr>
                <w:ilvl w:val="255"/>
                <w:numId w:val="0"/>
              </w:numPr>
              <w:spacing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1000</w:t>
            </w:r>
          </w:p>
        </w:tc>
        <w:tc>
          <w:tcPr>
            <w:tcW w:w="1471" w:type="dxa"/>
            <w:vAlign w:val="center"/>
          </w:tcPr>
          <w:p>
            <w:pPr>
              <w:numPr>
                <w:ilvl w:val="255"/>
                <w:numId w:val="0"/>
              </w:numPr>
              <w:spacing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1100</w:t>
            </w:r>
          </w:p>
        </w:tc>
        <w:tc>
          <w:tcPr>
            <w:tcW w:w="1455" w:type="dxa"/>
            <w:vAlign w:val="center"/>
          </w:tcPr>
          <w:p>
            <w:pPr>
              <w:numPr>
                <w:ilvl w:val="255"/>
                <w:numId w:val="0"/>
              </w:numPr>
              <w:spacing w:line="360" w:lineRule="auto"/>
              <w:jc w:val="left"/>
              <w:rPr>
                <w:rFonts w:ascii="宋体" w:hAnsi="宋体"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59" w:type="dxa"/>
            <w:vAlign w:val="center"/>
          </w:tcPr>
          <w:p>
            <w:pPr>
              <w:numPr>
                <w:ilvl w:val="255"/>
                <w:numId w:val="0"/>
              </w:numPr>
              <w:spacing w:line="360" w:lineRule="auto"/>
              <w:jc w:val="left"/>
              <w:rPr>
                <w:rFonts w:ascii="宋体" w:hAnsi="宋体" w:eastAsia="宋体" w:cs="Times New Roman"/>
                <w:sz w:val="24"/>
                <w:szCs w:val="24"/>
              </w:rPr>
            </w:pPr>
            <w:r>
              <w:rPr>
                <w:rFonts w:hint="eastAsia" w:ascii="宋体" w:hAnsi="宋体" w:eastAsia="宋体" w:cs="Times New Roman"/>
                <w:sz w:val="24"/>
                <w:szCs w:val="24"/>
              </w:rPr>
              <w:t>1</w:t>
            </w:r>
          </w:p>
        </w:tc>
        <w:tc>
          <w:tcPr>
            <w:tcW w:w="1779" w:type="dxa"/>
            <w:vAlign w:val="center"/>
          </w:tcPr>
          <w:p>
            <w:pPr>
              <w:numPr>
                <w:ilvl w:val="255"/>
                <w:numId w:val="0"/>
              </w:numPr>
              <w:spacing w:line="360" w:lineRule="auto"/>
              <w:jc w:val="left"/>
              <w:rPr>
                <w:rFonts w:ascii="宋体" w:hAnsi="宋体" w:eastAsia="宋体" w:cs="Times New Roman"/>
                <w:sz w:val="24"/>
                <w:szCs w:val="24"/>
              </w:rPr>
            </w:pPr>
            <w:r>
              <w:rPr>
                <w:rFonts w:hint="eastAsia" w:ascii="宋体" w:hAnsi="宋体" w:eastAsia="宋体" w:cs="Times New Roman"/>
                <w:sz w:val="24"/>
                <w:szCs w:val="24"/>
              </w:rPr>
              <w:t>空调维修</w:t>
            </w:r>
          </w:p>
        </w:tc>
        <w:tc>
          <w:tcPr>
            <w:tcW w:w="1404" w:type="dxa"/>
            <w:vAlign w:val="center"/>
          </w:tcPr>
          <w:p>
            <w:pPr>
              <w:numPr>
                <w:ilvl w:val="255"/>
                <w:numId w:val="0"/>
              </w:numPr>
              <w:spacing w:line="360" w:lineRule="auto"/>
              <w:jc w:val="left"/>
              <w:rPr>
                <w:rFonts w:ascii="宋体" w:hAnsi="宋体" w:eastAsia="宋体" w:cs="Times New Roman"/>
                <w:b/>
                <w:bCs/>
                <w:sz w:val="28"/>
                <w:szCs w:val="28"/>
              </w:rPr>
            </w:pPr>
          </w:p>
        </w:tc>
        <w:tc>
          <w:tcPr>
            <w:tcW w:w="2328" w:type="dxa"/>
            <w:vAlign w:val="center"/>
          </w:tcPr>
          <w:p>
            <w:pPr>
              <w:numPr>
                <w:ilvl w:val="255"/>
                <w:numId w:val="0"/>
              </w:numPr>
              <w:spacing w:line="360" w:lineRule="auto"/>
              <w:jc w:val="left"/>
              <w:rPr>
                <w:rFonts w:ascii="宋体" w:hAnsi="宋体" w:eastAsia="宋体" w:cs="Times New Roman"/>
                <w:b/>
                <w:bCs/>
                <w:sz w:val="28"/>
                <w:szCs w:val="28"/>
              </w:rPr>
            </w:pPr>
          </w:p>
        </w:tc>
        <w:tc>
          <w:tcPr>
            <w:tcW w:w="1471" w:type="dxa"/>
            <w:vAlign w:val="center"/>
          </w:tcPr>
          <w:p>
            <w:pPr>
              <w:numPr>
                <w:ilvl w:val="255"/>
                <w:numId w:val="0"/>
              </w:numPr>
              <w:spacing w:line="360" w:lineRule="auto"/>
              <w:jc w:val="left"/>
              <w:rPr>
                <w:rFonts w:ascii="宋体" w:hAnsi="宋体" w:eastAsia="宋体" w:cs="Times New Roman"/>
                <w:b/>
                <w:bCs/>
                <w:sz w:val="28"/>
                <w:szCs w:val="28"/>
              </w:rPr>
            </w:pPr>
          </w:p>
        </w:tc>
        <w:tc>
          <w:tcPr>
            <w:tcW w:w="1455" w:type="dxa"/>
            <w:vAlign w:val="center"/>
          </w:tcPr>
          <w:p>
            <w:pPr>
              <w:numPr>
                <w:ilvl w:val="255"/>
                <w:numId w:val="0"/>
              </w:numPr>
              <w:spacing w:line="360" w:lineRule="auto"/>
              <w:jc w:val="left"/>
              <w:rPr>
                <w:rFonts w:ascii="宋体" w:hAnsi="宋体"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59" w:type="dxa"/>
            <w:vAlign w:val="center"/>
          </w:tcPr>
          <w:p>
            <w:pPr>
              <w:numPr>
                <w:ilvl w:val="255"/>
                <w:numId w:val="0"/>
              </w:numPr>
              <w:spacing w:line="360" w:lineRule="auto"/>
              <w:jc w:val="left"/>
              <w:rPr>
                <w:rFonts w:ascii="宋体" w:hAnsi="宋体" w:eastAsia="宋体" w:cs="Times New Roman"/>
                <w:sz w:val="24"/>
                <w:szCs w:val="24"/>
              </w:rPr>
            </w:pPr>
            <w:r>
              <w:rPr>
                <w:rFonts w:hint="eastAsia" w:ascii="宋体" w:hAnsi="宋体" w:eastAsia="宋体" w:cs="Times New Roman"/>
                <w:sz w:val="24"/>
                <w:szCs w:val="24"/>
              </w:rPr>
              <w:t>2</w:t>
            </w:r>
          </w:p>
        </w:tc>
        <w:tc>
          <w:tcPr>
            <w:tcW w:w="1779" w:type="dxa"/>
            <w:vAlign w:val="center"/>
          </w:tcPr>
          <w:p>
            <w:pPr>
              <w:numPr>
                <w:ilvl w:val="255"/>
                <w:numId w:val="0"/>
              </w:numPr>
              <w:spacing w:line="360" w:lineRule="auto"/>
              <w:jc w:val="left"/>
              <w:rPr>
                <w:rFonts w:ascii="宋体" w:hAnsi="宋体" w:eastAsia="宋体" w:cs="Times New Roman"/>
                <w:sz w:val="24"/>
                <w:szCs w:val="24"/>
              </w:rPr>
            </w:pPr>
            <w:r>
              <w:rPr>
                <w:rFonts w:hint="eastAsia" w:ascii="宋体" w:hAnsi="宋体" w:eastAsia="宋体" w:cs="Times New Roman"/>
                <w:sz w:val="24"/>
                <w:szCs w:val="24"/>
              </w:rPr>
              <w:t>监控网络维修</w:t>
            </w:r>
          </w:p>
        </w:tc>
        <w:tc>
          <w:tcPr>
            <w:tcW w:w="1404" w:type="dxa"/>
            <w:vAlign w:val="center"/>
          </w:tcPr>
          <w:p>
            <w:pPr>
              <w:numPr>
                <w:ilvl w:val="255"/>
                <w:numId w:val="0"/>
              </w:numPr>
              <w:spacing w:line="360" w:lineRule="auto"/>
              <w:jc w:val="left"/>
              <w:rPr>
                <w:rFonts w:ascii="宋体" w:hAnsi="宋体" w:eastAsia="宋体" w:cs="Times New Roman"/>
                <w:b/>
                <w:bCs/>
                <w:sz w:val="28"/>
                <w:szCs w:val="28"/>
              </w:rPr>
            </w:pPr>
          </w:p>
        </w:tc>
        <w:tc>
          <w:tcPr>
            <w:tcW w:w="2328" w:type="dxa"/>
            <w:vAlign w:val="center"/>
          </w:tcPr>
          <w:p>
            <w:pPr>
              <w:numPr>
                <w:ilvl w:val="255"/>
                <w:numId w:val="0"/>
              </w:numPr>
              <w:spacing w:line="360" w:lineRule="auto"/>
              <w:jc w:val="left"/>
              <w:rPr>
                <w:rFonts w:ascii="宋体" w:hAnsi="宋体" w:eastAsia="宋体" w:cs="Times New Roman"/>
                <w:b/>
                <w:bCs/>
                <w:sz w:val="28"/>
                <w:szCs w:val="28"/>
              </w:rPr>
            </w:pPr>
          </w:p>
        </w:tc>
        <w:tc>
          <w:tcPr>
            <w:tcW w:w="1471" w:type="dxa"/>
            <w:vAlign w:val="center"/>
          </w:tcPr>
          <w:p>
            <w:pPr>
              <w:numPr>
                <w:ilvl w:val="255"/>
                <w:numId w:val="0"/>
              </w:numPr>
              <w:spacing w:line="360" w:lineRule="auto"/>
              <w:jc w:val="left"/>
              <w:rPr>
                <w:rFonts w:ascii="宋体" w:hAnsi="宋体" w:eastAsia="宋体" w:cs="Times New Roman"/>
                <w:b/>
                <w:bCs/>
                <w:sz w:val="28"/>
                <w:szCs w:val="28"/>
              </w:rPr>
            </w:pPr>
          </w:p>
        </w:tc>
        <w:tc>
          <w:tcPr>
            <w:tcW w:w="1455" w:type="dxa"/>
            <w:vAlign w:val="center"/>
          </w:tcPr>
          <w:p>
            <w:pPr>
              <w:numPr>
                <w:ilvl w:val="255"/>
                <w:numId w:val="0"/>
              </w:numPr>
              <w:spacing w:line="360" w:lineRule="auto"/>
              <w:jc w:val="left"/>
              <w:rPr>
                <w:rFonts w:ascii="宋体" w:hAnsi="宋体"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59" w:type="dxa"/>
            <w:vAlign w:val="center"/>
          </w:tcPr>
          <w:p>
            <w:pPr>
              <w:numPr>
                <w:ilvl w:val="255"/>
                <w:numId w:val="0"/>
              </w:numPr>
              <w:spacing w:line="360" w:lineRule="auto"/>
              <w:jc w:val="left"/>
              <w:rPr>
                <w:rFonts w:ascii="宋体" w:hAnsi="宋体" w:eastAsia="宋体" w:cs="Times New Roman"/>
                <w:sz w:val="24"/>
                <w:szCs w:val="24"/>
              </w:rPr>
            </w:pPr>
            <w:r>
              <w:rPr>
                <w:rFonts w:hint="eastAsia" w:ascii="宋体" w:hAnsi="宋体" w:eastAsia="宋体" w:cs="Times New Roman"/>
                <w:sz w:val="24"/>
                <w:szCs w:val="24"/>
              </w:rPr>
              <w:t>3</w:t>
            </w:r>
          </w:p>
        </w:tc>
        <w:tc>
          <w:tcPr>
            <w:tcW w:w="1779" w:type="dxa"/>
            <w:vAlign w:val="center"/>
          </w:tcPr>
          <w:p>
            <w:pPr>
              <w:numPr>
                <w:ilvl w:val="255"/>
                <w:numId w:val="0"/>
              </w:numPr>
              <w:spacing w:line="360" w:lineRule="auto"/>
              <w:jc w:val="left"/>
              <w:rPr>
                <w:rFonts w:ascii="宋体" w:hAnsi="宋体" w:eastAsia="宋体" w:cs="Times New Roman"/>
                <w:sz w:val="24"/>
                <w:szCs w:val="24"/>
              </w:rPr>
            </w:pPr>
            <w:r>
              <w:rPr>
                <w:rFonts w:hint="eastAsia" w:ascii="宋体" w:hAnsi="宋体" w:eastAsia="宋体" w:cs="Times New Roman"/>
                <w:sz w:val="24"/>
                <w:szCs w:val="24"/>
              </w:rPr>
              <w:t>道闸维修</w:t>
            </w:r>
          </w:p>
        </w:tc>
        <w:tc>
          <w:tcPr>
            <w:tcW w:w="1404" w:type="dxa"/>
            <w:vAlign w:val="center"/>
          </w:tcPr>
          <w:p>
            <w:pPr>
              <w:numPr>
                <w:ilvl w:val="255"/>
                <w:numId w:val="0"/>
              </w:numPr>
              <w:spacing w:line="360" w:lineRule="auto"/>
              <w:jc w:val="left"/>
              <w:rPr>
                <w:rFonts w:ascii="宋体" w:hAnsi="宋体" w:eastAsia="宋体" w:cs="Times New Roman"/>
                <w:b/>
                <w:bCs/>
                <w:sz w:val="28"/>
                <w:szCs w:val="28"/>
              </w:rPr>
            </w:pPr>
          </w:p>
        </w:tc>
        <w:tc>
          <w:tcPr>
            <w:tcW w:w="2328" w:type="dxa"/>
            <w:vAlign w:val="center"/>
          </w:tcPr>
          <w:p>
            <w:pPr>
              <w:numPr>
                <w:ilvl w:val="255"/>
                <w:numId w:val="0"/>
              </w:numPr>
              <w:spacing w:line="360" w:lineRule="auto"/>
              <w:jc w:val="left"/>
              <w:rPr>
                <w:rFonts w:ascii="宋体" w:hAnsi="宋体" w:eastAsia="宋体" w:cs="Times New Roman"/>
                <w:b/>
                <w:bCs/>
                <w:sz w:val="28"/>
                <w:szCs w:val="28"/>
              </w:rPr>
            </w:pPr>
          </w:p>
        </w:tc>
        <w:tc>
          <w:tcPr>
            <w:tcW w:w="1471" w:type="dxa"/>
            <w:vAlign w:val="center"/>
          </w:tcPr>
          <w:p>
            <w:pPr>
              <w:numPr>
                <w:ilvl w:val="255"/>
                <w:numId w:val="0"/>
              </w:numPr>
              <w:spacing w:line="360" w:lineRule="auto"/>
              <w:jc w:val="left"/>
              <w:rPr>
                <w:rFonts w:ascii="宋体" w:hAnsi="宋体" w:eastAsia="宋体" w:cs="Times New Roman"/>
                <w:b/>
                <w:bCs/>
                <w:sz w:val="28"/>
                <w:szCs w:val="28"/>
              </w:rPr>
            </w:pPr>
          </w:p>
        </w:tc>
        <w:tc>
          <w:tcPr>
            <w:tcW w:w="1455" w:type="dxa"/>
            <w:vAlign w:val="center"/>
          </w:tcPr>
          <w:p>
            <w:pPr>
              <w:numPr>
                <w:ilvl w:val="255"/>
                <w:numId w:val="0"/>
              </w:numPr>
              <w:spacing w:line="360" w:lineRule="auto"/>
              <w:jc w:val="left"/>
              <w:rPr>
                <w:rFonts w:ascii="宋体" w:hAnsi="宋体"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59" w:type="dxa"/>
            <w:vAlign w:val="center"/>
          </w:tcPr>
          <w:p>
            <w:pPr>
              <w:numPr>
                <w:ilvl w:val="255"/>
                <w:numId w:val="0"/>
              </w:numPr>
              <w:spacing w:line="360" w:lineRule="auto"/>
              <w:jc w:val="left"/>
              <w:rPr>
                <w:rFonts w:ascii="宋体" w:hAnsi="宋体" w:eastAsia="宋体" w:cs="Times New Roman"/>
                <w:sz w:val="24"/>
                <w:szCs w:val="24"/>
              </w:rPr>
            </w:pPr>
            <w:r>
              <w:rPr>
                <w:rFonts w:hint="eastAsia" w:ascii="宋体" w:hAnsi="宋体" w:eastAsia="宋体" w:cs="Times New Roman"/>
                <w:sz w:val="24"/>
                <w:szCs w:val="24"/>
              </w:rPr>
              <w:t>4</w:t>
            </w:r>
          </w:p>
        </w:tc>
        <w:tc>
          <w:tcPr>
            <w:tcW w:w="1779" w:type="dxa"/>
            <w:vAlign w:val="center"/>
          </w:tcPr>
          <w:p>
            <w:pPr>
              <w:numPr>
                <w:ilvl w:val="255"/>
                <w:numId w:val="0"/>
              </w:numPr>
              <w:spacing w:line="360" w:lineRule="auto"/>
              <w:jc w:val="left"/>
              <w:rPr>
                <w:rFonts w:ascii="宋体" w:hAnsi="宋体" w:eastAsia="宋体" w:cs="Times New Roman"/>
                <w:sz w:val="24"/>
                <w:szCs w:val="24"/>
              </w:rPr>
            </w:pPr>
            <w:r>
              <w:rPr>
                <w:rFonts w:hint="eastAsia" w:ascii="宋体" w:hAnsi="宋体" w:eastAsia="宋体" w:cs="Times New Roman"/>
                <w:sz w:val="24"/>
                <w:szCs w:val="24"/>
              </w:rPr>
              <w:t>伸缩门维修</w:t>
            </w:r>
          </w:p>
        </w:tc>
        <w:tc>
          <w:tcPr>
            <w:tcW w:w="1404" w:type="dxa"/>
            <w:vAlign w:val="center"/>
          </w:tcPr>
          <w:p>
            <w:pPr>
              <w:numPr>
                <w:ilvl w:val="255"/>
                <w:numId w:val="0"/>
              </w:numPr>
              <w:spacing w:line="360" w:lineRule="auto"/>
              <w:jc w:val="left"/>
              <w:rPr>
                <w:rFonts w:ascii="宋体" w:hAnsi="宋体" w:eastAsia="宋体" w:cs="Times New Roman"/>
                <w:b/>
                <w:bCs/>
                <w:sz w:val="28"/>
                <w:szCs w:val="28"/>
              </w:rPr>
            </w:pPr>
          </w:p>
        </w:tc>
        <w:tc>
          <w:tcPr>
            <w:tcW w:w="2328" w:type="dxa"/>
            <w:vAlign w:val="center"/>
          </w:tcPr>
          <w:p>
            <w:pPr>
              <w:numPr>
                <w:ilvl w:val="255"/>
                <w:numId w:val="0"/>
              </w:numPr>
              <w:spacing w:line="360" w:lineRule="auto"/>
              <w:jc w:val="left"/>
              <w:rPr>
                <w:rFonts w:ascii="宋体" w:hAnsi="宋体" w:eastAsia="宋体" w:cs="Times New Roman"/>
                <w:b/>
                <w:bCs/>
                <w:sz w:val="28"/>
                <w:szCs w:val="28"/>
              </w:rPr>
            </w:pPr>
          </w:p>
        </w:tc>
        <w:tc>
          <w:tcPr>
            <w:tcW w:w="1471" w:type="dxa"/>
            <w:vAlign w:val="center"/>
          </w:tcPr>
          <w:p>
            <w:pPr>
              <w:numPr>
                <w:ilvl w:val="255"/>
                <w:numId w:val="0"/>
              </w:numPr>
              <w:spacing w:line="360" w:lineRule="auto"/>
              <w:jc w:val="left"/>
              <w:rPr>
                <w:rFonts w:ascii="宋体" w:hAnsi="宋体" w:eastAsia="宋体" w:cs="Times New Roman"/>
                <w:b/>
                <w:bCs/>
                <w:sz w:val="28"/>
                <w:szCs w:val="28"/>
              </w:rPr>
            </w:pPr>
          </w:p>
        </w:tc>
        <w:tc>
          <w:tcPr>
            <w:tcW w:w="1455" w:type="dxa"/>
            <w:vAlign w:val="center"/>
          </w:tcPr>
          <w:p>
            <w:pPr>
              <w:numPr>
                <w:ilvl w:val="255"/>
                <w:numId w:val="0"/>
              </w:numPr>
              <w:spacing w:line="360" w:lineRule="auto"/>
              <w:jc w:val="left"/>
              <w:rPr>
                <w:rFonts w:ascii="宋体" w:hAnsi="宋体"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59" w:type="dxa"/>
            <w:vAlign w:val="center"/>
          </w:tcPr>
          <w:p>
            <w:pPr>
              <w:numPr>
                <w:ilvl w:val="255"/>
                <w:numId w:val="0"/>
              </w:numPr>
              <w:spacing w:line="360" w:lineRule="auto"/>
              <w:jc w:val="left"/>
              <w:rPr>
                <w:rFonts w:ascii="宋体" w:hAnsi="宋体" w:eastAsia="宋体" w:cs="Times New Roman"/>
                <w:sz w:val="24"/>
                <w:szCs w:val="24"/>
              </w:rPr>
            </w:pPr>
            <w:r>
              <w:rPr>
                <w:rFonts w:hint="eastAsia" w:ascii="宋体" w:hAnsi="宋体" w:eastAsia="宋体" w:cs="Times New Roman"/>
                <w:sz w:val="24"/>
                <w:szCs w:val="24"/>
              </w:rPr>
              <w:t>5</w:t>
            </w:r>
          </w:p>
        </w:tc>
        <w:tc>
          <w:tcPr>
            <w:tcW w:w="1779" w:type="dxa"/>
            <w:vAlign w:val="center"/>
          </w:tcPr>
          <w:p>
            <w:pPr>
              <w:numPr>
                <w:ilvl w:val="255"/>
                <w:numId w:val="0"/>
              </w:numPr>
              <w:spacing w:line="360" w:lineRule="auto"/>
              <w:jc w:val="left"/>
              <w:rPr>
                <w:rFonts w:ascii="宋体" w:hAnsi="宋体" w:eastAsia="宋体" w:cs="Times New Roman"/>
                <w:sz w:val="24"/>
                <w:szCs w:val="24"/>
              </w:rPr>
            </w:pPr>
            <w:r>
              <w:rPr>
                <w:rFonts w:hint="eastAsia" w:ascii="宋体" w:hAnsi="宋体" w:eastAsia="宋体" w:cs="Times New Roman"/>
                <w:sz w:val="24"/>
                <w:szCs w:val="24"/>
              </w:rPr>
              <w:t>电子围栏维修</w:t>
            </w:r>
          </w:p>
        </w:tc>
        <w:tc>
          <w:tcPr>
            <w:tcW w:w="1404" w:type="dxa"/>
            <w:vAlign w:val="center"/>
          </w:tcPr>
          <w:p>
            <w:pPr>
              <w:numPr>
                <w:ilvl w:val="255"/>
                <w:numId w:val="0"/>
              </w:numPr>
              <w:spacing w:line="360" w:lineRule="auto"/>
              <w:jc w:val="left"/>
              <w:rPr>
                <w:rFonts w:ascii="宋体" w:hAnsi="宋体" w:eastAsia="宋体" w:cs="Times New Roman"/>
                <w:b/>
                <w:bCs/>
                <w:sz w:val="28"/>
                <w:szCs w:val="28"/>
              </w:rPr>
            </w:pPr>
          </w:p>
        </w:tc>
        <w:tc>
          <w:tcPr>
            <w:tcW w:w="2328" w:type="dxa"/>
            <w:vAlign w:val="center"/>
          </w:tcPr>
          <w:p>
            <w:pPr>
              <w:numPr>
                <w:ilvl w:val="255"/>
                <w:numId w:val="0"/>
              </w:numPr>
              <w:spacing w:line="360" w:lineRule="auto"/>
              <w:jc w:val="left"/>
              <w:rPr>
                <w:rFonts w:ascii="宋体" w:hAnsi="宋体" w:eastAsia="宋体" w:cs="Times New Roman"/>
                <w:b/>
                <w:bCs/>
                <w:sz w:val="28"/>
                <w:szCs w:val="28"/>
              </w:rPr>
            </w:pPr>
          </w:p>
        </w:tc>
        <w:tc>
          <w:tcPr>
            <w:tcW w:w="1471" w:type="dxa"/>
            <w:vAlign w:val="center"/>
          </w:tcPr>
          <w:p>
            <w:pPr>
              <w:numPr>
                <w:ilvl w:val="255"/>
                <w:numId w:val="0"/>
              </w:numPr>
              <w:spacing w:line="360" w:lineRule="auto"/>
              <w:jc w:val="left"/>
              <w:rPr>
                <w:rFonts w:ascii="宋体" w:hAnsi="宋体" w:eastAsia="宋体" w:cs="Times New Roman"/>
                <w:b/>
                <w:bCs/>
                <w:sz w:val="28"/>
                <w:szCs w:val="28"/>
              </w:rPr>
            </w:pPr>
          </w:p>
        </w:tc>
        <w:tc>
          <w:tcPr>
            <w:tcW w:w="1455" w:type="dxa"/>
            <w:vAlign w:val="center"/>
          </w:tcPr>
          <w:p>
            <w:pPr>
              <w:numPr>
                <w:ilvl w:val="255"/>
                <w:numId w:val="0"/>
              </w:numPr>
              <w:spacing w:line="360" w:lineRule="auto"/>
              <w:jc w:val="left"/>
              <w:rPr>
                <w:rFonts w:ascii="宋体" w:hAnsi="宋体" w:eastAsia="宋体" w:cs="Times New Roman"/>
                <w:b/>
                <w:bCs/>
                <w:sz w:val="28"/>
                <w:szCs w:val="28"/>
              </w:rPr>
            </w:pPr>
          </w:p>
        </w:tc>
      </w:tr>
    </w:tbl>
    <w:p>
      <w:pPr>
        <w:numPr>
          <w:ilvl w:val="255"/>
          <w:numId w:val="0"/>
        </w:numPr>
        <w:spacing w:line="360" w:lineRule="auto"/>
        <w:jc w:val="left"/>
        <w:rPr>
          <w:rFonts w:ascii="宋体" w:hAnsi="宋体" w:eastAsia="宋体" w:cs="Times New Roman"/>
          <w:b/>
          <w:bCs/>
          <w:sz w:val="28"/>
          <w:szCs w:val="28"/>
        </w:rPr>
      </w:pPr>
    </w:p>
    <w:p>
      <w:pPr>
        <w:numPr>
          <w:ilvl w:val="255"/>
          <w:numId w:val="0"/>
        </w:numPr>
        <w:spacing w:line="360" w:lineRule="auto"/>
        <w:jc w:val="left"/>
        <w:rPr>
          <w:rFonts w:ascii="宋体" w:hAnsi="宋体" w:eastAsia="宋体" w:cs="Times New Roman"/>
          <w:b/>
          <w:bCs/>
          <w:sz w:val="28"/>
          <w:szCs w:val="28"/>
        </w:rPr>
      </w:pPr>
    </w:p>
    <w:p>
      <w:pPr>
        <w:jc w:val="left"/>
        <w:rPr>
          <w:rFonts w:ascii="宋体" w:hAnsi="宋体" w:eastAsia="宋体" w:cs="Times New Roman"/>
          <w:b/>
          <w:bCs/>
          <w:sz w:val="28"/>
          <w:szCs w:val="28"/>
        </w:rPr>
      </w:pPr>
      <w:r>
        <w:rPr>
          <w:rFonts w:hint="eastAsia" w:ascii="宋体" w:hAnsi="宋体" w:eastAsia="宋体" w:cs="宋体"/>
          <w:b/>
          <w:bCs/>
          <w:sz w:val="28"/>
          <w:szCs w:val="28"/>
        </w:rPr>
        <w:t>★</w:t>
      </w:r>
      <w:r>
        <w:rPr>
          <w:rFonts w:hint="eastAsia" w:ascii="宋体" w:hAnsi="宋体" w:eastAsia="宋体" w:cs="Times New Roman"/>
          <w:b/>
          <w:bCs/>
          <w:sz w:val="28"/>
          <w:szCs w:val="28"/>
        </w:rPr>
        <w:t>以上三个表格应答人都需要进行报价。</w:t>
      </w:r>
    </w:p>
    <w:p>
      <w:pPr>
        <w:pStyle w:val="2"/>
      </w:pPr>
      <w:r>
        <w:rPr>
          <w:rFonts w:hint="eastAsia" w:ascii="宋体" w:hAnsi="宋体" w:cs="宋体"/>
          <w:b/>
          <w:bCs/>
          <w:sz w:val="28"/>
          <w:szCs w:val="28"/>
        </w:rPr>
        <w:t>★</w:t>
      </w:r>
      <w:r>
        <w:rPr>
          <w:rFonts w:hint="eastAsia" w:ascii="宋体" w:hAnsi="宋体"/>
          <w:b/>
          <w:bCs/>
          <w:sz w:val="28"/>
          <w:szCs w:val="28"/>
        </w:rPr>
        <w:t>最终中标单位年度合同签署价格为《</w:t>
      </w:r>
      <w:r>
        <w:rPr>
          <w:rFonts w:hint="eastAsia" w:asciiTheme="majorEastAsia" w:hAnsiTheme="majorEastAsia" w:eastAsiaTheme="majorEastAsia"/>
          <w:b/>
          <w:bCs/>
          <w:sz w:val="28"/>
          <w:szCs w:val="28"/>
        </w:rPr>
        <w:t>附件一、合同费用报价明细表</w:t>
      </w:r>
      <w:r>
        <w:rPr>
          <w:rFonts w:hint="eastAsia" w:ascii="宋体" w:hAnsi="宋体"/>
          <w:b/>
          <w:bCs/>
          <w:sz w:val="28"/>
          <w:szCs w:val="28"/>
        </w:rPr>
        <w:t>》中年度固定费用，不含计划外维修服务费用和其他额外费用。</w:t>
      </w:r>
    </w:p>
    <w:p>
      <w:pPr>
        <w:pStyle w:val="2"/>
        <w:sectPr>
          <w:footerReference r:id="rId8" w:type="first"/>
          <w:headerReference r:id="rId7" w:type="default"/>
          <w:pgSz w:w="11905" w:h="16838"/>
          <w:pgMar w:top="1440" w:right="1440" w:bottom="1440" w:left="1240" w:header="851" w:footer="992" w:gutter="0"/>
          <w:cols w:space="0" w:num="1"/>
          <w:titlePg/>
          <w:docGrid w:type="linesAndChars" w:linePitch="322" w:charSpace="999"/>
        </w:sectPr>
      </w:pPr>
    </w:p>
    <w:bookmarkEnd w:id="165"/>
    <w:bookmarkEnd w:id="166"/>
    <w:bookmarkEnd w:id="167"/>
    <w:bookmarkEnd w:id="168"/>
    <w:p>
      <w:pPr>
        <w:pStyle w:val="253"/>
      </w:pPr>
      <w:bookmarkStart w:id="230" w:name="_Toc31816"/>
      <w:bookmarkStart w:id="231" w:name="_Toc23133"/>
      <w:bookmarkStart w:id="232" w:name="_Toc15089"/>
      <w:bookmarkStart w:id="233" w:name="_Toc5043"/>
      <w:bookmarkStart w:id="234" w:name="_Toc32623"/>
      <w:bookmarkStart w:id="235" w:name="_Toc4053"/>
      <w:bookmarkStart w:id="236" w:name="_Toc4320"/>
      <w:bookmarkStart w:id="237" w:name="_Toc21365"/>
      <w:bookmarkStart w:id="238" w:name="_Toc32606"/>
      <w:bookmarkStart w:id="239" w:name="_Toc10879"/>
      <w:bookmarkStart w:id="240" w:name="_Toc19894"/>
      <w:r>
        <w:rPr>
          <w:rFonts w:hint="eastAsia"/>
        </w:rPr>
        <w:t>标准合同</w:t>
      </w:r>
      <w:bookmarkEnd w:id="230"/>
      <w:bookmarkEnd w:id="231"/>
      <w:bookmarkEnd w:id="232"/>
      <w:bookmarkEnd w:id="233"/>
      <w:bookmarkEnd w:id="234"/>
      <w:bookmarkEnd w:id="235"/>
      <w:bookmarkEnd w:id="236"/>
      <w:bookmarkEnd w:id="237"/>
      <w:bookmarkEnd w:id="238"/>
      <w:bookmarkEnd w:id="239"/>
      <w:bookmarkEnd w:id="240"/>
    </w:p>
    <w:p>
      <w:pPr>
        <w:autoSpaceDE w:val="0"/>
        <w:autoSpaceDN w:val="0"/>
        <w:adjustRightInd w:val="0"/>
        <w:spacing w:line="360" w:lineRule="auto"/>
        <w:textAlignment w:val="baseline"/>
        <w:rPr>
          <w:rFonts w:hAnsi="宋体"/>
          <w:b/>
          <w:bCs/>
          <w:sz w:val="52"/>
          <w:szCs w:val="52"/>
        </w:rPr>
      </w:pPr>
    </w:p>
    <w:p>
      <w:pPr>
        <w:autoSpaceDE w:val="0"/>
        <w:autoSpaceDN w:val="0"/>
        <w:adjustRightInd w:val="0"/>
        <w:spacing w:line="360" w:lineRule="auto"/>
        <w:jc w:val="center"/>
        <w:textAlignment w:val="baseline"/>
        <w:rPr>
          <w:sz w:val="28"/>
          <w:szCs w:val="28"/>
        </w:rPr>
      </w:pPr>
      <w:r>
        <w:rPr>
          <w:rFonts w:hAnsi="宋体"/>
          <w:b/>
          <w:bCs/>
          <w:sz w:val="28"/>
          <w:szCs w:val="28"/>
        </w:rPr>
        <w:t>合同</w:t>
      </w:r>
      <w:r>
        <w:rPr>
          <w:rFonts w:hint="eastAsia" w:hAnsi="宋体"/>
          <w:b/>
          <w:bCs/>
          <w:sz w:val="28"/>
          <w:szCs w:val="28"/>
        </w:rPr>
        <w:t>版本另附</w:t>
      </w:r>
    </w:p>
    <w:p>
      <w:pPr>
        <w:spacing w:line="360" w:lineRule="auto"/>
        <w:rPr>
          <w:sz w:val="24"/>
        </w:rPr>
      </w:pPr>
    </w:p>
    <w:p>
      <w:pPr>
        <w:spacing w:line="360" w:lineRule="auto"/>
        <w:jc w:val="center"/>
        <w:rPr>
          <w:sz w:val="24"/>
        </w:rPr>
      </w:pPr>
      <w:r>
        <w:rPr>
          <w:rFonts w:hint="eastAsia" w:hAnsi="宋体"/>
          <w:b/>
          <w:bCs/>
          <w:sz w:val="28"/>
          <w:szCs w:val="28"/>
          <w:u w:val="single"/>
        </w:rPr>
        <w:t>月浦基地综合服务合同</w:t>
      </w:r>
    </w:p>
    <w:p>
      <w:pPr>
        <w:widowControl/>
        <w:jc w:val="left"/>
        <w:rPr>
          <w:sz w:val="24"/>
        </w:rPr>
      </w:pPr>
      <w:r>
        <w:rPr>
          <w:sz w:val="24"/>
        </w:rPr>
        <w:br w:type="page"/>
      </w:r>
    </w:p>
    <w:p>
      <w:pPr>
        <w:pStyle w:val="3"/>
        <w:numPr>
          <w:ilvl w:val="0"/>
          <w:numId w:val="0"/>
        </w:numPr>
        <w:spacing w:before="120"/>
        <w:ind w:left="-21" w:leftChars="-67" w:hanging="120" w:hangingChars="50"/>
        <w:rPr>
          <w:rFonts w:ascii="宋体" w:hAnsi="宋体"/>
          <w:b w:val="0"/>
          <w:bCs/>
          <w:sz w:val="24"/>
          <w:szCs w:val="24"/>
          <w:lang w:eastAsia="zh-CN"/>
        </w:rPr>
      </w:pPr>
      <w:bookmarkStart w:id="241" w:name="_Toc28454"/>
      <w:bookmarkStart w:id="242" w:name="_Toc29630"/>
      <w:bookmarkStart w:id="243" w:name="_Toc4419"/>
      <w:bookmarkStart w:id="244" w:name="_Toc11974"/>
      <w:bookmarkStart w:id="245" w:name="_Toc19815"/>
      <w:bookmarkStart w:id="246" w:name="_Toc31925"/>
      <w:bookmarkStart w:id="247" w:name="_Toc30476"/>
      <w:bookmarkStart w:id="248" w:name="_Toc30928"/>
      <w:bookmarkStart w:id="249" w:name="_Toc32737"/>
      <w:bookmarkStart w:id="250" w:name="_Toc26127"/>
      <w:bookmarkStart w:id="251" w:name="_Toc18156"/>
      <w:r>
        <w:rPr>
          <w:rFonts w:hint="eastAsia" w:ascii="宋体" w:hAnsi="宋体"/>
          <w:b w:val="0"/>
          <w:bCs/>
          <w:sz w:val="24"/>
          <w:szCs w:val="24"/>
          <w:lang w:eastAsia="zh-CN"/>
        </w:rPr>
        <w:t>附件1：任职情况说明反馈表</w:t>
      </w:r>
      <w:bookmarkEnd w:id="241"/>
      <w:bookmarkEnd w:id="242"/>
      <w:bookmarkEnd w:id="243"/>
      <w:bookmarkEnd w:id="244"/>
      <w:bookmarkEnd w:id="245"/>
      <w:bookmarkEnd w:id="246"/>
      <w:bookmarkEnd w:id="247"/>
      <w:bookmarkEnd w:id="248"/>
      <w:bookmarkEnd w:id="249"/>
      <w:bookmarkEnd w:id="250"/>
      <w:bookmarkEnd w:id="251"/>
    </w:p>
    <w:p>
      <w:pPr>
        <w:jc w:val="center"/>
        <w:rPr>
          <w:rFonts w:ascii="黑体" w:hAnsi="黑体" w:eastAsia="黑体"/>
          <w:b/>
          <w:sz w:val="32"/>
          <w:szCs w:val="32"/>
        </w:rPr>
      </w:pPr>
      <w:r>
        <w:rPr>
          <w:rFonts w:hint="eastAsia" w:ascii="黑体" w:hAnsi="黑体" w:eastAsia="黑体"/>
          <w:b/>
          <w:sz w:val="32"/>
          <w:szCs w:val="32"/>
        </w:rPr>
        <w:t>关于中国海油人员及亲属在本公司任职情况说明</w:t>
      </w:r>
    </w:p>
    <w:p>
      <w:pPr>
        <w:spacing w:line="360" w:lineRule="auto"/>
        <w:rPr>
          <w:b/>
          <w:sz w:val="28"/>
          <w:szCs w:val="28"/>
        </w:rPr>
      </w:pPr>
      <w:r>
        <w:rPr>
          <w:rFonts w:hint="eastAsia"/>
          <w:b/>
          <w:sz w:val="28"/>
          <w:szCs w:val="28"/>
        </w:rPr>
        <w:t>中国海油：</w:t>
      </w:r>
    </w:p>
    <w:p>
      <w:pPr>
        <w:spacing w:line="360" w:lineRule="auto"/>
        <w:ind w:firstLine="420"/>
        <w:rPr>
          <w:sz w:val="24"/>
          <w:szCs w:val="24"/>
        </w:rPr>
      </w:pPr>
      <w:r>
        <w:rPr>
          <w:rFonts w:hint="eastAsia"/>
          <w:sz w:val="24"/>
          <w:szCs w:val="24"/>
        </w:rPr>
        <w:t>我公司为</w:t>
      </w:r>
      <w:r>
        <w:rPr>
          <w:rFonts w:hint="eastAsia" w:ascii="宋体" w:hAnsi="宋体"/>
          <w:sz w:val="28"/>
          <w:szCs w:val="28"/>
        </w:rPr>
        <w:t>□</w:t>
      </w:r>
      <w:r>
        <w:rPr>
          <w:rFonts w:hint="eastAsia"/>
          <w:sz w:val="24"/>
          <w:szCs w:val="24"/>
        </w:rPr>
        <w:t xml:space="preserve">国有性质企业  /  </w:t>
      </w:r>
      <w:r>
        <w:rPr>
          <w:rFonts w:hint="eastAsia" w:ascii="宋体" w:hAnsi="宋体"/>
          <w:sz w:val="24"/>
          <w:szCs w:val="24"/>
        </w:rPr>
        <w:t>□</w:t>
      </w:r>
      <w:r>
        <w:rPr>
          <w:rFonts w:hint="eastAsia"/>
          <w:sz w:val="24"/>
          <w:szCs w:val="24"/>
        </w:rPr>
        <w:t>非国有性质企业。</w:t>
      </w:r>
    </w:p>
    <w:p>
      <w:pPr>
        <w:spacing w:line="360" w:lineRule="auto"/>
        <w:ind w:firstLine="420"/>
        <w:rPr>
          <w:b/>
          <w:sz w:val="24"/>
          <w:szCs w:val="24"/>
          <w:u w:val="single"/>
        </w:rPr>
      </w:pPr>
      <w:r>
        <w:rPr>
          <w:rFonts w:hint="eastAsia"/>
          <w:b/>
          <w:sz w:val="24"/>
          <w:szCs w:val="24"/>
          <w:u w:val="single"/>
          <w:shd w:val="pct10" w:color="auto" w:fill="FFFFFF"/>
        </w:rPr>
        <w:t>以下为非国有性质企业填写：</w:t>
      </w:r>
    </w:p>
    <w:p>
      <w:pPr>
        <w:spacing w:line="360" w:lineRule="auto"/>
        <w:ind w:firstLine="420"/>
        <w:rPr>
          <w:sz w:val="24"/>
          <w:szCs w:val="24"/>
        </w:rPr>
      </w:pPr>
      <w:r>
        <w:rPr>
          <w:rFonts w:hint="eastAsia"/>
          <w:sz w:val="24"/>
          <w:szCs w:val="24"/>
        </w:rPr>
        <w:t xml:space="preserve">我公司  </w:t>
      </w:r>
      <w:r>
        <w:rPr>
          <w:rFonts w:hint="eastAsia" w:ascii="宋体" w:hAnsi="宋体"/>
          <w:sz w:val="24"/>
          <w:szCs w:val="24"/>
        </w:rPr>
        <w:t>□</w:t>
      </w:r>
      <w:r>
        <w:rPr>
          <w:rFonts w:hint="eastAsia"/>
          <w:sz w:val="24"/>
          <w:szCs w:val="24"/>
        </w:rPr>
        <w:t xml:space="preserve">存在 / </w:t>
      </w:r>
      <w:r>
        <w:rPr>
          <w:rFonts w:hint="eastAsia" w:ascii="宋体" w:hAnsi="宋体"/>
          <w:sz w:val="24"/>
          <w:szCs w:val="24"/>
        </w:rPr>
        <w:t>□不存在 以下情况</w:t>
      </w:r>
      <w:r>
        <w:rPr>
          <w:rFonts w:hint="eastAsia" w:ascii="宋体" w:hAnsi="宋体"/>
          <w:sz w:val="24"/>
          <w:szCs w:val="24"/>
          <w:u w:val="single"/>
        </w:rPr>
        <w:t>（</w:t>
      </w:r>
      <w:r>
        <w:rPr>
          <w:rFonts w:hint="eastAsia" w:ascii="宋体" w:hAnsi="宋体"/>
          <w:sz w:val="24"/>
          <w:szCs w:val="24"/>
          <w:u w:val="single"/>
          <w:shd w:val="pct10" w:color="auto" w:fill="FFFFFF"/>
        </w:rPr>
        <w:t>以下所有框内都需要标记，不存在的打×，存在的情况打√并附详细信息在表格中）</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□中国海油领导人员亲属为本公司法人或实际控制人，</w:t>
      </w:r>
    </w:p>
    <w:p>
      <w:pPr>
        <w:spacing w:line="360" w:lineRule="auto"/>
        <w:rPr>
          <w:rFonts w:ascii="宋体" w:hAnsi="宋体"/>
          <w:sz w:val="24"/>
          <w:szCs w:val="24"/>
        </w:rPr>
      </w:pPr>
      <w:r>
        <w:rPr>
          <w:rFonts w:hint="eastAsia" w:ascii="宋体" w:hAnsi="宋体"/>
          <w:sz w:val="24"/>
          <w:szCs w:val="24"/>
        </w:rPr>
        <w:t>□中国海油领导人员亲属在本公司持有股权</w:t>
      </w:r>
    </w:p>
    <w:p>
      <w:pPr>
        <w:spacing w:line="360" w:lineRule="auto"/>
        <w:rPr>
          <w:rFonts w:ascii="宋体" w:hAnsi="宋体"/>
          <w:sz w:val="24"/>
          <w:szCs w:val="24"/>
        </w:rPr>
      </w:pPr>
      <w:r>
        <w:rPr>
          <w:rFonts w:hint="eastAsia" w:ascii="宋体" w:hAnsi="宋体"/>
          <w:sz w:val="24"/>
          <w:szCs w:val="24"/>
        </w:rPr>
        <w:t>□中国海油领导人员亲属在本公司受聘担任部门负责人及以上高级职务</w:t>
      </w:r>
    </w:p>
    <w:p>
      <w:pPr>
        <w:spacing w:line="360" w:lineRule="auto"/>
        <w:rPr>
          <w:rFonts w:ascii="宋体" w:hAnsi="宋体"/>
          <w:sz w:val="24"/>
          <w:szCs w:val="24"/>
        </w:rPr>
      </w:pPr>
      <w:r>
        <w:rPr>
          <w:rFonts w:hint="eastAsia" w:ascii="宋体" w:hAnsi="宋体"/>
          <w:sz w:val="24"/>
          <w:szCs w:val="24"/>
        </w:rPr>
        <w:t>□中国海油离职/退休人员为本公司法人、合伙人或实际控制人</w:t>
      </w:r>
    </w:p>
    <w:p>
      <w:pPr>
        <w:spacing w:line="360" w:lineRule="auto"/>
        <w:rPr>
          <w:rFonts w:ascii="宋体" w:hAnsi="宋体"/>
          <w:sz w:val="24"/>
          <w:szCs w:val="24"/>
        </w:rPr>
      </w:pPr>
      <w:r>
        <w:rPr>
          <w:rFonts w:hint="eastAsia" w:ascii="宋体" w:hAnsi="宋体"/>
          <w:sz w:val="24"/>
          <w:szCs w:val="24"/>
        </w:rPr>
        <w:t>□中国海油离职/退休人员在本公司受聘担任部门负责人及以上高级职务</w:t>
      </w:r>
    </w:p>
    <w:p>
      <w:pPr>
        <w:spacing w:line="360" w:lineRule="auto"/>
        <w:rPr>
          <w:rFonts w:ascii="宋体" w:hAnsi="宋体"/>
          <w:b/>
          <w:sz w:val="24"/>
          <w:szCs w:val="24"/>
        </w:rPr>
      </w:pPr>
      <w:r>
        <w:rPr>
          <w:rFonts w:hint="eastAsia" w:ascii="宋体" w:hAnsi="宋体"/>
          <w:b/>
          <w:sz w:val="24"/>
          <w:szCs w:val="24"/>
        </w:rPr>
        <w:t>（注：以上中国海油领导人员、离职/退休人员级别只限M10或T8及以上）</w:t>
      </w:r>
    </w:p>
    <w:tbl>
      <w:tblPr>
        <w:tblStyle w:val="46"/>
        <w:tblpPr w:leftFromText="180" w:rightFromText="180" w:vertAnchor="text" w:horzAnchor="margin" w:tblpX="-635" w:tblpY="41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09"/>
        <w:gridCol w:w="1390"/>
        <w:gridCol w:w="1378"/>
        <w:gridCol w:w="884"/>
        <w:gridCol w:w="1695"/>
        <w:gridCol w:w="96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52" w:type="dxa"/>
            <w:vAlign w:val="center"/>
          </w:tcPr>
          <w:p>
            <w:pPr>
              <w:widowControl/>
              <w:spacing w:line="360" w:lineRule="auto"/>
              <w:jc w:val="center"/>
              <w:rPr>
                <w:rFonts w:ascii="宋体" w:hAnsi="宋体" w:cs="宋体"/>
                <w:szCs w:val="21"/>
              </w:rPr>
            </w:pPr>
            <w:r>
              <w:rPr>
                <w:rFonts w:hint="eastAsia" w:ascii="宋体" w:hAnsi="宋体" w:cs="宋体"/>
                <w:szCs w:val="21"/>
              </w:rPr>
              <w:t>本公司员工姓名</w:t>
            </w:r>
          </w:p>
        </w:tc>
        <w:tc>
          <w:tcPr>
            <w:tcW w:w="709" w:type="dxa"/>
            <w:vAlign w:val="center"/>
          </w:tcPr>
          <w:p>
            <w:pPr>
              <w:widowControl/>
              <w:spacing w:line="360" w:lineRule="auto"/>
              <w:jc w:val="center"/>
              <w:rPr>
                <w:rFonts w:ascii="宋体" w:hAnsi="宋体" w:cs="宋体"/>
                <w:szCs w:val="21"/>
              </w:rPr>
            </w:pPr>
            <w:r>
              <w:rPr>
                <w:rFonts w:hint="eastAsia" w:ascii="宋体" w:hAnsi="宋体" w:cs="宋体"/>
                <w:szCs w:val="21"/>
              </w:rPr>
              <w:t>性别</w:t>
            </w:r>
          </w:p>
        </w:tc>
        <w:tc>
          <w:tcPr>
            <w:tcW w:w="1390" w:type="dxa"/>
            <w:vAlign w:val="center"/>
          </w:tcPr>
          <w:p>
            <w:pPr>
              <w:widowControl/>
              <w:spacing w:line="360" w:lineRule="auto"/>
              <w:jc w:val="center"/>
              <w:rPr>
                <w:rFonts w:ascii="宋体" w:hAnsi="宋体" w:cs="宋体"/>
                <w:szCs w:val="21"/>
              </w:rPr>
            </w:pPr>
            <w:r>
              <w:rPr>
                <w:rFonts w:hint="eastAsia" w:ascii="宋体" w:hAnsi="宋体" w:cs="宋体"/>
                <w:szCs w:val="21"/>
              </w:rPr>
              <w:t>在本公司</w:t>
            </w:r>
            <w:r>
              <w:rPr>
                <w:rFonts w:hint="eastAsia" w:ascii="宋体" w:hAnsi="宋体" w:cs="宋体"/>
                <w:szCs w:val="21"/>
              </w:rPr>
              <w:br w:type="textWrapping"/>
            </w:r>
            <w:r>
              <w:rPr>
                <w:rFonts w:hint="eastAsia" w:ascii="宋体" w:hAnsi="宋体" w:cs="宋体"/>
                <w:szCs w:val="21"/>
              </w:rPr>
              <w:t>职务</w:t>
            </w:r>
          </w:p>
        </w:tc>
        <w:tc>
          <w:tcPr>
            <w:tcW w:w="1378" w:type="dxa"/>
            <w:shd w:val="clear" w:color="auto" w:fill="auto"/>
            <w:vAlign w:val="center"/>
          </w:tcPr>
          <w:p>
            <w:pPr>
              <w:widowControl/>
              <w:spacing w:line="360" w:lineRule="auto"/>
              <w:jc w:val="center"/>
              <w:rPr>
                <w:rFonts w:ascii="宋体" w:hAnsi="宋体" w:cs="宋体"/>
                <w:szCs w:val="21"/>
              </w:rPr>
            </w:pPr>
            <w:r>
              <w:rPr>
                <w:rFonts w:hint="eastAsia" w:ascii="宋体" w:hAnsi="宋体" w:cs="宋体"/>
                <w:szCs w:val="21"/>
              </w:rPr>
              <w:t>与海油人员关系</w:t>
            </w:r>
          </w:p>
        </w:tc>
        <w:tc>
          <w:tcPr>
            <w:tcW w:w="884" w:type="dxa"/>
            <w:vAlign w:val="center"/>
          </w:tcPr>
          <w:p>
            <w:pPr>
              <w:widowControl/>
              <w:spacing w:line="360" w:lineRule="auto"/>
              <w:jc w:val="center"/>
              <w:rPr>
                <w:rFonts w:ascii="宋体" w:hAnsi="宋体" w:cs="宋体"/>
                <w:szCs w:val="21"/>
              </w:rPr>
            </w:pPr>
            <w:r>
              <w:rPr>
                <w:rFonts w:hint="eastAsia" w:ascii="宋体" w:hAnsi="宋体" w:cs="宋体"/>
                <w:szCs w:val="21"/>
              </w:rPr>
              <w:t>相关的海油人员姓名</w:t>
            </w:r>
          </w:p>
        </w:tc>
        <w:tc>
          <w:tcPr>
            <w:tcW w:w="1695" w:type="dxa"/>
            <w:vAlign w:val="center"/>
          </w:tcPr>
          <w:p>
            <w:pPr>
              <w:widowControl/>
              <w:spacing w:line="360" w:lineRule="auto"/>
              <w:jc w:val="center"/>
              <w:rPr>
                <w:rFonts w:ascii="宋体" w:hAnsi="宋体" w:cs="宋体"/>
                <w:szCs w:val="21"/>
              </w:rPr>
            </w:pPr>
            <w:r>
              <w:rPr>
                <w:rFonts w:hint="eastAsia" w:ascii="宋体" w:hAnsi="宋体" w:cs="宋体"/>
                <w:szCs w:val="21"/>
              </w:rPr>
              <w:t>海油人员在职情况</w:t>
            </w:r>
          </w:p>
        </w:tc>
        <w:tc>
          <w:tcPr>
            <w:tcW w:w="964" w:type="dxa"/>
            <w:vAlign w:val="center"/>
          </w:tcPr>
          <w:p>
            <w:pPr>
              <w:widowControl/>
              <w:spacing w:line="360" w:lineRule="auto"/>
              <w:jc w:val="center"/>
              <w:rPr>
                <w:rFonts w:ascii="宋体" w:hAnsi="宋体" w:cs="宋体"/>
                <w:szCs w:val="21"/>
              </w:rPr>
            </w:pPr>
            <w:r>
              <w:rPr>
                <w:rFonts w:hint="eastAsia" w:ascii="宋体" w:hAnsi="宋体" w:cs="宋体"/>
                <w:szCs w:val="21"/>
              </w:rPr>
              <w:t>海油人员级别</w:t>
            </w:r>
          </w:p>
        </w:tc>
        <w:tc>
          <w:tcPr>
            <w:tcW w:w="1275" w:type="dxa"/>
            <w:vAlign w:val="center"/>
          </w:tcPr>
          <w:p>
            <w:pPr>
              <w:widowControl/>
              <w:spacing w:line="360" w:lineRule="auto"/>
              <w:jc w:val="center"/>
              <w:rPr>
                <w:rFonts w:ascii="宋体" w:hAnsi="宋体" w:cs="宋体"/>
                <w:szCs w:val="21"/>
              </w:rPr>
            </w:pPr>
            <w:r>
              <w:rPr>
                <w:rFonts w:hint="eastAsia" w:ascii="宋体" w:hAnsi="宋体" w:cs="宋体"/>
                <w:szCs w:val="21"/>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52" w:type="dxa"/>
            <w:vAlign w:val="center"/>
          </w:tcPr>
          <w:p>
            <w:pPr>
              <w:widowControl/>
              <w:spacing w:line="360" w:lineRule="auto"/>
              <w:jc w:val="center"/>
              <w:rPr>
                <w:rFonts w:ascii="宋体" w:hAnsi="宋体" w:cs="宋体"/>
                <w:szCs w:val="21"/>
              </w:rPr>
            </w:pPr>
            <w:r>
              <w:rPr>
                <w:rFonts w:hint="eastAsia" w:ascii="宋体" w:hAnsi="宋体" w:cs="宋体"/>
                <w:szCs w:val="21"/>
              </w:rPr>
              <w:t>示例：李XX</w:t>
            </w:r>
          </w:p>
        </w:tc>
        <w:tc>
          <w:tcPr>
            <w:tcW w:w="709" w:type="dxa"/>
            <w:vAlign w:val="center"/>
          </w:tcPr>
          <w:p>
            <w:pPr>
              <w:widowControl/>
              <w:spacing w:line="360" w:lineRule="auto"/>
              <w:jc w:val="center"/>
              <w:rPr>
                <w:rFonts w:ascii="宋体" w:hAnsi="宋体" w:cs="宋体"/>
                <w:szCs w:val="21"/>
              </w:rPr>
            </w:pPr>
            <w:r>
              <w:rPr>
                <w:rFonts w:hint="eastAsia" w:ascii="宋体" w:hAnsi="宋体" w:cs="宋体"/>
                <w:szCs w:val="21"/>
              </w:rPr>
              <w:t>女</w:t>
            </w:r>
          </w:p>
        </w:tc>
        <w:tc>
          <w:tcPr>
            <w:tcW w:w="1390" w:type="dxa"/>
            <w:vAlign w:val="center"/>
          </w:tcPr>
          <w:p>
            <w:pPr>
              <w:widowControl/>
              <w:spacing w:line="360" w:lineRule="auto"/>
              <w:jc w:val="center"/>
              <w:rPr>
                <w:rFonts w:ascii="宋体" w:hAnsi="宋体" w:cs="宋体"/>
                <w:szCs w:val="21"/>
              </w:rPr>
            </w:pPr>
            <w:r>
              <w:rPr>
                <w:rFonts w:hint="eastAsia" w:ascii="宋体" w:hAnsi="宋体" w:cs="宋体"/>
                <w:szCs w:val="21"/>
              </w:rPr>
              <w:t>法定代表人</w:t>
            </w:r>
          </w:p>
        </w:tc>
        <w:tc>
          <w:tcPr>
            <w:tcW w:w="1378" w:type="dxa"/>
            <w:shd w:val="clear" w:color="auto" w:fill="auto"/>
            <w:noWrap/>
            <w:vAlign w:val="center"/>
          </w:tcPr>
          <w:p>
            <w:pPr>
              <w:widowControl/>
              <w:spacing w:line="360" w:lineRule="auto"/>
              <w:jc w:val="center"/>
              <w:rPr>
                <w:rFonts w:ascii="宋体" w:hAnsi="宋体" w:cs="宋体"/>
                <w:szCs w:val="21"/>
              </w:rPr>
            </w:pPr>
            <w:r>
              <w:rPr>
                <w:rFonts w:hint="eastAsia" w:ascii="宋体" w:hAnsi="宋体" w:cs="宋体"/>
                <w:szCs w:val="21"/>
              </w:rPr>
              <w:t>妻侄子之母</w:t>
            </w:r>
          </w:p>
        </w:tc>
        <w:tc>
          <w:tcPr>
            <w:tcW w:w="884" w:type="dxa"/>
            <w:vAlign w:val="center"/>
          </w:tcPr>
          <w:p>
            <w:pPr>
              <w:widowControl/>
              <w:spacing w:line="360" w:lineRule="auto"/>
              <w:jc w:val="center"/>
              <w:rPr>
                <w:rFonts w:ascii="宋体" w:hAnsi="宋体" w:cs="宋体"/>
                <w:szCs w:val="21"/>
              </w:rPr>
            </w:pPr>
            <w:r>
              <w:rPr>
                <w:rFonts w:hint="eastAsia" w:ascii="宋体" w:hAnsi="宋体" w:cs="宋体"/>
                <w:szCs w:val="21"/>
              </w:rPr>
              <w:t>XXX</w:t>
            </w:r>
          </w:p>
        </w:tc>
        <w:tc>
          <w:tcPr>
            <w:tcW w:w="1695" w:type="dxa"/>
            <w:vAlign w:val="center"/>
          </w:tcPr>
          <w:p>
            <w:pPr>
              <w:widowControl/>
              <w:spacing w:line="360" w:lineRule="auto"/>
              <w:jc w:val="center"/>
              <w:rPr>
                <w:rFonts w:ascii="宋体" w:hAnsi="宋体" w:cs="宋体"/>
                <w:szCs w:val="21"/>
              </w:rPr>
            </w:pPr>
            <w:r>
              <w:rPr>
                <w:rFonts w:hint="eastAsia" w:ascii="宋体" w:hAnsi="宋体" w:cs="宋体"/>
                <w:szCs w:val="21"/>
              </w:rPr>
              <w:t>海油xx单位</w:t>
            </w:r>
          </w:p>
        </w:tc>
        <w:tc>
          <w:tcPr>
            <w:tcW w:w="964" w:type="dxa"/>
            <w:vAlign w:val="center"/>
          </w:tcPr>
          <w:p>
            <w:pPr>
              <w:widowControl/>
              <w:spacing w:line="360" w:lineRule="auto"/>
              <w:jc w:val="center"/>
              <w:rPr>
                <w:rFonts w:ascii="宋体" w:hAnsi="宋体" w:cs="宋体"/>
                <w:szCs w:val="21"/>
              </w:rPr>
            </w:pPr>
            <w:r>
              <w:rPr>
                <w:rFonts w:hint="eastAsia" w:ascii="宋体" w:hAnsi="宋体" w:cs="宋体"/>
                <w:szCs w:val="21"/>
              </w:rPr>
              <w:t>T8</w:t>
            </w:r>
          </w:p>
        </w:tc>
        <w:tc>
          <w:tcPr>
            <w:tcW w:w="1275" w:type="dxa"/>
            <w:vAlign w:val="center"/>
          </w:tcPr>
          <w:p>
            <w:pPr>
              <w:widowControl/>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2" w:type="dxa"/>
            <w:vAlign w:val="center"/>
          </w:tcPr>
          <w:p>
            <w:pPr>
              <w:widowControl/>
              <w:spacing w:line="360" w:lineRule="auto"/>
              <w:jc w:val="center"/>
              <w:rPr>
                <w:rFonts w:ascii="宋体" w:hAnsi="宋体" w:cs="宋体"/>
                <w:szCs w:val="21"/>
              </w:rPr>
            </w:pPr>
            <w:r>
              <w:rPr>
                <w:rFonts w:hint="eastAsia" w:ascii="宋体" w:hAnsi="宋体" w:cs="宋体"/>
                <w:szCs w:val="21"/>
              </w:rPr>
              <w:t>示例：张XX</w:t>
            </w:r>
          </w:p>
        </w:tc>
        <w:tc>
          <w:tcPr>
            <w:tcW w:w="709" w:type="dxa"/>
            <w:vAlign w:val="center"/>
          </w:tcPr>
          <w:p>
            <w:pPr>
              <w:widowControl/>
              <w:spacing w:line="360" w:lineRule="auto"/>
              <w:jc w:val="center"/>
              <w:rPr>
                <w:rFonts w:ascii="宋体" w:hAnsi="宋体" w:cs="宋体"/>
                <w:szCs w:val="21"/>
              </w:rPr>
            </w:pPr>
            <w:r>
              <w:rPr>
                <w:rFonts w:hint="eastAsia" w:ascii="宋体" w:hAnsi="宋体" w:cs="宋体"/>
                <w:szCs w:val="21"/>
              </w:rPr>
              <w:t>男</w:t>
            </w:r>
          </w:p>
        </w:tc>
        <w:tc>
          <w:tcPr>
            <w:tcW w:w="1390" w:type="dxa"/>
            <w:vAlign w:val="center"/>
          </w:tcPr>
          <w:p>
            <w:pPr>
              <w:widowControl/>
              <w:spacing w:line="360" w:lineRule="auto"/>
              <w:jc w:val="center"/>
              <w:rPr>
                <w:rFonts w:ascii="宋体" w:hAnsi="宋体" w:cs="宋体"/>
                <w:szCs w:val="21"/>
              </w:rPr>
            </w:pPr>
            <w:r>
              <w:rPr>
                <w:rFonts w:hint="eastAsia" w:ascii="宋体" w:hAnsi="宋体" w:cs="宋体"/>
                <w:szCs w:val="21"/>
              </w:rPr>
              <w:t>公司顾问</w:t>
            </w:r>
          </w:p>
        </w:tc>
        <w:tc>
          <w:tcPr>
            <w:tcW w:w="1378" w:type="dxa"/>
            <w:shd w:val="clear" w:color="auto" w:fill="auto"/>
            <w:noWrap/>
            <w:vAlign w:val="center"/>
          </w:tcPr>
          <w:p>
            <w:pPr>
              <w:widowControl/>
              <w:spacing w:line="360" w:lineRule="auto"/>
              <w:jc w:val="center"/>
              <w:rPr>
                <w:rFonts w:ascii="宋体" w:hAnsi="宋体" w:cs="宋体"/>
                <w:szCs w:val="21"/>
              </w:rPr>
            </w:pPr>
            <w:r>
              <w:rPr>
                <w:rFonts w:hint="eastAsia" w:ascii="宋体" w:hAnsi="宋体" w:cs="宋体"/>
                <w:szCs w:val="21"/>
              </w:rPr>
              <w:t>本人</w:t>
            </w:r>
          </w:p>
        </w:tc>
        <w:tc>
          <w:tcPr>
            <w:tcW w:w="884" w:type="dxa"/>
            <w:vAlign w:val="center"/>
          </w:tcPr>
          <w:p>
            <w:pPr>
              <w:widowControl/>
              <w:spacing w:line="360" w:lineRule="auto"/>
              <w:jc w:val="center"/>
              <w:rPr>
                <w:rFonts w:ascii="宋体" w:hAnsi="宋体" w:cs="宋体"/>
                <w:szCs w:val="21"/>
              </w:rPr>
            </w:pPr>
            <w:r>
              <w:rPr>
                <w:rFonts w:hint="eastAsia" w:ascii="宋体" w:hAnsi="宋体" w:cs="宋体"/>
                <w:szCs w:val="21"/>
              </w:rPr>
              <w:t>本人</w:t>
            </w:r>
          </w:p>
        </w:tc>
        <w:tc>
          <w:tcPr>
            <w:tcW w:w="1695" w:type="dxa"/>
            <w:vAlign w:val="center"/>
          </w:tcPr>
          <w:p>
            <w:pPr>
              <w:widowControl/>
              <w:spacing w:line="360" w:lineRule="auto"/>
              <w:jc w:val="center"/>
              <w:rPr>
                <w:rFonts w:ascii="宋体" w:hAnsi="宋体" w:cs="宋体"/>
                <w:szCs w:val="21"/>
              </w:rPr>
            </w:pPr>
            <w:r>
              <w:rPr>
                <w:rFonts w:hint="eastAsia" w:ascii="宋体" w:hAnsi="宋体" w:cs="宋体"/>
                <w:szCs w:val="21"/>
              </w:rPr>
              <w:t>退休（原就职于海油XX单位）</w:t>
            </w:r>
          </w:p>
        </w:tc>
        <w:tc>
          <w:tcPr>
            <w:tcW w:w="964" w:type="dxa"/>
            <w:vAlign w:val="center"/>
          </w:tcPr>
          <w:p>
            <w:pPr>
              <w:widowControl/>
              <w:spacing w:line="360" w:lineRule="auto"/>
              <w:jc w:val="center"/>
              <w:rPr>
                <w:rFonts w:ascii="宋体" w:hAnsi="宋体" w:cs="宋体"/>
                <w:szCs w:val="21"/>
              </w:rPr>
            </w:pPr>
            <w:r>
              <w:rPr>
                <w:rFonts w:hint="eastAsia" w:ascii="宋体" w:hAnsi="宋体" w:cs="宋体"/>
                <w:szCs w:val="21"/>
              </w:rPr>
              <w:t>M9</w:t>
            </w:r>
          </w:p>
        </w:tc>
        <w:tc>
          <w:tcPr>
            <w:tcW w:w="1275" w:type="dxa"/>
            <w:vAlign w:val="center"/>
          </w:tcPr>
          <w:p>
            <w:pPr>
              <w:widowControl/>
              <w:spacing w:line="360" w:lineRule="auto"/>
              <w:jc w:val="center"/>
              <w:rPr>
                <w:rFonts w:ascii="宋体" w:hAnsi="宋体" w:cs="宋体"/>
                <w:szCs w:val="21"/>
              </w:rPr>
            </w:pPr>
            <w:r>
              <w:rPr>
                <w:rFonts w:hint="eastAsia" w:ascii="宋体" w:hAnsi="宋体" w:cs="宋体"/>
                <w:szCs w:val="21"/>
              </w:rPr>
              <w:t>2017年7月26日</w:t>
            </w:r>
          </w:p>
        </w:tc>
      </w:tr>
    </w:tbl>
    <w:p>
      <w:pPr>
        <w:spacing w:line="360" w:lineRule="auto"/>
        <w:ind w:firstLine="480" w:firstLineChars="200"/>
        <w:rPr>
          <w:sz w:val="24"/>
          <w:szCs w:val="24"/>
        </w:rPr>
      </w:pPr>
      <w:r>
        <w:rPr>
          <w:rFonts w:hint="eastAsia"/>
          <w:sz w:val="24"/>
          <w:szCs w:val="24"/>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360" w:lineRule="auto"/>
        <w:ind w:firstLine="540"/>
        <w:rPr>
          <w:sz w:val="24"/>
          <w:szCs w:val="24"/>
        </w:rPr>
      </w:pPr>
      <w:r>
        <w:rPr>
          <w:rFonts w:hint="eastAsia"/>
          <w:sz w:val="24"/>
          <w:szCs w:val="24"/>
        </w:rPr>
        <w:t xml:space="preserve">                               年    月    日</w:t>
      </w:r>
    </w:p>
    <w:p>
      <w:pPr>
        <w:spacing w:line="360" w:lineRule="auto"/>
        <w:ind w:firstLine="4080" w:firstLineChars="1700"/>
        <w:rPr>
          <w:sz w:val="24"/>
          <w:szCs w:val="24"/>
        </w:rPr>
      </w:pPr>
      <w:r>
        <w:rPr>
          <w:rFonts w:hint="eastAsia"/>
          <w:sz w:val="24"/>
          <w:szCs w:val="24"/>
        </w:rPr>
        <w:t>法人：（签字/签章）</w:t>
      </w:r>
    </w:p>
    <w:p>
      <w:pPr>
        <w:spacing w:line="360" w:lineRule="auto"/>
        <w:ind w:firstLine="4320" w:firstLineChars="1800"/>
        <w:rPr>
          <w:sz w:val="24"/>
          <w:szCs w:val="24"/>
        </w:rPr>
      </w:pPr>
      <w:r>
        <w:rPr>
          <w:rFonts w:hint="eastAsia"/>
          <w:sz w:val="24"/>
          <w:szCs w:val="24"/>
        </w:rPr>
        <w:t>（公司签章）</w:t>
      </w:r>
    </w:p>
    <w:p>
      <w:pPr>
        <w:widowControl/>
        <w:jc w:val="left"/>
        <w:rPr>
          <w:sz w:val="24"/>
          <w:szCs w:val="24"/>
        </w:rPr>
      </w:pPr>
      <w:r>
        <w:rPr>
          <w:sz w:val="24"/>
          <w:szCs w:val="24"/>
        </w:rPr>
        <w:br w:type="page"/>
      </w:r>
    </w:p>
    <w:p>
      <w:pPr>
        <w:pStyle w:val="3"/>
        <w:numPr>
          <w:ilvl w:val="0"/>
          <w:numId w:val="0"/>
        </w:numPr>
        <w:spacing w:before="120"/>
        <w:ind w:left="-21" w:leftChars="-67" w:hanging="120" w:hangingChars="50"/>
        <w:rPr>
          <w:rFonts w:ascii="宋体" w:hAnsi="宋体"/>
          <w:b w:val="0"/>
          <w:bCs/>
          <w:sz w:val="24"/>
          <w:szCs w:val="24"/>
          <w:lang w:eastAsia="zh-CN"/>
        </w:rPr>
      </w:pPr>
      <w:bookmarkStart w:id="252" w:name="_Toc72919648"/>
      <w:bookmarkStart w:id="253" w:name="_Toc8489"/>
      <w:bookmarkStart w:id="254" w:name="_Toc20880"/>
      <w:bookmarkStart w:id="255" w:name="_Toc8452"/>
      <w:bookmarkStart w:id="256" w:name="_Toc8381"/>
      <w:bookmarkStart w:id="257" w:name="_Toc18401"/>
      <w:bookmarkStart w:id="258" w:name="_Toc5637"/>
      <w:bookmarkStart w:id="259" w:name="_Toc18133"/>
      <w:bookmarkStart w:id="260" w:name="_Toc3724"/>
      <w:bookmarkStart w:id="261" w:name="_Toc25831"/>
      <w:bookmarkStart w:id="262" w:name="_Toc11600"/>
      <w:bookmarkStart w:id="263" w:name="_Toc17548"/>
      <w:r>
        <w:rPr>
          <w:rFonts w:hint="eastAsia" w:ascii="宋体" w:hAnsi="宋体"/>
          <w:b w:val="0"/>
          <w:bCs/>
          <w:sz w:val="24"/>
          <w:szCs w:val="24"/>
          <w:lang w:eastAsia="zh-CN"/>
        </w:rPr>
        <w:t>附件2: 不参与围标串标承诺书</w:t>
      </w:r>
      <w:bookmarkEnd w:id="252"/>
      <w:r>
        <w:rPr>
          <w:rFonts w:hint="eastAsia" w:ascii="宋体" w:hAnsi="宋体"/>
          <w:b w:val="0"/>
          <w:bCs/>
          <w:sz w:val="24"/>
          <w:szCs w:val="24"/>
          <w:lang w:eastAsia="zh-CN"/>
        </w:rPr>
        <w:t>（格式）</w:t>
      </w:r>
      <w:bookmarkEnd w:id="253"/>
      <w:bookmarkEnd w:id="254"/>
      <w:bookmarkEnd w:id="255"/>
      <w:bookmarkEnd w:id="256"/>
      <w:bookmarkEnd w:id="257"/>
      <w:bookmarkEnd w:id="258"/>
      <w:bookmarkEnd w:id="259"/>
      <w:bookmarkEnd w:id="260"/>
      <w:bookmarkEnd w:id="261"/>
      <w:bookmarkEnd w:id="262"/>
      <w:bookmarkEnd w:id="263"/>
    </w:p>
    <w:p>
      <w:pPr>
        <w:widowControl/>
        <w:jc w:val="left"/>
        <w:rPr>
          <w:sz w:val="24"/>
          <w:szCs w:val="24"/>
        </w:rPr>
      </w:pPr>
    </w:p>
    <w:p>
      <w:pPr>
        <w:jc w:val="center"/>
        <w:rPr>
          <w:rFonts w:ascii="黑体" w:hAnsi="黑体" w:eastAsia="黑体"/>
          <w:b/>
          <w:sz w:val="36"/>
          <w:szCs w:val="36"/>
        </w:rPr>
      </w:pPr>
      <w:r>
        <w:rPr>
          <w:rFonts w:hint="eastAsia" w:ascii="黑体" w:hAnsi="黑体" w:eastAsia="黑体"/>
          <w:b/>
          <w:sz w:val="36"/>
          <w:szCs w:val="36"/>
        </w:rPr>
        <w:t>不参与围标串标承诺书</w:t>
      </w:r>
    </w:p>
    <w:p>
      <w:pPr>
        <w:rPr>
          <w:sz w:val="24"/>
          <w:szCs w:val="24"/>
        </w:rPr>
      </w:pPr>
    </w:p>
    <w:p>
      <w:pPr>
        <w:ind w:firstLine="560" w:firstLineChars="200"/>
        <w:rPr>
          <w:rFonts w:ascii="仿宋_GB2312" w:eastAsia="仿宋_GB2312"/>
          <w:sz w:val="28"/>
          <w:szCs w:val="28"/>
        </w:rPr>
      </w:pPr>
      <w:r>
        <w:rPr>
          <w:rFonts w:hint="eastAsia" w:ascii="仿宋_GB2312" w:eastAsia="仿宋_GB2312"/>
          <w:sz w:val="28"/>
          <w:szCs w:val="28"/>
        </w:rPr>
        <w:t>本人作为公司法人代表（或经法人代表授权的投标人代表），已清楚知晓我公司有关本项目投标活动，对以下事项做出承诺：</w:t>
      </w:r>
    </w:p>
    <w:p>
      <w:pPr>
        <w:ind w:firstLine="560" w:firstLineChars="200"/>
        <w:rPr>
          <w:rFonts w:ascii="仿宋_GB2312" w:eastAsia="仿宋_GB2312"/>
          <w:sz w:val="28"/>
          <w:szCs w:val="28"/>
        </w:rPr>
      </w:pPr>
      <w:r>
        <w:rPr>
          <w:rFonts w:hint="eastAsia" w:ascii="仿宋_GB2312" w:eastAsia="仿宋_GB2312"/>
          <w:sz w:val="28"/>
          <w:szCs w:val="28"/>
        </w:rPr>
        <w:t>一、我公司和我本人遵循公开、公平、公正、诚实守信的原则，依法依规参与本项目竞标。</w:t>
      </w:r>
    </w:p>
    <w:p>
      <w:pPr>
        <w:ind w:firstLine="560" w:firstLineChars="200"/>
        <w:rPr>
          <w:rFonts w:ascii="仿宋_GB2312" w:eastAsia="仿宋_GB2312"/>
          <w:sz w:val="28"/>
          <w:szCs w:val="28"/>
        </w:rPr>
      </w:pPr>
      <w:r>
        <w:rPr>
          <w:rFonts w:hint="eastAsia" w:ascii="仿宋_GB2312" w:eastAsia="仿宋_GB2312"/>
          <w:sz w:val="28"/>
          <w:szCs w:val="28"/>
        </w:rPr>
        <w:t>二、我公司和我本人在本项目招标投标活动中，不参与围标、串标。</w:t>
      </w:r>
    </w:p>
    <w:p>
      <w:pPr>
        <w:ind w:firstLine="560" w:firstLineChars="200"/>
        <w:rPr>
          <w:rFonts w:ascii="仿宋_GB2312" w:eastAsia="仿宋_GB2312"/>
          <w:sz w:val="28"/>
          <w:szCs w:val="28"/>
        </w:rPr>
      </w:pPr>
      <w:r>
        <w:rPr>
          <w:rFonts w:hint="eastAsia" w:ascii="仿宋_GB2312" w:eastAsia="仿宋_GB2312"/>
          <w:sz w:val="28"/>
          <w:szCs w:val="28"/>
        </w:rPr>
        <w:t>三、我公司及我本人自觉遵守项目发标方的招投标纪律要求。我公司如被查实在本次项目招标投标活动中存在围标、串标的，由我公司及法定代表人承担相应的违规违法责任，接受相应处罚和失信惩戒，并自愿承担由此导致项目发标方全部直接或间接的损失。</w:t>
      </w:r>
    </w:p>
    <w:p>
      <w:pPr>
        <w:ind w:firstLine="560" w:firstLineChars="200"/>
        <w:rPr>
          <w:rFonts w:ascii="仿宋_GB2312" w:eastAsia="仿宋_GB2312"/>
          <w:sz w:val="28"/>
          <w:szCs w:val="28"/>
        </w:rPr>
      </w:pPr>
      <w:r>
        <w:rPr>
          <w:rFonts w:hint="eastAsia" w:ascii="仿宋_GB2312" w:eastAsia="仿宋_GB2312"/>
          <w:sz w:val="28"/>
          <w:szCs w:val="28"/>
        </w:rPr>
        <w:t>四、本次项目信息如下：</w:t>
      </w:r>
    </w:p>
    <w:tbl>
      <w:tblPr>
        <w:tblStyle w:val="305"/>
        <w:tblW w:w="8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2188"/>
        <w:gridCol w:w="1965"/>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81" w:type="dxa"/>
            <w:vAlign w:val="center"/>
          </w:tcPr>
          <w:p>
            <w:pPr>
              <w:jc w:val="center"/>
              <w:rPr>
                <w:rFonts w:ascii="仿宋_GB2312" w:eastAsia="仿宋_GB2312"/>
                <w:sz w:val="24"/>
                <w:szCs w:val="30"/>
              </w:rPr>
            </w:pPr>
            <w:r>
              <w:rPr>
                <w:rFonts w:hint="eastAsia" w:ascii="仿宋_GB2312" w:eastAsia="仿宋_GB2312"/>
                <w:sz w:val="24"/>
                <w:szCs w:val="30"/>
              </w:rPr>
              <w:t>项目名称</w:t>
            </w:r>
          </w:p>
        </w:tc>
        <w:tc>
          <w:tcPr>
            <w:tcW w:w="2188" w:type="dxa"/>
            <w:vAlign w:val="center"/>
          </w:tcPr>
          <w:p>
            <w:pPr>
              <w:jc w:val="center"/>
              <w:rPr>
                <w:rFonts w:ascii="仿宋_GB2312" w:eastAsia="仿宋_GB2312"/>
                <w:sz w:val="24"/>
                <w:szCs w:val="30"/>
              </w:rPr>
            </w:pPr>
            <w:r>
              <w:rPr>
                <w:rFonts w:hint="eastAsia" w:ascii="仿宋_GB2312" w:eastAsia="仿宋_GB2312"/>
                <w:sz w:val="24"/>
                <w:szCs w:val="30"/>
              </w:rPr>
              <w:t>标段号</w:t>
            </w:r>
          </w:p>
        </w:tc>
        <w:tc>
          <w:tcPr>
            <w:tcW w:w="1965" w:type="dxa"/>
            <w:vAlign w:val="center"/>
          </w:tcPr>
          <w:p>
            <w:pPr>
              <w:jc w:val="center"/>
              <w:rPr>
                <w:rFonts w:ascii="仿宋_GB2312" w:eastAsia="仿宋_GB2312"/>
                <w:sz w:val="24"/>
                <w:szCs w:val="30"/>
              </w:rPr>
            </w:pPr>
            <w:r>
              <w:rPr>
                <w:rFonts w:hint="eastAsia" w:ascii="仿宋_GB2312" w:eastAsia="仿宋_GB2312"/>
                <w:sz w:val="24"/>
                <w:szCs w:val="30"/>
              </w:rPr>
              <w:t>接收标书时间</w:t>
            </w:r>
          </w:p>
        </w:tc>
        <w:tc>
          <w:tcPr>
            <w:tcW w:w="2158" w:type="dxa"/>
            <w:vAlign w:val="center"/>
          </w:tcPr>
          <w:p>
            <w:pPr>
              <w:jc w:val="center"/>
              <w:rPr>
                <w:rFonts w:ascii="仿宋_GB2312" w:eastAsia="仿宋_GB2312"/>
                <w:sz w:val="24"/>
                <w:szCs w:val="30"/>
              </w:rPr>
            </w:pPr>
            <w:r>
              <w:rPr>
                <w:rFonts w:hint="eastAsia" w:ascii="仿宋_GB2312" w:eastAsia="仿宋_GB2312"/>
                <w:sz w:val="24"/>
                <w:szCs w:val="30"/>
              </w:rPr>
              <w:t>法人代表（或法人代表授权投标人）签名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81" w:type="dxa"/>
          </w:tcPr>
          <w:p>
            <w:pPr>
              <w:rPr>
                <w:rFonts w:ascii="仿宋_GB2312" w:eastAsia="仿宋_GB2312"/>
                <w:sz w:val="24"/>
                <w:szCs w:val="30"/>
              </w:rPr>
            </w:pPr>
          </w:p>
          <w:p>
            <w:pPr>
              <w:rPr>
                <w:rFonts w:ascii="仿宋_GB2312" w:eastAsia="仿宋_GB2312"/>
                <w:sz w:val="24"/>
                <w:szCs w:val="30"/>
              </w:rPr>
            </w:pPr>
          </w:p>
          <w:p>
            <w:pPr>
              <w:rPr>
                <w:rFonts w:ascii="仿宋_GB2312" w:eastAsia="仿宋_GB2312"/>
                <w:sz w:val="24"/>
                <w:szCs w:val="30"/>
              </w:rPr>
            </w:pPr>
          </w:p>
        </w:tc>
        <w:tc>
          <w:tcPr>
            <w:tcW w:w="2188" w:type="dxa"/>
          </w:tcPr>
          <w:p>
            <w:pPr>
              <w:rPr>
                <w:rFonts w:ascii="仿宋_GB2312" w:eastAsia="仿宋_GB2312"/>
                <w:sz w:val="24"/>
                <w:szCs w:val="30"/>
              </w:rPr>
            </w:pPr>
          </w:p>
        </w:tc>
        <w:tc>
          <w:tcPr>
            <w:tcW w:w="1965" w:type="dxa"/>
          </w:tcPr>
          <w:p>
            <w:pPr>
              <w:rPr>
                <w:rFonts w:ascii="仿宋_GB2312" w:eastAsia="仿宋_GB2312"/>
                <w:sz w:val="24"/>
                <w:szCs w:val="30"/>
              </w:rPr>
            </w:pPr>
          </w:p>
        </w:tc>
        <w:tc>
          <w:tcPr>
            <w:tcW w:w="2158" w:type="dxa"/>
          </w:tcPr>
          <w:p>
            <w:pPr>
              <w:rPr>
                <w:rFonts w:ascii="仿宋_GB2312" w:eastAsia="仿宋_GB2312"/>
                <w:sz w:val="24"/>
                <w:szCs w:val="30"/>
              </w:rPr>
            </w:pPr>
          </w:p>
        </w:tc>
      </w:tr>
    </w:tbl>
    <w:p>
      <w:pPr>
        <w:rPr>
          <w:rFonts w:ascii="仿宋_GB2312" w:eastAsia="仿宋_GB2312"/>
          <w:sz w:val="30"/>
          <w:szCs w:val="30"/>
        </w:rPr>
      </w:pPr>
    </w:p>
    <w:p>
      <w:pPr>
        <w:ind w:firstLine="3900" w:firstLineChars="1300"/>
        <w:rPr>
          <w:rFonts w:ascii="仿宋_GB2312" w:eastAsia="仿宋_GB2312"/>
          <w:sz w:val="30"/>
          <w:szCs w:val="30"/>
        </w:rPr>
      </w:pPr>
      <w:r>
        <w:rPr>
          <w:rFonts w:hint="eastAsia" w:ascii="仿宋_GB2312" w:eastAsia="仿宋_GB2312"/>
          <w:sz w:val="30"/>
          <w:szCs w:val="30"/>
        </w:rPr>
        <w:t>公司名称（盖公章）：</w:t>
      </w:r>
    </w:p>
    <w:p>
      <w:pPr>
        <w:ind w:firstLine="3900" w:firstLineChars="1300"/>
        <w:rPr>
          <w:rFonts w:ascii="仿宋_GB2312" w:eastAsia="仿宋_GB2312"/>
          <w:sz w:val="30"/>
          <w:szCs w:val="30"/>
        </w:rPr>
      </w:pPr>
      <w:r>
        <w:rPr>
          <w:rFonts w:hint="eastAsia" w:ascii="仿宋_GB2312" w:eastAsia="仿宋_GB2312"/>
          <w:sz w:val="30"/>
          <w:szCs w:val="30"/>
        </w:rPr>
        <w:t>日期：</w:t>
      </w:r>
    </w:p>
    <w:p>
      <w:pPr>
        <w:autoSpaceDE w:val="0"/>
        <w:autoSpaceDN w:val="0"/>
        <w:adjustRightInd w:val="0"/>
        <w:ind w:firstLine="120" w:firstLineChars="50"/>
        <w:jc w:val="left"/>
        <w:rPr>
          <w:rFonts w:cs="仿宋" w:asciiTheme="minorEastAsia" w:hAnsiTheme="minorEastAsia"/>
          <w:kern w:val="0"/>
          <w:sz w:val="24"/>
          <w:szCs w:val="24"/>
        </w:rPr>
      </w:pPr>
      <w:r>
        <w:rPr>
          <w:rFonts w:hint="eastAsia" w:cs="仿宋" w:asciiTheme="minorEastAsia" w:hAnsiTheme="minorEastAsia"/>
          <w:kern w:val="0"/>
          <w:sz w:val="24"/>
          <w:szCs w:val="24"/>
        </w:rPr>
        <w:t>备注：若上述承诺书经澄清后仍不能提供的，将导致投标被否决。</w:t>
      </w:r>
    </w:p>
    <w:p>
      <w:pPr>
        <w:rPr>
          <w:sz w:val="24"/>
          <w:szCs w:val="24"/>
        </w:rPr>
      </w:pPr>
      <w:r>
        <w:rPr>
          <w:sz w:val="24"/>
          <w:szCs w:val="24"/>
        </w:rPr>
        <w:br w:type="page"/>
      </w:r>
    </w:p>
    <w:p>
      <w:pPr>
        <w:pStyle w:val="3"/>
        <w:numPr>
          <w:ilvl w:val="0"/>
          <w:numId w:val="0"/>
        </w:numPr>
        <w:spacing w:before="120"/>
        <w:ind w:left="-21" w:leftChars="-67" w:hanging="120" w:hangingChars="50"/>
        <w:rPr>
          <w:rFonts w:ascii="宋体" w:hAnsi="宋体"/>
          <w:b w:val="0"/>
          <w:bCs/>
          <w:sz w:val="24"/>
          <w:szCs w:val="24"/>
          <w:lang w:eastAsia="zh-CN"/>
        </w:rPr>
      </w:pPr>
      <w:bookmarkStart w:id="264" w:name="_Toc31739"/>
      <w:bookmarkStart w:id="265" w:name="_Toc13053"/>
      <w:bookmarkStart w:id="266" w:name="_Toc7444"/>
      <w:bookmarkStart w:id="267" w:name="_Toc19346"/>
      <w:bookmarkStart w:id="268" w:name="_Toc20194"/>
      <w:bookmarkStart w:id="269" w:name="_Toc29943"/>
      <w:bookmarkStart w:id="270" w:name="_Toc8345"/>
      <w:bookmarkStart w:id="271" w:name="_Toc23891"/>
      <w:bookmarkStart w:id="272" w:name="_Toc16515"/>
      <w:bookmarkStart w:id="273" w:name="_Toc13936"/>
      <w:bookmarkStart w:id="274" w:name="_Toc24253"/>
      <w:r>
        <w:rPr>
          <w:rFonts w:hint="eastAsia" w:ascii="宋体" w:hAnsi="宋体"/>
          <w:b w:val="0"/>
          <w:bCs/>
          <w:sz w:val="24"/>
          <w:szCs w:val="24"/>
          <w:lang w:eastAsia="zh-CN"/>
        </w:rPr>
        <w:t>附件3：名录供应商企业划分级别确认函</w:t>
      </w:r>
      <w:bookmarkEnd w:id="264"/>
      <w:bookmarkEnd w:id="265"/>
      <w:bookmarkEnd w:id="266"/>
      <w:bookmarkEnd w:id="267"/>
      <w:bookmarkEnd w:id="268"/>
      <w:bookmarkEnd w:id="269"/>
      <w:bookmarkEnd w:id="270"/>
      <w:bookmarkEnd w:id="271"/>
      <w:bookmarkEnd w:id="272"/>
      <w:bookmarkEnd w:id="273"/>
      <w:bookmarkEnd w:id="274"/>
    </w:p>
    <w:p>
      <w:pPr>
        <w:tabs>
          <w:tab w:val="left" w:pos="4065"/>
        </w:tabs>
        <w:jc w:val="center"/>
        <w:rPr>
          <w:rFonts w:ascii="Times New Roman" w:hAnsi="Times New Roman" w:eastAsia="宋体" w:cs="Times New Roman"/>
          <w:szCs w:val="24"/>
        </w:rPr>
      </w:pPr>
    </w:p>
    <w:p>
      <w:pPr>
        <w:jc w:val="center"/>
        <w:rPr>
          <w:rFonts w:ascii="黑体" w:hAnsi="黑体" w:eastAsia="黑体" w:cs="Times New Roman"/>
          <w:sz w:val="36"/>
          <w:szCs w:val="36"/>
        </w:rPr>
      </w:pPr>
    </w:p>
    <w:p>
      <w:pPr>
        <w:spacing w:beforeLines="50" w:afterLines="50"/>
        <w:jc w:val="center"/>
        <w:rPr>
          <w:rFonts w:ascii="黑体" w:hAnsi="黑体" w:eastAsia="黑体" w:cs="Times New Roman"/>
          <w:sz w:val="36"/>
          <w:szCs w:val="36"/>
        </w:rPr>
      </w:pPr>
      <w:r>
        <w:rPr>
          <w:rFonts w:hint="eastAsia" w:ascii="黑体" w:hAnsi="黑体" w:eastAsia="黑体" w:cs="Times New Roman"/>
          <w:sz w:val="36"/>
          <w:szCs w:val="36"/>
        </w:rPr>
        <w:t>关于名录（或注册）供应商企业划分级别</w:t>
      </w:r>
    </w:p>
    <w:p>
      <w:pPr>
        <w:spacing w:beforeLines="50" w:afterLines="50"/>
        <w:jc w:val="center"/>
        <w:rPr>
          <w:rFonts w:ascii="黑体" w:hAnsi="黑体" w:eastAsia="黑体" w:cs="Times New Roman"/>
          <w:sz w:val="36"/>
          <w:szCs w:val="36"/>
        </w:rPr>
      </w:pPr>
      <w:r>
        <w:rPr>
          <w:rFonts w:hint="eastAsia" w:ascii="黑体" w:hAnsi="黑体" w:eastAsia="黑体" w:cs="Times New Roman"/>
          <w:sz w:val="36"/>
          <w:szCs w:val="36"/>
        </w:rPr>
        <w:t>确认函</w:t>
      </w:r>
    </w:p>
    <w:p>
      <w:pPr>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根据国家统计局《统计上大中小微型企业划分办法（2017）》中规定（如有调整，从其最新规定），经确认，我公司归为__________（工业/批发业/……/等类别，详见上述划分办法），属于：</w:t>
      </w:r>
    </w:p>
    <w:p>
      <w:pPr>
        <w:spacing w:beforeLines="50" w:line="360" w:lineRule="auto"/>
        <w:ind w:firstLine="1200" w:firstLineChars="500"/>
        <w:rPr>
          <w:rFonts w:ascii="宋体" w:hAnsi="宋体" w:eastAsia="宋体" w:cs="Times New Roman"/>
          <w:sz w:val="24"/>
          <w:szCs w:val="24"/>
        </w:rPr>
      </w:pPr>
      <w:r>
        <w:rPr>
          <w:rFonts w:hint="eastAsia" w:ascii="宋体" w:hAnsi="宋体" w:eastAsia="宋体" w:cs="Times New Roman"/>
          <w:sz w:val="24"/>
          <w:szCs w:val="24"/>
        </w:rPr>
        <w:sym w:font="Webdings" w:char="F063"/>
      </w:r>
      <w:r>
        <w:rPr>
          <w:rFonts w:hint="eastAsia" w:ascii="宋体" w:hAnsi="宋体" w:eastAsia="宋体" w:cs="Times New Roman"/>
          <w:sz w:val="24"/>
          <w:szCs w:val="24"/>
        </w:rPr>
        <w:t xml:space="preserve"> 大型企业</w:t>
      </w:r>
    </w:p>
    <w:p>
      <w:pPr>
        <w:spacing w:beforeLines="50" w:line="360" w:lineRule="auto"/>
        <w:ind w:firstLine="1200" w:firstLineChars="500"/>
        <w:rPr>
          <w:rFonts w:ascii="宋体" w:hAnsi="宋体" w:eastAsia="宋体" w:cs="Times New Roman"/>
          <w:sz w:val="24"/>
          <w:szCs w:val="24"/>
        </w:rPr>
      </w:pPr>
      <w:r>
        <w:rPr>
          <w:rFonts w:hint="eastAsia" w:ascii="宋体" w:hAnsi="宋体" w:eastAsia="宋体" w:cs="Times New Roman"/>
          <w:sz w:val="24"/>
          <w:szCs w:val="24"/>
        </w:rPr>
        <w:sym w:font="Webdings" w:char="F063"/>
      </w:r>
      <w:r>
        <w:rPr>
          <w:rFonts w:hint="eastAsia" w:ascii="宋体" w:hAnsi="宋体" w:eastAsia="宋体" w:cs="Times New Roman"/>
          <w:sz w:val="24"/>
          <w:szCs w:val="24"/>
        </w:rPr>
        <w:t xml:space="preserve"> 中型企业</w:t>
      </w:r>
    </w:p>
    <w:p>
      <w:pPr>
        <w:spacing w:beforeLines="50" w:line="360" w:lineRule="auto"/>
        <w:ind w:firstLine="1200" w:firstLineChars="500"/>
        <w:rPr>
          <w:rFonts w:ascii="宋体" w:hAnsi="宋体" w:eastAsia="宋体" w:cs="Times New Roman"/>
          <w:sz w:val="24"/>
          <w:szCs w:val="24"/>
        </w:rPr>
      </w:pPr>
      <w:r>
        <w:rPr>
          <w:rFonts w:hint="eastAsia" w:ascii="宋体" w:hAnsi="宋体" w:eastAsia="宋体" w:cs="Times New Roman"/>
          <w:sz w:val="24"/>
          <w:szCs w:val="24"/>
        </w:rPr>
        <w:sym w:font="Webdings" w:char="F063"/>
      </w:r>
      <w:r>
        <w:rPr>
          <w:rFonts w:hint="eastAsia" w:ascii="宋体" w:hAnsi="宋体" w:eastAsia="宋体" w:cs="Times New Roman"/>
          <w:sz w:val="24"/>
          <w:szCs w:val="24"/>
        </w:rPr>
        <w:t xml:space="preserve"> 小型企业</w:t>
      </w:r>
    </w:p>
    <w:p>
      <w:pPr>
        <w:spacing w:beforeLines="50" w:line="360" w:lineRule="auto"/>
        <w:ind w:firstLine="1200" w:firstLineChars="500"/>
        <w:rPr>
          <w:rFonts w:ascii="宋体" w:hAnsi="宋体" w:eastAsia="宋体" w:cs="Times New Roman"/>
          <w:sz w:val="24"/>
          <w:szCs w:val="24"/>
        </w:rPr>
      </w:pPr>
      <w:r>
        <w:rPr>
          <w:rFonts w:hint="eastAsia" w:ascii="宋体" w:hAnsi="宋体" w:eastAsia="宋体" w:cs="Times New Roman"/>
          <w:sz w:val="24"/>
          <w:szCs w:val="24"/>
        </w:rPr>
        <w:sym w:font="Webdings" w:char="F063"/>
      </w:r>
      <w:r>
        <w:rPr>
          <w:rFonts w:hint="eastAsia" w:ascii="宋体" w:hAnsi="宋体" w:eastAsia="宋体" w:cs="Times New Roman"/>
          <w:sz w:val="24"/>
          <w:szCs w:val="24"/>
        </w:rPr>
        <w:t xml:space="preserve"> 微型企业</w:t>
      </w:r>
    </w:p>
    <w:p>
      <w:pPr>
        <w:spacing w:line="360" w:lineRule="auto"/>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我公司承诺，上述申报的信息均真实有效，对其真实性、有效性负责。</w:t>
      </w:r>
    </w:p>
    <w:p>
      <w:pPr>
        <w:spacing w:line="360" w:lineRule="auto"/>
        <w:rPr>
          <w:rFonts w:ascii="宋体" w:hAnsi="宋体" w:eastAsia="宋体" w:cs="Times New Roman"/>
          <w:sz w:val="24"/>
          <w:szCs w:val="24"/>
        </w:rPr>
      </w:pPr>
    </w:p>
    <w:p>
      <w:pPr>
        <w:spacing w:line="360" w:lineRule="auto"/>
        <w:ind w:firstLine="5760" w:firstLineChars="2400"/>
        <w:rPr>
          <w:rFonts w:ascii="宋体" w:hAnsi="宋体" w:eastAsia="宋体" w:cs="Times New Roman"/>
          <w:sz w:val="24"/>
          <w:szCs w:val="24"/>
        </w:rPr>
      </w:pPr>
    </w:p>
    <w:p>
      <w:pPr>
        <w:spacing w:line="360" w:lineRule="auto"/>
        <w:ind w:firstLine="5760" w:firstLineChars="2400"/>
        <w:rPr>
          <w:rFonts w:ascii="宋体" w:hAnsi="宋体" w:eastAsia="宋体" w:cs="Times New Roman"/>
          <w:b/>
          <w:bCs/>
          <w:sz w:val="24"/>
          <w:szCs w:val="24"/>
        </w:rPr>
      </w:pPr>
      <w:r>
        <w:rPr>
          <w:rFonts w:hint="eastAsia" w:ascii="宋体" w:hAnsi="宋体" w:eastAsia="宋体" w:cs="Times New Roman"/>
          <w:sz w:val="24"/>
          <w:szCs w:val="24"/>
        </w:rPr>
        <w:t>（公司签章）</w:t>
      </w:r>
    </w:p>
    <w:p>
      <w:pPr>
        <w:spacing w:line="360" w:lineRule="auto"/>
        <w:ind w:firstLine="5520" w:firstLineChars="2300"/>
        <w:rPr>
          <w:rFonts w:ascii="宋体" w:hAnsi="宋体" w:eastAsia="宋体" w:cs="Times New Roman"/>
          <w:sz w:val="24"/>
          <w:szCs w:val="24"/>
        </w:rPr>
      </w:pPr>
    </w:p>
    <w:p>
      <w:pPr>
        <w:spacing w:line="360" w:lineRule="auto"/>
        <w:ind w:firstLine="5760" w:firstLineChars="2400"/>
        <w:rPr>
          <w:rFonts w:ascii="Times New Roman" w:hAnsi="Times New Roman" w:eastAsia="宋体" w:cs="Times New Roman"/>
          <w:szCs w:val="24"/>
        </w:rPr>
      </w:pPr>
      <w:r>
        <w:rPr>
          <w:rFonts w:hint="eastAsia" w:ascii="宋体" w:hAnsi="宋体" w:eastAsia="宋体" w:cs="Times New Roman"/>
          <w:sz w:val="24"/>
          <w:szCs w:val="24"/>
        </w:rPr>
        <w:t>年 月 日</w:t>
      </w:r>
    </w:p>
    <w:p>
      <w:pPr>
        <w:widowControl/>
        <w:jc w:val="left"/>
        <w:rPr>
          <w:sz w:val="24"/>
          <w:szCs w:val="24"/>
        </w:rPr>
      </w:pPr>
    </w:p>
    <w:p>
      <w:pPr>
        <w:rPr>
          <w:rFonts w:ascii="Calibri" w:hAnsi="Calibri" w:eastAsia="宋体" w:cs="Times New Roman"/>
          <w:szCs w:val="24"/>
        </w:rPr>
      </w:pPr>
    </w:p>
    <w:p>
      <w:pPr>
        <w:widowControl/>
        <w:jc w:val="left"/>
        <w:rPr>
          <w:sz w:val="24"/>
          <w:szCs w:val="24"/>
        </w:rPr>
      </w:pPr>
    </w:p>
    <w:p/>
    <w:p/>
    <w:p>
      <w:pPr>
        <w:pStyle w:val="2"/>
      </w:pPr>
    </w:p>
    <w:p>
      <w:pPr>
        <w:spacing w:line="360" w:lineRule="auto"/>
        <w:ind w:firstLine="361" w:firstLineChars="100"/>
        <w:jc w:val="center"/>
        <w:rPr>
          <w:rFonts w:hAnsi="宋体"/>
          <w:b/>
          <w:sz w:val="36"/>
          <w:szCs w:val="36"/>
        </w:rPr>
      </w:pPr>
      <w:r>
        <w:rPr>
          <w:b/>
          <w:sz w:val="36"/>
          <w:szCs w:val="36"/>
        </w:rPr>
        <w:drawing>
          <wp:anchor distT="0" distB="0" distL="114300" distR="114300" simplePos="0" relativeHeight="251659264" behindDoc="0" locked="1" layoutInCell="1" allowOverlap="1">
            <wp:simplePos x="0" y="0"/>
            <wp:positionH relativeFrom="character">
              <wp:posOffset>-1798320</wp:posOffset>
            </wp:positionH>
            <wp:positionV relativeFrom="line">
              <wp:posOffset>-93980</wp:posOffset>
            </wp:positionV>
            <wp:extent cx="1062355" cy="903605"/>
            <wp:effectExtent l="0" t="0" r="0" b="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22"/>
                    <a:stretch>
                      <a:fillRect/>
                    </a:stretch>
                  </pic:blipFill>
                  <pic:spPr>
                    <a:xfrm>
                      <a:off x="0" y="0"/>
                      <a:ext cx="1062355" cy="903605"/>
                    </a:xfrm>
                    <a:prstGeom prst="rect">
                      <a:avLst/>
                    </a:prstGeom>
                    <a:noFill/>
                    <a:ln>
                      <a:noFill/>
                    </a:ln>
                  </pic:spPr>
                </pic:pic>
              </a:graphicData>
            </a:graphic>
          </wp:anchor>
        </w:drawing>
      </w:r>
      <w:r>
        <w:rPr>
          <w:rFonts w:hint="eastAsia" w:hAnsi="宋体"/>
          <w:b/>
          <w:sz w:val="36"/>
          <w:szCs w:val="36"/>
        </w:rPr>
        <w:t>月浦基地综合服务合同</w:t>
      </w:r>
    </w:p>
    <w:p>
      <w:pPr>
        <w:spacing w:line="360" w:lineRule="auto"/>
        <w:ind w:firstLine="181" w:firstLineChars="100"/>
        <w:jc w:val="center"/>
        <w:rPr>
          <w:rFonts w:hAnsi="宋体"/>
          <w:b/>
          <w:sz w:val="18"/>
          <w:szCs w:val="18"/>
        </w:rPr>
      </w:pPr>
    </w:p>
    <w:p>
      <w:pPr>
        <w:spacing w:line="360" w:lineRule="auto"/>
        <w:ind w:right="84"/>
        <w:jc w:val="center"/>
        <w:rPr>
          <w:rFonts w:hAnsi="宋体"/>
          <w:szCs w:val="21"/>
          <w:u w:val="single"/>
        </w:rPr>
      </w:pPr>
      <w:r>
        <w:rPr>
          <w:rFonts w:hAnsi="宋体"/>
          <w:szCs w:val="21"/>
        </w:rPr>
        <w:t xml:space="preserve">                                            </w:t>
      </w:r>
      <w:r>
        <w:rPr>
          <w:rFonts w:hint="eastAsia" w:hAnsi="宋体"/>
          <w:szCs w:val="21"/>
        </w:rPr>
        <w:t>合同编号：</w:t>
      </w:r>
    </w:p>
    <w:p>
      <w:pPr>
        <w:adjustRightInd w:val="0"/>
        <w:snapToGrid w:val="0"/>
        <w:spacing w:before="93" w:beforeLines="30" w:after="93" w:afterLines="30" w:line="360" w:lineRule="auto"/>
        <w:ind w:firstLine="567"/>
        <w:rPr>
          <w:rFonts w:hAnsi="宋体"/>
          <w:szCs w:val="21"/>
        </w:rPr>
      </w:pPr>
    </w:p>
    <w:p>
      <w:pPr>
        <w:adjustRightInd w:val="0"/>
        <w:snapToGrid w:val="0"/>
        <w:spacing w:before="93" w:beforeLines="30" w:after="93" w:afterLines="30" w:line="360" w:lineRule="auto"/>
        <w:ind w:firstLine="567"/>
        <w:rPr>
          <w:b/>
          <w:szCs w:val="21"/>
        </w:rPr>
      </w:pPr>
      <w:r>
        <w:rPr>
          <w:rFonts w:hint="eastAsia" w:hAnsi="宋体"/>
          <w:szCs w:val="21"/>
        </w:rPr>
        <w:t>本服务合同（以下称</w:t>
      </w:r>
      <w:r>
        <w:rPr>
          <w:rFonts w:hint="eastAsia" w:ascii="宋体"/>
          <w:szCs w:val="21"/>
        </w:rPr>
        <w:t>“</w:t>
      </w:r>
      <w:r>
        <w:rPr>
          <w:rFonts w:hint="eastAsia" w:ascii="宋体" w:hAnsi="宋体"/>
          <w:szCs w:val="21"/>
        </w:rPr>
        <w:t>合同</w:t>
      </w:r>
      <w:r>
        <w:rPr>
          <w:rFonts w:hint="eastAsia" w:ascii="宋体"/>
          <w:szCs w:val="21"/>
        </w:rPr>
        <w:t>”</w:t>
      </w:r>
      <w:r>
        <w:rPr>
          <w:rFonts w:hint="eastAsia" w:ascii="宋体" w:hAnsi="宋体"/>
          <w:szCs w:val="21"/>
        </w:rPr>
        <w:t>或</w:t>
      </w:r>
      <w:r>
        <w:rPr>
          <w:rFonts w:hint="eastAsia" w:ascii="宋体"/>
          <w:szCs w:val="21"/>
        </w:rPr>
        <w:t>“</w:t>
      </w:r>
      <w:r>
        <w:rPr>
          <w:rFonts w:hint="eastAsia" w:ascii="宋体" w:hAnsi="宋体"/>
          <w:szCs w:val="21"/>
        </w:rPr>
        <w:t>本合同</w:t>
      </w:r>
      <w:r>
        <w:rPr>
          <w:rFonts w:hint="eastAsia" w:ascii="宋体"/>
          <w:szCs w:val="21"/>
        </w:rPr>
        <w:t>”</w:t>
      </w:r>
      <w:r>
        <w:rPr>
          <w:rFonts w:hint="eastAsia" w:hAnsi="宋体"/>
          <w:szCs w:val="21"/>
        </w:rPr>
        <w:t>）由以下双方签订：</w:t>
      </w:r>
    </w:p>
    <w:p>
      <w:pPr>
        <w:tabs>
          <w:tab w:val="left" w:pos="567"/>
          <w:tab w:val="left" w:pos="900"/>
        </w:tabs>
        <w:adjustRightInd w:val="0"/>
        <w:snapToGrid w:val="0"/>
        <w:spacing w:before="93" w:beforeLines="30" w:after="93" w:afterLines="30" w:line="360" w:lineRule="auto"/>
        <w:ind w:left="556" w:leftChars="265" w:right="-512" w:rightChars="-244" w:firstLine="8" w:firstLineChars="4"/>
        <w:rPr>
          <w:szCs w:val="21"/>
        </w:rPr>
      </w:pPr>
      <w:r>
        <w:rPr>
          <w:rFonts w:hint="eastAsia"/>
          <w:szCs w:val="21"/>
        </w:rPr>
        <w:t>甲</w:t>
      </w:r>
      <w:r>
        <w:rPr>
          <w:szCs w:val="21"/>
        </w:rPr>
        <w:t xml:space="preserve">    </w:t>
      </w:r>
      <w:r>
        <w:rPr>
          <w:rFonts w:hint="eastAsia"/>
          <w:szCs w:val="21"/>
        </w:rPr>
        <w:t>方：</w:t>
      </w:r>
      <w:r>
        <w:rPr>
          <w:rFonts w:hint="eastAsia"/>
          <w:szCs w:val="21"/>
          <w:u w:val="single"/>
        </w:rPr>
        <w:t>中国海洋石油东海有限公司</w:t>
      </w:r>
      <w:r>
        <w:rPr>
          <w:rFonts w:hint="eastAsia"/>
          <w:szCs w:val="21"/>
        </w:rPr>
        <w:t xml:space="preserve"> </w:t>
      </w:r>
      <w:r>
        <w:rPr>
          <w:szCs w:val="21"/>
        </w:rPr>
        <w:t xml:space="preserve"> </w:t>
      </w:r>
      <w:r>
        <w:rPr>
          <w:rFonts w:hint="eastAsia"/>
          <w:szCs w:val="21"/>
        </w:rPr>
        <w:t>乙</w:t>
      </w:r>
      <w:r>
        <w:rPr>
          <w:szCs w:val="21"/>
        </w:rPr>
        <w:t xml:space="preserve">    </w:t>
      </w:r>
      <w:r>
        <w:rPr>
          <w:rFonts w:hint="eastAsia"/>
          <w:szCs w:val="21"/>
        </w:rPr>
        <w:t>方：</w:t>
      </w:r>
      <w:r>
        <w:rPr>
          <w:szCs w:val="21"/>
          <w:u w:val="single"/>
        </w:rPr>
        <w:t xml:space="preserve">   </w:t>
      </w:r>
    </w:p>
    <w:p>
      <w:pPr>
        <w:tabs>
          <w:tab w:val="left" w:pos="567"/>
          <w:tab w:val="left" w:pos="900"/>
        </w:tabs>
        <w:adjustRightInd w:val="0"/>
        <w:snapToGrid w:val="0"/>
        <w:spacing w:before="93" w:beforeLines="30" w:after="93" w:afterLines="30" w:line="360" w:lineRule="auto"/>
        <w:ind w:left="5712" w:leftChars="270" w:right="-57" w:rightChars="-27" w:hanging="5145" w:hangingChars="2450"/>
        <w:rPr>
          <w:szCs w:val="21"/>
          <w:u w:val="single"/>
        </w:rPr>
      </w:pPr>
      <w:r>
        <w:rPr>
          <w:rFonts w:hint="eastAsia"/>
          <w:szCs w:val="21"/>
        </w:rPr>
        <w:t>注册地址：</w:t>
      </w:r>
      <w:r>
        <w:rPr>
          <w:szCs w:val="21"/>
          <w:u w:val="single"/>
        </w:rPr>
        <w:t xml:space="preserve"> </w:t>
      </w:r>
      <w:r>
        <w:rPr>
          <w:rFonts w:hint="eastAsia"/>
          <w:szCs w:val="21"/>
          <w:u w:val="single"/>
        </w:rPr>
        <w:t>上海市通协路</w:t>
      </w:r>
      <w:r>
        <w:rPr>
          <w:szCs w:val="21"/>
          <w:u w:val="single"/>
        </w:rPr>
        <w:t>3</w:t>
      </w:r>
      <w:r>
        <w:rPr>
          <w:rFonts w:hint="eastAsia"/>
          <w:szCs w:val="21"/>
          <w:u w:val="single"/>
        </w:rPr>
        <w:t>88号</w:t>
      </w:r>
      <w:r>
        <w:rPr>
          <w:szCs w:val="21"/>
          <w:u w:val="single"/>
        </w:rPr>
        <w:t xml:space="preserve">     </w:t>
      </w:r>
      <w:r>
        <w:rPr>
          <w:szCs w:val="21"/>
        </w:rPr>
        <w:t xml:space="preserve">   </w:t>
      </w:r>
      <w:r>
        <w:rPr>
          <w:rFonts w:hint="eastAsia"/>
          <w:szCs w:val="21"/>
        </w:rPr>
        <w:t>注册地址：</w:t>
      </w:r>
      <w:r>
        <w:rPr>
          <w:szCs w:val="21"/>
          <w:u w:val="single"/>
        </w:rPr>
        <w:t xml:space="preserve"> </w:t>
      </w:r>
    </w:p>
    <w:p>
      <w:pPr>
        <w:adjustRightInd w:val="0"/>
        <w:snapToGrid w:val="0"/>
        <w:spacing w:before="93" w:beforeLines="30" w:after="93" w:afterLines="30" w:line="360" w:lineRule="auto"/>
        <w:ind w:firstLine="426"/>
        <w:rPr>
          <w:szCs w:val="21"/>
        </w:rPr>
      </w:pPr>
      <w:r>
        <w:rPr>
          <w:rFonts w:hint="eastAsia"/>
          <w:szCs w:val="21"/>
        </w:rPr>
        <w:t>根据《中华人民共和国民法典》及中华人民共和国各级立法、行政机关颁布并生效的法律、法规、规章及其它规范性文件（“法律法规”），在遵循平等、自愿、公平和诚实信用原则的基础上，经协商一致，双方订立本合同如下：</w:t>
      </w:r>
    </w:p>
    <w:p>
      <w:pPr>
        <w:pStyle w:val="246"/>
        <w:adjustRightInd w:val="0"/>
        <w:snapToGrid w:val="0"/>
        <w:spacing w:before="93" w:beforeLines="30" w:after="93" w:afterLines="30" w:line="360" w:lineRule="auto"/>
        <w:jc w:val="left"/>
        <w:rPr>
          <w:rFonts w:ascii="宋体"/>
          <w:bCs w:val="0"/>
          <w:sz w:val="21"/>
          <w:szCs w:val="21"/>
        </w:rPr>
      </w:pPr>
      <w:bookmarkStart w:id="275" w:name="_Toc276842642"/>
      <w:bookmarkStart w:id="276" w:name="_Toc276888365"/>
      <w:bookmarkStart w:id="277" w:name="_Toc276842694"/>
      <w:bookmarkStart w:id="278" w:name="_Toc276578424"/>
      <w:bookmarkStart w:id="279" w:name="_Toc275096343"/>
      <w:bookmarkStart w:id="280" w:name="_Toc364839361"/>
      <w:bookmarkStart w:id="281" w:name="_Toc276825187"/>
      <w:bookmarkStart w:id="282" w:name="_Toc276888298"/>
      <w:bookmarkStart w:id="283" w:name="_Toc276828333"/>
      <w:bookmarkStart w:id="284" w:name="_Toc299915678"/>
      <w:bookmarkStart w:id="285" w:name="_Toc275096412"/>
      <w:bookmarkStart w:id="286" w:name="_Toc275173805"/>
      <w:r>
        <w:rPr>
          <w:rFonts w:hint="eastAsia" w:ascii="宋体" w:hAnsi="宋体"/>
          <w:sz w:val="21"/>
          <w:szCs w:val="21"/>
        </w:rPr>
        <w:t>服务</w:t>
      </w:r>
      <w:bookmarkEnd w:id="275"/>
      <w:bookmarkEnd w:id="276"/>
      <w:bookmarkEnd w:id="277"/>
      <w:bookmarkEnd w:id="278"/>
      <w:bookmarkEnd w:id="279"/>
      <w:bookmarkEnd w:id="280"/>
      <w:bookmarkEnd w:id="281"/>
      <w:bookmarkEnd w:id="282"/>
      <w:bookmarkEnd w:id="283"/>
      <w:bookmarkEnd w:id="284"/>
      <w:bookmarkEnd w:id="285"/>
      <w:bookmarkEnd w:id="286"/>
    </w:p>
    <w:p>
      <w:pPr>
        <w:numPr>
          <w:ilvl w:val="1"/>
          <w:numId w:val="69"/>
        </w:numPr>
        <w:tabs>
          <w:tab w:val="left" w:pos="709"/>
          <w:tab w:val="clear" w:pos="540"/>
        </w:tabs>
        <w:adjustRightInd w:val="0"/>
        <w:snapToGrid w:val="0"/>
        <w:spacing w:before="93" w:beforeLines="30" w:after="93" w:afterLines="30" w:line="360" w:lineRule="auto"/>
        <w:ind w:left="709" w:hanging="709"/>
        <w:rPr>
          <w:szCs w:val="21"/>
        </w:rPr>
      </w:pPr>
      <w:r>
        <w:rPr>
          <w:rFonts w:hint="eastAsia" w:hAnsi="宋体"/>
          <w:szCs w:val="21"/>
        </w:rPr>
        <w:t>乙方应根据本合同规定为甲方提供</w:t>
      </w:r>
      <w:r>
        <w:rPr>
          <w:rFonts w:hint="eastAsia" w:hAnsi="宋体"/>
          <w:szCs w:val="21"/>
          <w:u w:val="single"/>
        </w:rPr>
        <w:t>月浦基地综合</w:t>
      </w:r>
      <w:r>
        <w:rPr>
          <w:rFonts w:hint="eastAsia" w:hAnsi="宋体"/>
          <w:szCs w:val="21"/>
        </w:rPr>
        <w:t>服务，完成合同规定的全部工作，具体</w:t>
      </w:r>
      <w:r>
        <w:rPr>
          <w:rFonts w:hint="eastAsia"/>
          <w:szCs w:val="21"/>
        </w:rPr>
        <w:t>服务和相关工作的内容、范围、地点及要求【详见本合同附件一】。</w:t>
      </w:r>
    </w:p>
    <w:p>
      <w:pPr>
        <w:numPr>
          <w:ilvl w:val="1"/>
          <w:numId w:val="69"/>
        </w:numPr>
        <w:tabs>
          <w:tab w:val="left" w:pos="709"/>
          <w:tab w:val="clear" w:pos="540"/>
        </w:tabs>
        <w:adjustRightInd w:val="0"/>
        <w:snapToGrid w:val="0"/>
        <w:spacing w:before="93" w:beforeLines="30" w:after="93" w:afterLines="30" w:line="360" w:lineRule="auto"/>
        <w:ind w:left="709" w:hanging="709"/>
        <w:rPr>
          <w:rFonts w:hAnsi="宋体"/>
          <w:szCs w:val="21"/>
        </w:rPr>
      </w:pPr>
      <w:r>
        <w:rPr>
          <w:rFonts w:hint="eastAsia" w:hAnsi="宋体"/>
          <w:szCs w:val="21"/>
        </w:rPr>
        <w:t>乙方应执行良好的行业惯例提供优质、高效的服务。在提供服务过程中，乙方应维护甲方利益，不得实施任何违背甲方利益的行为。</w:t>
      </w:r>
    </w:p>
    <w:p>
      <w:pPr>
        <w:numPr>
          <w:ilvl w:val="1"/>
          <w:numId w:val="69"/>
        </w:numPr>
        <w:tabs>
          <w:tab w:val="left" w:pos="709"/>
          <w:tab w:val="clear" w:pos="540"/>
        </w:tabs>
        <w:adjustRightInd w:val="0"/>
        <w:snapToGrid w:val="0"/>
        <w:spacing w:before="93" w:beforeLines="30" w:after="93" w:afterLines="30" w:line="360" w:lineRule="auto"/>
        <w:ind w:left="709" w:hanging="709"/>
        <w:rPr>
          <w:szCs w:val="21"/>
          <w:u w:val="single"/>
        </w:rPr>
      </w:pPr>
      <w:r>
        <w:rPr>
          <w:rFonts w:hint="eastAsia" w:hAnsi="宋体"/>
          <w:szCs w:val="21"/>
        </w:rPr>
        <w:t>即使本合同未对某项工作予以明确规定，但是，如相关工作系乙方提供同类服务时，通过执行良好的行业惯例应当预见和完成的工作，或属于为实现本合同目的应当实施的工作，乙方应以符合本合同目的的方式实施该等工作，乙方无权要求调整合同总价或工作期限。</w:t>
      </w:r>
    </w:p>
    <w:p>
      <w:pPr>
        <w:numPr>
          <w:ilvl w:val="1"/>
          <w:numId w:val="69"/>
        </w:numPr>
        <w:tabs>
          <w:tab w:val="left" w:pos="709"/>
          <w:tab w:val="clear" w:pos="540"/>
        </w:tabs>
        <w:adjustRightInd w:val="0"/>
        <w:snapToGrid w:val="0"/>
        <w:spacing w:before="93" w:beforeLines="30" w:after="93" w:afterLines="30" w:line="360" w:lineRule="auto"/>
        <w:ind w:left="709" w:hanging="709"/>
        <w:rPr>
          <w:rFonts w:hAnsi="宋体"/>
          <w:szCs w:val="21"/>
        </w:rPr>
      </w:pPr>
      <w:r>
        <w:rPr>
          <w:rFonts w:hint="eastAsia" w:hAnsi="宋体"/>
          <w:szCs w:val="21"/>
        </w:rPr>
        <w:t>乙方</w:t>
      </w:r>
      <w:bookmarkStart w:id="287" w:name="_Toc288479378"/>
      <w:bookmarkStart w:id="288" w:name="_Toc296955842"/>
      <w:bookmarkStart w:id="289" w:name="_Toc296959304"/>
      <w:bookmarkStart w:id="290" w:name="_Toc299915679"/>
      <w:bookmarkStart w:id="291" w:name="_Toc364839362"/>
      <w:bookmarkStart w:id="292" w:name="_Toc291435895"/>
      <w:bookmarkStart w:id="293" w:name="_Toc274403530"/>
      <w:bookmarkStart w:id="294" w:name="_Toc274668316"/>
      <w:bookmarkStart w:id="295" w:name="_Toc273451896"/>
      <w:bookmarkStart w:id="296" w:name="_Toc274075954"/>
      <w:bookmarkStart w:id="297" w:name="_Toc273451829"/>
      <w:bookmarkStart w:id="298" w:name="_Toc274343601"/>
      <w:bookmarkStart w:id="299" w:name="_Toc274669314"/>
      <w:bookmarkStart w:id="300" w:name="_Toc274076142"/>
      <w:bookmarkStart w:id="301" w:name="_Toc278889775"/>
      <w:bookmarkStart w:id="302" w:name="_Toc274474905"/>
      <w:bookmarkStart w:id="303" w:name="_Toc291435828"/>
      <w:bookmarkStart w:id="304" w:name="_Toc274754020"/>
      <w:r>
        <w:rPr>
          <w:rFonts w:hint="eastAsia" w:hAnsi="宋体"/>
          <w:szCs w:val="21"/>
        </w:rPr>
        <w:t>提供的服务将用于月浦基地综合服务项目。</w:t>
      </w:r>
    </w:p>
    <w:p>
      <w:pPr>
        <w:pStyle w:val="246"/>
        <w:adjustRightInd w:val="0"/>
        <w:snapToGrid w:val="0"/>
        <w:spacing w:before="93" w:beforeLines="30" w:after="93" w:afterLines="30" w:line="360" w:lineRule="auto"/>
        <w:jc w:val="left"/>
        <w:rPr>
          <w:rFonts w:ascii="宋体" w:hAnsi="宋体"/>
          <w:sz w:val="21"/>
          <w:szCs w:val="21"/>
        </w:rPr>
      </w:pPr>
      <w:r>
        <w:rPr>
          <w:rFonts w:hint="eastAsia" w:ascii="宋体" w:hAnsi="宋体"/>
          <w:sz w:val="21"/>
          <w:szCs w:val="21"/>
        </w:rPr>
        <w:t>合同</w:t>
      </w:r>
      <w:bookmarkEnd w:id="287"/>
      <w:bookmarkEnd w:id="288"/>
      <w:r>
        <w:rPr>
          <w:rFonts w:hint="eastAsia" w:ascii="宋体" w:hAnsi="宋体"/>
          <w:sz w:val="21"/>
          <w:szCs w:val="21"/>
        </w:rPr>
        <w:t>总价</w:t>
      </w:r>
      <w:bookmarkEnd w:id="289"/>
      <w:bookmarkEnd w:id="290"/>
      <w:r>
        <w:rPr>
          <w:rFonts w:hint="eastAsia" w:ascii="宋体" w:hAnsi="宋体"/>
          <w:sz w:val="21"/>
          <w:szCs w:val="21"/>
        </w:rPr>
        <w:t>和付款</w:t>
      </w:r>
      <w:bookmarkEnd w:id="291"/>
    </w:p>
    <w:p>
      <w:pPr>
        <w:numPr>
          <w:ilvl w:val="1"/>
          <w:numId w:val="70"/>
        </w:numPr>
        <w:tabs>
          <w:tab w:val="left" w:pos="709"/>
        </w:tabs>
        <w:adjustRightInd w:val="0"/>
        <w:snapToGrid w:val="0"/>
        <w:spacing w:before="93" w:beforeLines="30" w:after="93" w:afterLines="30" w:line="360" w:lineRule="auto"/>
        <w:ind w:left="709" w:hanging="709"/>
        <w:rPr>
          <w:szCs w:val="21"/>
        </w:rPr>
      </w:pPr>
      <w:r>
        <w:rPr>
          <w:rFonts w:hint="eastAsia"/>
          <w:szCs w:val="21"/>
        </w:rPr>
        <w:t>经双方协商一致，甲方需要向乙方支付的年度全部服务费用为以下第</w:t>
      </w:r>
      <w:r>
        <w:rPr>
          <w:rFonts w:hint="eastAsia"/>
          <w:szCs w:val="21"/>
          <w:u w:val="single"/>
        </w:rPr>
        <w:t>（</w:t>
      </w:r>
      <w:r>
        <w:rPr>
          <w:szCs w:val="21"/>
          <w:u w:val="single"/>
        </w:rPr>
        <w:t>1</w:t>
      </w:r>
      <w:r>
        <w:rPr>
          <w:rFonts w:hint="eastAsia"/>
          <w:szCs w:val="21"/>
          <w:u w:val="single"/>
        </w:rPr>
        <w:t>）、（</w:t>
      </w:r>
      <w:r>
        <w:rPr>
          <w:szCs w:val="21"/>
          <w:u w:val="single"/>
        </w:rPr>
        <w:t>2</w:t>
      </w:r>
      <w:r>
        <w:rPr>
          <w:rFonts w:hint="eastAsia"/>
          <w:szCs w:val="21"/>
          <w:u w:val="single"/>
        </w:rPr>
        <w:t>）项：</w:t>
      </w:r>
      <w:r>
        <w:rPr>
          <w:rFonts w:hint="eastAsia"/>
          <w:szCs w:val="21"/>
        </w:rPr>
        <w:t>合同总价的各分项价格和组成【详见本合同附件三】。</w:t>
      </w:r>
    </w:p>
    <w:p>
      <w:pPr>
        <w:pStyle w:val="123"/>
        <w:numPr>
          <w:ilvl w:val="2"/>
          <w:numId w:val="70"/>
        </w:numPr>
        <w:tabs>
          <w:tab w:val="left" w:pos="709"/>
        </w:tabs>
        <w:adjustRightInd w:val="0"/>
        <w:snapToGrid w:val="0"/>
        <w:spacing w:before="93" w:beforeLines="30" w:after="93" w:afterLines="30" w:line="360" w:lineRule="auto"/>
        <w:ind w:firstLineChars="0"/>
        <w:rPr>
          <w:szCs w:val="21"/>
        </w:rPr>
      </w:pPr>
      <w:r>
        <w:rPr>
          <w:rFonts w:hint="eastAsia"/>
          <w:szCs w:val="21"/>
        </w:rPr>
        <w:t>年度固定服务费（不含税价）为</w:t>
      </w:r>
      <w:bookmarkStart w:id="305" w:name="OLE_LINK57"/>
      <w:bookmarkStart w:id="306" w:name="OLE_LINK56"/>
      <w:bookmarkStart w:id="307" w:name="OLE_LINK58"/>
      <w:r>
        <w:rPr>
          <w:rFonts w:hint="eastAsia"/>
          <w:szCs w:val="21"/>
        </w:rPr>
        <w:t>：</w:t>
      </w:r>
      <w:r>
        <w:rPr>
          <w:rFonts w:hint="eastAsia" w:ascii="Times New Roman" w:hAnsi="Times New Roman"/>
          <w:szCs w:val="21"/>
        </w:rPr>
        <w:t>【</w:t>
      </w:r>
      <w:r>
        <w:rPr>
          <w:rFonts w:ascii="Times New Roman" w:hAnsi="Times New Roman"/>
          <w:szCs w:val="21"/>
        </w:rPr>
        <w:t>RMB</w:t>
      </w:r>
      <w:r>
        <w:rPr>
          <w:rFonts w:hint="eastAsia" w:ascii="Times New Roman" w:hAnsi="Times New Roman"/>
          <w:szCs w:val="21"/>
        </w:rPr>
        <w:t>】</w:t>
      </w:r>
      <w:r>
        <w:rPr>
          <w:rFonts w:hint="eastAsia" w:ascii="Times New Roman" w:hAnsi="Times New Roman"/>
          <w:szCs w:val="21"/>
          <w:lang w:val="en-US" w:eastAsia="zh-CN"/>
        </w:rPr>
        <w:t>****</w:t>
      </w:r>
      <w:r>
        <w:rPr>
          <w:rFonts w:hint="eastAsia" w:ascii="Times New Roman" w:hAnsi="Times New Roman"/>
          <w:szCs w:val="21"/>
        </w:rPr>
        <w:t>元（大写：【人民币】</w:t>
      </w:r>
      <w:r>
        <w:rPr>
          <w:rFonts w:hint="eastAsia" w:ascii="Times New Roman" w:hAnsi="Times New Roman"/>
          <w:szCs w:val="21"/>
          <w:lang w:val="en-US" w:eastAsia="zh-CN"/>
        </w:rPr>
        <w:t>****</w:t>
      </w:r>
      <w:r>
        <w:rPr>
          <w:rFonts w:hint="eastAsia" w:ascii="Times New Roman" w:hAnsi="Times New Roman"/>
          <w:szCs w:val="21"/>
        </w:rPr>
        <w:t>元整）</w:t>
      </w:r>
      <w:bookmarkEnd w:id="305"/>
      <w:bookmarkEnd w:id="306"/>
      <w:bookmarkEnd w:id="307"/>
      <w:r>
        <w:rPr>
          <w:rFonts w:hint="eastAsia" w:ascii="Times New Roman" w:hAnsi="Times New Roman"/>
          <w:szCs w:val="21"/>
        </w:rPr>
        <w:t>，</w:t>
      </w:r>
      <w:r>
        <w:rPr>
          <w:rFonts w:hint="eastAsia"/>
          <w:szCs w:val="21"/>
        </w:rPr>
        <w:t>按照本合同附件三【合同费用明细】中分月支付。</w:t>
      </w:r>
    </w:p>
    <w:p>
      <w:pPr>
        <w:pStyle w:val="123"/>
        <w:numPr>
          <w:ilvl w:val="2"/>
          <w:numId w:val="70"/>
        </w:numPr>
        <w:tabs>
          <w:tab w:val="left" w:pos="709"/>
        </w:tabs>
        <w:adjustRightInd w:val="0"/>
        <w:snapToGrid w:val="0"/>
        <w:spacing w:before="93" w:beforeLines="30" w:after="93" w:afterLines="30" w:line="360" w:lineRule="auto"/>
        <w:ind w:firstLineChars="0"/>
        <w:rPr>
          <w:szCs w:val="21"/>
        </w:rPr>
      </w:pPr>
      <w:r>
        <w:rPr>
          <w:rFonts w:hint="eastAsia"/>
          <w:szCs w:val="21"/>
        </w:rPr>
        <w:t>非固定服务费用，按照本合同附件三</w:t>
      </w:r>
      <w:r>
        <w:rPr>
          <w:rFonts w:hint="eastAsia"/>
          <w:szCs w:val="21"/>
          <w:u w:val="single"/>
        </w:rPr>
        <w:t>【（一）日常综合费用汇总及成本明细：费率费用、（二）计划外服务人员费率表】</w:t>
      </w:r>
      <w:r>
        <w:rPr>
          <w:rFonts w:hint="eastAsia"/>
          <w:szCs w:val="21"/>
        </w:rPr>
        <w:t>中所列费率，根据实际发生额计算。</w:t>
      </w:r>
    </w:p>
    <w:p>
      <w:pPr>
        <w:numPr>
          <w:ilvl w:val="1"/>
          <w:numId w:val="70"/>
        </w:numPr>
        <w:tabs>
          <w:tab w:val="left" w:pos="709"/>
        </w:tabs>
        <w:adjustRightInd w:val="0"/>
        <w:snapToGrid w:val="0"/>
        <w:spacing w:before="93" w:beforeLines="30" w:after="93" w:afterLines="30" w:line="360" w:lineRule="auto"/>
        <w:ind w:left="709" w:hanging="709"/>
        <w:rPr>
          <w:szCs w:val="21"/>
        </w:rPr>
      </w:pPr>
      <w:r>
        <w:rPr>
          <w:rFonts w:hint="eastAsia"/>
          <w:szCs w:val="21"/>
        </w:rPr>
        <w:t>合同总价是本合同项下乙方完成工作、完整履行本合同，甲方应支付的全部对价和报酬。合同总价为固定价格+费率，不受通货膨胀、利率、汇率、税费、成本及市场等因素变化的影响。除非合同另有规定，乙方应承担其在履行合同义务时产生的全部费用和税费。乙方确认，其同意合同总价前已经获得了所有信息并已考虑了所有可能影响成本和费用的因素。为避免歧义合同总价包括：完成工作所需的设备、器具、材料、供应品、备品备件等的费用；直接成本、间接成本、人力成本；履行质量保证责任的费用；与合同相关的所有税费；或有费用及合同没有列明但系为实现合同目的所必需的工作和服务费用；乙方所有的风险、义务和责任，以及合同中明确说明由乙方承担的成本和费用等。</w:t>
      </w:r>
    </w:p>
    <w:p>
      <w:pPr>
        <w:numPr>
          <w:ilvl w:val="1"/>
          <w:numId w:val="70"/>
        </w:numPr>
        <w:tabs>
          <w:tab w:val="left" w:pos="709"/>
        </w:tabs>
        <w:adjustRightInd w:val="0"/>
        <w:snapToGrid w:val="0"/>
        <w:spacing w:before="93" w:beforeLines="30" w:after="93" w:afterLines="30" w:line="360" w:lineRule="auto"/>
        <w:ind w:left="709" w:hanging="709"/>
        <w:rPr>
          <w:szCs w:val="21"/>
        </w:rPr>
      </w:pPr>
      <w:r>
        <w:rPr>
          <w:rFonts w:hint="eastAsia"/>
          <w:szCs w:val="21"/>
        </w:rPr>
        <w:t>双方应根据法律法规各自承担其应承担的与本合同有关的所有税费。甲方有权根据法律法规和本合同的规定从应支付给乙方的合同总价中扣除应由甲方代扣、代缴的乙方应付税费，但应向乙方提供完税证明。</w:t>
      </w:r>
    </w:p>
    <w:p>
      <w:pPr>
        <w:numPr>
          <w:ilvl w:val="1"/>
          <w:numId w:val="70"/>
        </w:numPr>
        <w:tabs>
          <w:tab w:val="left" w:pos="709"/>
        </w:tabs>
        <w:adjustRightInd w:val="0"/>
        <w:snapToGrid w:val="0"/>
        <w:spacing w:before="93" w:beforeLines="30" w:after="93" w:afterLines="30" w:line="360" w:lineRule="auto"/>
        <w:ind w:left="709" w:hanging="709"/>
        <w:rPr>
          <w:szCs w:val="21"/>
        </w:rPr>
      </w:pPr>
      <w:r>
        <w:rPr>
          <w:rFonts w:hint="eastAsia"/>
          <w:szCs w:val="21"/>
        </w:rPr>
        <w:t>本合同项下的付款方式：银行电汇</w:t>
      </w:r>
      <w:r>
        <w:rPr>
          <w:szCs w:val="21"/>
        </w:rPr>
        <w:t xml:space="preserve">  </w:t>
      </w:r>
      <w:r>
        <w:rPr>
          <w:rFonts w:hint="eastAsia"/>
          <w:szCs w:val="21"/>
        </w:rPr>
        <w:t>。</w:t>
      </w:r>
    </w:p>
    <w:p>
      <w:pPr>
        <w:numPr>
          <w:ilvl w:val="1"/>
          <w:numId w:val="70"/>
        </w:numPr>
        <w:tabs>
          <w:tab w:val="left" w:pos="709"/>
        </w:tabs>
        <w:adjustRightInd w:val="0"/>
        <w:snapToGrid w:val="0"/>
        <w:spacing w:before="93" w:beforeLines="30" w:after="93" w:afterLines="30" w:line="360" w:lineRule="auto"/>
        <w:ind w:left="709" w:hanging="709"/>
        <w:rPr>
          <w:szCs w:val="21"/>
        </w:rPr>
      </w:pPr>
      <w:r>
        <w:rPr>
          <w:rFonts w:hint="eastAsia"/>
          <w:szCs w:val="21"/>
        </w:rPr>
        <w:t>付款进度：</w:t>
      </w:r>
    </w:p>
    <w:p>
      <w:pPr>
        <w:numPr>
          <w:ilvl w:val="4"/>
          <w:numId w:val="71"/>
        </w:numPr>
        <w:tabs>
          <w:tab w:val="left" w:pos="1276"/>
        </w:tabs>
        <w:adjustRightInd w:val="0"/>
        <w:snapToGrid w:val="0"/>
        <w:spacing w:before="93" w:beforeLines="30" w:after="93" w:afterLines="30" w:line="360" w:lineRule="auto"/>
        <w:ind w:left="1276" w:hanging="567"/>
        <w:rPr>
          <w:szCs w:val="21"/>
        </w:rPr>
      </w:pPr>
      <w:r>
        <w:rPr>
          <w:rFonts w:hint="eastAsia"/>
          <w:szCs w:val="21"/>
        </w:rPr>
        <w:t>乙方应按照本合同附件一、附件二中所列服务要求，在每个月结束之后向甲方提交《工作检查及验收》（</w:t>
      </w:r>
      <w:r>
        <w:rPr>
          <w:rFonts w:hint="eastAsia"/>
          <w:szCs w:val="21"/>
          <w:u w:val="single"/>
        </w:rPr>
        <w:t>详见本合同附件一），</w:t>
      </w:r>
      <w:r>
        <w:rPr>
          <w:rFonts w:hint="eastAsia"/>
          <w:szCs w:val="21"/>
        </w:rPr>
        <w:t>且验收合格后</w:t>
      </w:r>
      <w:bookmarkStart w:id="308" w:name="OLE_LINK52"/>
      <w:bookmarkStart w:id="309" w:name="OLE_LINK50"/>
      <w:bookmarkStart w:id="310" w:name="OLE_LINK51"/>
      <w:r>
        <w:rPr>
          <w:rFonts w:hint="eastAsia"/>
          <w:szCs w:val="21"/>
        </w:rPr>
        <w:t>【</w:t>
      </w:r>
      <w:r>
        <w:rPr>
          <w:szCs w:val="21"/>
        </w:rPr>
        <w:t>15</w:t>
      </w:r>
      <w:r>
        <w:rPr>
          <w:rFonts w:hint="eastAsia"/>
          <w:szCs w:val="21"/>
        </w:rPr>
        <w:t>】</w:t>
      </w:r>
      <w:bookmarkEnd w:id="308"/>
      <w:bookmarkEnd w:id="309"/>
      <w:bookmarkEnd w:id="310"/>
      <w:r>
        <w:rPr>
          <w:rFonts w:hint="eastAsia"/>
          <w:szCs w:val="21"/>
        </w:rPr>
        <w:t>日内，甲方应按本合同</w:t>
      </w:r>
      <w:r>
        <w:rPr>
          <w:szCs w:val="21"/>
        </w:rPr>
        <w:t>2.1</w:t>
      </w:r>
      <w:r>
        <w:rPr>
          <w:rFonts w:hint="eastAsia"/>
          <w:szCs w:val="21"/>
        </w:rPr>
        <w:t>款向乙方支付服务费用。</w:t>
      </w:r>
    </w:p>
    <w:p>
      <w:pPr>
        <w:numPr>
          <w:ilvl w:val="1"/>
          <w:numId w:val="70"/>
        </w:numPr>
        <w:tabs>
          <w:tab w:val="left" w:pos="709"/>
        </w:tabs>
        <w:adjustRightInd w:val="0"/>
        <w:snapToGrid w:val="0"/>
        <w:spacing w:before="93" w:beforeLines="30" w:after="93" w:afterLines="30" w:line="360" w:lineRule="auto"/>
        <w:ind w:left="709" w:hanging="709"/>
        <w:rPr>
          <w:szCs w:val="21"/>
        </w:rPr>
      </w:pPr>
      <w:r>
        <w:rPr>
          <w:rFonts w:hint="eastAsia"/>
          <w:szCs w:val="21"/>
        </w:rPr>
        <w:t>乙方应根据合同规定的付款条件和进度，提前向甲方开具符合中国法律法规要求的发票并提供相关支持文件。如乙方提供的服务属于增值税应税范围，乙方应为甲方开具增值税普通发票。发票应注明合同编号且抬头应为：</w:t>
      </w:r>
      <w:r>
        <w:rPr>
          <w:rFonts w:hint="eastAsia"/>
          <w:szCs w:val="21"/>
          <w:u w:val="single"/>
        </w:rPr>
        <w:t>中国海洋石油东海有限公司</w:t>
      </w:r>
      <w:r>
        <w:rPr>
          <w:rFonts w:hint="eastAsia"/>
          <w:szCs w:val="21"/>
        </w:rPr>
        <w:t>。如果甲方对乙方出具的该等发票和提供的相关支持文件无异议，应于收到该等发票和相关支持文件之日起【三十五（</w:t>
      </w:r>
      <w:r>
        <w:rPr>
          <w:szCs w:val="21"/>
        </w:rPr>
        <w:t>35</w:t>
      </w:r>
      <w:r>
        <w:rPr>
          <w:rFonts w:hint="eastAsia"/>
          <w:szCs w:val="21"/>
        </w:rPr>
        <w:t>）】日内向乙方付款。如果甲方对乙方提交的该等发票和相关支持文件全部或部分有异议，应及时通知乙方，乙方应根据甲方要求修改并重新开具发票，该等情况下，付款期限从甲方收到该等重新开具的发票和相关支持文件之日起重新计算。</w:t>
      </w:r>
    </w:p>
    <w:p>
      <w:pPr>
        <w:numPr>
          <w:ilvl w:val="1"/>
          <w:numId w:val="70"/>
        </w:numPr>
        <w:tabs>
          <w:tab w:val="left" w:pos="709"/>
        </w:tabs>
        <w:adjustRightInd w:val="0"/>
        <w:snapToGrid w:val="0"/>
        <w:spacing w:before="93" w:beforeLines="30" w:after="93" w:afterLines="30" w:line="360" w:lineRule="auto"/>
        <w:ind w:left="709" w:hanging="709"/>
        <w:rPr>
          <w:szCs w:val="21"/>
        </w:rPr>
      </w:pPr>
      <w:r>
        <w:rPr>
          <w:rFonts w:hint="eastAsia" w:hAnsi="宋体"/>
          <w:szCs w:val="21"/>
        </w:rPr>
        <w:t>乙方账户</w:t>
      </w:r>
    </w:p>
    <w:p>
      <w:pPr>
        <w:tabs>
          <w:tab w:val="left" w:pos="709"/>
          <w:tab w:val="left" w:pos="1418"/>
        </w:tabs>
        <w:adjustRightInd w:val="0"/>
        <w:snapToGrid w:val="0"/>
        <w:spacing w:before="93" w:beforeLines="30" w:after="93" w:afterLines="30" w:line="360" w:lineRule="auto"/>
        <w:ind w:left="708" w:leftChars="337"/>
        <w:rPr>
          <w:szCs w:val="21"/>
        </w:rPr>
      </w:pPr>
      <w:r>
        <w:rPr>
          <w:rFonts w:hint="eastAsia"/>
          <w:szCs w:val="21"/>
        </w:rPr>
        <w:t>乙方应通过如下账户收取合同总价及其它款项，并通过该账户向甲方支付与合同有关的任何款项：</w:t>
      </w:r>
    </w:p>
    <w:p>
      <w:pPr>
        <w:tabs>
          <w:tab w:val="left" w:pos="709"/>
          <w:tab w:val="left" w:pos="1418"/>
        </w:tabs>
        <w:adjustRightInd w:val="0"/>
        <w:snapToGrid w:val="0"/>
        <w:spacing w:before="93" w:beforeLines="30" w:after="93" w:afterLines="30" w:line="360" w:lineRule="auto"/>
        <w:ind w:left="708" w:leftChars="337" w:right="3066" w:rightChars="1460"/>
        <w:rPr>
          <w:szCs w:val="21"/>
        </w:rPr>
      </w:pPr>
      <w:r>
        <w:rPr>
          <w:rFonts w:hint="eastAsia"/>
          <w:szCs w:val="21"/>
        </w:rPr>
        <w:t>乙方名称：</w:t>
      </w:r>
      <w:r>
        <w:rPr>
          <w:rFonts w:hint="eastAsia"/>
          <w:szCs w:val="21"/>
          <w:u w:val="single"/>
          <w:lang w:val="en-US" w:eastAsia="zh-CN"/>
        </w:rPr>
        <w:t>****</w:t>
      </w:r>
      <w:r>
        <w:rPr>
          <w:szCs w:val="21"/>
          <w:u w:val="single"/>
        </w:rPr>
        <w:t xml:space="preserve"> </w:t>
      </w:r>
      <w:r>
        <w:rPr>
          <w:szCs w:val="21"/>
        </w:rPr>
        <w:t xml:space="preserve">                            </w:t>
      </w:r>
    </w:p>
    <w:p>
      <w:pPr>
        <w:tabs>
          <w:tab w:val="left" w:pos="709"/>
          <w:tab w:val="left" w:pos="1418"/>
        </w:tabs>
        <w:adjustRightInd w:val="0"/>
        <w:snapToGrid w:val="0"/>
        <w:spacing w:before="93" w:beforeLines="30" w:after="93" w:afterLines="30" w:line="360" w:lineRule="auto"/>
        <w:ind w:left="708" w:leftChars="337" w:right="3066" w:rightChars="1460"/>
        <w:rPr>
          <w:szCs w:val="21"/>
        </w:rPr>
      </w:pPr>
      <w:r>
        <w:rPr>
          <w:rFonts w:hint="eastAsia"/>
          <w:szCs w:val="21"/>
        </w:rPr>
        <w:t>账号：</w:t>
      </w:r>
      <w:r>
        <w:rPr>
          <w:rFonts w:hint="eastAsia"/>
          <w:szCs w:val="21"/>
          <w:u w:val="single"/>
          <w:lang w:val="en-US" w:eastAsia="zh-CN"/>
        </w:rPr>
        <w:t>****</w:t>
      </w:r>
      <w:r>
        <w:rPr>
          <w:szCs w:val="21"/>
          <w:u w:val="single"/>
        </w:rPr>
        <w:t xml:space="preserve"> </w:t>
      </w:r>
    </w:p>
    <w:p>
      <w:pPr>
        <w:tabs>
          <w:tab w:val="left" w:pos="709"/>
          <w:tab w:val="left" w:pos="1418"/>
        </w:tabs>
        <w:adjustRightInd w:val="0"/>
        <w:snapToGrid w:val="0"/>
        <w:spacing w:before="93" w:beforeLines="30" w:after="93" w:afterLines="30" w:line="360" w:lineRule="auto"/>
        <w:ind w:left="708" w:leftChars="337" w:right="3066" w:rightChars="1460"/>
        <w:rPr>
          <w:szCs w:val="21"/>
        </w:rPr>
      </w:pPr>
      <w:r>
        <w:rPr>
          <w:rFonts w:hint="eastAsia"/>
          <w:szCs w:val="21"/>
        </w:rPr>
        <w:t>开户行名称：</w:t>
      </w:r>
      <w:bookmarkStart w:id="311" w:name="OLE_LINK44"/>
      <w:bookmarkStart w:id="312" w:name="OLE_LINK42"/>
      <w:bookmarkStart w:id="313" w:name="OLE_LINK43"/>
      <w:bookmarkStart w:id="314" w:name="OLE_LINK41"/>
      <w:bookmarkStart w:id="315" w:name="OLE_LINK40"/>
      <w:r>
        <w:rPr>
          <w:rFonts w:hint="eastAsia"/>
          <w:szCs w:val="21"/>
          <w:u w:val="single"/>
          <w:lang w:val="en-US" w:eastAsia="zh-CN"/>
        </w:rPr>
        <w:t>****</w:t>
      </w:r>
      <w:r>
        <w:rPr>
          <w:szCs w:val="21"/>
          <w:u w:val="single"/>
        </w:rPr>
        <w:t xml:space="preserve"> </w:t>
      </w:r>
      <w:bookmarkEnd w:id="311"/>
      <w:bookmarkEnd w:id="312"/>
      <w:bookmarkEnd w:id="313"/>
    </w:p>
    <w:bookmarkEnd w:id="314"/>
    <w:bookmarkEnd w:id="315"/>
    <w:p>
      <w:pPr>
        <w:tabs>
          <w:tab w:val="left" w:pos="709"/>
          <w:tab w:val="left" w:pos="1418"/>
        </w:tabs>
        <w:adjustRightInd w:val="0"/>
        <w:snapToGrid w:val="0"/>
        <w:spacing w:before="93" w:beforeLines="30" w:after="93" w:afterLines="30" w:line="360" w:lineRule="auto"/>
        <w:ind w:left="708" w:leftChars="337" w:right="3066" w:rightChars="1460"/>
        <w:rPr>
          <w:szCs w:val="21"/>
        </w:rPr>
      </w:pPr>
      <w:r>
        <w:rPr>
          <w:rFonts w:hint="eastAsia"/>
          <w:szCs w:val="21"/>
        </w:rPr>
        <w:t>开户行地址：</w:t>
      </w:r>
      <w:r>
        <w:rPr>
          <w:rFonts w:hint="eastAsia"/>
          <w:szCs w:val="21"/>
          <w:u w:val="single"/>
          <w:lang w:val="en-US" w:eastAsia="zh-CN"/>
        </w:rPr>
        <w:t>****</w:t>
      </w:r>
      <w:r>
        <w:rPr>
          <w:szCs w:val="21"/>
          <w:u w:val="single"/>
        </w:rPr>
        <w:t xml:space="preserve"> </w:t>
      </w:r>
    </w:p>
    <w:p>
      <w:pPr>
        <w:pStyle w:val="246"/>
        <w:adjustRightInd w:val="0"/>
        <w:snapToGrid w:val="0"/>
        <w:spacing w:before="93" w:beforeLines="30" w:after="93" w:afterLines="30" w:line="360" w:lineRule="auto"/>
        <w:jc w:val="left"/>
        <w:rPr>
          <w:rFonts w:ascii="Times New Roman" w:hAnsi="Times New Roman"/>
          <w:sz w:val="21"/>
          <w:szCs w:val="21"/>
        </w:rPr>
      </w:pPr>
      <w:bookmarkStart w:id="316" w:name="_Toc364839363"/>
      <w:bookmarkStart w:id="317" w:name="_Toc299912665"/>
      <w:bookmarkStart w:id="318" w:name="_Toc299915681"/>
      <w:r>
        <w:rPr>
          <w:rFonts w:hint="eastAsia"/>
          <w:sz w:val="21"/>
          <w:szCs w:val="21"/>
        </w:rPr>
        <w:t>工作期限</w:t>
      </w:r>
      <w:bookmarkEnd w:id="316"/>
    </w:p>
    <w:p>
      <w:pPr>
        <w:pStyle w:val="28"/>
        <w:numPr>
          <w:ilvl w:val="0"/>
          <w:numId w:val="72"/>
        </w:numPr>
        <w:autoSpaceDE w:val="0"/>
        <w:autoSpaceDN w:val="0"/>
        <w:adjustRightInd w:val="0"/>
        <w:spacing w:before="93" w:beforeLines="30" w:after="93" w:afterLines="30" w:line="360" w:lineRule="auto"/>
        <w:ind w:left="709" w:hanging="709"/>
        <w:rPr>
          <w:rFonts w:asciiTheme="majorEastAsia" w:hAnsiTheme="majorEastAsia" w:eastAsiaTheme="majorEastAsia"/>
          <w:sz w:val="21"/>
          <w:szCs w:val="21"/>
        </w:rPr>
      </w:pPr>
      <w:r>
        <w:rPr>
          <w:rFonts w:hint="eastAsia" w:asciiTheme="majorEastAsia" w:hAnsiTheme="majorEastAsia" w:eastAsiaTheme="majorEastAsia"/>
          <w:sz w:val="21"/>
          <w:szCs w:val="21"/>
        </w:rPr>
        <w:t>工作期限为：合同的有效期限为“1+1+1”年模式，即合同有效期1年，自</w:t>
      </w:r>
      <w:r>
        <w:rPr>
          <w:rFonts w:hint="eastAsia" w:asciiTheme="majorEastAsia" w:hAnsiTheme="majorEastAsia" w:eastAsiaTheme="majorEastAsia"/>
          <w:sz w:val="21"/>
          <w:szCs w:val="21"/>
          <w:highlight w:val="green"/>
        </w:rPr>
        <w:t>202</w:t>
      </w:r>
      <w:r>
        <w:rPr>
          <w:rFonts w:hint="eastAsia" w:asciiTheme="majorEastAsia" w:hAnsiTheme="majorEastAsia" w:eastAsiaTheme="majorEastAsia"/>
          <w:sz w:val="21"/>
          <w:szCs w:val="21"/>
          <w:highlight w:val="green"/>
          <w:lang w:val="en-US" w:eastAsia="zh-CN"/>
        </w:rPr>
        <w:t>5</w:t>
      </w:r>
      <w:r>
        <w:rPr>
          <w:rFonts w:hint="eastAsia" w:asciiTheme="majorEastAsia" w:hAnsiTheme="majorEastAsia" w:eastAsiaTheme="majorEastAsia"/>
          <w:sz w:val="21"/>
          <w:szCs w:val="21"/>
          <w:highlight w:val="green"/>
        </w:rPr>
        <w:t>年</w:t>
      </w:r>
      <w:r>
        <w:rPr>
          <w:rFonts w:asciiTheme="majorEastAsia" w:hAnsiTheme="majorEastAsia" w:eastAsiaTheme="majorEastAsia"/>
          <w:sz w:val="21"/>
          <w:szCs w:val="21"/>
          <w:highlight w:val="green"/>
        </w:rPr>
        <w:t>4</w:t>
      </w:r>
      <w:r>
        <w:rPr>
          <w:rFonts w:hint="eastAsia" w:asciiTheme="majorEastAsia" w:hAnsiTheme="majorEastAsia" w:eastAsiaTheme="majorEastAsia"/>
          <w:sz w:val="21"/>
          <w:szCs w:val="21"/>
          <w:highlight w:val="green"/>
        </w:rPr>
        <w:t>月1日起至202</w:t>
      </w:r>
      <w:r>
        <w:rPr>
          <w:rFonts w:hint="eastAsia" w:asciiTheme="majorEastAsia" w:hAnsiTheme="majorEastAsia" w:eastAsiaTheme="majorEastAsia"/>
          <w:sz w:val="21"/>
          <w:szCs w:val="21"/>
          <w:highlight w:val="green"/>
          <w:lang w:val="en-US" w:eastAsia="zh-CN"/>
        </w:rPr>
        <w:t>6</w:t>
      </w:r>
      <w:r>
        <w:rPr>
          <w:rFonts w:hint="eastAsia" w:asciiTheme="majorEastAsia" w:hAnsiTheme="majorEastAsia" w:eastAsiaTheme="majorEastAsia"/>
          <w:sz w:val="21"/>
          <w:szCs w:val="21"/>
          <w:highlight w:val="green"/>
        </w:rPr>
        <w:t>年3月3</w:t>
      </w:r>
      <w:r>
        <w:rPr>
          <w:rFonts w:asciiTheme="majorEastAsia" w:hAnsiTheme="majorEastAsia" w:eastAsiaTheme="majorEastAsia"/>
          <w:sz w:val="21"/>
          <w:szCs w:val="21"/>
          <w:highlight w:val="green"/>
        </w:rPr>
        <w:t>1</w:t>
      </w:r>
      <w:r>
        <w:rPr>
          <w:rFonts w:hint="eastAsia" w:asciiTheme="majorEastAsia" w:hAnsiTheme="majorEastAsia" w:eastAsiaTheme="majorEastAsia"/>
          <w:sz w:val="21"/>
          <w:szCs w:val="21"/>
          <w:highlight w:val="green"/>
        </w:rPr>
        <w:t>日</w:t>
      </w:r>
      <w:r>
        <w:rPr>
          <w:rFonts w:hint="eastAsia" w:asciiTheme="majorEastAsia" w:hAnsiTheme="majorEastAsia" w:eastAsiaTheme="majorEastAsia"/>
          <w:sz w:val="21"/>
          <w:szCs w:val="21"/>
        </w:rPr>
        <w:t>止，有效期届满双方如无异议，有效期自动顺延1年，但最长不超过3年，至202</w:t>
      </w:r>
      <w:r>
        <w:rPr>
          <w:rFonts w:asciiTheme="majorEastAsia" w:hAnsiTheme="majorEastAsia" w:eastAsiaTheme="majorEastAsia"/>
          <w:sz w:val="21"/>
          <w:szCs w:val="21"/>
        </w:rPr>
        <w:t>5</w:t>
      </w:r>
      <w:r>
        <w:rPr>
          <w:rFonts w:hint="eastAsia" w:asciiTheme="majorEastAsia" w:hAnsiTheme="majorEastAsia" w:eastAsiaTheme="majorEastAsia"/>
          <w:sz w:val="21"/>
          <w:szCs w:val="21"/>
        </w:rPr>
        <w:t>年3月3</w:t>
      </w:r>
      <w:r>
        <w:rPr>
          <w:rFonts w:asciiTheme="majorEastAsia" w:hAnsiTheme="majorEastAsia" w:eastAsiaTheme="majorEastAsia"/>
          <w:sz w:val="21"/>
          <w:szCs w:val="21"/>
        </w:rPr>
        <w:t>1</w:t>
      </w:r>
      <w:r>
        <w:rPr>
          <w:rFonts w:hint="eastAsia" w:asciiTheme="majorEastAsia" w:hAnsiTheme="majorEastAsia" w:eastAsiaTheme="majorEastAsia"/>
          <w:sz w:val="21"/>
          <w:szCs w:val="21"/>
        </w:rPr>
        <w:t xml:space="preserve">日且乙方结算完费用后自动终止。 </w:t>
      </w:r>
    </w:p>
    <w:p>
      <w:pPr>
        <w:pStyle w:val="28"/>
        <w:numPr>
          <w:ilvl w:val="0"/>
          <w:numId w:val="72"/>
        </w:numPr>
        <w:autoSpaceDE w:val="0"/>
        <w:autoSpaceDN w:val="0"/>
        <w:adjustRightInd w:val="0"/>
        <w:spacing w:before="93" w:beforeLines="30" w:after="93" w:afterLines="30" w:line="360" w:lineRule="auto"/>
        <w:ind w:left="709" w:hanging="709"/>
        <w:rPr>
          <w:rFonts w:asciiTheme="majorEastAsia" w:hAnsiTheme="majorEastAsia" w:eastAsiaTheme="majorEastAsia"/>
          <w:sz w:val="21"/>
          <w:szCs w:val="21"/>
        </w:rPr>
      </w:pPr>
      <w:r>
        <w:rPr>
          <w:rFonts w:hint="eastAsia" w:asciiTheme="majorEastAsia" w:hAnsiTheme="majorEastAsia" w:eastAsiaTheme="majorEastAsia"/>
          <w:sz w:val="21"/>
          <w:szCs w:val="21"/>
        </w:rPr>
        <w:t>工作进度为：</w:t>
      </w:r>
      <w:r>
        <w:rPr>
          <w:rFonts w:hint="eastAsia" w:asciiTheme="majorEastAsia" w:hAnsiTheme="majorEastAsia" w:eastAsiaTheme="majorEastAsia"/>
          <w:sz w:val="21"/>
          <w:szCs w:val="21"/>
          <w:u w:val="single"/>
        </w:rPr>
        <w:t>详见本合同附件一。</w:t>
      </w:r>
    </w:p>
    <w:p>
      <w:pPr>
        <w:pStyle w:val="28"/>
        <w:numPr>
          <w:ilvl w:val="0"/>
          <w:numId w:val="72"/>
        </w:numPr>
        <w:autoSpaceDE w:val="0"/>
        <w:autoSpaceDN w:val="0"/>
        <w:adjustRightInd w:val="0"/>
        <w:spacing w:before="93" w:beforeLines="30" w:after="93" w:afterLines="30" w:line="360" w:lineRule="auto"/>
        <w:ind w:left="709" w:hanging="709"/>
        <w:rPr>
          <w:rFonts w:asciiTheme="majorEastAsia" w:hAnsiTheme="majorEastAsia" w:eastAsiaTheme="majorEastAsia"/>
          <w:sz w:val="21"/>
          <w:szCs w:val="21"/>
        </w:rPr>
      </w:pPr>
      <w:r>
        <w:rPr>
          <w:rFonts w:hint="eastAsia" w:asciiTheme="majorEastAsia" w:hAnsiTheme="majorEastAsia" w:eastAsiaTheme="majorEastAsia"/>
          <w:sz w:val="21"/>
          <w:szCs w:val="21"/>
        </w:rPr>
        <w:t>乙方应严格根据工作进度和工作期限，提供合同项下的服务，完成合同项下的全部工作，履行合同约定的义务，向甲方提交工作成果。</w:t>
      </w:r>
    </w:p>
    <w:p>
      <w:pPr>
        <w:pStyle w:val="28"/>
        <w:numPr>
          <w:ilvl w:val="0"/>
          <w:numId w:val="72"/>
        </w:numPr>
        <w:autoSpaceDE w:val="0"/>
        <w:autoSpaceDN w:val="0"/>
        <w:adjustRightInd w:val="0"/>
        <w:spacing w:before="93" w:beforeLines="30" w:after="93" w:afterLines="30" w:line="360" w:lineRule="auto"/>
        <w:ind w:left="709" w:hanging="709"/>
        <w:rPr>
          <w:rFonts w:asciiTheme="majorEastAsia" w:hAnsiTheme="majorEastAsia" w:eastAsiaTheme="majorEastAsia"/>
          <w:sz w:val="21"/>
          <w:szCs w:val="21"/>
        </w:rPr>
      </w:pPr>
      <w:r>
        <w:rPr>
          <w:rFonts w:hint="eastAsia" w:asciiTheme="majorEastAsia" w:hAnsiTheme="majorEastAsia" w:eastAsiaTheme="majorEastAsia"/>
          <w:sz w:val="21"/>
          <w:szCs w:val="21"/>
        </w:rPr>
        <w:t>乙方应提供高效、及时的服务，确保服务实际进度符合工作进度和工作期限的要求。</w:t>
      </w:r>
    </w:p>
    <w:p>
      <w:pPr>
        <w:pStyle w:val="246"/>
        <w:adjustRightInd w:val="0"/>
        <w:snapToGrid w:val="0"/>
        <w:spacing w:before="93" w:beforeLines="30" w:after="93" w:afterLines="30" w:line="360" w:lineRule="auto"/>
        <w:jc w:val="left"/>
        <w:rPr>
          <w:rFonts w:ascii="Times New Roman" w:hAnsi="Times New Roman"/>
          <w:sz w:val="21"/>
          <w:szCs w:val="21"/>
        </w:rPr>
      </w:pPr>
      <w:bookmarkStart w:id="319" w:name="_Toc299915683"/>
      <w:bookmarkStart w:id="320" w:name="_Toc364839364"/>
      <w:r>
        <w:rPr>
          <w:rFonts w:hint="eastAsia"/>
          <w:sz w:val="21"/>
          <w:szCs w:val="21"/>
        </w:rPr>
        <w:t>乙方人员</w:t>
      </w:r>
      <w:bookmarkEnd w:id="319"/>
      <w:bookmarkEnd w:id="320"/>
    </w:p>
    <w:p>
      <w:pPr>
        <w:numPr>
          <w:ilvl w:val="1"/>
          <w:numId w:val="73"/>
        </w:numPr>
        <w:tabs>
          <w:tab w:val="left" w:pos="709"/>
          <w:tab w:val="clear" w:pos="540"/>
        </w:tabs>
        <w:adjustRightInd w:val="0"/>
        <w:snapToGrid w:val="0"/>
        <w:spacing w:before="93" w:beforeLines="30" w:after="93" w:afterLines="30" w:line="360" w:lineRule="auto"/>
        <w:ind w:left="709" w:hanging="709"/>
        <w:rPr>
          <w:szCs w:val="21"/>
        </w:rPr>
      </w:pPr>
      <w:r>
        <w:rPr>
          <w:rFonts w:hint="eastAsia"/>
          <w:szCs w:val="21"/>
        </w:rPr>
        <w:t>一般要求：</w:t>
      </w:r>
    </w:p>
    <w:p>
      <w:pPr>
        <w:numPr>
          <w:ilvl w:val="0"/>
          <w:numId w:val="74"/>
        </w:numPr>
        <w:tabs>
          <w:tab w:val="left" w:pos="1276"/>
        </w:tabs>
        <w:adjustRightInd w:val="0"/>
        <w:snapToGrid w:val="0"/>
        <w:spacing w:before="93" w:beforeLines="30" w:after="93" w:afterLines="30" w:line="360" w:lineRule="auto"/>
        <w:ind w:left="1276" w:hanging="567"/>
        <w:rPr>
          <w:szCs w:val="21"/>
        </w:rPr>
      </w:pPr>
      <w:r>
        <w:rPr>
          <w:rFonts w:hint="eastAsia"/>
          <w:szCs w:val="21"/>
        </w:rPr>
        <w:t>乙方应选聘、组织充足、适格、有经验的人员执行、完成本合同项下的工作。</w:t>
      </w:r>
    </w:p>
    <w:p>
      <w:pPr>
        <w:numPr>
          <w:ilvl w:val="0"/>
          <w:numId w:val="74"/>
        </w:numPr>
        <w:tabs>
          <w:tab w:val="left" w:pos="1276"/>
        </w:tabs>
        <w:adjustRightInd w:val="0"/>
        <w:snapToGrid w:val="0"/>
        <w:spacing w:before="93" w:beforeLines="30" w:after="93" w:afterLines="30" w:line="360" w:lineRule="auto"/>
        <w:ind w:left="1276" w:hanging="567"/>
        <w:rPr>
          <w:szCs w:val="21"/>
        </w:rPr>
      </w:pPr>
      <w:r>
        <w:rPr>
          <w:rFonts w:hint="eastAsia"/>
          <w:szCs w:val="21"/>
        </w:rPr>
        <w:t>本合同履行过程中，乙方应对其员工的报酬、福利、社会保险、商业保险、食宿、交通负责，相关费用已包含于合同总价中。</w:t>
      </w:r>
    </w:p>
    <w:p>
      <w:pPr>
        <w:numPr>
          <w:ilvl w:val="0"/>
          <w:numId w:val="74"/>
        </w:numPr>
        <w:tabs>
          <w:tab w:val="left" w:pos="1276"/>
        </w:tabs>
        <w:adjustRightInd w:val="0"/>
        <w:snapToGrid w:val="0"/>
        <w:spacing w:before="93" w:beforeLines="30" w:after="93" w:afterLines="30" w:line="360" w:lineRule="auto"/>
        <w:ind w:left="1276" w:hanging="567"/>
        <w:rPr>
          <w:szCs w:val="21"/>
        </w:rPr>
      </w:pPr>
      <w:r>
        <w:rPr>
          <w:rFonts w:hint="eastAsia"/>
          <w:szCs w:val="21"/>
        </w:rPr>
        <w:t>本合同履行过程中，乙方应建立并维系合法、适当的劳动关系。</w:t>
      </w:r>
    </w:p>
    <w:p>
      <w:pPr>
        <w:numPr>
          <w:ilvl w:val="0"/>
          <w:numId w:val="74"/>
        </w:numPr>
        <w:tabs>
          <w:tab w:val="left" w:pos="1276"/>
        </w:tabs>
        <w:adjustRightInd w:val="0"/>
        <w:snapToGrid w:val="0"/>
        <w:spacing w:before="93" w:beforeLines="30" w:after="93" w:afterLines="30" w:line="360" w:lineRule="auto"/>
        <w:ind w:left="1276" w:hanging="567"/>
        <w:rPr>
          <w:szCs w:val="21"/>
        </w:rPr>
      </w:pPr>
      <w:r>
        <w:rPr>
          <w:rFonts w:hint="eastAsia"/>
          <w:szCs w:val="21"/>
        </w:rPr>
        <w:t>乙方应采取措施确保其工作人员在执行工作过程中严格遵守本合同和法律法规的规定。</w:t>
      </w:r>
    </w:p>
    <w:p>
      <w:pPr>
        <w:numPr>
          <w:ilvl w:val="0"/>
          <w:numId w:val="74"/>
        </w:numPr>
        <w:tabs>
          <w:tab w:val="left" w:pos="1276"/>
        </w:tabs>
        <w:adjustRightInd w:val="0"/>
        <w:snapToGrid w:val="0"/>
        <w:spacing w:before="93" w:beforeLines="30" w:after="93" w:afterLines="30" w:line="360" w:lineRule="auto"/>
        <w:ind w:left="1276" w:hanging="567"/>
        <w:rPr>
          <w:szCs w:val="21"/>
        </w:rPr>
      </w:pPr>
      <w:r>
        <w:rPr>
          <w:rFonts w:hint="eastAsia"/>
          <w:szCs w:val="21"/>
        </w:rPr>
        <w:t>甲方有权要求乙方更换其工作人员，乙方应严格执行甲方的要求。</w:t>
      </w:r>
    </w:p>
    <w:p>
      <w:pPr>
        <w:numPr>
          <w:ilvl w:val="1"/>
          <w:numId w:val="73"/>
        </w:numPr>
        <w:tabs>
          <w:tab w:val="left" w:pos="709"/>
          <w:tab w:val="clear" w:pos="540"/>
        </w:tabs>
        <w:adjustRightInd w:val="0"/>
        <w:snapToGrid w:val="0"/>
        <w:spacing w:before="93" w:beforeLines="30" w:after="93" w:afterLines="30" w:line="360" w:lineRule="auto"/>
        <w:ind w:left="709" w:hanging="709"/>
        <w:rPr>
          <w:szCs w:val="21"/>
        </w:rPr>
      </w:pPr>
      <w:r>
        <w:rPr>
          <w:rFonts w:hint="eastAsia"/>
          <w:szCs w:val="21"/>
        </w:rPr>
        <w:t>乙方代表：</w:t>
      </w:r>
    </w:p>
    <w:p>
      <w:pPr>
        <w:numPr>
          <w:ilvl w:val="1"/>
          <w:numId w:val="75"/>
        </w:numPr>
        <w:tabs>
          <w:tab w:val="left" w:pos="1276"/>
        </w:tabs>
        <w:adjustRightInd w:val="0"/>
        <w:snapToGrid w:val="0"/>
        <w:spacing w:before="93" w:beforeLines="30" w:after="93" w:afterLines="30" w:line="360" w:lineRule="auto"/>
        <w:ind w:left="1276" w:hanging="567"/>
        <w:rPr>
          <w:szCs w:val="21"/>
        </w:rPr>
      </w:pPr>
      <w:r>
        <w:rPr>
          <w:rFonts w:hint="eastAsia"/>
          <w:szCs w:val="21"/>
        </w:rPr>
        <w:t>开始日前，乙方应以书面方式任命一名有经验、具备相应能力和资质的人员担任乙方代表，全权代表乙方履行本合同。乙方任命乙方代表应获得甲方的事先书面批准；未经甲方事先书面批准，乙方不得更换乙方代表。</w:t>
      </w:r>
    </w:p>
    <w:p>
      <w:pPr>
        <w:numPr>
          <w:ilvl w:val="1"/>
          <w:numId w:val="75"/>
        </w:numPr>
        <w:tabs>
          <w:tab w:val="left" w:pos="1276"/>
        </w:tabs>
        <w:adjustRightInd w:val="0"/>
        <w:snapToGrid w:val="0"/>
        <w:spacing w:before="93" w:beforeLines="30" w:after="93" w:afterLines="30" w:line="360" w:lineRule="auto"/>
        <w:ind w:left="1276" w:hanging="567"/>
        <w:rPr>
          <w:szCs w:val="21"/>
        </w:rPr>
      </w:pPr>
      <w:r>
        <w:rPr>
          <w:rFonts w:hint="eastAsia"/>
          <w:szCs w:val="21"/>
        </w:rPr>
        <w:t>乙方代表向甲方发出的任何与本合同有关的书面通知、请示、要求、批准和确认构成对乙方有约束力的文件。</w:t>
      </w:r>
    </w:p>
    <w:p>
      <w:pPr>
        <w:numPr>
          <w:ilvl w:val="1"/>
          <w:numId w:val="75"/>
        </w:numPr>
        <w:tabs>
          <w:tab w:val="left" w:pos="1276"/>
        </w:tabs>
        <w:adjustRightInd w:val="0"/>
        <w:snapToGrid w:val="0"/>
        <w:spacing w:before="93" w:beforeLines="30" w:after="93" w:afterLines="30" w:line="360" w:lineRule="auto"/>
        <w:ind w:left="1276" w:hanging="567"/>
        <w:rPr>
          <w:szCs w:val="21"/>
        </w:rPr>
      </w:pPr>
      <w:r>
        <w:rPr>
          <w:rFonts w:hint="eastAsia"/>
          <w:szCs w:val="21"/>
        </w:rPr>
        <w:t>甲方可要求乙方更换乙方代表，乙方应根据甲方的要求予以更换。</w:t>
      </w:r>
    </w:p>
    <w:p>
      <w:pPr>
        <w:numPr>
          <w:ilvl w:val="1"/>
          <w:numId w:val="73"/>
        </w:numPr>
        <w:tabs>
          <w:tab w:val="left" w:pos="709"/>
          <w:tab w:val="clear" w:pos="540"/>
        </w:tabs>
        <w:adjustRightInd w:val="0"/>
        <w:snapToGrid w:val="0"/>
        <w:spacing w:before="93" w:beforeLines="30" w:after="93" w:afterLines="30" w:line="360" w:lineRule="auto"/>
        <w:ind w:left="709" w:hanging="709"/>
        <w:rPr>
          <w:szCs w:val="21"/>
        </w:rPr>
      </w:pPr>
      <w:bookmarkStart w:id="321" w:name="_Toc299550327"/>
      <w:bookmarkStart w:id="322" w:name="_Toc299550435"/>
      <w:r>
        <w:rPr>
          <w:rFonts w:hint="eastAsia"/>
          <w:szCs w:val="21"/>
        </w:rPr>
        <w:t>乙方关键人员：</w:t>
      </w:r>
      <w:bookmarkEnd w:id="321"/>
      <w:bookmarkEnd w:id="322"/>
      <w:r>
        <w:rPr>
          <w:szCs w:val="21"/>
        </w:rPr>
        <w:t xml:space="preserve"> </w:t>
      </w:r>
    </w:p>
    <w:p>
      <w:pPr>
        <w:numPr>
          <w:ilvl w:val="2"/>
          <w:numId w:val="76"/>
        </w:numPr>
        <w:adjustRightInd w:val="0"/>
        <w:snapToGrid w:val="0"/>
        <w:spacing w:before="93" w:beforeLines="30" w:after="93" w:afterLines="30" w:line="360" w:lineRule="auto"/>
        <w:ind w:hanging="551"/>
        <w:rPr>
          <w:szCs w:val="21"/>
        </w:rPr>
      </w:pPr>
      <w:bookmarkStart w:id="323" w:name="_Toc299550328"/>
      <w:bookmarkStart w:id="324" w:name="_Toc299550436"/>
      <w:r>
        <w:rPr>
          <w:rFonts w:hint="eastAsia"/>
          <w:szCs w:val="21"/>
        </w:rPr>
        <w:t>乙方关键人员的清单【详见本合同附件四】，该等人员应具备其职责要求的资质和能力。</w:t>
      </w:r>
      <w:bookmarkEnd w:id="323"/>
      <w:bookmarkEnd w:id="324"/>
    </w:p>
    <w:p>
      <w:pPr>
        <w:numPr>
          <w:ilvl w:val="2"/>
          <w:numId w:val="76"/>
        </w:numPr>
        <w:tabs>
          <w:tab w:val="left" w:pos="1276"/>
        </w:tabs>
        <w:adjustRightInd w:val="0"/>
        <w:snapToGrid w:val="0"/>
        <w:spacing w:before="93" w:beforeLines="30" w:after="93" w:afterLines="30" w:line="360" w:lineRule="auto"/>
        <w:ind w:hanging="551"/>
        <w:rPr>
          <w:szCs w:val="21"/>
        </w:rPr>
      </w:pPr>
      <w:r>
        <w:rPr>
          <w:rFonts w:hint="eastAsia"/>
          <w:szCs w:val="21"/>
        </w:rPr>
        <w:t>乙方关键人员的变更应获得甲方的事先书面同意，任何乙方关键人员的变更不得对工作期限、工作实际进度、工作质量或工作的执行产生不利影响。被更换的乙方关键人员应与新人员工作一段时间，以确保工作顺利交接。</w:t>
      </w:r>
    </w:p>
    <w:p>
      <w:pPr>
        <w:numPr>
          <w:ilvl w:val="2"/>
          <w:numId w:val="76"/>
        </w:numPr>
        <w:tabs>
          <w:tab w:val="left" w:pos="1276"/>
        </w:tabs>
        <w:adjustRightInd w:val="0"/>
        <w:snapToGrid w:val="0"/>
        <w:spacing w:before="93" w:beforeLines="30" w:after="93" w:afterLines="30" w:line="360" w:lineRule="auto"/>
        <w:ind w:hanging="551"/>
        <w:rPr>
          <w:szCs w:val="21"/>
        </w:rPr>
      </w:pPr>
      <w:bookmarkStart w:id="325" w:name="_Toc299915684"/>
      <w:bookmarkStart w:id="326" w:name="_Toc299912668"/>
      <w:r>
        <w:rPr>
          <w:rFonts w:hint="eastAsia"/>
          <w:szCs w:val="21"/>
        </w:rPr>
        <w:t>甲方可要求更换乙方关键人员，乙方应根据甲方的要求予以更换。</w:t>
      </w:r>
    </w:p>
    <w:bookmarkEnd w:id="325"/>
    <w:bookmarkEnd w:id="326"/>
    <w:p>
      <w:pPr>
        <w:pStyle w:val="246"/>
        <w:adjustRightInd w:val="0"/>
        <w:snapToGrid w:val="0"/>
        <w:spacing w:before="93" w:beforeLines="30" w:after="93" w:afterLines="30" w:line="360" w:lineRule="auto"/>
        <w:jc w:val="left"/>
        <w:rPr>
          <w:sz w:val="21"/>
          <w:szCs w:val="21"/>
        </w:rPr>
      </w:pPr>
      <w:r>
        <w:rPr>
          <w:rFonts w:hint="eastAsia"/>
          <w:sz w:val="21"/>
          <w:szCs w:val="21"/>
        </w:rPr>
        <w:t>工作设施</w:t>
      </w:r>
    </w:p>
    <w:p>
      <w:pPr>
        <w:numPr>
          <w:ilvl w:val="1"/>
          <w:numId w:val="77"/>
        </w:numPr>
        <w:tabs>
          <w:tab w:val="left" w:pos="709"/>
          <w:tab w:val="left" w:pos="1080"/>
          <w:tab w:val="clear" w:pos="540"/>
        </w:tabs>
        <w:adjustRightInd w:val="0"/>
        <w:snapToGrid w:val="0"/>
        <w:spacing w:before="93" w:beforeLines="30" w:after="93" w:afterLines="30" w:line="360" w:lineRule="auto"/>
        <w:ind w:left="709" w:hanging="709"/>
        <w:rPr>
          <w:rFonts w:ascii="宋体" w:hAnsi="宋体"/>
          <w:szCs w:val="21"/>
        </w:rPr>
      </w:pPr>
      <w:bookmarkStart w:id="327" w:name="_Toc299915686"/>
      <w:bookmarkStart w:id="328" w:name="_Toc364839367"/>
      <w:r>
        <w:rPr>
          <w:rFonts w:ascii="宋体" w:hAnsi="宋体"/>
          <w:szCs w:val="21"/>
        </w:rPr>
        <w:t>乙方应及时提供完成服务所需的全部办公场所、设施、设备、材料、器具等（“</w:t>
      </w:r>
      <w:r>
        <w:rPr>
          <w:rFonts w:hint="eastAsia" w:ascii="宋体" w:hAnsi="宋体"/>
          <w:szCs w:val="21"/>
        </w:rPr>
        <w:t>工作</w:t>
      </w:r>
      <w:r>
        <w:rPr>
          <w:rFonts w:ascii="宋体" w:hAnsi="宋体"/>
          <w:szCs w:val="21"/>
        </w:rPr>
        <w:t>设施”）。</w:t>
      </w:r>
    </w:p>
    <w:p>
      <w:pPr>
        <w:numPr>
          <w:ilvl w:val="1"/>
          <w:numId w:val="77"/>
        </w:numPr>
        <w:tabs>
          <w:tab w:val="left" w:pos="709"/>
          <w:tab w:val="left" w:pos="1080"/>
          <w:tab w:val="clear" w:pos="540"/>
        </w:tabs>
        <w:adjustRightInd w:val="0"/>
        <w:snapToGrid w:val="0"/>
        <w:spacing w:before="93" w:beforeLines="30" w:after="93" w:afterLines="30" w:line="360" w:lineRule="auto"/>
        <w:ind w:left="709" w:hanging="709"/>
        <w:rPr>
          <w:rFonts w:ascii="宋体" w:hAnsi="宋体"/>
          <w:szCs w:val="21"/>
        </w:rPr>
      </w:pPr>
      <w:r>
        <w:rPr>
          <w:rFonts w:ascii="宋体" w:hAnsi="宋体"/>
          <w:szCs w:val="21"/>
        </w:rPr>
        <w:t>乙方保证，其提供的工作设施应处于良好的工作状态，符合本合同和法律法规的要求，不存在影响服务提供的缺陷，具备完成相关服务及其通常的用途。</w:t>
      </w:r>
    </w:p>
    <w:p>
      <w:pPr>
        <w:numPr>
          <w:ilvl w:val="1"/>
          <w:numId w:val="77"/>
        </w:numPr>
        <w:tabs>
          <w:tab w:val="left" w:pos="709"/>
          <w:tab w:val="left" w:pos="1080"/>
          <w:tab w:val="clear" w:pos="540"/>
        </w:tabs>
        <w:adjustRightInd w:val="0"/>
        <w:snapToGrid w:val="0"/>
        <w:spacing w:before="93" w:beforeLines="30" w:after="93" w:afterLines="30" w:line="360" w:lineRule="auto"/>
        <w:ind w:left="709" w:hanging="709"/>
        <w:rPr>
          <w:rFonts w:ascii="宋体" w:hAnsi="宋体"/>
          <w:szCs w:val="21"/>
        </w:rPr>
      </w:pPr>
      <w:r>
        <w:rPr>
          <w:rFonts w:ascii="宋体" w:hAnsi="宋体"/>
          <w:szCs w:val="21"/>
        </w:rPr>
        <w:t>如甲方发现工作设施存在缺陷或不符合本合同的</w:t>
      </w:r>
      <w:r>
        <w:rPr>
          <w:rFonts w:hint="eastAsia" w:ascii="宋体" w:hAnsi="宋体"/>
          <w:szCs w:val="21"/>
        </w:rPr>
        <w:t>约</w:t>
      </w:r>
      <w:r>
        <w:rPr>
          <w:rFonts w:ascii="宋体" w:hAnsi="宋体"/>
          <w:szCs w:val="21"/>
        </w:rPr>
        <w:t>定，有权要求乙方进行修理和更换，乙方不得因工作设施的修理或更换要求调整合同价</w:t>
      </w:r>
      <w:r>
        <w:rPr>
          <w:rFonts w:hint="eastAsia" w:ascii="宋体" w:hAnsi="宋体"/>
          <w:szCs w:val="21"/>
        </w:rPr>
        <w:t>款</w:t>
      </w:r>
      <w:r>
        <w:rPr>
          <w:rFonts w:ascii="宋体" w:hAnsi="宋体"/>
          <w:szCs w:val="21"/>
        </w:rPr>
        <w:t>或延长工作期限。</w:t>
      </w:r>
    </w:p>
    <w:p>
      <w:pPr>
        <w:pStyle w:val="246"/>
        <w:adjustRightInd w:val="0"/>
        <w:snapToGrid w:val="0"/>
        <w:spacing w:before="93" w:beforeLines="30" w:after="93" w:afterLines="30" w:line="360" w:lineRule="auto"/>
        <w:jc w:val="left"/>
        <w:rPr>
          <w:rFonts w:ascii="Times New Roman" w:hAnsi="Times New Roman"/>
          <w:sz w:val="21"/>
          <w:szCs w:val="21"/>
        </w:rPr>
      </w:pPr>
      <w:r>
        <w:rPr>
          <w:rFonts w:hint="eastAsia" w:ascii="Times New Roman"/>
          <w:sz w:val="21"/>
          <w:szCs w:val="21"/>
        </w:rPr>
        <w:t>监督检查</w:t>
      </w:r>
      <w:bookmarkEnd w:id="327"/>
      <w:bookmarkEnd w:id="328"/>
    </w:p>
    <w:p>
      <w:pPr>
        <w:numPr>
          <w:ilvl w:val="1"/>
          <w:numId w:val="78"/>
        </w:numPr>
        <w:tabs>
          <w:tab w:val="left" w:pos="709"/>
          <w:tab w:val="clear" w:pos="540"/>
        </w:tabs>
        <w:adjustRightInd w:val="0"/>
        <w:snapToGrid w:val="0"/>
        <w:spacing w:before="93" w:beforeLines="30" w:after="93" w:afterLines="30" w:line="360" w:lineRule="auto"/>
        <w:ind w:left="709" w:hanging="709"/>
        <w:rPr>
          <w:szCs w:val="21"/>
        </w:rPr>
      </w:pPr>
      <w:r>
        <w:rPr>
          <w:rFonts w:hint="eastAsia"/>
          <w:szCs w:val="21"/>
        </w:rPr>
        <w:t>甲方或其聘任的第三方有权（包括进入乙方工作场地）对乙方工作进度、质量、安全等进行监督和检查。</w:t>
      </w:r>
    </w:p>
    <w:p>
      <w:pPr>
        <w:numPr>
          <w:ilvl w:val="1"/>
          <w:numId w:val="78"/>
        </w:numPr>
        <w:tabs>
          <w:tab w:val="left" w:pos="709"/>
          <w:tab w:val="clear" w:pos="540"/>
        </w:tabs>
        <w:adjustRightInd w:val="0"/>
        <w:snapToGrid w:val="0"/>
        <w:spacing w:before="93" w:beforeLines="30" w:after="93" w:afterLines="30" w:line="360" w:lineRule="auto"/>
        <w:ind w:left="709" w:hanging="709"/>
        <w:rPr>
          <w:szCs w:val="21"/>
        </w:rPr>
      </w:pPr>
      <w:r>
        <w:rPr>
          <w:rFonts w:hint="eastAsia"/>
          <w:szCs w:val="21"/>
        </w:rPr>
        <w:t>乙方应积极配合甲方或其聘任的第三方的监督检查，确保甲方及其聘任的第三方人员有权及时进入相关场地，并为该等人员提供足够的支持和便利。乙方应指派专人负责与甲方或其聘任的第三方联系，根据甲方要求，提供服务进度、计划、质量、存在的问题、预防及整改措施及其它服务信息。</w:t>
      </w:r>
    </w:p>
    <w:p>
      <w:pPr>
        <w:numPr>
          <w:ilvl w:val="1"/>
          <w:numId w:val="78"/>
        </w:numPr>
        <w:tabs>
          <w:tab w:val="left" w:pos="709"/>
          <w:tab w:val="clear" w:pos="540"/>
        </w:tabs>
        <w:adjustRightInd w:val="0"/>
        <w:snapToGrid w:val="0"/>
        <w:spacing w:before="93" w:beforeLines="30" w:after="93" w:afterLines="30" w:line="360" w:lineRule="auto"/>
        <w:ind w:left="709" w:hanging="709"/>
        <w:rPr>
          <w:rFonts w:hAnsi="宋体"/>
          <w:szCs w:val="21"/>
        </w:rPr>
      </w:pPr>
      <w:r>
        <w:rPr>
          <w:rFonts w:hint="eastAsia"/>
          <w:szCs w:val="21"/>
        </w:rPr>
        <w:t>在监督检查过程中，</w:t>
      </w:r>
      <w:r>
        <w:rPr>
          <w:rFonts w:hint="eastAsia" w:hAnsi="宋体"/>
          <w:szCs w:val="21"/>
        </w:rPr>
        <w:t>如发现乙方的工作实际进度无法达到工作期限的要求不符，或乙方的工作存在任何缺陷、瑕疵、疏漏或不符合本合同的规定，乙方应按甲方要求提出改进和补救措施（包括但不限于增加人员、设备、倒班次数、服务时间等），乙方应承担因此产生的全部责任和费用，乙方无权就改进和补救措施要求调整工作期限或增加费用。如甲方认为乙方采取改进或补救措施后仍不能确保按时完成某项服务且将影响整体工作期限，甲方有权委托第三方完成相关服务，因此发生的费用由乙方承担，甲方有权直接从合同总价中扣除该等费用。</w:t>
      </w:r>
      <w:bookmarkStart w:id="329" w:name="_Toc276761482"/>
      <w:bookmarkStart w:id="330" w:name="_Toc276888372"/>
      <w:bookmarkStart w:id="331" w:name="_Toc276842701"/>
      <w:bookmarkStart w:id="332" w:name="_Toc276888305"/>
      <w:bookmarkStart w:id="333" w:name="_Toc276760527"/>
    </w:p>
    <w:bookmarkEnd w:id="329"/>
    <w:bookmarkEnd w:id="330"/>
    <w:bookmarkEnd w:id="331"/>
    <w:bookmarkEnd w:id="332"/>
    <w:bookmarkEnd w:id="333"/>
    <w:p>
      <w:pPr>
        <w:pStyle w:val="246"/>
        <w:adjustRightInd w:val="0"/>
        <w:snapToGrid w:val="0"/>
        <w:spacing w:before="93" w:beforeLines="30" w:after="93" w:afterLines="30" w:line="360" w:lineRule="auto"/>
        <w:jc w:val="left"/>
        <w:rPr>
          <w:rFonts w:ascii="Times New Roman" w:hAnsi="Times New Roman"/>
          <w:sz w:val="21"/>
          <w:szCs w:val="21"/>
        </w:rPr>
      </w:pPr>
      <w:bookmarkStart w:id="334" w:name="_Toc364839368"/>
      <w:bookmarkStart w:id="335" w:name="_Toc299915687"/>
      <w:r>
        <w:rPr>
          <w:rFonts w:hint="eastAsia" w:ascii="Times New Roman"/>
          <w:sz w:val="21"/>
          <w:szCs w:val="21"/>
        </w:rPr>
        <w:t>工作成果及验收</w:t>
      </w:r>
      <w:bookmarkEnd w:id="334"/>
      <w:bookmarkEnd w:id="335"/>
    </w:p>
    <w:p>
      <w:pPr>
        <w:numPr>
          <w:ilvl w:val="1"/>
          <w:numId w:val="79"/>
        </w:numPr>
        <w:tabs>
          <w:tab w:val="left" w:pos="709"/>
        </w:tabs>
        <w:adjustRightInd w:val="0"/>
        <w:snapToGrid w:val="0"/>
        <w:spacing w:before="93" w:beforeLines="30" w:after="93" w:afterLines="30" w:line="360" w:lineRule="auto"/>
        <w:ind w:left="709" w:hanging="709"/>
        <w:rPr>
          <w:rFonts w:ascii="宋体"/>
          <w:bCs/>
          <w:szCs w:val="21"/>
        </w:rPr>
      </w:pPr>
      <w:r>
        <w:rPr>
          <w:rFonts w:hint="eastAsia" w:hAnsi="宋体"/>
          <w:szCs w:val="21"/>
        </w:rPr>
        <w:t>乙方于工作期限结束前应提供符合本合同要求的工作成果，并对工作成果的准确性、完整性负责。</w:t>
      </w:r>
      <w:r>
        <w:rPr>
          <w:rFonts w:hint="eastAsia" w:ascii="宋体" w:hAnsi="宋体"/>
          <w:szCs w:val="21"/>
        </w:rPr>
        <w:t>双方应根据合同规定对乙方工作及工作成果进行验收，</w:t>
      </w:r>
      <w:r>
        <w:rPr>
          <w:rFonts w:hint="eastAsia" w:ascii="宋体" w:hAnsi="宋体"/>
          <w:bCs/>
          <w:szCs w:val="21"/>
        </w:rPr>
        <w:t>验收的时间、地点、方式、验收标准、条件及双方的责任和义务</w:t>
      </w:r>
      <w:r>
        <w:rPr>
          <w:rFonts w:hint="eastAsia" w:ascii="宋体" w:hAnsi="宋体"/>
          <w:szCs w:val="21"/>
        </w:rPr>
        <w:t>【详见本合同附件二】</w:t>
      </w:r>
      <w:r>
        <w:rPr>
          <w:rFonts w:hint="eastAsia" w:ascii="宋体" w:hAnsi="宋体"/>
          <w:bCs/>
          <w:szCs w:val="21"/>
        </w:rPr>
        <w:t>。</w:t>
      </w:r>
    </w:p>
    <w:p>
      <w:pPr>
        <w:numPr>
          <w:ilvl w:val="1"/>
          <w:numId w:val="79"/>
        </w:numPr>
        <w:tabs>
          <w:tab w:val="left" w:pos="709"/>
        </w:tabs>
        <w:adjustRightInd w:val="0"/>
        <w:snapToGrid w:val="0"/>
        <w:spacing w:before="93" w:beforeLines="30" w:after="93" w:afterLines="30" w:line="360" w:lineRule="auto"/>
        <w:ind w:left="709" w:hanging="709"/>
        <w:rPr>
          <w:rFonts w:ascii="宋体"/>
          <w:bCs/>
          <w:szCs w:val="21"/>
        </w:rPr>
      </w:pPr>
      <w:r>
        <w:rPr>
          <w:rFonts w:hint="eastAsia"/>
          <w:bCs/>
          <w:szCs w:val="21"/>
        </w:rPr>
        <w:t>如验收过程发现工作存在</w:t>
      </w:r>
      <w:r>
        <w:rPr>
          <w:rFonts w:hint="eastAsia"/>
          <w:szCs w:val="21"/>
        </w:rPr>
        <w:t>任何缺陷、瑕疵、疏漏或不符合本合同的规定，乙方应根据甲方的要求，立即采取一切必要、合理的补救措施排除该等缺陷、瑕疵和疏漏。乙方应承担因此发生的一切费用。</w:t>
      </w:r>
    </w:p>
    <w:p>
      <w:pPr>
        <w:numPr>
          <w:ilvl w:val="1"/>
          <w:numId w:val="79"/>
        </w:numPr>
        <w:tabs>
          <w:tab w:val="left" w:pos="709"/>
        </w:tabs>
        <w:adjustRightInd w:val="0"/>
        <w:snapToGrid w:val="0"/>
        <w:spacing w:before="93" w:beforeLines="30" w:after="93" w:afterLines="30" w:line="360" w:lineRule="auto"/>
        <w:ind w:left="709" w:hanging="709"/>
        <w:rPr>
          <w:szCs w:val="21"/>
        </w:rPr>
      </w:pPr>
      <w:r>
        <w:rPr>
          <w:rFonts w:hint="eastAsia" w:ascii="宋体" w:hAnsi="宋体"/>
          <w:bCs/>
          <w:szCs w:val="21"/>
        </w:rPr>
        <w:t>甲方验收乙方工作并不减少、免除乙方本合同项下的任何义务</w:t>
      </w:r>
      <w:r>
        <w:rPr>
          <w:rFonts w:hint="eastAsia" w:ascii="宋体" w:hAnsi="宋体"/>
          <w:szCs w:val="21"/>
        </w:rPr>
        <w:t>（包括乙方对工作达到合同要求应承担的责任）。</w:t>
      </w:r>
    </w:p>
    <w:p>
      <w:pPr>
        <w:pStyle w:val="246"/>
        <w:adjustRightInd w:val="0"/>
        <w:snapToGrid w:val="0"/>
        <w:spacing w:before="93" w:beforeLines="30" w:after="93" w:afterLines="30" w:line="360" w:lineRule="auto"/>
        <w:jc w:val="left"/>
        <w:rPr>
          <w:rFonts w:ascii="Times New Roman" w:hAnsi="Times New Roman"/>
          <w:sz w:val="21"/>
          <w:szCs w:val="21"/>
        </w:rPr>
      </w:pPr>
      <w:bookmarkStart w:id="336" w:name="_Toc364839369"/>
      <w:bookmarkStart w:id="337" w:name="_Toc299915688"/>
      <w:r>
        <w:rPr>
          <w:rFonts w:hint="eastAsia" w:ascii="Times New Roman"/>
          <w:sz w:val="21"/>
          <w:szCs w:val="21"/>
        </w:rPr>
        <w:t>质量保证</w:t>
      </w:r>
      <w:bookmarkEnd w:id="336"/>
      <w:bookmarkEnd w:id="337"/>
    </w:p>
    <w:p>
      <w:pPr>
        <w:numPr>
          <w:ilvl w:val="0"/>
          <w:numId w:val="80"/>
        </w:numPr>
        <w:tabs>
          <w:tab w:val="left" w:pos="709"/>
        </w:tabs>
        <w:adjustRightInd w:val="0"/>
        <w:snapToGrid w:val="0"/>
        <w:spacing w:before="93" w:beforeLines="30" w:after="93" w:afterLines="30" w:line="360" w:lineRule="auto"/>
        <w:ind w:left="709" w:hanging="709"/>
        <w:rPr>
          <w:rFonts w:ascii="宋体"/>
          <w:szCs w:val="21"/>
        </w:rPr>
      </w:pPr>
      <w:r>
        <w:rPr>
          <w:rFonts w:hint="eastAsia" w:ascii="宋体" w:hAnsi="宋体"/>
          <w:szCs w:val="21"/>
        </w:rPr>
        <w:t>乙方承诺，其任何工作和交付的工作成果符合本合同、法律法规、行业规范、标准和良好的行业惯例的要求，不存在任何缺陷。</w:t>
      </w:r>
    </w:p>
    <w:p>
      <w:pPr>
        <w:numPr>
          <w:ilvl w:val="0"/>
          <w:numId w:val="80"/>
        </w:numPr>
        <w:tabs>
          <w:tab w:val="left" w:pos="709"/>
        </w:tabs>
        <w:adjustRightInd w:val="0"/>
        <w:snapToGrid w:val="0"/>
        <w:spacing w:before="93" w:beforeLines="30" w:after="93" w:afterLines="30" w:line="360" w:lineRule="auto"/>
        <w:ind w:left="709" w:hanging="709"/>
        <w:rPr>
          <w:rFonts w:ascii="宋体"/>
          <w:szCs w:val="21"/>
        </w:rPr>
      </w:pPr>
      <w:r>
        <w:rPr>
          <w:rFonts w:hint="eastAsia" w:ascii="宋体" w:hAnsi="宋体"/>
          <w:szCs w:val="21"/>
        </w:rPr>
        <w:t>质保期为自乙方工作和工作成果验收合格之日起【</w:t>
      </w:r>
      <w:r>
        <w:rPr>
          <w:rFonts w:ascii="宋体" w:hAnsi="宋体"/>
          <w:szCs w:val="21"/>
        </w:rPr>
        <w:t>1</w:t>
      </w:r>
      <w:r>
        <w:rPr>
          <w:rFonts w:hint="eastAsia" w:ascii="宋体" w:hAnsi="宋体"/>
          <w:szCs w:val="21"/>
        </w:rPr>
        <w:t>】个月。</w:t>
      </w:r>
    </w:p>
    <w:p>
      <w:pPr>
        <w:numPr>
          <w:ilvl w:val="0"/>
          <w:numId w:val="80"/>
        </w:numPr>
        <w:tabs>
          <w:tab w:val="left" w:pos="709"/>
        </w:tabs>
        <w:adjustRightInd w:val="0"/>
        <w:snapToGrid w:val="0"/>
        <w:spacing w:before="93" w:beforeLines="30" w:after="93" w:afterLines="30" w:line="360" w:lineRule="auto"/>
        <w:ind w:left="709" w:hanging="709"/>
        <w:rPr>
          <w:szCs w:val="21"/>
        </w:rPr>
      </w:pPr>
      <w:r>
        <w:rPr>
          <w:rFonts w:hint="eastAsia" w:ascii="宋体" w:hAnsi="宋体"/>
          <w:szCs w:val="21"/>
        </w:rPr>
        <w:t>如果乙方完成的工作或提交的工作成果在质保期内出现任何属于本合同</w:t>
      </w:r>
      <w:r>
        <w:rPr>
          <w:rFonts w:hint="eastAsia" w:hAnsi="宋体"/>
          <w:szCs w:val="21"/>
        </w:rPr>
        <w:t>第</w:t>
      </w:r>
      <w:r>
        <w:rPr>
          <w:szCs w:val="21"/>
        </w:rPr>
        <w:t>9.1</w:t>
      </w:r>
      <w:r>
        <w:rPr>
          <w:rFonts w:hint="eastAsia" w:hAnsi="宋体"/>
          <w:szCs w:val="21"/>
        </w:rPr>
        <w:t>款规定的质量保证范围内的问题，甲方应及时通知乙方，乙方应在收到该等通知后【二（</w:t>
      </w:r>
      <w:r>
        <w:rPr>
          <w:rFonts w:hAnsi="宋体"/>
          <w:szCs w:val="21"/>
        </w:rPr>
        <w:t>2</w:t>
      </w:r>
      <w:r>
        <w:rPr>
          <w:rFonts w:hint="eastAsia" w:hAnsi="宋体"/>
          <w:szCs w:val="21"/>
        </w:rPr>
        <w:t>）】日内予以回复，并在甲方要求的合理时间内委派人员进行修复或重新实施相关工作</w:t>
      </w:r>
      <w:r>
        <w:rPr>
          <w:rFonts w:hint="eastAsia" w:ascii="宋体" w:hAnsi="宋体"/>
          <w:szCs w:val="21"/>
        </w:rPr>
        <w:t>（</w:t>
      </w:r>
      <w:r>
        <w:rPr>
          <w:rFonts w:hint="eastAsia" w:ascii="宋体"/>
          <w:szCs w:val="21"/>
        </w:rPr>
        <w:t>“</w:t>
      </w:r>
      <w:r>
        <w:rPr>
          <w:rFonts w:hint="eastAsia" w:ascii="宋体" w:hAnsi="宋体"/>
          <w:szCs w:val="21"/>
        </w:rPr>
        <w:t>整改工作</w:t>
      </w:r>
      <w:r>
        <w:rPr>
          <w:rFonts w:hint="eastAsia" w:ascii="宋体"/>
          <w:szCs w:val="21"/>
        </w:rPr>
        <w:t>”</w:t>
      </w:r>
      <w:r>
        <w:rPr>
          <w:rFonts w:hint="eastAsia" w:hAnsi="宋体"/>
          <w:szCs w:val="21"/>
        </w:rPr>
        <w:t>）</w:t>
      </w:r>
      <w:r>
        <w:rPr>
          <w:rFonts w:ascii="宋体" w:hAnsi="宋体"/>
          <w:szCs w:val="21"/>
        </w:rPr>
        <w:t xml:space="preserve"> </w:t>
      </w:r>
      <w:r>
        <w:rPr>
          <w:rFonts w:hint="eastAsia" w:ascii="宋体" w:hAnsi="宋体"/>
          <w:szCs w:val="21"/>
        </w:rPr>
        <w:t>，直至消除该等缺陷。整改后的工作的质保期自修复或重新实施之日起重新计算。</w:t>
      </w:r>
    </w:p>
    <w:p>
      <w:pPr>
        <w:numPr>
          <w:ilvl w:val="0"/>
          <w:numId w:val="80"/>
        </w:numPr>
        <w:tabs>
          <w:tab w:val="left" w:pos="709"/>
        </w:tabs>
        <w:adjustRightInd w:val="0"/>
        <w:snapToGrid w:val="0"/>
        <w:spacing w:before="93" w:beforeLines="30" w:after="93" w:afterLines="30" w:line="360" w:lineRule="auto"/>
        <w:ind w:left="709" w:hanging="709"/>
        <w:rPr>
          <w:rFonts w:ascii="宋体"/>
          <w:szCs w:val="21"/>
        </w:rPr>
      </w:pPr>
      <w:r>
        <w:rPr>
          <w:rFonts w:hint="eastAsia" w:ascii="宋体" w:hAnsi="宋体"/>
          <w:szCs w:val="21"/>
        </w:rPr>
        <w:t>对于质保期内的任何整改工作，乙方应编制实施方案报甲方批准。相关工作完成后，乙方应进行检验，并出具修复、检验报告。</w:t>
      </w:r>
    </w:p>
    <w:p>
      <w:pPr>
        <w:pStyle w:val="246"/>
        <w:adjustRightInd w:val="0"/>
        <w:snapToGrid w:val="0"/>
        <w:spacing w:before="93" w:beforeLines="30" w:after="93" w:afterLines="30" w:line="360" w:lineRule="auto"/>
        <w:jc w:val="left"/>
        <w:rPr>
          <w:rFonts w:ascii="Times New Roman"/>
          <w:sz w:val="21"/>
          <w:szCs w:val="21"/>
        </w:rPr>
      </w:pPr>
      <w:bookmarkStart w:id="338" w:name="_Toc299915691"/>
      <w:bookmarkStart w:id="339" w:name="_Toc299912675"/>
      <w:bookmarkStart w:id="340" w:name="_Toc364839370"/>
      <w:r>
        <w:rPr>
          <w:rFonts w:hint="eastAsia" w:ascii="宋体" w:hAnsi="宋体"/>
          <w:bCs w:val="0"/>
          <w:sz w:val="21"/>
          <w:szCs w:val="21"/>
        </w:rPr>
        <w:t>工作</w:t>
      </w:r>
      <w:r>
        <w:rPr>
          <w:rFonts w:hint="eastAsia" w:ascii="Times New Roman"/>
          <w:sz w:val="21"/>
          <w:szCs w:val="21"/>
        </w:rPr>
        <w:t>变更</w:t>
      </w:r>
      <w:bookmarkEnd w:id="338"/>
      <w:bookmarkEnd w:id="339"/>
      <w:bookmarkEnd w:id="340"/>
    </w:p>
    <w:p>
      <w:pPr>
        <w:numPr>
          <w:ilvl w:val="0"/>
          <w:numId w:val="81"/>
        </w:numPr>
        <w:tabs>
          <w:tab w:val="left" w:pos="709"/>
          <w:tab w:val="clear" w:pos="1260"/>
        </w:tabs>
        <w:adjustRightInd w:val="0"/>
        <w:snapToGrid w:val="0"/>
        <w:spacing w:before="93" w:beforeLines="30" w:after="93" w:afterLines="30" w:line="360" w:lineRule="auto"/>
        <w:ind w:left="709" w:hanging="709"/>
        <w:rPr>
          <w:spacing w:val="-2"/>
          <w:szCs w:val="21"/>
        </w:rPr>
      </w:pPr>
      <w:r>
        <w:rPr>
          <w:rFonts w:hint="eastAsia"/>
          <w:bCs/>
          <w:szCs w:val="21"/>
        </w:rPr>
        <w:t>无论基于何种原因，甲方</w:t>
      </w:r>
      <w:r>
        <w:rPr>
          <w:rFonts w:hint="eastAsia"/>
          <w:spacing w:val="-2"/>
          <w:szCs w:val="21"/>
        </w:rPr>
        <w:t>有权随时向乙方发出工作变更通知，要求进行工作变更。</w:t>
      </w:r>
    </w:p>
    <w:p>
      <w:pPr>
        <w:numPr>
          <w:ilvl w:val="0"/>
          <w:numId w:val="81"/>
        </w:numPr>
        <w:tabs>
          <w:tab w:val="left" w:pos="709"/>
        </w:tabs>
        <w:adjustRightInd w:val="0"/>
        <w:snapToGrid w:val="0"/>
        <w:spacing w:before="93" w:beforeLines="30" w:after="93" w:afterLines="30" w:line="360" w:lineRule="auto"/>
        <w:ind w:left="709" w:hanging="709"/>
        <w:rPr>
          <w:szCs w:val="21"/>
        </w:rPr>
      </w:pPr>
      <w:r>
        <w:rPr>
          <w:rFonts w:hint="eastAsia"/>
          <w:szCs w:val="21"/>
        </w:rPr>
        <w:t>收到变更通知后【三（</w:t>
      </w:r>
      <w:r>
        <w:rPr>
          <w:szCs w:val="21"/>
        </w:rPr>
        <w:t>3</w:t>
      </w:r>
      <w:r>
        <w:rPr>
          <w:rFonts w:hint="eastAsia"/>
          <w:szCs w:val="21"/>
        </w:rPr>
        <w:t>）】日内，乙方应向甲方提交变更的实施方案以及变更的影响：</w:t>
      </w:r>
    </w:p>
    <w:p>
      <w:pPr>
        <w:numPr>
          <w:ilvl w:val="2"/>
          <w:numId w:val="82"/>
        </w:numPr>
        <w:tabs>
          <w:tab w:val="left" w:pos="1276"/>
          <w:tab w:val="clear" w:pos="280"/>
        </w:tabs>
        <w:adjustRightInd w:val="0"/>
        <w:snapToGrid w:val="0"/>
        <w:spacing w:before="93" w:beforeLines="30" w:after="93" w:afterLines="30" w:line="360" w:lineRule="auto"/>
        <w:ind w:left="1205" w:leftChars="338" w:hanging="495" w:hangingChars="236"/>
        <w:rPr>
          <w:szCs w:val="21"/>
        </w:rPr>
      </w:pPr>
      <w:r>
        <w:rPr>
          <w:rFonts w:hint="eastAsia"/>
          <w:szCs w:val="21"/>
        </w:rPr>
        <w:t>变更对工作的影响；</w:t>
      </w:r>
    </w:p>
    <w:p>
      <w:pPr>
        <w:numPr>
          <w:ilvl w:val="2"/>
          <w:numId w:val="82"/>
        </w:numPr>
        <w:tabs>
          <w:tab w:val="left" w:pos="1276"/>
          <w:tab w:val="clear" w:pos="280"/>
        </w:tabs>
        <w:adjustRightInd w:val="0"/>
        <w:snapToGrid w:val="0"/>
        <w:spacing w:before="93" w:beforeLines="30" w:after="93" w:afterLines="30" w:line="360" w:lineRule="auto"/>
        <w:ind w:left="1205" w:leftChars="338" w:hanging="495" w:hangingChars="236"/>
        <w:rPr>
          <w:szCs w:val="21"/>
        </w:rPr>
      </w:pPr>
      <w:r>
        <w:rPr>
          <w:rFonts w:hint="eastAsia"/>
          <w:szCs w:val="21"/>
        </w:rPr>
        <w:t>变更对工作期限的影响；</w:t>
      </w:r>
    </w:p>
    <w:p>
      <w:pPr>
        <w:numPr>
          <w:ilvl w:val="2"/>
          <w:numId w:val="82"/>
        </w:numPr>
        <w:tabs>
          <w:tab w:val="left" w:pos="1276"/>
          <w:tab w:val="clear" w:pos="280"/>
        </w:tabs>
        <w:adjustRightInd w:val="0"/>
        <w:snapToGrid w:val="0"/>
        <w:spacing w:before="93" w:beforeLines="30" w:after="93" w:afterLines="30" w:line="360" w:lineRule="auto"/>
        <w:ind w:left="1205" w:leftChars="338" w:hanging="495" w:hangingChars="236"/>
        <w:rPr>
          <w:szCs w:val="21"/>
        </w:rPr>
      </w:pPr>
      <w:r>
        <w:rPr>
          <w:rFonts w:hint="eastAsia"/>
          <w:szCs w:val="21"/>
        </w:rPr>
        <w:t>变更对合同价款的影响；</w:t>
      </w:r>
    </w:p>
    <w:p>
      <w:pPr>
        <w:numPr>
          <w:ilvl w:val="2"/>
          <w:numId w:val="82"/>
        </w:numPr>
        <w:tabs>
          <w:tab w:val="left" w:pos="1276"/>
          <w:tab w:val="clear" w:pos="280"/>
        </w:tabs>
        <w:adjustRightInd w:val="0"/>
        <w:snapToGrid w:val="0"/>
        <w:spacing w:before="93" w:beforeLines="30" w:after="93" w:afterLines="30" w:line="360" w:lineRule="auto"/>
        <w:ind w:left="1205" w:leftChars="338" w:hanging="495" w:hangingChars="236"/>
        <w:rPr>
          <w:szCs w:val="21"/>
        </w:rPr>
      </w:pPr>
      <w:r>
        <w:rPr>
          <w:rFonts w:hint="eastAsia"/>
          <w:szCs w:val="21"/>
        </w:rPr>
        <w:t>实施变更的要求和方案。</w:t>
      </w:r>
    </w:p>
    <w:p>
      <w:pPr>
        <w:tabs>
          <w:tab w:val="left" w:pos="709"/>
        </w:tabs>
        <w:adjustRightInd w:val="0"/>
        <w:snapToGrid w:val="0"/>
        <w:spacing w:before="93" w:beforeLines="30" w:after="93" w:afterLines="30" w:line="360" w:lineRule="auto"/>
        <w:ind w:left="709"/>
        <w:rPr>
          <w:szCs w:val="21"/>
        </w:rPr>
      </w:pPr>
      <w:r>
        <w:rPr>
          <w:rFonts w:hint="eastAsia"/>
          <w:szCs w:val="21"/>
        </w:rPr>
        <w:t>对于上述事项，乙方应提供适当的证明文件。</w:t>
      </w:r>
    </w:p>
    <w:p>
      <w:pPr>
        <w:numPr>
          <w:ilvl w:val="0"/>
          <w:numId w:val="81"/>
        </w:numPr>
        <w:tabs>
          <w:tab w:val="left" w:pos="709"/>
        </w:tabs>
        <w:adjustRightInd w:val="0"/>
        <w:snapToGrid w:val="0"/>
        <w:spacing w:before="93" w:beforeLines="30" w:after="93" w:afterLines="30" w:line="360" w:lineRule="auto"/>
        <w:ind w:left="709" w:hanging="709"/>
        <w:rPr>
          <w:spacing w:val="-2"/>
          <w:szCs w:val="21"/>
        </w:rPr>
      </w:pPr>
      <w:r>
        <w:rPr>
          <w:rFonts w:hint="eastAsia"/>
          <w:szCs w:val="21"/>
        </w:rPr>
        <w:t>乙方提交变更影响并经甲方评估后，双方应就工作变更及其影响进行协商。如双方就相关事项达成一致，且甲方决定实施工作变更，双方将共同签署变更确认单或另行签署合同对本合同进行变更，乙方应立即执行。如双方未能就工作变更事项达成一致，甲方有权单方面发出工作变更指令。乙方收到工作变更指令后，应立即实施相关工作。</w:t>
      </w:r>
    </w:p>
    <w:p>
      <w:pPr>
        <w:numPr>
          <w:ilvl w:val="0"/>
          <w:numId w:val="81"/>
        </w:numPr>
        <w:tabs>
          <w:tab w:val="left" w:pos="709"/>
        </w:tabs>
        <w:adjustRightInd w:val="0"/>
        <w:snapToGrid w:val="0"/>
        <w:spacing w:before="93" w:beforeLines="30" w:after="93" w:afterLines="30" w:line="360" w:lineRule="auto"/>
        <w:ind w:left="709" w:hanging="709"/>
        <w:rPr>
          <w:spacing w:val="-2"/>
          <w:szCs w:val="21"/>
        </w:rPr>
      </w:pPr>
      <w:r>
        <w:rPr>
          <w:rFonts w:hint="eastAsia"/>
          <w:spacing w:val="-2"/>
          <w:szCs w:val="21"/>
        </w:rPr>
        <w:t>未经甲方同意，乙方不得进行任何工作变更。</w:t>
      </w:r>
    </w:p>
    <w:p>
      <w:pPr>
        <w:pStyle w:val="246"/>
        <w:adjustRightInd w:val="0"/>
        <w:snapToGrid w:val="0"/>
        <w:spacing w:before="93" w:beforeLines="30" w:after="93" w:afterLines="30" w:line="360" w:lineRule="auto"/>
        <w:jc w:val="left"/>
        <w:rPr>
          <w:rFonts w:ascii="Times New Roman" w:hAnsi="宋体"/>
          <w:bCs w:val="0"/>
          <w:sz w:val="21"/>
          <w:szCs w:val="21"/>
        </w:rPr>
      </w:pPr>
      <w:bookmarkStart w:id="341" w:name="_Toc299915693"/>
      <w:bookmarkStart w:id="342" w:name="_Toc364839371"/>
      <w:r>
        <w:rPr>
          <w:rFonts w:hint="eastAsia" w:ascii="Times New Roman" w:hAnsi="宋体"/>
          <w:bCs w:val="0"/>
          <w:sz w:val="21"/>
          <w:szCs w:val="21"/>
        </w:rPr>
        <w:t>工作暂停</w:t>
      </w:r>
      <w:bookmarkEnd w:id="341"/>
      <w:bookmarkEnd w:id="342"/>
    </w:p>
    <w:p>
      <w:pPr>
        <w:numPr>
          <w:ilvl w:val="1"/>
          <w:numId w:val="83"/>
        </w:numPr>
        <w:tabs>
          <w:tab w:val="left" w:pos="709"/>
          <w:tab w:val="clear" w:pos="540"/>
        </w:tabs>
        <w:adjustRightInd w:val="0"/>
        <w:snapToGrid w:val="0"/>
        <w:spacing w:before="93" w:beforeLines="30" w:after="93" w:afterLines="30" w:line="360" w:lineRule="auto"/>
        <w:ind w:left="709" w:hanging="709"/>
        <w:rPr>
          <w:rFonts w:hAnsi="宋体"/>
          <w:bCs/>
          <w:szCs w:val="21"/>
        </w:rPr>
      </w:pPr>
      <w:r>
        <w:rPr>
          <w:rFonts w:hint="eastAsia"/>
          <w:kern w:val="0"/>
          <w:szCs w:val="21"/>
        </w:rPr>
        <w:t>乙方造成的暂停</w:t>
      </w:r>
      <w:r>
        <w:rPr>
          <w:rFonts w:hint="eastAsia" w:hAnsi="宋体"/>
          <w:bCs/>
          <w:szCs w:val="21"/>
        </w:rPr>
        <w:t>：</w:t>
      </w:r>
    </w:p>
    <w:p>
      <w:pPr>
        <w:tabs>
          <w:tab w:val="left" w:pos="709"/>
        </w:tabs>
        <w:adjustRightInd w:val="0"/>
        <w:snapToGrid w:val="0"/>
        <w:spacing w:before="93" w:beforeLines="30" w:after="93" w:afterLines="30" w:line="360" w:lineRule="auto"/>
        <w:ind w:left="708" w:leftChars="337"/>
        <w:rPr>
          <w:rFonts w:hAnsi="宋体"/>
          <w:bCs/>
          <w:szCs w:val="21"/>
        </w:rPr>
      </w:pPr>
      <w:r>
        <w:rPr>
          <w:rFonts w:hint="eastAsia" w:hAnsi="宋体"/>
          <w:bCs/>
          <w:szCs w:val="21"/>
        </w:rPr>
        <w:t>如甲方认为乙方的工作存在重大缺陷或与本合同规定不符，甲方有权要求乙方暂停全部或部分工作，直至乙方采取措施消除该等缺陷。乙方消除相关缺陷并经甲方同意后，方可恢复工作。甲方对该等停工造成的损失不承担任何责任，乙方无权要求调整合同总价或工作期限。</w:t>
      </w:r>
    </w:p>
    <w:p>
      <w:pPr>
        <w:numPr>
          <w:ilvl w:val="1"/>
          <w:numId w:val="83"/>
        </w:numPr>
        <w:tabs>
          <w:tab w:val="left" w:pos="709"/>
          <w:tab w:val="clear" w:pos="540"/>
        </w:tabs>
        <w:adjustRightInd w:val="0"/>
        <w:snapToGrid w:val="0"/>
        <w:spacing w:before="93" w:beforeLines="30" w:after="93" w:afterLines="30" w:line="360" w:lineRule="auto"/>
        <w:ind w:left="709" w:hanging="709"/>
        <w:rPr>
          <w:szCs w:val="21"/>
        </w:rPr>
      </w:pPr>
      <w:r>
        <w:rPr>
          <w:rFonts w:hint="eastAsia"/>
          <w:kern w:val="0"/>
          <w:szCs w:val="21"/>
        </w:rPr>
        <w:t>甲方造成的暂停</w:t>
      </w:r>
      <w:r>
        <w:rPr>
          <w:rFonts w:hint="eastAsia"/>
          <w:szCs w:val="21"/>
        </w:rPr>
        <w:t>：</w:t>
      </w:r>
    </w:p>
    <w:p>
      <w:pPr>
        <w:numPr>
          <w:ilvl w:val="0"/>
          <w:numId w:val="84"/>
        </w:numPr>
        <w:tabs>
          <w:tab w:val="left" w:pos="1276"/>
          <w:tab w:val="clear" w:pos="420"/>
        </w:tabs>
        <w:adjustRightInd w:val="0"/>
        <w:snapToGrid w:val="0"/>
        <w:spacing w:before="93" w:beforeLines="30" w:after="93" w:afterLines="30" w:line="360" w:lineRule="auto"/>
        <w:ind w:left="1276" w:hanging="567"/>
        <w:rPr>
          <w:kern w:val="0"/>
          <w:szCs w:val="21"/>
        </w:rPr>
      </w:pPr>
      <w:r>
        <w:rPr>
          <w:rFonts w:hint="eastAsia"/>
          <w:kern w:val="0"/>
          <w:szCs w:val="21"/>
        </w:rPr>
        <w:t>无论基于任何原因，甲方有权随时向乙方发出暂停通知，要求乙方暂停全部或部分工作。</w:t>
      </w:r>
    </w:p>
    <w:p>
      <w:pPr>
        <w:numPr>
          <w:ilvl w:val="0"/>
          <w:numId w:val="84"/>
        </w:numPr>
        <w:tabs>
          <w:tab w:val="left" w:pos="1276"/>
          <w:tab w:val="clear" w:pos="420"/>
        </w:tabs>
        <w:adjustRightInd w:val="0"/>
        <w:snapToGrid w:val="0"/>
        <w:spacing w:before="93" w:beforeLines="30" w:after="93" w:afterLines="30" w:line="360" w:lineRule="auto"/>
        <w:ind w:left="1276" w:hanging="567"/>
        <w:rPr>
          <w:kern w:val="0"/>
          <w:szCs w:val="21"/>
        </w:rPr>
      </w:pPr>
      <w:r>
        <w:rPr>
          <w:rFonts w:hint="eastAsia"/>
          <w:kern w:val="0"/>
          <w:szCs w:val="21"/>
        </w:rPr>
        <w:t>乙方接到暂停通知后，应根据暂停通知规定的时间及范围暂停工作，</w:t>
      </w:r>
      <w:r>
        <w:rPr>
          <w:rFonts w:hint="eastAsia"/>
          <w:szCs w:val="21"/>
        </w:rPr>
        <w:t>妥善保护已完成的工作，</w:t>
      </w:r>
      <w:r>
        <w:rPr>
          <w:rFonts w:hint="eastAsia"/>
          <w:kern w:val="0"/>
          <w:szCs w:val="21"/>
        </w:rPr>
        <w:t>继续执行未暂停的工作。</w:t>
      </w:r>
    </w:p>
    <w:p>
      <w:pPr>
        <w:numPr>
          <w:ilvl w:val="0"/>
          <w:numId w:val="84"/>
        </w:numPr>
        <w:tabs>
          <w:tab w:val="left" w:pos="1276"/>
          <w:tab w:val="clear" w:pos="420"/>
        </w:tabs>
        <w:adjustRightInd w:val="0"/>
        <w:snapToGrid w:val="0"/>
        <w:spacing w:before="93" w:beforeLines="30" w:after="93" w:afterLines="30" w:line="360" w:lineRule="auto"/>
        <w:ind w:left="1276" w:hanging="567"/>
        <w:rPr>
          <w:kern w:val="0"/>
          <w:szCs w:val="21"/>
        </w:rPr>
      </w:pPr>
      <w:r>
        <w:rPr>
          <w:rFonts w:hint="eastAsia"/>
          <w:kern w:val="0"/>
          <w:szCs w:val="21"/>
        </w:rPr>
        <w:t>乙方收到甲方复工通知后应立即恢复执行工作。</w:t>
      </w:r>
    </w:p>
    <w:p>
      <w:pPr>
        <w:numPr>
          <w:ilvl w:val="0"/>
          <w:numId w:val="84"/>
        </w:numPr>
        <w:tabs>
          <w:tab w:val="left" w:pos="1276"/>
          <w:tab w:val="clear" w:pos="420"/>
        </w:tabs>
        <w:adjustRightInd w:val="0"/>
        <w:snapToGrid w:val="0"/>
        <w:spacing w:before="93" w:beforeLines="30" w:after="93" w:afterLines="30" w:line="360" w:lineRule="auto"/>
        <w:ind w:left="1276" w:hanging="567"/>
        <w:rPr>
          <w:szCs w:val="21"/>
        </w:rPr>
      </w:pPr>
      <w:r>
        <w:rPr>
          <w:rFonts w:hint="eastAsia"/>
          <w:szCs w:val="21"/>
        </w:rPr>
        <w:t>对于甲方要求的停工（因本合同第</w:t>
      </w:r>
      <w:r>
        <w:rPr>
          <w:szCs w:val="21"/>
        </w:rPr>
        <w:t>11.1</w:t>
      </w:r>
      <w:r>
        <w:rPr>
          <w:rFonts w:hint="eastAsia"/>
          <w:szCs w:val="21"/>
        </w:rPr>
        <w:t>原因导致的暂停除外），乙方有权根据暂停工作期限，要求对工作期限进行调整，乙方应尽量减少停工对工作期限的影响。</w:t>
      </w:r>
    </w:p>
    <w:p>
      <w:pPr>
        <w:pStyle w:val="246"/>
        <w:adjustRightInd w:val="0"/>
        <w:snapToGrid w:val="0"/>
        <w:spacing w:before="93" w:beforeLines="30" w:after="93" w:afterLines="30" w:line="360" w:lineRule="auto"/>
        <w:jc w:val="left"/>
        <w:rPr>
          <w:rFonts w:ascii="Times New Roman" w:hAnsi="Times New Roman"/>
          <w:sz w:val="21"/>
          <w:szCs w:val="21"/>
        </w:rPr>
      </w:pPr>
      <w:bookmarkStart w:id="343" w:name="_Toc364839372"/>
      <w:r>
        <w:rPr>
          <w:rFonts w:hint="eastAsia"/>
          <w:sz w:val="21"/>
          <w:szCs w:val="21"/>
        </w:rPr>
        <w:t>权利保证</w:t>
      </w:r>
      <w:bookmarkEnd w:id="317"/>
      <w:bookmarkEnd w:id="318"/>
      <w:bookmarkEnd w:id="343"/>
    </w:p>
    <w:bookmarkEnd w:id="292"/>
    <w:bookmarkEnd w:id="293"/>
    <w:bookmarkEnd w:id="294"/>
    <w:bookmarkEnd w:id="295"/>
    <w:bookmarkEnd w:id="296"/>
    <w:bookmarkEnd w:id="297"/>
    <w:bookmarkEnd w:id="298"/>
    <w:bookmarkEnd w:id="299"/>
    <w:bookmarkEnd w:id="300"/>
    <w:bookmarkEnd w:id="301"/>
    <w:bookmarkEnd w:id="302"/>
    <w:bookmarkEnd w:id="303"/>
    <w:bookmarkEnd w:id="304"/>
    <w:p>
      <w:pPr>
        <w:widowControl/>
        <w:numPr>
          <w:ilvl w:val="0"/>
          <w:numId w:val="85"/>
        </w:numPr>
        <w:tabs>
          <w:tab w:val="left" w:pos="709"/>
        </w:tabs>
        <w:adjustRightInd w:val="0"/>
        <w:snapToGrid w:val="0"/>
        <w:spacing w:before="93" w:beforeLines="30" w:after="93" w:afterLines="30" w:line="360" w:lineRule="auto"/>
        <w:ind w:left="709" w:hanging="709"/>
        <w:rPr>
          <w:szCs w:val="21"/>
        </w:rPr>
      </w:pPr>
      <w:r>
        <w:rPr>
          <w:rFonts w:hint="eastAsia"/>
          <w:szCs w:val="21"/>
        </w:rPr>
        <w:t>乙方保证，其执行工作、提供的工作成果未侵犯任何第三方的专利权、商标权或其它知识产权，工作成果的所有权及包含的全部专利、商标及其它知识产权均为乙方合法拥有或已获得第三方的有效授权。</w:t>
      </w:r>
    </w:p>
    <w:p>
      <w:pPr>
        <w:widowControl/>
        <w:numPr>
          <w:ilvl w:val="0"/>
          <w:numId w:val="85"/>
        </w:numPr>
        <w:tabs>
          <w:tab w:val="left" w:pos="709"/>
        </w:tabs>
        <w:adjustRightInd w:val="0"/>
        <w:snapToGrid w:val="0"/>
        <w:spacing w:before="93" w:beforeLines="30" w:after="93" w:afterLines="30" w:line="360" w:lineRule="auto"/>
        <w:ind w:left="709" w:hanging="709"/>
        <w:rPr>
          <w:rFonts w:ascii="宋体"/>
          <w:szCs w:val="21"/>
        </w:rPr>
      </w:pPr>
      <w:r>
        <w:rPr>
          <w:rFonts w:hint="eastAsia"/>
          <w:szCs w:val="21"/>
        </w:rPr>
        <w:t>如乙方执行工作及提供的工作成果侵犯任何第三方的权利（包括知识产权），</w:t>
      </w:r>
      <w:r>
        <w:rPr>
          <w:rFonts w:hint="eastAsia" w:ascii="宋体" w:hAnsi="宋体"/>
          <w:szCs w:val="21"/>
        </w:rPr>
        <w:t>乙方应根据甲方的要求，在确保工作符合本合同的规定和要求的前提下，采取必要的措施获得相关的权利或对工作和工作成果进行必要的调整，确保其履行本合同和工作成果不侵犯任何知识产权。乙方根据本款采取的措施不影响甲方的任何其它权利或补救措施。</w:t>
      </w:r>
    </w:p>
    <w:p>
      <w:pPr>
        <w:widowControl/>
        <w:numPr>
          <w:ilvl w:val="0"/>
          <w:numId w:val="85"/>
        </w:numPr>
        <w:tabs>
          <w:tab w:val="left" w:pos="709"/>
        </w:tabs>
        <w:adjustRightInd w:val="0"/>
        <w:snapToGrid w:val="0"/>
        <w:spacing w:before="93" w:beforeLines="30" w:after="93" w:afterLines="30" w:line="360" w:lineRule="auto"/>
        <w:ind w:left="709" w:hanging="709"/>
        <w:rPr>
          <w:rFonts w:ascii="宋体"/>
          <w:szCs w:val="21"/>
        </w:rPr>
      </w:pPr>
      <w:r>
        <w:rPr>
          <w:rFonts w:hint="eastAsia" w:ascii="宋体" w:hAnsi="宋体"/>
          <w:szCs w:val="21"/>
        </w:rPr>
        <w:t>与工作和工作成果有关的所有资料、文件及其包含的知识产权为甲方所有，甲方享有全部权益，工作完成时应全部移交甲方，未经甲方允许，乙方不得使用和转让。</w:t>
      </w:r>
    </w:p>
    <w:p>
      <w:pPr>
        <w:widowControl/>
        <w:numPr>
          <w:ilvl w:val="0"/>
          <w:numId w:val="85"/>
        </w:numPr>
        <w:tabs>
          <w:tab w:val="left" w:pos="709"/>
        </w:tabs>
        <w:adjustRightInd w:val="0"/>
        <w:snapToGrid w:val="0"/>
        <w:spacing w:before="93" w:beforeLines="30" w:after="93" w:afterLines="30" w:line="360" w:lineRule="auto"/>
        <w:ind w:left="709" w:hanging="709"/>
        <w:rPr>
          <w:rFonts w:ascii="宋体"/>
          <w:szCs w:val="21"/>
        </w:rPr>
      </w:pPr>
      <w:r>
        <w:rPr>
          <w:rFonts w:hint="eastAsia" w:ascii="宋体" w:hAnsi="宋体"/>
          <w:szCs w:val="21"/>
        </w:rPr>
        <w:t>乙方无权因本条的适用而延长工作期限或调整合同总价。</w:t>
      </w:r>
    </w:p>
    <w:p>
      <w:pPr>
        <w:pStyle w:val="246"/>
        <w:adjustRightInd w:val="0"/>
        <w:snapToGrid w:val="0"/>
        <w:spacing w:before="93" w:beforeLines="30" w:after="93" w:afterLines="30" w:line="360" w:lineRule="auto"/>
        <w:jc w:val="left"/>
        <w:rPr>
          <w:sz w:val="21"/>
          <w:szCs w:val="21"/>
        </w:rPr>
      </w:pPr>
      <w:bookmarkStart w:id="344" w:name="_Toc364839373"/>
      <w:bookmarkStart w:id="345" w:name="_Toc299915689"/>
      <w:r>
        <w:rPr>
          <w:rFonts w:hint="eastAsia"/>
          <w:sz w:val="21"/>
          <w:szCs w:val="21"/>
        </w:rPr>
        <w:t>违约责任</w:t>
      </w:r>
      <w:bookmarkEnd w:id="344"/>
      <w:bookmarkEnd w:id="345"/>
    </w:p>
    <w:p>
      <w:pPr>
        <w:numPr>
          <w:ilvl w:val="1"/>
          <w:numId w:val="86"/>
        </w:numPr>
        <w:tabs>
          <w:tab w:val="left" w:pos="709"/>
          <w:tab w:val="clear" w:pos="840"/>
        </w:tabs>
        <w:adjustRightInd w:val="0"/>
        <w:snapToGrid w:val="0"/>
        <w:spacing w:before="93" w:beforeLines="30" w:after="93" w:afterLines="30" w:line="360" w:lineRule="auto"/>
        <w:ind w:left="709" w:hanging="709"/>
        <w:rPr>
          <w:szCs w:val="21"/>
        </w:rPr>
      </w:pPr>
      <w:r>
        <w:rPr>
          <w:rFonts w:hint="eastAsia"/>
          <w:szCs w:val="21"/>
        </w:rPr>
        <w:t>乙方发生下列任一违约行为时，应向甲方支付合同总价【</w:t>
      </w:r>
      <w:r>
        <w:rPr>
          <w:szCs w:val="21"/>
        </w:rPr>
        <w:t>10%</w:t>
      </w:r>
      <w:r>
        <w:rPr>
          <w:rFonts w:hint="eastAsia"/>
          <w:szCs w:val="21"/>
        </w:rPr>
        <w:t>】的违约金，并赔偿甲方因此遭受的全部损失：</w:t>
      </w:r>
    </w:p>
    <w:p>
      <w:pPr>
        <w:numPr>
          <w:ilvl w:val="2"/>
          <w:numId w:val="87"/>
        </w:numPr>
        <w:tabs>
          <w:tab w:val="left" w:pos="1276"/>
        </w:tabs>
        <w:adjustRightInd w:val="0"/>
        <w:snapToGrid w:val="0"/>
        <w:spacing w:before="93" w:beforeLines="30" w:after="93" w:afterLines="30" w:line="360" w:lineRule="auto"/>
        <w:ind w:left="1276" w:hanging="567"/>
        <w:rPr>
          <w:szCs w:val="21"/>
        </w:rPr>
      </w:pPr>
      <w:r>
        <w:rPr>
          <w:rFonts w:hint="eastAsia"/>
          <w:szCs w:val="21"/>
        </w:rPr>
        <w:t>乙方提供的服务、工作成果等不符合本合同的要求；</w:t>
      </w:r>
    </w:p>
    <w:p>
      <w:pPr>
        <w:numPr>
          <w:ilvl w:val="2"/>
          <w:numId w:val="87"/>
        </w:numPr>
        <w:tabs>
          <w:tab w:val="left" w:pos="1276"/>
        </w:tabs>
        <w:adjustRightInd w:val="0"/>
        <w:snapToGrid w:val="0"/>
        <w:spacing w:before="93" w:beforeLines="30" w:after="93" w:afterLines="30" w:line="360" w:lineRule="auto"/>
        <w:ind w:left="1276" w:hanging="567"/>
        <w:rPr>
          <w:szCs w:val="21"/>
        </w:rPr>
      </w:pPr>
      <w:r>
        <w:rPr>
          <w:rFonts w:hint="eastAsia"/>
          <w:szCs w:val="21"/>
        </w:rPr>
        <w:t>拒绝对不符合本合同要求的服务或工作成果进行修复、更换或调整；</w:t>
      </w:r>
    </w:p>
    <w:p>
      <w:pPr>
        <w:numPr>
          <w:ilvl w:val="2"/>
          <w:numId w:val="87"/>
        </w:numPr>
        <w:tabs>
          <w:tab w:val="left" w:pos="1276"/>
        </w:tabs>
        <w:adjustRightInd w:val="0"/>
        <w:snapToGrid w:val="0"/>
        <w:spacing w:before="93" w:beforeLines="30" w:after="93" w:afterLines="30" w:line="360" w:lineRule="auto"/>
        <w:ind w:left="1276" w:hanging="567"/>
        <w:rPr>
          <w:szCs w:val="21"/>
        </w:rPr>
      </w:pPr>
      <w:r>
        <w:rPr>
          <w:rFonts w:hint="eastAsia"/>
          <w:szCs w:val="21"/>
        </w:rPr>
        <w:t>拒绝更换不适格的工作人员；</w:t>
      </w:r>
    </w:p>
    <w:p>
      <w:pPr>
        <w:numPr>
          <w:ilvl w:val="2"/>
          <w:numId w:val="87"/>
        </w:numPr>
        <w:tabs>
          <w:tab w:val="left" w:pos="1276"/>
        </w:tabs>
        <w:adjustRightInd w:val="0"/>
        <w:snapToGrid w:val="0"/>
        <w:spacing w:before="93" w:beforeLines="30" w:after="93" w:afterLines="30" w:line="360" w:lineRule="auto"/>
        <w:ind w:left="1276" w:hanging="567"/>
        <w:rPr>
          <w:szCs w:val="21"/>
        </w:rPr>
      </w:pPr>
      <w:r>
        <w:rPr>
          <w:rFonts w:hint="eastAsia"/>
          <w:szCs w:val="21"/>
        </w:rPr>
        <w:t>未经甲方许可，擅自更换其关键工作人员；</w:t>
      </w:r>
    </w:p>
    <w:p>
      <w:pPr>
        <w:numPr>
          <w:ilvl w:val="2"/>
          <w:numId w:val="87"/>
        </w:numPr>
        <w:tabs>
          <w:tab w:val="left" w:pos="1276"/>
        </w:tabs>
        <w:adjustRightInd w:val="0"/>
        <w:snapToGrid w:val="0"/>
        <w:spacing w:before="93" w:beforeLines="30" w:after="93" w:afterLines="30" w:line="360" w:lineRule="auto"/>
        <w:ind w:left="1276" w:hanging="567"/>
        <w:rPr>
          <w:szCs w:val="21"/>
        </w:rPr>
      </w:pPr>
      <w:r>
        <w:rPr>
          <w:rFonts w:hint="eastAsia"/>
          <w:szCs w:val="21"/>
        </w:rPr>
        <w:t>未经甲方同意，乙方擅自进行分包；</w:t>
      </w:r>
    </w:p>
    <w:p>
      <w:pPr>
        <w:numPr>
          <w:ilvl w:val="2"/>
          <w:numId w:val="87"/>
        </w:numPr>
        <w:tabs>
          <w:tab w:val="left" w:pos="1276"/>
        </w:tabs>
        <w:adjustRightInd w:val="0"/>
        <w:snapToGrid w:val="0"/>
        <w:spacing w:before="93" w:beforeLines="30" w:after="93" w:afterLines="30" w:line="360" w:lineRule="auto"/>
        <w:ind w:left="1276" w:hanging="567"/>
        <w:rPr>
          <w:szCs w:val="21"/>
        </w:rPr>
      </w:pPr>
      <w:r>
        <w:rPr>
          <w:rFonts w:hint="eastAsia"/>
          <w:szCs w:val="21"/>
        </w:rPr>
        <w:t>转包；</w:t>
      </w:r>
    </w:p>
    <w:p>
      <w:pPr>
        <w:numPr>
          <w:ilvl w:val="2"/>
          <w:numId w:val="87"/>
        </w:numPr>
        <w:tabs>
          <w:tab w:val="left" w:pos="1276"/>
        </w:tabs>
        <w:adjustRightInd w:val="0"/>
        <w:snapToGrid w:val="0"/>
        <w:spacing w:before="93" w:beforeLines="30" w:after="93" w:afterLines="30" w:line="360" w:lineRule="auto"/>
        <w:ind w:left="1276" w:hanging="567"/>
        <w:rPr>
          <w:szCs w:val="21"/>
        </w:rPr>
      </w:pPr>
      <w:r>
        <w:rPr>
          <w:rFonts w:hint="eastAsia"/>
          <w:szCs w:val="21"/>
        </w:rPr>
        <w:t>不遵守甲方关于健康、安全和环保的规定；</w:t>
      </w:r>
    </w:p>
    <w:p>
      <w:pPr>
        <w:numPr>
          <w:ilvl w:val="2"/>
          <w:numId w:val="87"/>
        </w:numPr>
        <w:tabs>
          <w:tab w:val="left" w:pos="1276"/>
        </w:tabs>
        <w:adjustRightInd w:val="0"/>
        <w:snapToGrid w:val="0"/>
        <w:spacing w:before="93" w:beforeLines="30" w:after="93" w:afterLines="30" w:line="360" w:lineRule="auto"/>
        <w:ind w:left="1276" w:hanging="567"/>
        <w:rPr>
          <w:szCs w:val="21"/>
        </w:rPr>
      </w:pPr>
      <w:r>
        <w:rPr>
          <w:rFonts w:hint="eastAsia"/>
          <w:szCs w:val="21"/>
        </w:rPr>
        <w:t>乙方或其雇员对甲方实施欺诈行为；</w:t>
      </w:r>
    </w:p>
    <w:p>
      <w:pPr>
        <w:numPr>
          <w:ilvl w:val="2"/>
          <w:numId w:val="87"/>
        </w:numPr>
        <w:tabs>
          <w:tab w:val="left" w:pos="1276"/>
        </w:tabs>
        <w:adjustRightInd w:val="0"/>
        <w:snapToGrid w:val="0"/>
        <w:spacing w:before="93" w:beforeLines="30" w:after="93" w:afterLines="30" w:line="360" w:lineRule="auto"/>
        <w:ind w:left="1276" w:hanging="567"/>
        <w:rPr>
          <w:szCs w:val="21"/>
        </w:rPr>
      </w:pPr>
      <w:r>
        <w:rPr>
          <w:rFonts w:hint="eastAsia"/>
          <w:szCs w:val="21"/>
        </w:rPr>
        <w:t>乙方或其雇员的行为损害了甲方的利益或声誉。</w:t>
      </w:r>
    </w:p>
    <w:p>
      <w:pPr>
        <w:numPr>
          <w:ilvl w:val="2"/>
          <w:numId w:val="87"/>
        </w:numPr>
        <w:tabs>
          <w:tab w:val="left" w:pos="1276"/>
        </w:tabs>
        <w:adjustRightInd w:val="0"/>
        <w:snapToGrid w:val="0"/>
        <w:spacing w:before="93" w:beforeLines="30" w:after="93" w:afterLines="30" w:line="360" w:lineRule="auto"/>
        <w:ind w:left="1276" w:hanging="567"/>
        <w:rPr>
          <w:szCs w:val="21"/>
        </w:rPr>
      </w:pPr>
      <w:r>
        <w:rPr>
          <w:rFonts w:hint="eastAsia"/>
          <w:szCs w:val="21"/>
        </w:rPr>
        <w:t>乙方违反第11.1条约定的权利保证。</w:t>
      </w:r>
    </w:p>
    <w:p>
      <w:pPr>
        <w:numPr>
          <w:ilvl w:val="1"/>
          <w:numId w:val="86"/>
        </w:numPr>
        <w:tabs>
          <w:tab w:val="left" w:pos="709"/>
          <w:tab w:val="clear" w:pos="840"/>
        </w:tabs>
        <w:adjustRightInd w:val="0"/>
        <w:snapToGrid w:val="0"/>
        <w:spacing w:before="93" w:beforeLines="30" w:after="93" w:afterLines="30" w:line="360" w:lineRule="auto"/>
        <w:ind w:left="709" w:hanging="709"/>
        <w:rPr>
          <w:szCs w:val="21"/>
        </w:rPr>
      </w:pPr>
      <w:r>
        <w:rPr>
          <w:rFonts w:hint="eastAsia"/>
          <w:szCs w:val="21"/>
        </w:rPr>
        <w:t>就乙方的上述违约行为，甲方除有权依据本合同第</w:t>
      </w:r>
      <w:r>
        <w:rPr>
          <w:szCs w:val="21"/>
        </w:rPr>
        <w:t>12.1</w:t>
      </w:r>
      <w:r>
        <w:rPr>
          <w:rFonts w:hint="eastAsia"/>
          <w:szCs w:val="21"/>
        </w:rPr>
        <w:t>款要求乙方承担违约责任外，有权向乙方出具书面通知，要求乙方进行更正或整改。如乙方收到该等通知后【三（</w:t>
      </w:r>
      <w:r>
        <w:rPr>
          <w:szCs w:val="21"/>
        </w:rPr>
        <w:t>3</w:t>
      </w:r>
      <w:r>
        <w:rPr>
          <w:rFonts w:hint="eastAsia"/>
          <w:szCs w:val="21"/>
        </w:rPr>
        <w:t>）】个工作日内未按照甲方要求作出更正或进行整改的，甲方有权立即解除本合同，乙方应赔偿甲方因此而遭受的全部损失。</w:t>
      </w:r>
    </w:p>
    <w:p>
      <w:pPr>
        <w:numPr>
          <w:ilvl w:val="1"/>
          <w:numId w:val="86"/>
        </w:numPr>
        <w:tabs>
          <w:tab w:val="left" w:pos="709"/>
          <w:tab w:val="clear" w:pos="840"/>
        </w:tabs>
        <w:adjustRightInd w:val="0"/>
        <w:snapToGrid w:val="0"/>
        <w:spacing w:before="93" w:beforeLines="30" w:after="93" w:afterLines="30" w:line="360" w:lineRule="auto"/>
        <w:ind w:left="709" w:hanging="709"/>
        <w:rPr>
          <w:szCs w:val="21"/>
        </w:rPr>
      </w:pPr>
      <w:r>
        <w:rPr>
          <w:rFonts w:hint="eastAsia"/>
          <w:szCs w:val="21"/>
        </w:rPr>
        <w:t>如乙方未能在合同规定的工作期限内完成全部工作，每延期一日，乙方应向甲方支付合同总价的【0</w:t>
      </w:r>
      <w:r>
        <w:rPr>
          <w:szCs w:val="21"/>
        </w:rPr>
        <w:t>.5%</w:t>
      </w:r>
      <w:r>
        <w:rPr>
          <w:rFonts w:hint="eastAsia"/>
          <w:szCs w:val="21"/>
        </w:rPr>
        <w:t>】作为延期违约金。如延期超过【</w:t>
      </w:r>
      <w:r>
        <w:rPr>
          <w:szCs w:val="21"/>
        </w:rPr>
        <w:t>10</w:t>
      </w:r>
      <w:r>
        <w:rPr>
          <w:rFonts w:hint="eastAsia"/>
          <w:szCs w:val="21"/>
        </w:rPr>
        <w:t>】日，除要求乙方支付违约金外，甲方有权解除本合同，并有权要求乙方赔偿甲方因此遭受的全部损失。</w:t>
      </w:r>
    </w:p>
    <w:p>
      <w:pPr>
        <w:numPr>
          <w:ilvl w:val="1"/>
          <w:numId w:val="86"/>
        </w:numPr>
        <w:tabs>
          <w:tab w:val="left" w:pos="709"/>
          <w:tab w:val="clear" w:pos="840"/>
        </w:tabs>
        <w:adjustRightInd w:val="0"/>
        <w:snapToGrid w:val="0"/>
        <w:spacing w:before="93" w:beforeLines="30" w:after="93" w:afterLines="30" w:line="360" w:lineRule="auto"/>
        <w:ind w:left="709" w:hanging="709"/>
        <w:rPr>
          <w:szCs w:val="21"/>
        </w:rPr>
      </w:pPr>
      <w:r>
        <w:rPr>
          <w:rFonts w:hint="eastAsia"/>
          <w:szCs w:val="21"/>
        </w:rPr>
        <w:t>乙方根据本合同的规定应承担违约金或赔偿责任的，甲方有权从合同总价余额中直接扣除。</w:t>
      </w:r>
    </w:p>
    <w:p>
      <w:pPr>
        <w:numPr>
          <w:ilvl w:val="1"/>
          <w:numId w:val="86"/>
        </w:numPr>
        <w:tabs>
          <w:tab w:val="left" w:pos="709"/>
          <w:tab w:val="clear" w:pos="840"/>
        </w:tabs>
        <w:adjustRightInd w:val="0"/>
        <w:snapToGrid w:val="0"/>
        <w:spacing w:before="93" w:beforeLines="30" w:after="93" w:afterLines="30" w:line="360" w:lineRule="auto"/>
        <w:ind w:left="709" w:hanging="709"/>
        <w:rPr>
          <w:szCs w:val="21"/>
        </w:rPr>
      </w:pPr>
      <w:r>
        <w:rPr>
          <w:rFonts w:hint="eastAsia"/>
          <w:szCs w:val="21"/>
        </w:rPr>
        <w:t>如仅因甲方原因，甲方逾期向乙方付款，乙方应向甲方发出书面催款通知，甲方应在收到该等通知后【二十（</w:t>
      </w:r>
      <w:r>
        <w:rPr>
          <w:szCs w:val="21"/>
        </w:rPr>
        <w:t>20</w:t>
      </w:r>
      <w:r>
        <w:rPr>
          <w:rFonts w:hint="eastAsia"/>
          <w:szCs w:val="21"/>
        </w:rPr>
        <w:t>）】日内付款，否则，即应自该等【三十（</w:t>
      </w:r>
      <w:r>
        <w:rPr>
          <w:szCs w:val="21"/>
        </w:rPr>
        <w:t>30</w:t>
      </w:r>
      <w:r>
        <w:rPr>
          <w:rFonts w:hint="eastAsia"/>
          <w:szCs w:val="21"/>
        </w:rPr>
        <w:t>）】日期间结束之日起，按合同订立时</w:t>
      </w:r>
      <w:r>
        <w:rPr>
          <w:rFonts w:hint="eastAsia"/>
          <w:szCs w:val="21"/>
          <w:u w:val="single"/>
        </w:rPr>
        <w:t>中国人民银行的1年期贷款市场报价利率</w:t>
      </w:r>
      <w:r>
        <w:rPr>
          <w:rFonts w:hint="eastAsia"/>
          <w:szCs w:val="21"/>
        </w:rPr>
        <w:t>计算并支付应付未付合同价款的利息，最高不超过相关应付未付合同价款的【</w:t>
      </w:r>
      <w:r>
        <w:rPr>
          <w:szCs w:val="21"/>
        </w:rPr>
        <w:t>10%</w:t>
      </w:r>
      <w:r>
        <w:rPr>
          <w:rFonts w:hint="eastAsia"/>
          <w:szCs w:val="21"/>
        </w:rPr>
        <w:t>】。双方同意，该等利息的支付是甲方就未能如期支付相关合同价款所需承担的全部责任。</w:t>
      </w:r>
    </w:p>
    <w:p>
      <w:pPr>
        <w:pStyle w:val="246"/>
        <w:adjustRightInd w:val="0"/>
        <w:snapToGrid w:val="0"/>
        <w:spacing w:before="93" w:beforeLines="30" w:after="93" w:afterLines="30" w:line="360" w:lineRule="auto"/>
        <w:jc w:val="left"/>
        <w:rPr>
          <w:rFonts w:ascii="Times New Roman" w:hAnsi="Times New Roman"/>
          <w:sz w:val="21"/>
          <w:szCs w:val="21"/>
        </w:rPr>
      </w:pPr>
      <w:bookmarkStart w:id="346" w:name="_Toc299915694"/>
      <w:bookmarkStart w:id="347" w:name="_Toc299912679"/>
      <w:bookmarkStart w:id="348" w:name="_Toc364839374"/>
      <w:r>
        <w:rPr>
          <w:rFonts w:hint="eastAsia" w:ascii="宋体" w:hAnsi="宋体"/>
          <w:bCs w:val="0"/>
          <w:sz w:val="21"/>
          <w:szCs w:val="21"/>
        </w:rPr>
        <w:t>合同</w:t>
      </w:r>
      <w:r>
        <w:rPr>
          <w:rFonts w:hint="eastAsia"/>
          <w:sz w:val="21"/>
          <w:szCs w:val="21"/>
        </w:rPr>
        <w:t>的解除和终止</w:t>
      </w:r>
      <w:bookmarkEnd w:id="346"/>
      <w:bookmarkEnd w:id="347"/>
      <w:bookmarkEnd w:id="348"/>
    </w:p>
    <w:p>
      <w:pPr>
        <w:numPr>
          <w:ilvl w:val="0"/>
          <w:numId w:val="88"/>
        </w:numPr>
        <w:tabs>
          <w:tab w:val="left" w:pos="709"/>
          <w:tab w:val="clear" w:pos="1260"/>
        </w:tabs>
        <w:autoSpaceDE w:val="0"/>
        <w:autoSpaceDN w:val="0"/>
        <w:adjustRightInd w:val="0"/>
        <w:snapToGrid w:val="0"/>
        <w:spacing w:before="93" w:beforeLines="30" w:after="93" w:afterLines="30" w:line="360" w:lineRule="auto"/>
        <w:ind w:left="709" w:hanging="709"/>
        <w:rPr>
          <w:kern w:val="0"/>
          <w:szCs w:val="21"/>
        </w:rPr>
      </w:pPr>
      <w:r>
        <w:rPr>
          <w:rFonts w:hint="eastAsia"/>
          <w:kern w:val="0"/>
          <w:szCs w:val="21"/>
        </w:rPr>
        <w:t>如发生以下任一情形，经书面通知乙方，甲方有权解除本合同：</w:t>
      </w:r>
    </w:p>
    <w:p>
      <w:pPr>
        <w:widowControl/>
        <w:numPr>
          <w:ilvl w:val="0"/>
          <w:numId w:val="89"/>
        </w:numPr>
        <w:adjustRightInd w:val="0"/>
        <w:snapToGrid w:val="0"/>
        <w:spacing w:before="93" w:beforeLines="30" w:after="93" w:afterLines="30" w:line="360" w:lineRule="auto"/>
        <w:ind w:left="1276" w:hanging="567"/>
        <w:jc w:val="left"/>
        <w:rPr>
          <w:szCs w:val="21"/>
        </w:rPr>
      </w:pPr>
      <w:r>
        <w:rPr>
          <w:rFonts w:hint="eastAsia"/>
          <w:szCs w:val="21"/>
        </w:rPr>
        <w:t>本合同明确规定甲方有权解除合同的情形；</w:t>
      </w:r>
    </w:p>
    <w:p>
      <w:pPr>
        <w:widowControl/>
        <w:numPr>
          <w:ilvl w:val="0"/>
          <w:numId w:val="89"/>
        </w:numPr>
        <w:adjustRightInd w:val="0"/>
        <w:snapToGrid w:val="0"/>
        <w:spacing w:before="93" w:beforeLines="30" w:after="93" w:afterLines="30" w:line="360" w:lineRule="auto"/>
        <w:ind w:left="1276" w:hanging="567"/>
        <w:jc w:val="left"/>
        <w:rPr>
          <w:szCs w:val="21"/>
        </w:rPr>
      </w:pPr>
      <w:r>
        <w:rPr>
          <w:rFonts w:hint="eastAsia"/>
          <w:szCs w:val="21"/>
        </w:rPr>
        <w:t>乙方破产、资不抵债、停业清理、解散、被兼并、被查封；</w:t>
      </w:r>
    </w:p>
    <w:p>
      <w:pPr>
        <w:widowControl/>
        <w:numPr>
          <w:ilvl w:val="0"/>
          <w:numId w:val="89"/>
        </w:numPr>
        <w:adjustRightInd w:val="0"/>
        <w:snapToGrid w:val="0"/>
        <w:spacing w:before="93" w:beforeLines="30" w:after="93" w:afterLines="30" w:line="360" w:lineRule="auto"/>
        <w:ind w:left="1276" w:hanging="567"/>
        <w:jc w:val="left"/>
        <w:rPr>
          <w:szCs w:val="21"/>
        </w:rPr>
      </w:pPr>
      <w:r>
        <w:rPr>
          <w:rFonts w:hint="eastAsia"/>
          <w:szCs w:val="21"/>
        </w:rPr>
        <w:t>乙方有其它严重违约行为，且未在甲方要求的合理期限内纠正；</w:t>
      </w:r>
    </w:p>
    <w:p>
      <w:pPr>
        <w:widowControl/>
        <w:numPr>
          <w:ilvl w:val="0"/>
          <w:numId w:val="89"/>
        </w:numPr>
        <w:adjustRightInd w:val="0"/>
        <w:snapToGrid w:val="0"/>
        <w:spacing w:before="93" w:beforeLines="30" w:after="93" w:afterLines="30" w:line="360" w:lineRule="auto"/>
        <w:ind w:left="1276" w:hanging="567"/>
        <w:jc w:val="left"/>
        <w:rPr>
          <w:szCs w:val="21"/>
        </w:rPr>
      </w:pPr>
      <w:r>
        <w:rPr>
          <w:rFonts w:hint="eastAsia"/>
          <w:szCs w:val="21"/>
        </w:rPr>
        <w:t>不可抗力持续超过【六十（</w:t>
      </w:r>
      <w:r>
        <w:rPr>
          <w:szCs w:val="21"/>
        </w:rPr>
        <w:t>60</w:t>
      </w:r>
      <w:r>
        <w:rPr>
          <w:rFonts w:hint="eastAsia"/>
          <w:szCs w:val="21"/>
        </w:rPr>
        <w:t>）】日。</w:t>
      </w:r>
    </w:p>
    <w:p>
      <w:pPr>
        <w:numPr>
          <w:ilvl w:val="0"/>
          <w:numId w:val="88"/>
        </w:numPr>
        <w:tabs>
          <w:tab w:val="left" w:pos="709"/>
          <w:tab w:val="clear" w:pos="1260"/>
        </w:tabs>
        <w:autoSpaceDE w:val="0"/>
        <w:autoSpaceDN w:val="0"/>
        <w:adjustRightInd w:val="0"/>
        <w:snapToGrid w:val="0"/>
        <w:spacing w:before="93" w:beforeLines="30" w:after="93" w:afterLines="30" w:line="360" w:lineRule="auto"/>
        <w:ind w:left="709" w:hanging="709"/>
        <w:rPr>
          <w:szCs w:val="21"/>
        </w:rPr>
      </w:pPr>
      <w:r>
        <w:rPr>
          <w:rFonts w:hint="eastAsia"/>
          <w:szCs w:val="21"/>
        </w:rPr>
        <w:t>如因乙方违约甲方解除本合同，乙方应退回甲方已经支付的全部款项，并根据本合同规定支付违约金，并且甲方有权要求乙方赔偿其因此遭受的全部损失。甲方有权以适当的条件和方式购买与本合同项下同等服务，乙方应承担甲方购买同等服务的差额费用。</w:t>
      </w:r>
    </w:p>
    <w:p>
      <w:pPr>
        <w:numPr>
          <w:ilvl w:val="0"/>
          <w:numId w:val="88"/>
        </w:numPr>
        <w:tabs>
          <w:tab w:val="left" w:pos="709"/>
          <w:tab w:val="clear" w:pos="1260"/>
        </w:tabs>
        <w:autoSpaceDE w:val="0"/>
        <w:autoSpaceDN w:val="0"/>
        <w:adjustRightInd w:val="0"/>
        <w:snapToGrid w:val="0"/>
        <w:spacing w:before="93" w:beforeLines="30" w:after="93" w:afterLines="30" w:line="360" w:lineRule="auto"/>
        <w:ind w:left="709" w:hanging="709"/>
        <w:rPr>
          <w:szCs w:val="21"/>
        </w:rPr>
      </w:pPr>
      <w:r>
        <w:rPr>
          <w:rFonts w:hint="eastAsia"/>
          <w:szCs w:val="21"/>
        </w:rPr>
        <w:t>无论基于何种原因，经提前【三十（3</w:t>
      </w:r>
      <w:r>
        <w:rPr>
          <w:szCs w:val="21"/>
        </w:rPr>
        <w:t>0</w:t>
      </w:r>
      <w:r>
        <w:rPr>
          <w:rFonts w:hint="eastAsia"/>
          <w:szCs w:val="21"/>
        </w:rPr>
        <w:t>）】日书面通知乙方，甲方有权随时终止本合同。乙方收到甲方终止合同的书面通知后，应立即停止实施与本合同有关的工作，并对已履行的部分进行结算。甲方收到乙方的结算要求后，应与乙方协商结算数额、因甲方终止合同需向乙方支付的补偿款等事项。甲方因终止合同向乙方支付的补偿款以乙方为履行合同已实际发生的直接、合理费用为限。如甲方已支付的合同价款不足以涵盖该等费用，经乙方提供证明文件后，甲方应向乙方支付差额部分。但是，如甲方已支付的合同价款超过该等费用，乙方应向甲方返还超额部分。甲方向乙方支付的该等补偿款系甲方根据本款规定终止合同时，乙方可获得的全部赔偿。任何时候乙方均无权要求甲方赔偿因合同终止而引起的预期利润的损失或损害。</w:t>
      </w:r>
    </w:p>
    <w:p>
      <w:pPr>
        <w:numPr>
          <w:ilvl w:val="0"/>
          <w:numId w:val="88"/>
        </w:numPr>
        <w:tabs>
          <w:tab w:val="left" w:pos="709"/>
        </w:tabs>
        <w:autoSpaceDE w:val="0"/>
        <w:autoSpaceDN w:val="0"/>
        <w:adjustRightInd w:val="0"/>
        <w:snapToGrid w:val="0"/>
        <w:spacing w:before="93" w:beforeLines="30" w:after="93" w:afterLines="30" w:line="360" w:lineRule="auto"/>
        <w:ind w:left="709" w:hanging="709"/>
        <w:rPr>
          <w:kern w:val="0"/>
          <w:szCs w:val="21"/>
        </w:rPr>
      </w:pPr>
      <w:r>
        <w:rPr>
          <w:rFonts w:hint="eastAsia"/>
          <w:kern w:val="0"/>
          <w:szCs w:val="21"/>
        </w:rPr>
        <w:t>如本合同根据本条第</w:t>
      </w:r>
      <w:r>
        <w:rPr>
          <w:kern w:val="0"/>
          <w:szCs w:val="21"/>
        </w:rPr>
        <w:t>14.3</w:t>
      </w:r>
      <w:r>
        <w:rPr>
          <w:rFonts w:hint="eastAsia"/>
          <w:kern w:val="0"/>
          <w:szCs w:val="21"/>
        </w:rPr>
        <w:t>款终止，对于合同终止前乙方完成的工作成果，乙方应立即移交给甲方，甲方拥有相关工作成果的全部权益；如甲方已付合同价款超过乙方已完成工作的价值，乙方应向甲方返还差额部分。</w:t>
      </w:r>
    </w:p>
    <w:p>
      <w:pPr>
        <w:pStyle w:val="246"/>
        <w:adjustRightInd w:val="0"/>
        <w:snapToGrid w:val="0"/>
        <w:spacing w:before="93" w:beforeLines="30" w:after="93" w:afterLines="30" w:line="360" w:lineRule="auto"/>
        <w:jc w:val="left"/>
        <w:rPr>
          <w:sz w:val="21"/>
          <w:szCs w:val="21"/>
        </w:rPr>
      </w:pPr>
      <w:bookmarkStart w:id="349" w:name="_Toc364839375"/>
      <w:bookmarkStart w:id="350" w:name="_Toc299915690"/>
      <w:r>
        <w:rPr>
          <w:rFonts w:hint="eastAsia"/>
          <w:sz w:val="21"/>
          <w:szCs w:val="21"/>
        </w:rPr>
        <w:t>健康、安全和环保</w:t>
      </w:r>
      <w:bookmarkEnd w:id="349"/>
      <w:bookmarkEnd w:id="350"/>
    </w:p>
    <w:p>
      <w:pPr>
        <w:numPr>
          <w:ilvl w:val="0"/>
          <w:numId w:val="90"/>
        </w:numPr>
        <w:tabs>
          <w:tab w:val="left" w:pos="709"/>
          <w:tab w:val="clear" w:pos="0"/>
        </w:tabs>
        <w:adjustRightInd w:val="0"/>
        <w:snapToGrid w:val="0"/>
        <w:spacing w:before="93" w:beforeLines="30" w:after="93" w:afterLines="30" w:line="360" w:lineRule="auto"/>
        <w:ind w:left="709" w:hanging="709"/>
        <w:rPr>
          <w:szCs w:val="21"/>
        </w:rPr>
      </w:pPr>
      <w:r>
        <w:rPr>
          <w:rFonts w:hint="eastAsia"/>
          <w:szCs w:val="21"/>
        </w:rPr>
        <w:t>乙方在履行合同时，应遵守中国相关法律法规及甲方关于健康、安全及环保的规定：</w:t>
      </w:r>
    </w:p>
    <w:p>
      <w:pPr>
        <w:numPr>
          <w:ilvl w:val="0"/>
          <w:numId w:val="91"/>
        </w:numPr>
        <w:tabs>
          <w:tab w:val="left" w:pos="1276"/>
        </w:tabs>
        <w:adjustRightInd w:val="0"/>
        <w:snapToGrid w:val="0"/>
        <w:spacing w:before="93" w:beforeLines="30" w:after="93" w:afterLines="30" w:line="360" w:lineRule="auto"/>
        <w:ind w:left="1276" w:hanging="567"/>
        <w:rPr>
          <w:szCs w:val="21"/>
        </w:rPr>
      </w:pPr>
      <w:r>
        <w:rPr>
          <w:rFonts w:hint="eastAsia"/>
          <w:szCs w:val="21"/>
        </w:rPr>
        <w:t>乙方应为有机会出差或驻场的人员购买人身意外保险或其它相关项目的保险；</w:t>
      </w:r>
    </w:p>
    <w:p>
      <w:pPr>
        <w:numPr>
          <w:ilvl w:val="0"/>
          <w:numId w:val="91"/>
        </w:numPr>
        <w:tabs>
          <w:tab w:val="left" w:pos="1276"/>
        </w:tabs>
        <w:adjustRightInd w:val="0"/>
        <w:snapToGrid w:val="0"/>
        <w:spacing w:before="93" w:beforeLines="30" w:after="93" w:afterLines="30" w:line="360" w:lineRule="auto"/>
        <w:ind w:left="1276" w:hanging="567"/>
        <w:rPr>
          <w:szCs w:val="21"/>
        </w:rPr>
      </w:pPr>
      <w:r>
        <w:rPr>
          <w:rFonts w:hint="eastAsia"/>
          <w:szCs w:val="21"/>
        </w:rPr>
        <w:t>甲方有权根据需要修订其健康、安全及环保政策并将最新文件发给乙方以便遵照执行。</w:t>
      </w:r>
    </w:p>
    <w:p>
      <w:pPr>
        <w:numPr>
          <w:ilvl w:val="0"/>
          <w:numId w:val="90"/>
        </w:numPr>
        <w:tabs>
          <w:tab w:val="left" w:pos="709"/>
          <w:tab w:val="clear" w:pos="0"/>
        </w:tabs>
        <w:adjustRightInd w:val="0"/>
        <w:snapToGrid w:val="0"/>
        <w:spacing w:before="93" w:beforeLines="30" w:after="93" w:afterLines="30" w:line="360" w:lineRule="auto"/>
        <w:ind w:left="709" w:hanging="709"/>
        <w:rPr>
          <w:kern w:val="0"/>
          <w:szCs w:val="21"/>
        </w:rPr>
      </w:pPr>
      <w:r>
        <w:rPr>
          <w:rFonts w:hint="eastAsia"/>
          <w:szCs w:val="21"/>
        </w:rPr>
        <w:t>乙方应保证其完成工作和工作成果符合国家要求的健康、安全及环保标准。因乙方未能按国家相关规定和甲方的要求，而在健康、安全、环保方面给甲方造成的任何损失由乙方全额承担。</w:t>
      </w:r>
    </w:p>
    <w:p>
      <w:pPr>
        <w:pStyle w:val="246"/>
        <w:adjustRightInd w:val="0"/>
        <w:snapToGrid w:val="0"/>
        <w:spacing w:before="93" w:beforeLines="30" w:after="93" w:afterLines="30" w:line="360" w:lineRule="auto"/>
        <w:jc w:val="left"/>
        <w:rPr>
          <w:sz w:val="21"/>
          <w:szCs w:val="21"/>
        </w:rPr>
      </w:pPr>
      <w:bookmarkStart w:id="351" w:name="_Toc364839376"/>
      <w:bookmarkStart w:id="352" w:name="_Toc300147855"/>
      <w:r>
        <w:rPr>
          <w:rFonts w:hint="eastAsia" w:ascii="Times New Roman" w:hAnsi="Times New Roman"/>
          <w:sz w:val="21"/>
          <w:szCs w:val="21"/>
        </w:rPr>
        <w:t>转让</w:t>
      </w:r>
      <w:r>
        <w:rPr>
          <w:rFonts w:hint="eastAsia"/>
          <w:sz w:val="21"/>
          <w:szCs w:val="21"/>
        </w:rPr>
        <w:t>和分包</w:t>
      </w:r>
      <w:bookmarkEnd w:id="351"/>
      <w:bookmarkEnd w:id="352"/>
    </w:p>
    <w:p>
      <w:pPr>
        <w:widowControl/>
        <w:numPr>
          <w:ilvl w:val="0"/>
          <w:numId w:val="92"/>
        </w:numPr>
        <w:tabs>
          <w:tab w:val="left" w:pos="709"/>
        </w:tabs>
        <w:adjustRightInd w:val="0"/>
        <w:snapToGrid w:val="0"/>
        <w:spacing w:before="93" w:beforeLines="30" w:after="93" w:afterLines="30" w:line="360" w:lineRule="auto"/>
        <w:ind w:left="709" w:hanging="709"/>
        <w:rPr>
          <w:szCs w:val="21"/>
        </w:rPr>
      </w:pPr>
      <w:r>
        <w:rPr>
          <w:rFonts w:hint="eastAsia"/>
          <w:szCs w:val="21"/>
        </w:rPr>
        <w:t>未经甲方事先书面同意，乙方不得将其在本合同项下的任何权利和义务全部或部分转让给任何第三方，包括乙方的关联企业。甲方可以将其在本合同项下的权利和义务全部或部分转让给其关联企业，且无需事先征得乙方的同意，但应书面通知乙方。</w:t>
      </w:r>
    </w:p>
    <w:p>
      <w:pPr>
        <w:widowControl/>
        <w:numPr>
          <w:ilvl w:val="0"/>
          <w:numId w:val="92"/>
        </w:numPr>
        <w:tabs>
          <w:tab w:val="left" w:pos="709"/>
        </w:tabs>
        <w:adjustRightInd w:val="0"/>
        <w:snapToGrid w:val="0"/>
        <w:spacing w:before="93" w:beforeLines="30" w:after="93" w:afterLines="30" w:line="360" w:lineRule="auto"/>
        <w:ind w:left="709" w:hanging="709"/>
        <w:rPr>
          <w:szCs w:val="21"/>
        </w:rPr>
      </w:pPr>
      <w:r>
        <w:rPr>
          <w:rFonts w:hint="eastAsia"/>
          <w:szCs w:val="21"/>
        </w:rPr>
        <w:t>未经甲方事先书面同意，乙方不得将其在本合同项下的任何义务分包给任何第三方，包括乙方的关联企业。</w:t>
      </w:r>
      <w:bookmarkStart w:id="353" w:name="_DV_C867"/>
      <w:r>
        <w:rPr>
          <w:rFonts w:hint="eastAsia"/>
          <w:szCs w:val="21"/>
        </w:rPr>
        <w:t>乙方不得将本合同转包给任何第三方，包括其关联企业。</w:t>
      </w:r>
      <w:bookmarkEnd w:id="353"/>
    </w:p>
    <w:p>
      <w:pPr>
        <w:pStyle w:val="246"/>
        <w:adjustRightInd w:val="0"/>
        <w:snapToGrid w:val="0"/>
        <w:spacing w:before="93" w:beforeLines="30" w:after="93" w:afterLines="30" w:line="360" w:lineRule="auto"/>
        <w:jc w:val="left"/>
        <w:rPr>
          <w:sz w:val="21"/>
          <w:szCs w:val="21"/>
        </w:rPr>
      </w:pPr>
      <w:bookmarkStart w:id="354" w:name="_Toc364839377"/>
      <w:bookmarkStart w:id="355" w:name="_Toc299912680"/>
      <w:bookmarkStart w:id="356" w:name="_Toc299915695"/>
      <w:r>
        <w:rPr>
          <w:rFonts w:hint="eastAsia"/>
          <w:sz w:val="21"/>
          <w:szCs w:val="21"/>
        </w:rPr>
        <w:t>不可抗力</w:t>
      </w:r>
      <w:bookmarkEnd w:id="354"/>
      <w:bookmarkEnd w:id="355"/>
      <w:bookmarkEnd w:id="356"/>
    </w:p>
    <w:p>
      <w:pPr>
        <w:pStyle w:val="18"/>
        <w:widowControl/>
        <w:numPr>
          <w:ilvl w:val="0"/>
          <w:numId w:val="93"/>
        </w:numPr>
        <w:tabs>
          <w:tab w:val="left" w:pos="1175"/>
        </w:tabs>
        <w:autoSpaceDE/>
        <w:autoSpaceDN/>
        <w:snapToGrid w:val="0"/>
        <w:spacing w:before="93" w:beforeLines="30" w:after="93" w:afterLines="30"/>
        <w:ind w:left="709" w:hanging="709"/>
        <w:rPr>
          <w:rFonts w:ascii="宋体" w:hAnsi="宋体" w:eastAsia="宋体"/>
          <w:sz w:val="21"/>
          <w:szCs w:val="21"/>
        </w:rPr>
      </w:pPr>
      <w:bookmarkStart w:id="357" w:name="_Toc299550771"/>
      <w:bookmarkStart w:id="358" w:name="_Toc299912681"/>
      <w:bookmarkStart w:id="359" w:name="_Toc299915696"/>
      <w:r>
        <w:rPr>
          <w:rFonts w:hint="eastAsia" w:ascii="宋体" w:hAnsi="宋体" w:eastAsia="宋体"/>
          <w:sz w:val="21"/>
          <w:szCs w:val="21"/>
        </w:rPr>
        <w:t>不可抗力系指本合同的履行过程中，任何一方经合理努力仍不可预见、不可避免并不能克服的客观情况。</w:t>
      </w:r>
      <w:r>
        <w:rPr>
          <w:rFonts w:hint="eastAsia" w:ascii="宋体" w:hAnsi="宋体" w:eastAsia="宋体"/>
          <w:kern w:val="0"/>
          <w:sz w:val="21"/>
          <w:szCs w:val="21"/>
        </w:rPr>
        <w:t>任</w:t>
      </w:r>
      <w:r>
        <w:rPr>
          <w:rFonts w:hint="eastAsia" w:ascii="宋体" w:hAnsi="宋体" w:eastAsia="宋体"/>
          <w:sz w:val="21"/>
          <w:szCs w:val="21"/>
        </w:rPr>
        <w:t>何一方因不可抗力不能或延迟履行本合同，不承担违约责任。</w:t>
      </w:r>
    </w:p>
    <w:p>
      <w:pPr>
        <w:pStyle w:val="18"/>
        <w:widowControl/>
        <w:numPr>
          <w:ilvl w:val="0"/>
          <w:numId w:val="93"/>
        </w:numPr>
        <w:tabs>
          <w:tab w:val="left" w:pos="1175"/>
        </w:tabs>
        <w:autoSpaceDE/>
        <w:autoSpaceDN/>
        <w:snapToGrid w:val="0"/>
        <w:spacing w:before="93" w:beforeLines="30" w:after="93" w:afterLines="30"/>
        <w:ind w:left="709" w:hanging="709"/>
        <w:rPr>
          <w:rFonts w:ascii="宋体" w:hAnsi="宋体" w:eastAsia="宋体"/>
          <w:sz w:val="21"/>
          <w:szCs w:val="21"/>
        </w:rPr>
      </w:pPr>
      <w:r>
        <w:rPr>
          <w:rFonts w:hint="eastAsia" w:ascii="宋体" w:hAnsi="宋体" w:eastAsia="宋体"/>
          <w:sz w:val="21"/>
          <w:szCs w:val="21"/>
        </w:rPr>
        <w:t>如果一方遭受不可抗力，应立即（不迟于</w:t>
      </w:r>
      <w:r>
        <w:rPr>
          <w:rFonts w:ascii="宋体" w:hAnsi="宋体" w:eastAsia="宋体"/>
          <w:sz w:val="21"/>
          <w:szCs w:val="21"/>
        </w:rPr>
        <w:t>24</w:t>
      </w:r>
      <w:r>
        <w:rPr>
          <w:rFonts w:hint="eastAsia" w:ascii="宋体" w:hAnsi="宋体" w:eastAsia="宋体"/>
          <w:sz w:val="21"/>
          <w:szCs w:val="21"/>
        </w:rPr>
        <w:t>小时内）通知另一方，并采取一切合理、必要的措施减少损失</w:t>
      </w:r>
      <w:r>
        <w:rPr>
          <w:rFonts w:hint="eastAsia" w:ascii="Times New Roman" w:hAnsi="宋体" w:eastAsia="宋体"/>
          <w:sz w:val="21"/>
          <w:szCs w:val="21"/>
        </w:rPr>
        <w:t>及不可抗力的影响，恢复合同的履行。不可抗力结束后</w:t>
      </w:r>
      <w:r>
        <w:rPr>
          <w:rFonts w:ascii="Times New Roman" w:eastAsia="宋体"/>
          <w:sz w:val="21"/>
          <w:szCs w:val="21"/>
        </w:rPr>
        <w:t>48</w:t>
      </w:r>
      <w:r>
        <w:rPr>
          <w:rFonts w:hint="eastAsia" w:ascii="Times New Roman" w:hAnsi="宋体" w:eastAsia="宋体"/>
          <w:sz w:val="21"/>
          <w:szCs w:val="21"/>
        </w:rPr>
        <w:t>小时内，遭受不可抗力的一方应向另一方通报不可抗力的情况，包括不可抗力造成的损害</w:t>
      </w:r>
      <w:r>
        <w:rPr>
          <w:rFonts w:hint="eastAsia" w:ascii="宋体" w:hAnsi="宋体" w:eastAsia="宋体"/>
          <w:sz w:val="21"/>
          <w:szCs w:val="21"/>
        </w:rPr>
        <w:t>、延续时间、合同设备受影响的范围、补救措施等，如不可抗力持续发生，遭受不可抗力的一方应及时更新该等信息。</w:t>
      </w:r>
    </w:p>
    <w:p>
      <w:pPr>
        <w:pStyle w:val="18"/>
        <w:widowControl/>
        <w:numPr>
          <w:ilvl w:val="0"/>
          <w:numId w:val="93"/>
        </w:numPr>
        <w:tabs>
          <w:tab w:val="left" w:pos="1175"/>
        </w:tabs>
        <w:autoSpaceDE/>
        <w:autoSpaceDN/>
        <w:snapToGrid w:val="0"/>
        <w:spacing w:before="93" w:beforeLines="30" w:after="93" w:afterLines="30"/>
        <w:ind w:left="709" w:hanging="709"/>
        <w:rPr>
          <w:rFonts w:ascii="宋体" w:hAnsi="宋体" w:eastAsia="宋体"/>
          <w:sz w:val="21"/>
          <w:szCs w:val="21"/>
        </w:rPr>
      </w:pPr>
      <w:r>
        <w:rPr>
          <w:rFonts w:hint="eastAsia" w:ascii="宋体" w:hAnsi="宋体" w:eastAsia="宋体"/>
          <w:sz w:val="21"/>
          <w:szCs w:val="21"/>
        </w:rPr>
        <w:t>如发生不可抗力，双方各自承担其人员和财产损失。一旦不可抗力停止或者影响消除，双方应立即履行其义务，合同的期限应该相应顺延。如果不可抗力的影响持续超过【</w:t>
      </w:r>
      <w:r>
        <w:rPr>
          <w:rFonts w:ascii="宋体" w:hAnsi="宋体" w:eastAsia="宋体"/>
          <w:sz w:val="21"/>
          <w:szCs w:val="21"/>
        </w:rPr>
        <w:t>30</w:t>
      </w:r>
      <w:r>
        <w:rPr>
          <w:rFonts w:hint="eastAsia" w:ascii="宋体" w:hAnsi="宋体" w:eastAsia="宋体"/>
          <w:sz w:val="21"/>
          <w:szCs w:val="21"/>
        </w:rPr>
        <w:t>】日，双方应该共同商议应对措施。</w:t>
      </w:r>
    </w:p>
    <w:p>
      <w:pPr>
        <w:pStyle w:val="18"/>
        <w:widowControl/>
        <w:numPr>
          <w:ilvl w:val="0"/>
          <w:numId w:val="93"/>
        </w:numPr>
        <w:tabs>
          <w:tab w:val="left" w:pos="1175"/>
        </w:tabs>
        <w:autoSpaceDE/>
        <w:autoSpaceDN/>
        <w:snapToGrid w:val="0"/>
        <w:spacing w:before="93" w:beforeLines="30" w:after="93" w:afterLines="30"/>
        <w:ind w:left="709" w:hanging="709"/>
        <w:rPr>
          <w:rFonts w:ascii="宋体" w:hAnsi="宋体" w:eastAsia="宋体"/>
          <w:sz w:val="21"/>
          <w:szCs w:val="21"/>
        </w:rPr>
      </w:pPr>
      <w:r>
        <w:rPr>
          <w:rFonts w:hint="eastAsia" w:ascii="宋体" w:hAnsi="宋体" w:eastAsia="宋体"/>
          <w:sz w:val="21"/>
          <w:szCs w:val="21"/>
        </w:rPr>
        <w:t>任何一方迟延履行合同后遭受不可抗力的，不得减少、免除该方在本合同项下的任何义务和责任。</w:t>
      </w:r>
    </w:p>
    <w:p>
      <w:pPr>
        <w:pStyle w:val="18"/>
        <w:widowControl/>
        <w:numPr>
          <w:ilvl w:val="0"/>
          <w:numId w:val="93"/>
        </w:numPr>
        <w:tabs>
          <w:tab w:val="left" w:pos="1175"/>
        </w:tabs>
        <w:autoSpaceDE/>
        <w:autoSpaceDN/>
        <w:snapToGrid w:val="0"/>
        <w:spacing w:before="93" w:beforeLines="30" w:after="93" w:afterLines="30"/>
        <w:ind w:left="709" w:hanging="709"/>
        <w:rPr>
          <w:rFonts w:ascii="宋体" w:hAnsi="宋体" w:eastAsia="宋体"/>
          <w:sz w:val="21"/>
          <w:szCs w:val="21"/>
        </w:rPr>
      </w:pPr>
      <w:r>
        <w:rPr>
          <w:rFonts w:hint="eastAsia" w:ascii="宋体" w:hAnsi="宋体" w:eastAsia="宋体"/>
          <w:sz w:val="21"/>
          <w:szCs w:val="21"/>
        </w:rPr>
        <w:t>不可抗力的发生不能造成任何一方支付额外款项、赔偿或其它救济方式，双方放弃对任何此类事项进行索赔的权利。</w:t>
      </w:r>
    </w:p>
    <w:p>
      <w:pPr>
        <w:pStyle w:val="246"/>
        <w:tabs>
          <w:tab w:val="left" w:pos="1134"/>
        </w:tabs>
        <w:adjustRightInd w:val="0"/>
        <w:snapToGrid w:val="0"/>
        <w:spacing w:before="93" w:beforeLines="30" w:after="93" w:afterLines="30" w:line="360" w:lineRule="auto"/>
        <w:ind w:left="1701" w:hanging="1701"/>
        <w:jc w:val="left"/>
      </w:pPr>
      <w:bookmarkStart w:id="360" w:name="_Toc364839378"/>
      <w:r>
        <w:rPr>
          <w:rFonts w:hint="eastAsia" w:ascii="宋体" w:hAnsi="宋体"/>
          <w:szCs w:val="24"/>
        </w:rPr>
        <w:t>保障</w:t>
      </w:r>
      <w:bookmarkEnd w:id="360"/>
    </w:p>
    <w:p>
      <w:pPr>
        <w:pStyle w:val="18"/>
        <w:widowControl/>
        <w:numPr>
          <w:ilvl w:val="0"/>
          <w:numId w:val="94"/>
        </w:numPr>
        <w:tabs>
          <w:tab w:val="left" w:pos="1175"/>
        </w:tabs>
        <w:autoSpaceDE/>
        <w:autoSpaceDN/>
        <w:snapToGrid w:val="0"/>
        <w:spacing w:before="93" w:beforeLines="30" w:after="93" w:afterLines="30"/>
        <w:ind w:left="709" w:hanging="709"/>
        <w:rPr>
          <w:rFonts w:ascii="宋体" w:hAnsi="宋体" w:eastAsia="宋体"/>
          <w:sz w:val="21"/>
          <w:szCs w:val="21"/>
        </w:rPr>
      </w:pPr>
      <w:r>
        <w:rPr>
          <w:rFonts w:ascii="宋体" w:hAnsi="宋体" w:eastAsia="宋体"/>
          <w:sz w:val="21"/>
          <w:szCs w:val="21"/>
        </w:rPr>
        <w:t>乙方</w:t>
      </w:r>
      <w:r>
        <w:rPr>
          <w:rFonts w:hint="eastAsia" w:ascii="宋体" w:hAnsi="宋体" w:eastAsia="宋体"/>
          <w:sz w:val="21"/>
          <w:szCs w:val="21"/>
        </w:rPr>
        <w:t>、乙方代理或分包商（如有）</w:t>
      </w:r>
      <w:r>
        <w:rPr>
          <w:rFonts w:ascii="宋体" w:hAnsi="宋体" w:eastAsia="宋体"/>
          <w:sz w:val="21"/>
          <w:szCs w:val="21"/>
        </w:rPr>
        <w:t>因履行合同造成任何第三方财产损失、</w:t>
      </w:r>
      <w:r>
        <w:rPr>
          <w:rFonts w:hint="eastAsia" w:ascii="宋体" w:hAnsi="宋体" w:eastAsia="宋体"/>
          <w:sz w:val="21"/>
          <w:szCs w:val="21"/>
        </w:rPr>
        <w:t>损坏、</w:t>
      </w:r>
      <w:r>
        <w:rPr>
          <w:rFonts w:ascii="宋体" w:hAnsi="宋体" w:eastAsia="宋体"/>
          <w:sz w:val="21"/>
          <w:szCs w:val="21"/>
        </w:rPr>
        <w:t>人身伤亡</w:t>
      </w:r>
      <w:r>
        <w:rPr>
          <w:rFonts w:hint="eastAsia" w:ascii="宋体" w:hAnsi="宋体" w:eastAsia="宋体"/>
          <w:sz w:val="21"/>
          <w:szCs w:val="21"/>
        </w:rPr>
        <w:t>或疾病</w:t>
      </w:r>
      <w:r>
        <w:rPr>
          <w:rFonts w:ascii="宋体" w:hAnsi="宋体" w:eastAsia="宋体"/>
          <w:sz w:val="21"/>
          <w:szCs w:val="21"/>
        </w:rPr>
        <w:t>，乙方应承担全部责任，</w:t>
      </w:r>
      <w:r>
        <w:rPr>
          <w:rFonts w:hint="eastAsia" w:ascii="宋体" w:hAnsi="宋体" w:eastAsia="宋体"/>
          <w:sz w:val="21"/>
          <w:szCs w:val="21"/>
        </w:rPr>
        <w:t>并应确保甲方免于所有相关的索赔、损失、损害、费用和责任，包括但不限于在甲方因此需向第三方支付任何赔偿时，乙方均应全额予以补偿。</w:t>
      </w:r>
    </w:p>
    <w:p>
      <w:pPr>
        <w:pStyle w:val="18"/>
        <w:widowControl/>
        <w:numPr>
          <w:ilvl w:val="0"/>
          <w:numId w:val="94"/>
        </w:numPr>
        <w:tabs>
          <w:tab w:val="left" w:pos="1175"/>
        </w:tabs>
        <w:autoSpaceDE/>
        <w:autoSpaceDN/>
        <w:snapToGrid w:val="0"/>
        <w:spacing w:before="93" w:beforeLines="30" w:after="93" w:afterLines="30"/>
        <w:ind w:left="709" w:hanging="709"/>
        <w:rPr>
          <w:rFonts w:ascii="宋体" w:hAnsi="宋体" w:eastAsia="宋体"/>
          <w:sz w:val="21"/>
          <w:szCs w:val="21"/>
        </w:rPr>
      </w:pPr>
      <w:r>
        <w:rPr>
          <w:rFonts w:ascii="宋体" w:hAnsi="宋体" w:eastAsia="宋体"/>
          <w:sz w:val="21"/>
          <w:szCs w:val="21"/>
        </w:rPr>
        <w:t>如因履行本合同，乙方</w:t>
      </w:r>
      <w:r>
        <w:rPr>
          <w:rFonts w:hint="eastAsia" w:ascii="宋体" w:hAnsi="宋体" w:eastAsia="宋体"/>
          <w:sz w:val="21"/>
          <w:szCs w:val="21"/>
        </w:rPr>
        <w:t>及其人员、乙方代理、分包商及其人员（如有）的任何财产（包括但不限于</w:t>
      </w:r>
      <w:r>
        <w:rPr>
          <w:rFonts w:ascii="宋体" w:hAnsi="宋体" w:eastAsia="宋体"/>
          <w:sz w:val="21"/>
          <w:szCs w:val="21"/>
        </w:rPr>
        <w:t>设备、装置、器材等</w:t>
      </w:r>
      <w:r>
        <w:rPr>
          <w:rFonts w:hint="eastAsia" w:ascii="宋体" w:hAnsi="宋体" w:eastAsia="宋体"/>
          <w:sz w:val="21"/>
          <w:szCs w:val="21"/>
        </w:rPr>
        <w:t>，且无论该等财产属于自有、租用、租赁或以其它方式提供）</w:t>
      </w:r>
      <w:r>
        <w:rPr>
          <w:rFonts w:ascii="宋体" w:hAnsi="宋体" w:eastAsia="宋体"/>
          <w:sz w:val="21"/>
          <w:szCs w:val="21"/>
        </w:rPr>
        <w:t>发生毁损、灭失或其它损失，除非该等损失系因甲方故意或重大过失</w:t>
      </w:r>
      <w:r>
        <w:rPr>
          <w:rFonts w:hint="eastAsia" w:ascii="宋体" w:hAnsi="宋体" w:eastAsia="宋体"/>
          <w:sz w:val="21"/>
          <w:szCs w:val="21"/>
        </w:rPr>
        <w:t>所致，乙方</w:t>
      </w:r>
      <w:r>
        <w:rPr>
          <w:rFonts w:ascii="宋体" w:hAnsi="宋体" w:eastAsia="宋体"/>
          <w:sz w:val="21"/>
          <w:szCs w:val="21"/>
        </w:rPr>
        <w:t>应自行承担全部损失，</w:t>
      </w:r>
      <w:r>
        <w:rPr>
          <w:rFonts w:hint="eastAsia" w:ascii="宋体" w:hAnsi="宋体" w:eastAsia="宋体"/>
          <w:sz w:val="21"/>
          <w:szCs w:val="21"/>
        </w:rPr>
        <w:t xml:space="preserve">并应确保甲方免于所有相关的索赔、损失、损害、费用和责任。 </w:t>
      </w:r>
    </w:p>
    <w:p>
      <w:pPr>
        <w:pStyle w:val="18"/>
        <w:widowControl/>
        <w:numPr>
          <w:ilvl w:val="0"/>
          <w:numId w:val="94"/>
        </w:numPr>
        <w:tabs>
          <w:tab w:val="left" w:pos="1175"/>
        </w:tabs>
        <w:autoSpaceDE/>
        <w:autoSpaceDN/>
        <w:snapToGrid w:val="0"/>
        <w:spacing w:before="93" w:beforeLines="30" w:after="93" w:afterLines="30"/>
        <w:ind w:left="709" w:hanging="709"/>
        <w:rPr>
          <w:rFonts w:ascii="宋体" w:hAnsi="宋体" w:eastAsia="宋体"/>
          <w:sz w:val="21"/>
          <w:szCs w:val="21"/>
        </w:rPr>
      </w:pPr>
      <w:r>
        <w:rPr>
          <w:rFonts w:ascii="宋体" w:hAnsi="宋体" w:eastAsia="宋体"/>
          <w:sz w:val="21"/>
          <w:szCs w:val="21"/>
        </w:rPr>
        <w:t>如因履行本合同</w:t>
      </w:r>
      <w:r>
        <w:rPr>
          <w:rFonts w:hint="eastAsia" w:ascii="宋体" w:hAnsi="宋体" w:eastAsia="宋体"/>
          <w:sz w:val="21"/>
          <w:szCs w:val="21"/>
        </w:rPr>
        <w:t>而发生的或与履行本合同有关的乙方、乙方代理及分包商（如有）的</w:t>
      </w:r>
      <w:r>
        <w:rPr>
          <w:rFonts w:ascii="宋体" w:hAnsi="宋体" w:eastAsia="宋体"/>
          <w:sz w:val="21"/>
          <w:szCs w:val="21"/>
        </w:rPr>
        <w:t>人员发生人身伤亡或</w:t>
      </w:r>
      <w:r>
        <w:rPr>
          <w:rFonts w:hint="eastAsia" w:ascii="宋体" w:hAnsi="宋体" w:eastAsia="宋体"/>
          <w:sz w:val="21"/>
          <w:szCs w:val="21"/>
        </w:rPr>
        <w:t>疾病</w:t>
      </w:r>
      <w:r>
        <w:rPr>
          <w:rFonts w:ascii="宋体" w:hAnsi="宋体" w:eastAsia="宋体"/>
          <w:sz w:val="21"/>
          <w:szCs w:val="21"/>
        </w:rPr>
        <w:t>，除非该等人身伤</w:t>
      </w:r>
      <w:r>
        <w:rPr>
          <w:rFonts w:hint="eastAsia" w:ascii="宋体" w:hAnsi="宋体" w:eastAsia="宋体"/>
          <w:sz w:val="21"/>
          <w:szCs w:val="21"/>
        </w:rPr>
        <w:t>亡</w:t>
      </w:r>
      <w:r>
        <w:rPr>
          <w:rFonts w:ascii="宋体" w:hAnsi="宋体" w:eastAsia="宋体"/>
          <w:sz w:val="21"/>
          <w:szCs w:val="21"/>
        </w:rPr>
        <w:t>或</w:t>
      </w:r>
      <w:r>
        <w:rPr>
          <w:rFonts w:hint="eastAsia" w:ascii="宋体" w:hAnsi="宋体" w:eastAsia="宋体"/>
          <w:sz w:val="21"/>
          <w:szCs w:val="21"/>
        </w:rPr>
        <w:t>疾病</w:t>
      </w:r>
      <w:r>
        <w:rPr>
          <w:rFonts w:ascii="宋体" w:hAnsi="宋体" w:eastAsia="宋体"/>
          <w:sz w:val="21"/>
          <w:szCs w:val="21"/>
        </w:rPr>
        <w:t>系因甲方故意或重大过失</w:t>
      </w:r>
      <w:r>
        <w:rPr>
          <w:rFonts w:hint="eastAsia" w:ascii="宋体" w:hAnsi="宋体" w:eastAsia="宋体"/>
          <w:sz w:val="21"/>
          <w:szCs w:val="21"/>
        </w:rPr>
        <w:t>所致，</w:t>
      </w:r>
      <w:r>
        <w:rPr>
          <w:rFonts w:ascii="宋体" w:hAnsi="宋体" w:eastAsia="宋体"/>
          <w:sz w:val="21"/>
          <w:szCs w:val="21"/>
        </w:rPr>
        <w:t>乙方应对</w:t>
      </w:r>
      <w:r>
        <w:rPr>
          <w:rFonts w:hint="eastAsia" w:ascii="宋体" w:hAnsi="宋体" w:eastAsia="宋体"/>
          <w:sz w:val="21"/>
          <w:szCs w:val="21"/>
        </w:rPr>
        <w:t>上述</w:t>
      </w:r>
      <w:r>
        <w:rPr>
          <w:rFonts w:ascii="宋体" w:hAnsi="宋体" w:eastAsia="宋体"/>
          <w:sz w:val="21"/>
          <w:szCs w:val="21"/>
        </w:rPr>
        <w:t>人员的人身伤亡或</w:t>
      </w:r>
      <w:r>
        <w:rPr>
          <w:rFonts w:hint="eastAsia" w:ascii="宋体" w:hAnsi="宋体" w:eastAsia="宋体"/>
          <w:sz w:val="21"/>
          <w:szCs w:val="21"/>
        </w:rPr>
        <w:t>疾病</w:t>
      </w:r>
      <w:r>
        <w:rPr>
          <w:rFonts w:ascii="宋体" w:hAnsi="宋体" w:eastAsia="宋体"/>
          <w:sz w:val="21"/>
          <w:szCs w:val="21"/>
        </w:rPr>
        <w:t>负责，</w:t>
      </w:r>
      <w:r>
        <w:rPr>
          <w:rFonts w:hint="eastAsia" w:ascii="宋体" w:hAnsi="宋体" w:eastAsia="宋体"/>
          <w:sz w:val="21"/>
          <w:szCs w:val="21"/>
        </w:rPr>
        <w:t>并确保甲方免于所有相关的索赔、损失、损害、费用和责任，包括但不限于甲方因此需要支付任何赔偿时，乙方均应全额予以补偿。</w:t>
      </w:r>
    </w:p>
    <w:p>
      <w:pPr>
        <w:pStyle w:val="18"/>
        <w:widowControl/>
        <w:numPr>
          <w:ilvl w:val="0"/>
          <w:numId w:val="94"/>
        </w:numPr>
        <w:tabs>
          <w:tab w:val="left" w:pos="1175"/>
        </w:tabs>
        <w:autoSpaceDE/>
        <w:autoSpaceDN/>
        <w:snapToGrid w:val="0"/>
        <w:spacing w:before="93" w:beforeLines="30" w:after="93" w:afterLines="30"/>
        <w:ind w:left="709" w:hanging="709"/>
        <w:rPr>
          <w:rFonts w:ascii="宋体" w:hAnsi="宋体" w:eastAsia="宋体"/>
          <w:sz w:val="21"/>
          <w:szCs w:val="21"/>
        </w:rPr>
      </w:pPr>
      <w:r>
        <w:rPr>
          <w:rFonts w:hint="eastAsia" w:ascii="宋体" w:hAnsi="宋体" w:eastAsia="宋体"/>
          <w:sz w:val="21"/>
          <w:szCs w:val="21"/>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18"/>
        <w:widowControl/>
        <w:autoSpaceDE/>
        <w:autoSpaceDN/>
        <w:snapToGrid w:val="0"/>
        <w:spacing w:before="93" w:beforeLines="30" w:after="93" w:afterLines="30"/>
        <w:rPr>
          <w:rFonts w:ascii="宋体" w:hAnsi="宋体" w:eastAsia="宋体"/>
          <w:sz w:val="21"/>
          <w:szCs w:val="21"/>
        </w:rPr>
      </w:pPr>
    </w:p>
    <w:bookmarkEnd w:id="357"/>
    <w:bookmarkEnd w:id="358"/>
    <w:bookmarkEnd w:id="359"/>
    <w:p>
      <w:pPr>
        <w:pStyle w:val="246"/>
        <w:adjustRightInd w:val="0"/>
        <w:snapToGrid w:val="0"/>
        <w:spacing w:before="93" w:beforeLines="30" w:after="93" w:afterLines="30" w:line="360" w:lineRule="auto"/>
        <w:jc w:val="left"/>
        <w:rPr>
          <w:sz w:val="21"/>
          <w:szCs w:val="21"/>
        </w:rPr>
      </w:pPr>
      <w:bookmarkStart w:id="361" w:name="_Toc300147858"/>
      <w:bookmarkStart w:id="362" w:name="_Toc364839379"/>
      <w:bookmarkStart w:id="363" w:name="_Toc298158360"/>
      <w:r>
        <w:rPr>
          <w:rFonts w:hint="eastAsia"/>
          <w:sz w:val="21"/>
          <w:szCs w:val="21"/>
        </w:rPr>
        <w:t>保密</w:t>
      </w:r>
      <w:bookmarkEnd w:id="361"/>
      <w:bookmarkEnd w:id="362"/>
      <w:bookmarkEnd w:id="363"/>
    </w:p>
    <w:p>
      <w:pPr>
        <w:numPr>
          <w:ilvl w:val="0"/>
          <w:numId w:val="95"/>
        </w:numPr>
        <w:tabs>
          <w:tab w:val="left" w:pos="709"/>
        </w:tabs>
        <w:adjustRightInd w:val="0"/>
        <w:snapToGrid w:val="0"/>
        <w:spacing w:before="93" w:beforeLines="30" w:after="93" w:afterLines="30" w:line="360" w:lineRule="auto"/>
        <w:ind w:left="709" w:hanging="709"/>
        <w:rPr>
          <w:szCs w:val="21"/>
        </w:rPr>
      </w:pPr>
      <w:r>
        <w:rPr>
          <w:rFonts w:hint="eastAsia"/>
          <w:szCs w:val="21"/>
        </w:rPr>
        <w:t>除非法律法规、政府机关另行强制要求，未经甲方事先书面同意，乙方不得将甲方保密信息披露给任何第三方（包括与合同无关的乙方员工和政府部门），亦不得将该等信息用于与本合同无关的用途。保密信息包括但不限于：本合同内容；甲方提供的与本合同有关的任何技术信息、图纸、样本、资料等；甲方提供的或乙方获得的与项目或甲方有关的任何技术和商务信息。</w:t>
      </w:r>
    </w:p>
    <w:p>
      <w:pPr>
        <w:numPr>
          <w:ilvl w:val="0"/>
          <w:numId w:val="95"/>
        </w:numPr>
        <w:tabs>
          <w:tab w:val="left" w:pos="709"/>
        </w:tabs>
        <w:adjustRightInd w:val="0"/>
        <w:snapToGrid w:val="0"/>
        <w:spacing w:before="93" w:beforeLines="30" w:after="93" w:afterLines="30" w:line="360" w:lineRule="auto"/>
        <w:ind w:left="709" w:hanging="709"/>
        <w:rPr>
          <w:szCs w:val="21"/>
        </w:rPr>
      </w:pPr>
      <w:r>
        <w:rPr>
          <w:rFonts w:hint="eastAsia"/>
          <w:szCs w:val="21"/>
        </w:rPr>
        <w:t>一方违反保密义务时，另一方有权要求该方停止侵害、消除影响或采取其他合理的救济措施，该方还应赔偿因违约行为而给对方造成的全部损失。</w:t>
      </w:r>
    </w:p>
    <w:p>
      <w:pPr>
        <w:pStyle w:val="246"/>
        <w:tabs>
          <w:tab w:val="left" w:pos="1134"/>
        </w:tabs>
        <w:adjustRightInd w:val="0"/>
        <w:snapToGrid w:val="0"/>
        <w:spacing w:before="93" w:beforeLines="30" w:after="93" w:afterLines="30" w:line="360" w:lineRule="auto"/>
        <w:ind w:left="1701" w:hanging="1701"/>
        <w:jc w:val="left"/>
        <w:rPr>
          <w:rFonts w:ascii="宋体" w:hAnsi="宋体"/>
          <w:sz w:val="21"/>
          <w:szCs w:val="21"/>
        </w:rPr>
      </w:pPr>
      <w:r>
        <w:rPr>
          <w:rFonts w:hint="eastAsia" w:ascii="宋体" w:hAnsi="宋体"/>
          <w:sz w:val="21"/>
          <w:szCs w:val="21"/>
        </w:rPr>
        <w:t xml:space="preserve"> 责任限制</w:t>
      </w:r>
    </w:p>
    <w:p>
      <w:pPr>
        <w:widowControl/>
        <w:numPr>
          <w:ilvl w:val="1"/>
          <w:numId w:val="96"/>
        </w:numPr>
        <w:tabs>
          <w:tab w:val="left" w:pos="709"/>
          <w:tab w:val="clear" w:pos="420"/>
        </w:tabs>
        <w:adjustRightInd w:val="0"/>
        <w:snapToGrid w:val="0"/>
        <w:spacing w:line="360" w:lineRule="auto"/>
        <w:ind w:left="709" w:hanging="709"/>
        <w:rPr>
          <w:rFonts w:ascii="宋体" w:hAnsi="宋体"/>
          <w:szCs w:val="21"/>
        </w:rPr>
      </w:pPr>
      <w:r>
        <w:rPr>
          <w:rFonts w:hint="eastAsia" w:ascii="宋体" w:hAnsi="宋体"/>
          <w:szCs w:val="21"/>
        </w:rPr>
        <w:t>乙方在履行合同过程中承担的总体责任限制为合同总价的【150%】。然而，该责任限制在任何情况下均不包括下述责任：</w:t>
      </w:r>
    </w:p>
    <w:p>
      <w:pPr>
        <w:widowControl/>
        <w:numPr>
          <w:ilvl w:val="0"/>
          <w:numId w:val="97"/>
        </w:numPr>
        <w:tabs>
          <w:tab w:val="left" w:pos="1134"/>
        </w:tabs>
        <w:adjustRightInd w:val="0"/>
        <w:snapToGrid w:val="0"/>
        <w:spacing w:line="360" w:lineRule="auto"/>
        <w:ind w:left="1134" w:hanging="425"/>
        <w:rPr>
          <w:rFonts w:ascii="宋体" w:hAnsi="宋体"/>
          <w:szCs w:val="21"/>
        </w:rPr>
      </w:pPr>
      <w:r>
        <w:rPr>
          <w:rFonts w:hint="eastAsia" w:ascii="宋体" w:hAnsi="宋体"/>
          <w:szCs w:val="21"/>
        </w:rPr>
        <w:t>乙方在合同第八条（质量保证）、第十一条（权利保证）、第十七条（保障）、第2.3款（税费）项下所应承担的责任；</w:t>
      </w:r>
    </w:p>
    <w:p>
      <w:pPr>
        <w:widowControl/>
        <w:numPr>
          <w:ilvl w:val="0"/>
          <w:numId w:val="97"/>
        </w:numPr>
        <w:tabs>
          <w:tab w:val="left" w:pos="1134"/>
        </w:tabs>
        <w:adjustRightInd w:val="0"/>
        <w:snapToGrid w:val="0"/>
        <w:spacing w:line="360" w:lineRule="auto"/>
        <w:ind w:left="1134" w:hanging="425"/>
        <w:rPr>
          <w:rFonts w:ascii="宋体" w:hAnsi="宋体"/>
          <w:szCs w:val="21"/>
        </w:rPr>
      </w:pPr>
      <w:r>
        <w:rPr>
          <w:rFonts w:hint="eastAsia" w:ascii="宋体" w:hAnsi="宋体"/>
          <w:szCs w:val="21"/>
        </w:rPr>
        <w:t>乙方根据法律法规及本合同的约定所应承担的税费；</w:t>
      </w:r>
    </w:p>
    <w:p>
      <w:pPr>
        <w:widowControl/>
        <w:numPr>
          <w:ilvl w:val="0"/>
          <w:numId w:val="97"/>
        </w:numPr>
        <w:tabs>
          <w:tab w:val="left" w:pos="1134"/>
        </w:tabs>
        <w:adjustRightInd w:val="0"/>
        <w:snapToGrid w:val="0"/>
        <w:spacing w:line="360" w:lineRule="auto"/>
        <w:ind w:left="1134" w:hanging="425"/>
        <w:rPr>
          <w:rFonts w:ascii="宋体" w:hAnsi="宋体"/>
          <w:szCs w:val="21"/>
        </w:rPr>
      </w:pPr>
      <w:r>
        <w:rPr>
          <w:rFonts w:hint="eastAsia" w:ascii="宋体" w:hAnsi="宋体"/>
          <w:szCs w:val="21"/>
        </w:rPr>
        <w:t>乙方从保险公司获得或可以获得的赔偿部分的违约责任；</w:t>
      </w:r>
    </w:p>
    <w:p>
      <w:pPr>
        <w:widowControl/>
        <w:numPr>
          <w:ilvl w:val="0"/>
          <w:numId w:val="97"/>
        </w:numPr>
        <w:tabs>
          <w:tab w:val="left" w:pos="1134"/>
        </w:tabs>
        <w:adjustRightInd w:val="0"/>
        <w:snapToGrid w:val="0"/>
        <w:spacing w:line="360" w:lineRule="auto"/>
        <w:ind w:left="1134" w:hanging="425"/>
        <w:rPr>
          <w:rFonts w:ascii="宋体" w:hAnsi="宋体"/>
          <w:szCs w:val="21"/>
        </w:rPr>
      </w:pPr>
      <w:r>
        <w:rPr>
          <w:rFonts w:hint="eastAsia" w:ascii="宋体" w:hAnsi="宋体"/>
          <w:szCs w:val="21"/>
        </w:rPr>
        <w:t>乙方违反法律法规引起的责任；</w:t>
      </w:r>
    </w:p>
    <w:p>
      <w:pPr>
        <w:widowControl/>
        <w:numPr>
          <w:ilvl w:val="0"/>
          <w:numId w:val="97"/>
        </w:numPr>
        <w:tabs>
          <w:tab w:val="left" w:pos="1134"/>
        </w:tabs>
        <w:adjustRightInd w:val="0"/>
        <w:snapToGrid w:val="0"/>
        <w:spacing w:line="360" w:lineRule="auto"/>
        <w:ind w:left="1134" w:hanging="425"/>
        <w:rPr>
          <w:rFonts w:ascii="宋体" w:hAnsi="宋体"/>
          <w:szCs w:val="21"/>
        </w:rPr>
      </w:pPr>
      <w:r>
        <w:rPr>
          <w:rFonts w:hint="eastAsia" w:ascii="宋体" w:hAnsi="宋体"/>
          <w:szCs w:val="21"/>
        </w:rPr>
        <w:t>乙方及其人员、乙方代理、乙方的分包商及其人员因欺诈、故意、重大过失引起的责任；</w:t>
      </w:r>
    </w:p>
    <w:p>
      <w:pPr>
        <w:pStyle w:val="246"/>
        <w:adjustRightInd w:val="0"/>
        <w:snapToGrid w:val="0"/>
        <w:spacing w:before="93" w:beforeLines="30" w:after="93" w:afterLines="30" w:line="360" w:lineRule="auto"/>
        <w:jc w:val="left"/>
        <w:rPr>
          <w:sz w:val="21"/>
          <w:szCs w:val="21"/>
        </w:rPr>
      </w:pPr>
      <w:r>
        <w:rPr>
          <w:rFonts w:hint="eastAsia"/>
          <w:sz w:val="21"/>
          <w:szCs w:val="21"/>
        </w:rPr>
        <w:t>审计、禁止商业贿赂和反腐败</w:t>
      </w:r>
    </w:p>
    <w:p>
      <w:pPr>
        <w:numPr>
          <w:ilvl w:val="0"/>
          <w:numId w:val="98"/>
        </w:numPr>
        <w:tabs>
          <w:tab w:val="clear" w:pos="0"/>
        </w:tabs>
        <w:adjustRightInd w:val="0"/>
        <w:snapToGrid w:val="0"/>
        <w:spacing w:before="93" w:beforeLines="30" w:after="93" w:afterLines="30" w:line="360" w:lineRule="auto"/>
        <w:ind w:left="619" w:hanging="619" w:hangingChars="295"/>
        <w:rPr>
          <w:rFonts w:ascii="宋体" w:hAnsi="宋体"/>
          <w:szCs w:val="21"/>
        </w:rPr>
      </w:pPr>
      <w:r>
        <w:rPr>
          <w:rFonts w:hint="eastAsia" w:ascii="宋体" w:hAnsi="宋体"/>
          <w:kern w:val="0"/>
          <w:szCs w:val="21"/>
        </w:rPr>
        <w:t>乙方应根据甲方要求，接受和配合甲方或甲方委</w:t>
      </w:r>
      <w:r>
        <w:rPr>
          <w:rFonts w:hint="eastAsia" w:ascii="宋体" w:hAnsi="宋体"/>
          <w:szCs w:val="21"/>
        </w:rPr>
        <w:t>托的会计师事务所进行的与本合同相关的审计，包括配合甲方或甲方委托的会计师事务所对分包商进行的与分包合同相关的审计。乙方应在分包合同中要求其分包商接受与本合同</w:t>
      </w:r>
      <w:r>
        <w:rPr>
          <w:rFonts w:hint="eastAsia" w:ascii="宋体" w:hAnsi="宋体"/>
          <w:kern w:val="0"/>
          <w:szCs w:val="21"/>
        </w:rPr>
        <w:t>相同</w:t>
      </w:r>
      <w:r>
        <w:rPr>
          <w:rFonts w:hint="eastAsia" w:ascii="宋体" w:hAnsi="宋体"/>
          <w:szCs w:val="21"/>
        </w:rPr>
        <w:t>的审计要求，包括分包商应无条件接受和配合甲方或甲方委托的会计师事务所对分包商进行的与分包合同相关的审计。</w:t>
      </w:r>
    </w:p>
    <w:p>
      <w:pPr>
        <w:numPr>
          <w:ilvl w:val="0"/>
          <w:numId w:val="98"/>
        </w:numPr>
        <w:tabs>
          <w:tab w:val="clear" w:pos="0"/>
        </w:tabs>
        <w:adjustRightInd w:val="0"/>
        <w:snapToGrid w:val="0"/>
        <w:spacing w:before="93" w:beforeLines="30" w:after="93" w:afterLines="30" w:line="360" w:lineRule="auto"/>
        <w:ind w:left="619" w:hanging="619" w:hangingChars="295"/>
        <w:rPr>
          <w:rFonts w:ascii="宋体" w:hAnsi="宋体"/>
          <w:szCs w:val="21"/>
        </w:rPr>
      </w:pPr>
      <w:r>
        <w:rPr>
          <w:rFonts w:hint="eastAsia" w:ascii="宋体" w:hAnsi="宋体"/>
          <w:kern w:val="0"/>
          <w:szCs w:val="21"/>
        </w:rPr>
        <w:t>乙方应保存与本合同相关的记录和账目，保存期限为本合同终止后【十（</w:t>
      </w:r>
      <w:r>
        <w:rPr>
          <w:rFonts w:ascii="宋体" w:hAnsi="宋体"/>
          <w:kern w:val="0"/>
          <w:szCs w:val="21"/>
        </w:rPr>
        <w:t>10</w:t>
      </w:r>
      <w:r>
        <w:rPr>
          <w:rFonts w:hint="eastAsia" w:ascii="宋体" w:hAnsi="宋体"/>
          <w:kern w:val="0"/>
          <w:szCs w:val="21"/>
        </w:rPr>
        <w:t>）】年或遵从所在国相关规定。经提前通知，甲方或甲方委托的会计师事务所有权检查并复制该等记录和账目。</w:t>
      </w:r>
    </w:p>
    <w:p>
      <w:pPr>
        <w:numPr>
          <w:ilvl w:val="0"/>
          <w:numId w:val="98"/>
        </w:numPr>
        <w:tabs>
          <w:tab w:val="clear" w:pos="0"/>
        </w:tabs>
        <w:adjustRightInd w:val="0"/>
        <w:snapToGrid w:val="0"/>
        <w:spacing w:before="93" w:beforeLines="30" w:after="93" w:afterLines="30" w:line="360" w:lineRule="auto"/>
        <w:ind w:left="619" w:hanging="619" w:hangingChars="295"/>
        <w:rPr>
          <w:rFonts w:ascii="宋体" w:hAnsi="宋体"/>
          <w:szCs w:val="21"/>
        </w:rPr>
      </w:pPr>
      <w:r>
        <w:rPr>
          <w:rFonts w:hint="eastAsia"/>
          <w:szCs w:val="21"/>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246"/>
        <w:tabs>
          <w:tab w:val="left" w:pos="1276"/>
        </w:tabs>
        <w:adjustRightInd w:val="0"/>
        <w:snapToGrid w:val="0"/>
        <w:spacing w:before="93" w:beforeLines="30" w:after="93" w:afterLines="30" w:line="360" w:lineRule="auto"/>
        <w:jc w:val="left"/>
        <w:rPr>
          <w:sz w:val="21"/>
          <w:szCs w:val="21"/>
        </w:rPr>
      </w:pPr>
      <w:bookmarkStart w:id="364" w:name="_Toc299915699"/>
      <w:bookmarkStart w:id="365" w:name="_Toc297822760"/>
      <w:bookmarkStart w:id="366" w:name="_Toc364839381"/>
      <w:r>
        <w:rPr>
          <w:rFonts w:hint="eastAsia"/>
          <w:sz w:val="21"/>
          <w:szCs w:val="21"/>
        </w:rPr>
        <w:t>通知</w:t>
      </w:r>
      <w:bookmarkEnd w:id="364"/>
      <w:bookmarkEnd w:id="365"/>
      <w:bookmarkEnd w:id="366"/>
    </w:p>
    <w:p>
      <w:pPr>
        <w:widowControl/>
        <w:numPr>
          <w:ilvl w:val="0"/>
          <w:numId w:val="99"/>
        </w:numPr>
        <w:tabs>
          <w:tab w:val="left" w:pos="709"/>
        </w:tabs>
        <w:autoSpaceDE w:val="0"/>
        <w:autoSpaceDN w:val="0"/>
        <w:adjustRightInd w:val="0"/>
        <w:snapToGrid w:val="0"/>
        <w:spacing w:before="93" w:beforeLines="30" w:after="93" w:afterLines="30" w:line="360" w:lineRule="auto"/>
        <w:ind w:left="709" w:hanging="709"/>
        <w:jc w:val="left"/>
        <w:textAlignment w:val="bottom"/>
        <w:rPr>
          <w:szCs w:val="21"/>
        </w:rPr>
      </w:pPr>
      <w:r>
        <w:rPr>
          <w:rFonts w:hint="eastAsia"/>
          <w:szCs w:val="21"/>
        </w:rPr>
        <w:t>通知应根据本合同规定以亲自递送、特快专递、传真等方式送达。通知在下列情况视为送达：</w:t>
      </w:r>
    </w:p>
    <w:p>
      <w:pPr>
        <w:widowControl/>
        <w:numPr>
          <w:ilvl w:val="1"/>
          <w:numId w:val="100"/>
        </w:numPr>
        <w:adjustRightInd w:val="0"/>
        <w:snapToGrid w:val="0"/>
        <w:spacing w:before="93" w:beforeLines="30" w:after="93" w:afterLines="30" w:line="360" w:lineRule="auto"/>
        <w:ind w:left="1276" w:hanging="567"/>
        <w:jc w:val="left"/>
        <w:rPr>
          <w:szCs w:val="21"/>
        </w:rPr>
      </w:pPr>
      <w:r>
        <w:rPr>
          <w:rFonts w:hint="eastAsia"/>
          <w:szCs w:val="21"/>
        </w:rPr>
        <w:t>如采用亲自递送方式，于签收确认之时；</w:t>
      </w:r>
    </w:p>
    <w:p>
      <w:pPr>
        <w:widowControl/>
        <w:numPr>
          <w:ilvl w:val="1"/>
          <w:numId w:val="100"/>
        </w:numPr>
        <w:adjustRightInd w:val="0"/>
        <w:snapToGrid w:val="0"/>
        <w:spacing w:before="93" w:beforeLines="30" w:after="93" w:afterLines="30" w:line="360" w:lineRule="auto"/>
        <w:ind w:left="1276" w:hanging="567"/>
        <w:jc w:val="left"/>
        <w:rPr>
          <w:szCs w:val="21"/>
        </w:rPr>
      </w:pPr>
      <w:r>
        <w:rPr>
          <w:rFonts w:hint="eastAsia"/>
          <w:szCs w:val="21"/>
        </w:rPr>
        <w:t>如采用特快专递方式，于收件人签收之时；</w:t>
      </w:r>
    </w:p>
    <w:p>
      <w:pPr>
        <w:widowControl/>
        <w:numPr>
          <w:ilvl w:val="1"/>
          <w:numId w:val="100"/>
        </w:numPr>
        <w:adjustRightInd w:val="0"/>
        <w:snapToGrid w:val="0"/>
        <w:spacing w:before="93" w:beforeLines="30" w:after="93" w:afterLines="30" w:line="360" w:lineRule="auto"/>
        <w:ind w:left="1276" w:hanging="567"/>
        <w:jc w:val="left"/>
        <w:rPr>
          <w:szCs w:val="21"/>
        </w:rPr>
      </w:pPr>
      <w:r>
        <w:rPr>
          <w:rFonts w:hint="eastAsia"/>
          <w:szCs w:val="21"/>
        </w:rPr>
        <w:t>如采用传真方式，于确认传输之时。</w:t>
      </w:r>
    </w:p>
    <w:p>
      <w:pPr>
        <w:widowControl/>
        <w:numPr>
          <w:ilvl w:val="0"/>
          <w:numId w:val="99"/>
        </w:numPr>
        <w:tabs>
          <w:tab w:val="left" w:pos="709"/>
        </w:tabs>
        <w:autoSpaceDE w:val="0"/>
        <w:autoSpaceDN w:val="0"/>
        <w:adjustRightInd w:val="0"/>
        <w:snapToGrid w:val="0"/>
        <w:spacing w:before="93" w:beforeLines="30" w:after="93" w:afterLines="30" w:line="360" w:lineRule="auto"/>
        <w:ind w:left="709" w:hanging="709"/>
        <w:jc w:val="left"/>
        <w:textAlignment w:val="bottom"/>
        <w:rPr>
          <w:szCs w:val="21"/>
        </w:rPr>
      </w:pPr>
      <w:r>
        <w:rPr>
          <w:rFonts w:hint="eastAsia" w:ascii="宋体" w:hAnsi="宋体"/>
          <w:szCs w:val="21"/>
        </w:rPr>
        <w:t>除非一</w:t>
      </w:r>
      <w:r>
        <w:rPr>
          <w:rFonts w:hint="eastAsia"/>
          <w:szCs w:val="21"/>
        </w:rPr>
        <w:t>方另行明确要求，双方可通过互联网电子邮件进行通讯联系或传送文件。因不能合理控制的原因导致任何互联网电子邮件遗失、延误、被截取、破坏或修改的，通知发出方不承担因此造成的任何损失、损害、费用、伤害或不便。</w:t>
      </w:r>
    </w:p>
    <w:p>
      <w:pPr>
        <w:pStyle w:val="246"/>
        <w:tabs>
          <w:tab w:val="left" w:pos="1276"/>
        </w:tabs>
        <w:adjustRightInd w:val="0"/>
        <w:snapToGrid w:val="0"/>
        <w:spacing w:before="93" w:beforeLines="30" w:after="93" w:afterLines="30" w:line="360" w:lineRule="auto"/>
        <w:jc w:val="left"/>
        <w:rPr>
          <w:kern w:val="0"/>
          <w:sz w:val="21"/>
          <w:szCs w:val="21"/>
        </w:rPr>
      </w:pPr>
      <w:bookmarkStart w:id="367" w:name="_Toc299915700"/>
      <w:bookmarkStart w:id="368" w:name="_Toc364839382"/>
      <w:r>
        <w:rPr>
          <w:rFonts w:hint="eastAsia"/>
          <w:kern w:val="0"/>
          <w:sz w:val="21"/>
          <w:szCs w:val="21"/>
        </w:rPr>
        <w:t>法律适用和争议解决</w:t>
      </w:r>
      <w:bookmarkEnd w:id="367"/>
      <w:bookmarkEnd w:id="368"/>
    </w:p>
    <w:p>
      <w:pPr>
        <w:numPr>
          <w:ilvl w:val="1"/>
          <w:numId w:val="101"/>
        </w:numPr>
        <w:adjustRightInd w:val="0"/>
        <w:snapToGrid w:val="0"/>
        <w:spacing w:before="93" w:beforeLines="30" w:after="93" w:afterLines="30" w:line="360" w:lineRule="auto"/>
        <w:ind w:left="709" w:hanging="709"/>
        <w:rPr>
          <w:rFonts w:ascii="宋体"/>
          <w:szCs w:val="21"/>
        </w:rPr>
      </w:pPr>
      <w:bookmarkStart w:id="369" w:name="_Toc291365399"/>
      <w:bookmarkStart w:id="370" w:name="_Toc291275281"/>
      <w:bookmarkStart w:id="371" w:name="_Toc291354277"/>
      <w:r>
        <w:rPr>
          <w:rFonts w:hint="eastAsia" w:ascii="宋体" w:hAnsi="宋体"/>
          <w:szCs w:val="21"/>
        </w:rPr>
        <w:t>本合同适用中华人民共和国（不含香港特别行政区、澳门特别行政区和台湾地区）法律。</w:t>
      </w:r>
    </w:p>
    <w:p>
      <w:pPr>
        <w:numPr>
          <w:ilvl w:val="1"/>
          <w:numId w:val="101"/>
        </w:numPr>
        <w:adjustRightInd w:val="0"/>
        <w:snapToGrid w:val="0"/>
        <w:spacing w:before="93" w:beforeLines="30" w:after="93" w:afterLines="30" w:line="360" w:lineRule="auto"/>
        <w:ind w:left="709" w:hanging="709"/>
        <w:rPr>
          <w:rFonts w:ascii="宋体"/>
          <w:szCs w:val="21"/>
        </w:rPr>
      </w:pPr>
      <w:r>
        <w:rPr>
          <w:rFonts w:hint="eastAsia" w:ascii="宋体" w:hAnsi="宋体"/>
          <w:szCs w:val="21"/>
        </w:rPr>
        <w:t>因履行本合同发生的或与本合同有关的一切争议，双方首先应友好协商解决，如经协商【六十（</w:t>
      </w:r>
      <w:r>
        <w:rPr>
          <w:rFonts w:ascii="宋体" w:hAnsi="宋体"/>
          <w:szCs w:val="21"/>
        </w:rPr>
        <w:t>60</w:t>
      </w:r>
      <w:r>
        <w:rPr>
          <w:rFonts w:hint="eastAsia" w:ascii="宋体" w:hAnsi="宋体"/>
          <w:szCs w:val="21"/>
        </w:rPr>
        <w:t>）】日内仍不能解决，双方同意：</w:t>
      </w:r>
    </w:p>
    <w:p>
      <w:pPr>
        <w:adjustRightInd w:val="0"/>
        <w:snapToGrid w:val="0"/>
        <w:spacing w:before="93" w:beforeLines="30" w:after="93" w:afterLines="30" w:line="360" w:lineRule="auto"/>
        <w:ind w:left="708" w:leftChars="337"/>
        <w:rPr>
          <w:rFonts w:ascii="宋体"/>
          <w:szCs w:val="21"/>
        </w:rPr>
      </w:pPr>
      <w:r>
        <w:rPr>
          <w:rFonts w:hint="eastAsia" w:ascii="宋体" w:hAnsi="宋体"/>
          <w:szCs w:val="21"/>
        </w:rPr>
        <w:t>提交</w:t>
      </w:r>
      <w:r>
        <w:rPr>
          <w:rFonts w:hint="eastAsia" w:ascii="宋体" w:hAnsi="宋体"/>
          <w:szCs w:val="21"/>
          <w:u w:val="single"/>
        </w:rPr>
        <w:t>上海仲裁委员会</w:t>
      </w:r>
      <w:r>
        <w:rPr>
          <w:rFonts w:hint="eastAsia" w:ascii="宋体" w:hAnsi="宋体"/>
          <w:szCs w:val="21"/>
        </w:rPr>
        <w:t>进行仲裁。</w:t>
      </w:r>
      <w:r>
        <w:rPr>
          <w:rFonts w:hint="eastAsia"/>
          <w:bCs/>
        </w:rPr>
        <w:t>仲裁应根据申请仲裁时该仲裁委员会现行有效的仲裁规则进行。仲裁员人数为一名。庭审地为</w:t>
      </w:r>
      <w:r>
        <w:rPr>
          <w:rFonts w:hint="eastAsia"/>
          <w:bCs/>
          <w:u w:val="single"/>
        </w:rPr>
        <w:t>上海</w:t>
      </w:r>
      <w:r>
        <w:rPr>
          <w:rFonts w:hint="eastAsia"/>
          <w:bCs/>
        </w:rPr>
        <w:t>。仲裁裁决是终局的，对双方均有约束力。</w:t>
      </w:r>
    </w:p>
    <w:p>
      <w:pPr>
        <w:numPr>
          <w:ilvl w:val="1"/>
          <w:numId w:val="101"/>
        </w:numPr>
        <w:adjustRightInd w:val="0"/>
        <w:snapToGrid w:val="0"/>
        <w:spacing w:before="93" w:beforeLines="30" w:after="93" w:afterLines="30" w:line="360" w:lineRule="auto"/>
        <w:ind w:left="709" w:hanging="709"/>
        <w:rPr>
          <w:b/>
          <w:szCs w:val="21"/>
        </w:rPr>
      </w:pPr>
      <w:r>
        <w:rPr>
          <w:rFonts w:hint="eastAsia" w:ascii="宋体" w:hAnsi="宋体"/>
          <w:szCs w:val="21"/>
        </w:rPr>
        <w:t>争议解决期间，除争议事项外，双方应继续履行本合同。</w:t>
      </w:r>
    </w:p>
    <w:p>
      <w:pPr>
        <w:pStyle w:val="246"/>
        <w:adjustRightInd w:val="0"/>
        <w:snapToGrid w:val="0"/>
        <w:spacing w:before="93" w:beforeLines="30" w:after="93" w:afterLines="30" w:line="360" w:lineRule="auto"/>
        <w:jc w:val="left"/>
        <w:rPr>
          <w:sz w:val="21"/>
          <w:szCs w:val="21"/>
        </w:rPr>
      </w:pPr>
      <w:bookmarkStart w:id="372" w:name="_Toc364839383"/>
      <w:r>
        <w:rPr>
          <w:rFonts w:hint="eastAsia"/>
          <w:sz w:val="21"/>
          <w:szCs w:val="21"/>
        </w:rPr>
        <w:t>其它</w:t>
      </w:r>
      <w:bookmarkEnd w:id="372"/>
    </w:p>
    <w:p>
      <w:pPr>
        <w:numPr>
          <w:ilvl w:val="1"/>
          <w:numId w:val="102"/>
        </w:numPr>
        <w:tabs>
          <w:tab w:val="left" w:pos="709"/>
          <w:tab w:val="clear" w:pos="0"/>
        </w:tabs>
        <w:adjustRightInd w:val="0"/>
        <w:snapToGrid w:val="0"/>
        <w:spacing w:before="93" w:beforeLines="30" w:after="93" w:afterLines="30" w:line="360" w:lineRule="auto"/>
        <w:ind w:left="709" w:hanging="709"/>
        <w:rPr>
          <w:szCs w:val="21"/>
        </w:rPr>
      </w:pPr>
      <w:r>
        <w:rPr>
          <w:rFonts w:hint="eastAsia"/>
          <w:szCs w:val="21"/>
        </w:rPr>
        <w:t>本合同自甲乙双方法定代表人或授权代表签字并盖章之日起生效，</w:t>
      </w:r>
      <w:bookmarkStart w:id="373" w:name="OLE_LINK11"/>
      <w:bookmarkStart w:id="374" w:name="OLE_LINK12"/>
      <w:r>
        <w:rPr>
          <w:rFonts w:hint="eastAsia" w:ascii="宋体" w:hAnsi="宋体"/>
          <w:szCs w:val="21"/>
        </w:rPr>
        <w:t>自双方履行完本合同项下全部权利和义务后终止</w:t>
      </w:r>
      <w:bookmarkEnd w:id="373"/>
      <w:bookmarkEnd w:id="374"/>
      <w:r>
        <w:rPr>
          <w:rFonts w:hint="eastAsia"/>
          <w:szCs w:val="21"/>
        </w:rPr>
        <w:t>。</w:t>
      </w:r>
    </w:p>
    <w:p>
      <w:pPr>
        <w:numPr>
          <w:ilvl w:val="1"/>
          <w:numId w:val="102"/>
        </w:numPr>
        <w:tabs>
          <w:tab w:val="left" w:pos="709"/>
          <w:tab w:val="clear" w:pos="0"/>
        </w:tabs>
        <w:adjustRightInd w:val="0"/>
        <w:snapToGrid w:val="0"/>
        <w:spacing w:before="93" w:beforeLines="30" w:after="93" w:afterLines="30" w:line="360" w:lineRule="auto"/>
        <w:ind w:left="709" w:hanging="709"/>
        <w:rPr>
          <w:szCs w:val="21"/>
        </w:rPr>
      </w:pPr>
      <w:r>
        <w:rPr>
          <w:rFonts w:hint="eastAsia"/>
          <w:szCs w:val="21"/>
        </w:rPr>
        <w:t>本合同签署以前双方就本合同约定的服务的提供和接受及相关事宜达成的所有口头和</w:t>
      </w:r>
      <w:r>
        <w:rPr>
          <w:szCs w:val="21"/>
        </w:rPr>
        <w:t>/</w:t>
      </w:r>
      <w:r>
        <w:rPr>
          <w:rFonts w:hint="eastAsia"/>
          <w:szCs w:val="21"/>
        </w:rPr>
        <w:t>或书面的声明、文件、信件及双方其它形式的通信在本合同生效后自动失效。</w:t>
      </w:r>
    </w:p>
    <w:p>
      <w:pPr>
        <w:numPr>
          <w:ilvl w:val="1"/>
          <w:numId w:val="102"/>
        </w:numPr>
        <w:tabs>
          <w:tab w:val="left" w:pos="709"/>
          <w:tab w:val="clear" w:pos="0"/>
        </w:tabs>
        <w:adjustRightInd w:val="0"/>
        <w:snapToGrid w:val="0"/>
        <w:spacing w:before="93" w:beforeLines="30" w:after="93" w:afterLines="30" w:line="360" w:lineRule="auto"/>
        <w:ind w:left="709" w:hanging="709"/>
        <w:rPr>
          <w:szCs w:val="21"/>
        </w:rPr>
      </w:pPr>
      <w:r>
        <w:rPr>
          <w:rFonts w:hint="eastAsia"/>
          <w:szCs w:val="21"/>
        </w:rPr>
        <w:t>未经另一方事先书面同意，任何一方不得以任何方式使用另一方的名称、商品商标、服务商标、企业标志、商号或品牌。</w:t>
      </w:r>
    </w:p>
    <w:p>
      <w:pPr>
        <w:numPr>
          <w:ilvl w:val="1"/>
          <w:numId w:val="102"/>
        </w:numPr>
        <w:tabs>
          <w:tab w:val="left" w:pos="709"/>
          <w:tab w:val="clear" w:pos="0"/>
        </w:tabs>
        <w:adjustRightInd w:val="0"/>
        <w:snapToGrid w:val="0"/>
        <w:spacing w:before="93" w:beforeLines="30" w:after="93" w:afterLines="30" w:line="360" w:lineRule="auto"/>
        <w:ind w:left="709" w:hanging="709"/>
        <w:rPr>
          <w:szCs w:val="21"/>
        </w:rPr>
      </w:pPr>
      <w:r>
        <w:rPr>
          <w:rFonts w:hint="eastAsia"/>
          <w:szCs w:val="21"/>
        </w:rPr>
        <w:t>如果本合同的任何条款或规定被裁定为无效、不合法或不可强制执行，该条款或规定应视为被删除，本合同其它条款不受影响，仍继续有效。</w:t>
      </w:r>
    </w:p>
    <w:p>
      <w:pPr>
        <w:numPr>
          <w:ilvl w:val="1"/>
          <w:numId w:val="102"/>
        </w:numPr>
        <w:tabs>
          <w:tab w:val="left" w:pos="709"/>
          <w:tab w:val="clear" w:pos="0"/>
        </w:tabs>
        <w:adjustRightInd w:val="0"/>
        <w:snapToGrid w:val="0"/>
        <w:spacing w:before="93" w:beforeLines="30" w:after="93" w:afterLines="30" w:line="360" w:lineRule="auto"/>
        <w:ind w:left="709" w:hanging="709"/>
        <w:rPr>
          <w:szCs w:val="21"/>
        </w:rPr>
      </w:pPr>
      <w:r>
        <w:rPr>
          <w:rFonts w:hint="eastAsia"/>
          <w:szCs w:val="21"/>
        </w:rPr>
        <w:t>本合同履行过程中，如乙方发生重组、合并、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numPr>
          <w:ilvl w:val="1"/>
          <w:numId w:val="102"/>
        </w:numPr>
        <w:tabs>
          <w:tab w:val="left" w:pos="709"/>
          <w:tab w:val="clear" w:pos="0"/>
        </w:tabs>
        <w:adjustRightInd w:val="0"/>
        <w:snapToGrid w:val="0"/>
        <w:spacing w:before="93" w:beforeLines="30" w:after="93" w:afterLines="30" w:line="360" w:lineRule="auto"/>
        <w:ind w:left="709" w:hanging="709"/>
        <w:rPr>
          <w:szCs w:val="21"/>
        </w:rPr>
      </w:pPr>
      <w:r>
        <w:rPr>
          <w:rFonts w:hint="eastAsia"/>
          <w:szCs w:val="21"/>
        </w:rPr>
        <w:t>本合同解除或终止后，本合同项下关于知识产权、保密、保证、责任、适用法律、争议解决和其它具有持续性效力的条款继续有效。</w:t>
      </w:r>
    </w:p>
    <w:p>
      <w:pPr>
        <w:numPr>
          <w:ilvl w:val="1"/>
          <w:numId w:val="102"/>
        </w:numPr>
        <w:tabs>
          <w:tab w:val="left" w:pos="709"/>
          <w:tab w:val="clear" w:pos="0"/>
        </w:tabs>
        <w:adjustRightInd w:val="0"/>
        <w:snapToGrid w:val="0"/>
        <w:spacing w:before="93" w:beforeLines="30" w:after="93" w:afterLines="30" w:line="360" w:lineRule="auto"/>
        <w:ind w:left="709" w:hanging="709"/>
        <w:rPr>
          <w:szCs w:val="21"/>
        </w:rPr>
      </w:pPr>
      <w:r>
        <w:rPr>
          <w:rFonts w:hint="eastAsia"/>
          <w:szCs w:val="21"/>
        </w:rPr>
        <w:t>本合同未尽事宜，应由双方协商确定，并签订补充协议，补充协议与本合同具有同等法律效力。</w:t>
      </w:r>
    </w:p>
    <w:p>
      <w:pPr>
        <w:numPr>
          <w:ilvl w:val="1"/>
          <w:numId w:val="102"/>
        </w:numPr>
        <w:tabs>
          <w:tab w:val="left" w:pos="709"/>
          <w:tab w:val="clear" w:pos="0"/>
        </w:tabs>
        <w:adjustRightInd w:val="0"/>
        <w:snapToGrid w:val="0"/>
        <w:spacing w:before="93" w:beforeLines="30" w:after="93" w:afterLines="30" w:line="360" w:lineRule="auto"/>
        <w:ind w:left="709" w:hanging="709"/>
        <w:rPr>
          <w:szCs w:val="21"/>
        </w:rPr>
      </w:pPr>
      <w:r>
        <w:rPr>
          <w:rFonts w:hint="eastAsia"/>
          <w:szCs w:val="21"/>
        </w:rPr>
        <w:t>本合同的任何变更、修改或增减，须经双方协商一致、法定代表人或授权代表签署书面文件并盖章后生效。</w:t>
      </w:r>
    </w:p>
    <w:p>
      <w:pPr>
        <w:numPr>
          <w:ilvl w:val="1"/>
          <w:numId w:val="102"/>
        </w:numPr>
        <w:tabs>
          <w:tab w:val="left" w:pos="709"/>
          <w:tab w:val="clear" w:pos="0"/>
        </w:tabs>
        <w:adjustRightInd w:val="0"/>
        <w:snapToGrid w:val="0"/>
        <w:spacing w:before="93" w:beforeLines="30" w:after="93" w:afterLines="30" w:line="360" w:lineRule="auto"/>
        <w:ind w:left="709" w:hanging="709"/>
        <w:rPr>
          <w:szCs w:val="21"/>
        </w:rPr>
      </w:pPr>
      <w:r>
        <w:rPr>
          <w:rFonts w:hint="eastAsia"/>
          <w:szCs w:val="21"/>
        </w:rPr>
        <w:t>本合同系双方协商、讨论的结果，合同内容非一方当事人单方拟定。本合同不属于格式合同，条款内容不属于格式条款。</w:t>
      </w:r>
    </w:p>
    <w:p>
      <w:pPr>
        <w:numPr>
          <w:ilvl w:val="1"/>
          <w:numId w:val="102"/>
        </w:numPr>
        <w:tabs>
          <w:tab w:val="left" w:pos="709"/>
          <w:tab w:val="clear" w:pos="0"/>
        </w:tabs>
        <w:adjustRightInd w:val="0"/>
        <w:snapToGrid w:val="0"/>
        <w:spacing w:before="93" w:beforeLines="30" w:after="93" w:afterLines="30" w:line="360" w:lineRule="auto"/>
        <w:ind w:left="709" w:hanging="709"/>
        <w:rPr>
          <w:szCs w:val="21"/>
        </w:rPr>
      </w:pPr>
      <w:r>
        <w:rPr>
          <w:rFonts w:hint="eastAsia"/>
          <w:szCs w:val="21"/>
        </w:rPr>
        <w:t>本合同正文、附件及其后的修改文件和补充文件均应采用中文书写。附件及其后的修改文件和补充文件作为本合同不可分割的组成部分，与本合同正文具有同等法律效力。</w:t>
      </w:r>
    </w:p>
    <w:p>
      <w:pPr>
        <w:numPr>
          <w:ilvl w:val="1"/>
          <w:numId w:val="102"/>
        </w:numPr>
        <w:tabs>
          <w:tab w:val="left" w:pos="709"/>
          <w:tab w:val="clear" w:pos="0"/>
        </w:tabs>
        <w:adjustRightInd w:val="0"/>
        <w:snapToGrid w:val="0"/>
        <w:spacing w:before="93" w:beforeLines="30" w:after="93" w:afterLines="30" w:line="360" w:lineRule="auto"/>
        <w:ind w:left="709" w:hanging="709"/>
        <w:rPr>
          <w:sz w:val="24"/>
          <w:szCs w:val="21"/>
        </w:rPr>
      </w:pPr>
      <w:r>
        <w:rPr>
          <w:rFonts w:hint="eastAsia"/>
          <w:szCs w:val="21"/>
        </w:rPr>
        <w:t>本合同一式二份，甲乙双方各持一份，具有同等效力。</w:t>
      </w:r>
    </w:p>
    <w:p>
      <w:pPr>
        <w:adjustRightInd w:val="0"/>
        <w:snapToGrid w:val="0"/>
        <w:spacing w:before="93" w:beforeLines="30" w:after="93" w:afterLines="30" w:line="360" w:lineRule="auto"/>
        <w:ind w:left="709"/>
        <w:rPr>
          <w:sz w:val="24"/>
          <w:szCs w:val="21"/>
        </w:rPr>
      </w:pPr>
    </w:p>
    <w:tbl>
      <w:tblPr>
        <w:tblStyle w:val="46"/>
        <w:tblW w:w="5000" w:type="pct"/>
        <w:tblInd w:w="0" w:type="dxa"/>
        <w:tblLayout w:type="autofit"/>
        <w:tblCellMar>
          <w:top w:w="0" w:type="dxa"/>
          <w:left w:w="108" w:type="dxa"/>
          <w:bottom w:w="0" w:type="dxa"/>
          <w:right w:w="108" w:type="dxa"/>
        </w:tblCellMar>
      </w:tblPr>
      <w:tblGrid>
        <w:gridCol w:w="4657"/>
        <w:gridCol w:w="4289"/>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line="360" w:lineRule="auto"/>
              <w:textAlignment w:val="bottom"/>
              <w:rPr>
                <w:rFonts w:asciiTheme="minorEastAsia" w:hAnsiTheme="minorEastAsia"/>
                <w:szCs w:val="21"/>
              </w:rPr>
            </w:pPr>
            <w:r>
              <w:rPr>
                <w:rFonts w:hint="eastAsia" w:asciiTheme="minorEastAsia" w:hAnsiTheme="minorEastAsia"/>
                <w:szCs w:val="21"/>
              </w:rPr>
              <w:t>甲方（盖章）</w:t>
            </w:r>
          </w:p>
          <w:p>
            <w:pPr>
              <w:tabs>
                <w:tab w:val="left" w:pos="850"/>
              </w:tabs>
              <w:autoSpaceDE w:val="0"/>
              <w:autoSpaceDN w:val="0"/>
              <w:spacing w:line="360" w:lineRule="auto"/>
              <w:textAlignment w:val="bottom"/>
              <w:rPr>
                <w:rFonts w:asciiTheme="minorEastAsia" w:hAnsiTheme="minorEastAsia"/>
                <w:szCs w:val="21"/>
              </w:rPr>
            </w:pPr>
          </w:p>
          <w:p>
            <w:pPr>
              <w:tabs>
                <w:tab w:val="left" w:pos="850"/>
              </w:tabs>
              <w:autoSpaceDE w:val="0"/>
              <w:autoSpaceDN w:val="0"/>
              <w:spacing w:line="360" w:lineRule="auto"/>
              <w:textAlignment w:val="bottom"/>
              <w:rPr>
                <w:rFonts w:asciiTheme="minorEastAsia" w:hAnsiTheme="minorEastAsia"/>
                <w:szCs w:val="21"/>
              </w:rPr>
            </w:pPr>
            <w:r>
              <w:rPr>
                <w:rFonts w:hint="eastAsia" w:asciiTheme="minorEastAsia" w:hAnsiTheme="minorEastAsia"/>
                <w:szCs w:val="21"/>
              </w:rPr>
              <w:t>中国海洋石油东海有限公司</w:t>
            </w:r>
          </w:p>
          <w:p>
            <w:pPr>
              <w:tabs>
                <w:tab w:val="left" w:pos="850"/>
              </w:tabs>
              <w:autoSpaceDE w:val="0"/>
              <w:autoSpaceDN w:val="0"/>
              <w:spacing w:line="360" w:lineRule="auto"/>
              <w:textAlignment w:val="bottom"/>
              <w:rPr>
                <w:rFonts w:asciiTheme="minorEastAsia" w:hAnsiTheme="minorEastAsia"/>
                <w:szCs w:val="21"/>
              </w:rPr>
            </w:pPr>
          </w:p>
          <w:p>
            <w:pPr>
              <w:tabs>
                <w:tab w:val="left" w:pos="850"/>
              </w:tabs>
              <w:autoSpaceDE w:val="0"/>
              <w:autoSpaceDN w:val="0"/>
              <w:spacing w:line="360" w:lineRule="auto"/>
              <w:textAlignment w:val="bottom"/>
              <w:rPr>
                <w:rFonts w:asciiTheme="minorEastAsia" w:hAnsiTheme="minorEastAsia"/>
                <w:szCs w:val="21"/>
              </w:rPr>
            </w:pPr>
          </w:p>
          <w:p>
            <w:pPr>
              <w:tabs>
                <w:tab w:val="left" w:pos="850"/>
              </w:tabs>
              <w:autoSpaceDE w:val="0"/>
              <w:autoSpaceDN w:val="0"/>
              <w:spacing w:line="360" w:lineRule="auto"/>
              <w:textAlignment w:val="bottom"/>
              <w:rPr>
                <w:rFonts w:asciiTheme="minorEastAsia" w:hAnsiTheme="minorEastAsia"/>
                <w:szCs w:val="21"/>
                <w:u w:val="single"/>
              </w:rPr>
            </w:pPr>
            <w:r>
              <w:rPr>
                <w:rFonts w:hint="eastAsia" w:asciiTheme="minorEastAsia" w:hAnsiTheme="minorEastAsia"/>
                <w:szCs w:val="21"/>
                <w:u w:val="single"/>
              </w:rPr>
              <w:t xml:space="preserve">                             </w:t>
            </w:r>
          </w:p>
        </w:tc>
        <w:tc>
          <w:tcPr>
            <w:tcW w:w="2397" w:type="pct"/>
          </w:tcPr>
          <w:p>
            <w:pPr>
              <w:tabs>
                <w:tab w:val="left" w:pos="850"/>
              </w:tabs>
              <w:autoSpaceDE w:val="0"/>
              <w:autoSpaceDN w:val="0"/>
              <w:spacing w:line="360" w:lineRule="auto"/>
              <w:textAlignment w:val="bottom"/>
              <w:rPr>
                <w:rFonts w:asciiTheme="minorEastAsia" w:hAnsiTheme="minorEastAsia"/>
                <w:szCs w:val="21"/>
              </w:rPr>
            </w:pPr>
            <w:r>
              <w:rPr>
                <w:rFonts w:hint="eastAsia" w:asciiTheme="minorEastAsia" w:hAnsiTheme="minorEastAsia"/>
                <w:szCs w:val="21"/>
              </w:rPr>
              <w:t>乙方（盖章）</w:t>
            </w:r>
          </w:p>
          <w:p>
            <w:pPr>
              <w:tabs>
                <w:tab w:val="left" w:pos="850"/>
              </w:tabs>
              <w:autoSpaceDE w:val="0"/>
              <w:autoSpaceDN w:val="0"/>
              <w:spacing w:line="360" w:lineRule="auto"/>
              <w:textAlignment w:val="bottom"/>
              <w:rPr>
                <w:rFonts w:asciiTheme="minorEastAsia" w:hAnsiTheme="minorEastAsia"/>
                <w:szCs w:val="21"/>
              </w:rPr>
            </w:pPr>
          </w:p>
          <w:p>
            <w:pPr>
              <w:tabs>
                <w:tab w:val="left" w:pos="850"/>
              </w:tabs>
              <w:autoSpaceDE w:val="0"/>
              <w:autoSpaceDN w:val="0"/>
              <w:spacing w:line="360" w:lineRule="auto"/>
              <w:textAlignment w:val="bottom"/>
              <w:rPr>
                <w:rFonts w:hint="default" w:eastAsia="宋体" w:asciiTheme="minorEastAsia" w:hAnsiTheme="minorEastAsia"/>
                <w:szCs w:val="21"/>
                <w:lang w:val="en-US" w:eastAsia="zh-CN"/>
              </w:rPr>
            </w:pPr>
            <w:r>
              <w:rPr>
                <w:rFonts w:hint="eastAsia" w:asciiTheme="minorEastAsia" w:hAnsiTheme="minorEastAsia"/>
                <w:szCs w:val="21"/>
                <w:lang w:val="en-US" w:eastAsia="zh-CN"/>
              </w:rPr>
              <w:t>****</w:t>
            </w:r>
          </w:p>
          <w:p>
            <w:pPr>
              <w:tabs>
                <w:tab w:val="left" w:pos="850"/>
              </w:tabs>
              <w:autoSpaceDE w:val="0"/>
              <w:autoSpaceDN w:val="0"/>
              <w:spacing w:line="360" w:lineRule="auto"/>
              <w:textAlignment w:val="bottom"/>
              <w:rPr>
                <w:rFonts w:asciiTheme="minorEastAsia" w:hAnsiTheme="minorEastAsia"/>
                <w:szCs w:val="21"/>
              </w:rPr>
            </w:pPr>
          </w:p>
          <w:p>
            <w:pPr>
              <w:tabs>
                <w:tab w:val="left" w:pos="850"/>
              </w:tabs>
              <w:autoSpaceDE w:val="0"/>
              <w:autoSpaceDN w:val="0"/>
              <w:spacing w:line="360" w:lineRule="auto"/>
              <w:textAlignment w:val="bottom"/>
              <w:rPr>
                <w:rFonts w:asciiTheme="minorEastAsia" w:hAnsiTheme="minorEastAsia"/>
                <w:szCs w:val="21"/>
              </w:rPr>
            </w:pPr>
          </w:p>
          <w:p>
            <w:pPr>
              <w:tabs>
                <w:tab w:val="left" w:pos="850"/>
              </w:tabs>
              <w:autoSpaceDE w:val="0"/>
              <w:autoSpaceDN w:val="0"/>
              <w:spacing w:line="360" w:lineRule="auto"/>
              <w:textAlignment w:val="bottom"/>
              <w:rPr>
                <w:rFonts w:asciiTheme="minorEastAsia" w:hAnsiTheme="minorEastAsia"/>
                <w:szCs w:val="21"/>
                <w:u w:val="single"/>
              </w:rPr>
            </w:pPr>
            <w:r>
              <w:rPr>
                <w:rFonts w:hint="eastAsia" w:asciiTheme="minorEastAsia" w:hAnsiTheme="minorEastAsia"/>
                <w:szCs w:val="21"/>
              </w:rPr>
              <w:t xml:space="preserve"> </w:t>
            </w:r>
            <w:r>
              <w:rPr>
                <w:rFonts w:hint="eastAsia" w:asciiTheme="minorEastAsia" w:hAnsiTheme="minorEastAsia"/>
                <w:szCs w:val="21"/>
                <w:u w:val="single"/>
              </w:rPr>
              <w:t xml:space="preserve">                            </w:t>
            </w: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line="360" w:lineRule="auto"/>
              <w:textAlignment w:val="bottom"/>
              <w:rPr>
                <w:rFonts w:asciiTheme="minorEastAsia" w:hAnsiTheme="minorEastAsia"/>
                <w:szCs w:val="21"/>
              </w:rPr>
            </w:pPr>
            <w:r>
              <w:rPr>
                <w:rFonts w:asciiTheme="minorEastAsia" w:hAnsiTheme="minorEastAsia"/>
                <w:szCs w:val="21"/>
              </w:rPr>
              <w:t>法定代表人或授权代表签字：</w:t>
            </w:r>
          </w:p>
          <w:p>
            <w:pPr>
              <w:tabs>
                <w:tab w:val="left" w:pos="850"/>
              </w:tabs>
              <w:autoSpaceDE w:val="0"/>
              <w:autoSpaceDN w:val="0"/>
              <w:spacing w:line="360" w:lineRule="auto"/>
              <w:textAlignment w:val="bottom"/>
              <w:rPr>
                <w:rFonts w:asciiTheme="minorEastAsia" w:hAnsiTheme="minorEastAsia"/>
                <w:szCs w:val="21"/>
              </w:rPr>
            </w:pPr>
            <w:r>
              <w:rPr>
                <w:rFonts w:hint="eastAsia" w:asciiTheme="minorEastAsia" w:hAnsiTheme="minorEastAsia"/>
                <w:szCs w:val="21"/>
              </w:rPr>
              <w:t>签字人姓名：</w:t>
            </w:r>
          </w:p>
          <w:p>
            <w:pPr>
              <w:tabs>
                <w:tab w:val="left" w:pos="850"/>
              </w:tabs>
              <w:autoSpaceDE w:val="0"/>
              <w:autoSpaceDN w:val="0"/>
              <w:spacing w:line="360" w:lineRule="auto"/>
              <w:textAlignment w:val="bottom"/>
              <w:rPr>
                <w:rFonts w:asciiTheme="minorEastAsia" w:hAnsiTheme="minorEastAsia"/>
                <w:szCs w:val="21"/>
              </w:rPr>
            </w:pPr>
            <w:r>
              <w:rPr>
                <w:rFonts w:hint="eastAsia" w:asciiTheme="minorEastAsia" w:hAnsiTheme="minorEastAsia"/>
                <w:szCs w:val="21"/>
              </w:rPr>
              <w:t xml:space="preserve">职务：综合服务管理部经理    </w:t>
            </w:r>
          </w:p>
          <w:p>
            <w:pPr>
              <w:tabs>
                <w:tab w:val="left" w:pos="850"/>
              </w:tabs>
              <w:autoSpaceDE w:val="0"/>
              <w:autoSpaceDN w:val="0"/>
              <w:spacing w:line="360" w:lineRule="auto"/>
              <w:textAlignment w:val="bottom"/>
              <w:rPr>
                <w:rFonts w:asciiTheme="minorEastAsia" w:hAnsiTheme="minorEastAsia"/>
                <w:szCs w:val="21"/>
              </w:rPr>
            </w:pPr>
            <w:r>
              <w:rPr>
                <w:rFonts w:hint="eastAsia" w:asciiTheme="minorEastAsia" w:hAnsiTheme="minorEastAsia"/>
                <w:szCs w:val="21"/>
              </w:rPr>
              <w:t>日期：</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p>
        </w:tc>
        <w:tc>
          <w:tcPr>
            <w:tcW w:w="2397" w:type="pct"/>
            <w:vAlign w:val="center"/>
          </w:tcPr>
          <w:p>
            <w:pPr>
              <w:tabs>
                <w:tab w:val="left" w:pos="850"/>
              </w:tabs>
              <w:autoSpaceDE w:val="0"/>
              <w:autoSpaceDN w:val="0"/>
              <w:spacing w:line="360" w:lineRule="auto"/>
              <w:textAlignment w:val="bottom"/>
              <w:rPr>
                <w:rFonts w:asciiTheme="minorEastAsia" w:hAnsiTheme="minorEastAsia"/>
                <w:szCs w:val="21"/>
              </w:rPr>
            </w:pPr>
            <w:r>
              <w:rPr>
                <w:rFonts w:asciiTheme="minorEastAsia" w:hAnsiTheme="minorEastAsia"/>
                <w:szCs w:val="21"/>
              </w:rPr>
              <w:t>法定代表人或授权代表签字：</w:t>
            </w:r>
          </w:p>
          <w:p>
            <w:pPr>
              <w:tabs>
                <w:tab w:val="left" w:pos="850"/>
              </w:tabs>
              <w:autoSpaceDE w:val="0"/>
              <w:autoSpaceDN w:val="0"/>
              <w:spacing w:line="360" w:lineRule="auto"/>
              <w:textAlignment w:val="bottom"/>
              <w:rPr>
                <w:rFonts w:hint="default" w:eastAsia="宋体" w:asciiTheme="minorEastAsia" w:hAnsiTheme="minorEastAsia"/>
                <w:szCs w:val="21"/>
                <w:lang w:val="en-US" w:eastAsia="zh-CN"/>
              </w:rPr>
            </w:pPr>
            <w:r>
              <w:rPr>
                <w:rFonts w:hint="eastAsia" w:asciiTheme="minorEastAsia" w:hAnsiTheme="minorEastAsia"/>
                <w:szCs w:val="21"/>
              </w:rPr>
              <w:t>签字人姓名：</w:t>
            </w:r>
            <w:r>
              <w:rPr>
                <w:rFonts w:hint="eastAsia" w:asciiTheme="minorEastAsia" w:hAnsiTheme="minorEastAsia"/>
                <w:szCs w:val="21"/>
                <w:lang w:val="en-US" w:eastAsia="zh-CN"/>
              </w:rPr>
              <w:t>***</w:t>
            </w:r>
          </w:p>
          <w:p>
            <w:pPr>
              <w:tabs>
                <w:tab w:val="left" w:pos="850"/>
              </w:tabs>
              <w:autoSpaceDE w:val="0"/>
              <w:autoSpaceDN w:val="0"/>
              <w:spacing w:line="360" w:lineRule="auto"/>
              <w:textAlignment w:val="bottom"/>
              <w:rPr>
                <w:rFonts w:asciiTheme="minorEastAsia" w:hAnsiTheme="minorEastAsia"/>
                <w:szCs w:val="21"/>
              </w:rPr>
            </w:pPr>
            <w:r>
              <w:rPr>
                <w:rFonts w:hint="eastAsia" w:asciiTheme="minorEastAsia" w:hAnsiTheme="minorEastAsia"/>
                <w:szCs w:val="21"/>
              </w:rPr>
              <w:t>职务：</w:t>
            </w:r>
            <w:r>
              <w:rPr>
                <w:rFonts w:asciiTheme="minorEastAsia" w:hAnsiTheme="minorEastAsia"/>
                <w:szCs w:val="21"/>
              </w:rPr>
              <w:t>法定代表人</w:t>
            </w:r>
            <w:r>
              <w:rPr>
                <w:rFonts w:hint="eastAsia" w:asciiTheme="minorEastAsia" w:hAnsiTheme="minorEastAsia"/>
                <w:szCs w:val="21"/>
              </w:rPr>
              <w:t xml:space="preserve">          </w:t>
            </w:r>
          </w:p>
          <w:p>
            <w:pPr>
              <w:tabs>
                <w:tab w:val="left" w:pos="850"/>
              </w:tabs>
              <w:autoSpaceDE w:val="0"/>
              <w:autoSpaceDN w:val="0"/>
              <w:spacing w:line="360" w:lineRule="auto"/>
              <w:textAlignment w:val="bottom"/>
              <w:rPr>
                <w:rFonts w:asciiTheme="minorEastAsia" w:hAnsiTheme="minorEastAsia"/>
                <w:szCs w:val="21"/>
              </w:rPr>
            </w:pPr>
            <w:r>
              <w:rPr>
                <w:rFonts w:hint="eastAsia" w:asciiTheme="minorEastAsia" w:hAnsiTheme="minorEastAsia"/>
                <w:szCs w:val="21"/>
              </w:rPr>
              <w:t>日期：</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p>
        </w:tc>
      </w:tr>
    </w:tbl>
    <w:p>
      <w:pPr>
        <w:adjustRightInd w:val="0"/>
        <w:snapToGrid w:val="0"/>
        <w:spacing w:before="93" w:beforeLines="30" w:after="93" w:afterLines="30" w:line="360" w:lineRule="auto"/>
        <w:ind w:left="709"/>
        <w:rPr>
          <w:sz w:val="24"/>
          <w:szCs w:val="21"/>
        </w:rPr>
      </w:pPr>
    </w:p>
    <w:p>
      <w:pPr>
        <w:widowControl/>
        <w:spacing w:line="360" w:lineRule="auto"/>
        <w:jc w:val="left"/>
        <w:rPr>
          <w:sz w:val="24"/>
          <w:szCs w:val="21"/>
        </w:rPr>
      </w:pPr>
      <w:r>
        <w:rPr>
          <w:sz w:val="24"/>
          <w:szCs w:val="21"/>
        </w:rPr>
        <w:br w:type="page"/>
      </w:r>
    </w:p>
    <w:p>
      <w:pPr>
        <w:keepNext/>
        <w:keepLines/>
        <w:pageBreakBefore w:val="0"/>
        <w:widowControl/>
        <w:kinsoku/>
        <w:wordWrap/>
        <w:overflowPunct/>
        <w:topLinePunct w:val="0"/>
        <w:autoSpaceDE/>
        <w:autoSpaceDN/>
        <w:bidi w:val="0"/>
        <w:adjustRightInd w:val="0"/>
        <w:snapToGrid w:val="0"/>
        <w:spacing w:before="340" w:beforeLines="0" w:after="330" w:line="360" w:lineRule="auto"/>
        <w:ind w:left="0" w:leftChars="0" w:right="0" w:rightChars="0" w:firstLine="0" w:firstLineChars="0"/>
        <w:jc w:val="left"/>
        <w:textAlignment w:val="auto"/>
        <w:outlineLvl w:val="0"/>
        <w:rPr>
          <w:rFonts w:hint="eastAsia" w:ascii="宋体" w:hAnsi="宋体" w:eastAsia="宋体" w:cs="宋体"/>
          <w:bCs/>
          <w:snapToGrid w:val="0"/>
          <w:kern w:val="0"/>
          <w:sz w:val="24"/>
          <w:lang w:val="zh-CN" w:eastAsia="zh-CN"/>
        </w:rPr>
      </w:pPr>
      <w:bookmarkStart w:id="375" w:name="_Toc299915704"/>
      <w:bookmarkStart w:id="376" w:name="_Toc364839384"/>
      <w:r>
        <w:rPr>
          <w:rFonts w:hint="eastAsia" w:ascii="宋体" w:hAnsi="宋体" w:eastAsia="宋体" w:cs="宋体"/>
          <w:bCs/>
          <w:snapToGrid w:val="0"/>
          <w:kern w:val="0"/>
          <w:sz w:val="24"/>
          <w:lang w:val="zh-CN" w:eastAsia="zh-CN"/>
        </w:rPr>
        <w:t>附件一：</w:t>
      </w:r>
      <w:bookmarkEnd w:id="375"/>
      <w:bookmarkEnd w:id="376"/>
      <w:r>
        <w:rPr>
          <w:rFonts w:hint="eastAsia" w:ascii="宋体" w:hAnsi="宋体" w:eastAsia="宋体" w:cs="宋体"/>
          <w:bCs/>
          <w:snapToGrid w:val="0"/>
          <w:kern w:val="0"/>
          <w:sz w:val="24"/>
          <w:lang w:val="zh-CN" w:eastAsia="zh-CN"/>
        </w:rPr>
        <w:t>工作范围及技术要求</w:t>
      </w:r>
    </w:p>
    <w:p>
      <w:pPr>
        <w:keepNext/>
        <w:keepLines/>
        <w:pageBreakBefore w:val="0"/>
        <w:widowControl/>
        <w:kinsoku/>
        <w:wordWrap/>
        <w:overflowPunct/>
        <w:topLinePunct w:val="0"/>
        <w:autoSpaceDE/>
        <w:autoSpaceDN/>
        <w:bidi w:val="0"/>
        <w:adjustRightInd w:val="0"/>
        <w:snapToGrid w:val="0"/>
        <w:spacing w:before="340" w:beforeLines="0" w:after="330" w:line="360" w:lineRule="auto"/>
        <w:ind w:left="0" w:leftChars="0" w:right="0" w:rightChars="0" w:firstLine="0" w:firstLineChars="0"/>
        <w:jc w:val="left"/>
        <w:textAlignment w:val="auto"/>
        <w:outlineLvl w:val="0"/>
        <w:rPr>
          <w:rFonts w:hint="eastAsia" w:ascii="宋体" w:hAnsi="宋体" w:eastAsia="宋体" w:cs="宋体"/>
          <w:bCs/>
          <w:snapToGrid w:val="0"/>
          <w:kern w:val="0"/>
          <w:sz w:val="24"/>
          <w:lang w:val="zh-CN" w:eastAsia="zh-CN"/>
        </w:rPr>
      </w:pPr>
      <w:r>
        <w:rPr>
          <w:rFonts w:hint="eastAsia" w:ascii="宋体" w:hAnsi="宋体" w:eastAsia="宋体" w:cs="宋体"/>
          <w:bCs/>
          <w:snapToGrid w:val="0"/>
          <w:kern w:val="0"/>
          <w:sz w:val="24"/>
          <w:lang w:val="zh-CN" w:eastAsia="zh-CN"/>
        </w:rPr>
        <w:t>附件二：月浦基地综合服务考评办法</w:t>
      </w:r>
    </w:p>
    <w:p>
      <w:pPr>
        <w:spacing w:line="360" w:lineRule="auto"/>
        <w:jc w:val="center"/>
        <w:rPr>
          <w:rFonts w:ascii="宋体" w:hAnsi="宋体" w:cs="宋体"/>
          <w:b/>
          <w:sz w:val="28"/>
          <w:szCs w:val="28"/>
        </w:rPr>
      </w:pPr>
      <w:r>
        <w:rPr>
          <w:rFonts w:hint="eastAsia" w:ascii="宋体" w:hAnsi="宋体" w:cs="宋体"/>
          <w:b/>
          <w:sz w:val="28"/>
          <w:szCs w:val="28"/>
        </w:rPr>
        <w:t>月浦基地综合服务考评办法</w:t>
      </w:r>
    </w:p>
    <w:p>
      <w:pPr>
        <w:spacing w:line="360" w:lineRule="auto"/>
        <w:rPr>
          <w:rFonts w:ascii="宋体" w:hAnsi="宋体" w:cs="宋体"/>
          <w:b/>
          <w:szCs w:val="21"/>
        </w:rPr>
      </w:pPr>
      <w:r>
        <w:rPr>
          <w:rFonts w:hint="eastAsia" w:ascii="宋体" w:hAnsi="宋体" w:cs="宋体"/>
          <w:b/>
          <w:szCs w:val="21"/>
        </w:rPr>
        <w:t>1、  考评构成</w:t>
      </w:r>
    </w:p>
    <w:p>
      <w:pPr>
        <w:spacing w:line="360" w:lineRule="auto"/>
        <w:ind w:firstLine="420" w:firstLineChars="200"/>
        <w:rPr>
          <w:rFonts w:ascii="宋体" w:hAnsi="宋体" w:cs="宋体"/>
          <w:b/>
          <w:szCs w:val="21"/>
        </w:rPr>
      </w:pPr>
      <w:r>
        <w:rPr>
          <w:rFonts w:hint="eastAsia" w:ascii="宋体" w:hAnsi="宋体" w:cs="宋体"/>
          <w:szCs w:val="21"/>
        </w:rPr>
        <w:t>甲方根据合同要求，每年对外包服务公司的各项服务进行监督考核。依据合同、满意度调查、甲方日常考评等进行考核。</w:t>
      </w:r>
    </w:p>
    <w:p>
      <w:pPr>
        <w:spacing w:line="360" w:lineRule="auto"/>
        <w:rPr>
          <w:rFonts w:ascii="宋体" w:hAnsi="宋体" w:cs="宋体"/>
          <w:b/>
          <w:szCs w:val="21"/>
        </w:rPr>
      </w:pPr>
      <w:r>
        <w:rPr>
          <w:rFonts w:hint="eastAsia" w:ascii="宋体" w:hAnsi="宋体" w:cs="宋体"/>
          <w:b/>
          <w:szCs w:val="21"/>
        </w:rPr>
        <w:t>2、  考评内容</w:t>
      </w:r>
    </w:p>
    <w:p>
      <w:pPr>
        <w:spacing w:line="360" w:lineRule="auto"/>
        <w:ind w:firstLine="420" w:firstLineChars="200"/>
        <w:rPr>
          <w:rFonts w:ascii="宋体" w:hAnsi="宋体" w:cs="宋体"/>
          <w:szCs w:val="21"/>
        </w:rPr>
      </w:pPr>
      <w:r>
        <w:rPr>
          <w:rFonts w:hint="eastAsia" w:ascii="宋体" w:hAnsi="宋体" w:cs="宋体"/>
          <w:szCs w:val="21"/>
        </w:rPr>
        <w:t>分日常巡检表、工作联系单租户满意度三部分。</w:t>
      </w:r>
    </w:p>
    <w:p>
      <w:pPr>
        <w:spacing w:line="360" w:lineRule="auto"/>
        <w:rPr>
          <w:rFonts w:ascii="宋体" w:hAnsi="宋体" w:cs="宋体"/>
          <w:szCs w:val="21"/>
        </w:rPr>
      </w:pPr>
      <w:r>
        <w:rPr>
          <w:rFonts w:hint="eastAsia" w:ascii="宋体" w:hAnsi="宋体" w:cs="宋体"/>
          <w:szCs w:val="21"/>
        </w:rPr>
        <w:t>2.1日常巡检表（附件1）是指对各重点工作、重点区域的巡视、抽查：此项由甲方负责人根据对重点工作、重点区域的巡视情况并参照中标方提出的服务标准进行打分评定，每项扣分0.5分，满分100分，权重30%。</w:t>
      </w:r>
    </w:p>
    <w:p>
      <w:pPr>
        <w:spacing w:line="360" w:lineRule="auto"/>
        <w:rPr>
          <w:rFonts w:ascii="宋体" w:hAnsi="宋体" w:cs="宋体"/>
          <w:szCs w:val="21"/>
        </w:rPr>
      </w:pPr>
      <w:r>
        <w:rPr>
          <w:rFonts w:hint="eastAsia" w:ascii="宋体" w:hAnsi="宋体" w:cs="宋体"/>
          <w:szCs w:val="21"/>
        </w:rPr>
        <w:t>2.2工作联系单（附件2）是指各项交办工作执行情况的监督跟进，此项由甲方负责人根据执行情况和执行质量进行打分评定，满分100分，权重20%。</w:t>
      </w:r>
    </w:p>
    <w:p>
      <w:pPr>
        <w:spacing w:line="360" w:lineRule="auto"/>
        <w:rPr>
          <w:rFonts w:ascii="宋体" w:hAnsi="宋体" w:cs="宋体"/>
          <w:szCs w:val="21"/>
        </w:rPr>
      </w:pPr>
      <w:r>
        <w:rPr>
          <w:rFonts w:hint="eastAsia" w:ascii="宋体" w:hAnsi="宋体" w:cs="宋体"/>
          <w:szCs w:val="21"/>
        </w:rPr>
        <w:t>4.3 租户满意度年底由月浦基地牵头，向各租户单位发放满意度调查问卷，满分100分，权重50%。</w:t>
      </w:r>
    </w:p>
    <w:p>
      <w:pPr>
        <w:numPr>
          <w:ilvl w:val="0"/>
          <w:numId w:val="60"/>
        </w:numPr>
        <w:spacing w:line="360" w:lineRule="auto"/>
        <w:rPr>
          <w:rFonts w:ascii="宋体" w:hAnsi="宋体" w:cs="宋体"/>
          <w:b/>
          <w:szCs w:val="21"/>
        </w:rPr>
      </w:pPr>
      <w:r>
        <w:rPr>
          <w:rFonts w:hint="eastAsia" w:ascii="宋体" w:hAnsi="宋体" w:cs="宋体"/>
          <w:b/>
          <w:szCs w:val="21"/>
        </w:rPr>
        <w:t xml:space="preserve"> 考评程序</w:t>
      </w:r>
    </w:p>
    <w:p>
      <w:pPr>
        <w:numPr>
          <w:ilvl w:val="1"/>
          <w:numId w:val="103"/>
        </w:numPr>
        <w:spacing w:line="360" w:lineRule="auto"/>
        <w:rPr>
          <w:rFonts w:ascii="宋体" w:hAnsi="宋体" w:cs="宋体"/>
          <w:szCs w:val="21"/>
        </w:rPr>
      </w:pPr>
      <w:r>
        <w:rPr>
          <w:rFonts w:hint="eastAsia" w:ascii="宋体" w:hAnsi="宋体" w:cs="宋体"/>
          <w:szCs w:val="21"/>
        </w:rPr>
        <w:t xml:space="preserve"> 甲方通过日常监督，每年对物业公司各项工作进行打分评定。</w:t>
      </w:r>
    </w:p>
    <w:p>
      <w:pPr>
        <w:numPr>
          <w:ilvl w:val="0"/>
          <w:numId w:val="60"/>
        </w:numPr>
        <w:spacing w:line="360" w:lineRule="auto"/>
        <w:rPr>
          <w:rFonts w:ascii="宋体" w:hAnsi="宋体" w:cs="宋体"/>
          <w:b/>
          <w:szCs w:val="21"/>
        </w:rPr>
      </w:pPr>
      <w:r>
        <w:rPr>
          <w:rFonts w:hint="eastAsia" w:ascii="宋体" w:hAnsi="宋体" w:cs="宋体"/>
          <w:b/>
          <w:szCs w:val="21"/>
        </w:rPr>
        <w:t xml:space="preserve"> 考评要求</w:t>
      </w:r>
    </w:p>
    <w:p>
      <w:pPr>
        <w:spacing w:line="360" w:lineRule="auto"/>
        <w:ind w:left="360"/>
        <w:rPr>
          <w:rFonts w:ascii="宋体" w:hAnsi="宋体" w:cs="宋体"/>
          <w:szCs w:val="21"/>
        </w:rPr>
      </w:pPr>
      <w:r>
        <w:rPr>
          <w:rFonts w:hint="eastAsia" w:ascii="宋体" w:hAnsi="宋体" w:cs="宋体"/>
          <w:szCs w:val="21"/>
        </w:rPr>
        <w:t>要求中标单位每年考评分高于85分，低于</w:t>
      </w:r>
      <w:r>
        <w:rPr>
          <w:rFonts w:ascii="宋体" w:hAnsi="宋体" w:cs="宋体"/>
          <w:szCs w:val="21"/>
        </w:rPr>
        <w:t>8</w:t>
      </w:r>
      <w:r>
        <w:rPr>
          <w:rFonts w:hint="eastAsia" w:ascii="宋体" w:hAnsi="宋体" w:cs="宋体"/>
          <w:szCs w:val="21"/>
        </w:rPr>
        <w:t>0分甲方有权提前结束合同。根据考核结果决定是否续签第二年的外包服务合同。</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附表1：日常巡检表</w:t>
      </w:r>
    </w:p>
    <w:p>
      <w:pPr>
        <w:spacing w:line="360" w:lineRule="auto"/>
        <w:rPr>
          <w:rFonts w:ascii="宋体" w:hAnsi="宋体" w:cs="宋体"/>
          <w:szCs w:val="21"/>
        </w:rPr>
      </w:pPr>
      <w:r>
        <w:rPr>
          <w:rFonts w:hint="eastAsia" w:ascii="宋体" w:hAnsi="宋体" w:cs="宋体"/>
          <w:szCs w:val="21"/>
        </w:rPr>
        <w:t>附表2：工作联系单</w:t>
      </w:r>
    </w:p>
    <w:p>
      <w:pPr>
        <w:spacing w:line="360" w:lineRule="auto"/>
        <w:rPr>
          <w:rFonts w:ascii="宋体" w:hAnsi="宋体" w:cs="宋体"/>
          <w:szCs w:val="21"/>
        </w:rPr>
      </w:pPr>
      <w:r>
        <w:rPr>
          <w:rFonts w:hint="eastAsia" w:ascii="宋体" w:hAnsi="宋体" w:cs="宋体"/>
          <w:szCs w:val="21"/>
        </w:rPr>
        <w:t>附表3：满意度调查表</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widowControl/>
        <w:spacing w:line="360" w:lineRule="auto"/>
        <w:jc w:val="left"/>
        <w:rPr>
          <w:rFonts w:ascii="宋体" w:hAnsi="宋体" w:cs="宋体"/>
          <w:szCs w:val="21"/>
        </w:rPr>
      </w:pPr>
    </w:p>
    <w:p>
      <w:pPr>
        <w:widowControl/>
        <w:spacing w:line="360" w:lineRule="auto"/>
        <w:rPr>
          <w:rFonts w:ascii="宋体" w:hAnsi="宋体"/>
          <w:szCs w:val="21"/>
        </w:rPr>
      </w:pPr>
      <w:r>
        <w:rPr>
          <w:rFonts w:hint="eastAsia" w:ascii="宋体" w:hAnsi="宋体"/>
          <w:szCs w:val="21"/>
        </w:rPr>
        <w:t>附表1：</w:t>
      </w:r>
    </w:p>
    <w:tbl>
      <w:tblPr>
        <w:tblStyle w:val="46"/>
        <w:tblpPr w:leftFromText="180" w:rightFromText="180" w:vertAnchor="text" w:horzAnchor="margin" w:tblpXSpec="center" w:tblpY="970"/>
        <w:tblOverlap w:val="never"/>
        <w:tblW w:w="8471" w:type="dxa"/>
        <w:tblInd w:w="0" w:type="dxa"/>
        <w:tblLayout w:type="fixed"/>
        <w:tblCellMar>
          <w:top w:w="0" w:type="dxa"/>
          <w:left w:w="108" w:type="dxa"/>
          <w:bottom w:w="0" w:type="dxa"/>
          <w:right w:w="108" w:type="dxa"/>
        </w:tblCellMar>
      </w:tblPr>
      <w:tblGrid>
        <w:gridCol w:w="716"/>
        <w:gridCol w:w="952"/>
        <w:gridCol w:w="1275"/>
        <w:gridCol w:w="1701"/>
        <w:gridCol w:w="1417"/>
        <w:gridCol w:w="1276"/>
        <w:gridCol w:w="1134"/>
      </w:tblGrid>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序号</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日期</w:t>
            </w: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巡检地点</w:t>
            </w: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巡检情况</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要求整改完成时间</w:t>
            </w: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执行情况</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评定</w:t>
            </w: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1</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bCs/>
                <w:kern w:val="0"/>
                <w:szCs w:val="21"/>
              </w:rPr>
            </w:pP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2</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bCs/>
                <w:kern w:val="0"/>
                <w:szCs w:val="21"/>
              </w:rPr>
            </w:pP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3</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bCs/>
                <w:kern w:val="0"/>
                <w:szCs w:val="21"/>
              </w:rPr>
            </w:pP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4</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bCs/>
                <w:kern w:val="0"/>
                <w:szCs w:val="21"/>
              </w:rPr>
            </w:pP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5</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bCs/>
                <w:kern w:val="0"/>
                <w:szCs w:val="21"/>
              </w:rPr>
            </w:pP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6</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bCs/>
                <w:kern w:val="0"/>
                <w:szCs w:val="21"/>
              </w:rPr>
            </w:pP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7</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bCs/>
                <w:kern w:val="0"/>
                <w:szCs w:val="21"/>
              </w:rPr>
            </w:pP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kern w:val="0"/>
                <w:szCs w:val="21"/>
              </w:rPr>
            </w:pPr>
            <w:r>
              <w:rPr>
                <w:rFonts w:hint="eastAsia" w:ascii="宋体" w:hAnsi="宋体" w:cs="宋体"/>
                <w:bCs/>
                <w:kern w:val="0"/>
                <w:szCs w:val="21"/>
              </w:rPr>
              <w:t xml:space="preserve">  8</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bCs/>
                <w:kern w:val="0"/>
                <w:szCs w:val="21"/>
              </w:rPr>
            </w:pP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9</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bCs/>
                <w:kern w:val="0"/>
                <w:szCs w:val="21"/>
              </w:rPr>
            </w:pPr>
          </w:p>
        </w:tc>
      </w:tr>
      <w:tr>
        <w:tblPrEx>
          <w:tblCellMar>
            <w:top w:w="0" w:type="dxa"/>
            <w:left w:w="108" w:type="dxa"/>
            <w:bottom w:w="0" w:type="dxa"/>
            <w:right w:w="108" w:type="dxa"/>
          </w:tblCellMar>
        </w:tblPrEx>
        <w:trPr>
          <w:trHeight w:val="584" w:hRule="atLeast"/>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10</w:t>
            </w:r>
          </w:p>
        </w:tc>
        <w:tc>
          <w:tcPr>
            <w:tcW w:w="95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bCs/>
                <w:kern w:val="0"/>
                <w:szCs w:val="21"/>
              </w:rPr>
            </w:pPr>
          </w:p>
        </w:tc>
      </w:tr>
      <w:tr>
        <w:tblPrEx>
          <w:tblCellMar>
            <w:top w:w="0" w:type="dxa"/>
            <w:left w:w="108" w:type="dxa"/>
            <w:bottom w:w="0" w:type="dxa"/>
            <w:right w:w="108" w:type="dxa"/>
          </w:tblCellMar>
        </w:tblPrEx>
        <w:trPr>
          <w:trHeight w:val="584" w:hRule="atLeast"/>
        </w:trPr>
        <w:tc>
          <w:tcPr>
            <w:tcW w:w="71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11</w:t>
            </w:r>
          </w:p>
        </w:tc>
        <w:tc>
          <w:tcPr>
            <w:tcW w:w="952"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134" w:type="dxa"/>
            <w:tcBorders>
              <w:top w:val="nil"/>
              <w:left w:val="nil"/>
              <w:bottom w:val="single" w:color="auto" w:sz="4" w:space="0"/>
              <w:right w:val="single" w:color="auto" w:sz="4" w:space="0"/>
            </w:tcBorders>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584" w:hRule="atLeast"/>
        </w:trPr>
        <w:tc>
          <w:tcPr>
            <w:tcW w:w="71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952"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134" w:type="dxa"/>
            <w:tcBorders>
              <w:top w:val="nil"/>
              <w:left w:val="nil"/>
              <w:bottom w:val="single" w:color="auto" w:sz="4" w:space="0"/>
              <w:right w:val="single" w:color="auto" w:sz="4" w:space="0"/>
            </w:tcBorders>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584" w:hRule="atLeast"/>
        </w:trPr>
        <w:tc>
          <w:tcPr>
            <w:tcW w:w="71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13</w:t>
            </w:r>
          </w:p>
        </w:tc>
        <w:tc>
          <w:tcPr>
            <w:tcW w:w="952"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134" w:type="dxa"/>
            <w:tcBorders>
              <w:top w:val="nil"/>
              <w:left w:val="nil"/>
              <w:bottom w:val="single" w:color="auto" w:sz="4" w:space="0"/>
              <w:right w:val="single" w:color="auto" w:sz="4" w:space="0"/>
            </w:tcBorders>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584" w:hRule="atLeast"/>
        </w:trPr>
        <w:tc>
          <w:tcPr>
            <w:tcW w:w="71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14</w:t>
            </w:r>
          </w:p>
        </w:tc>
        <w:tc>
          <w:tcPr>
            <w:tcW w:w="952"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134" w:type="dxa"/>
            <w:tcBorders>
              <w:top w:val="nil"/>
              <w:left w:val="nil"/>
              <w:bottom w:val="single" w:color="auto" w:sz="4" w:space="0"/>
              <w:right w:val="single" w:color="auto" w:sz="4" w:space="0"/>
            </w:tcBorders>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584" w:hRule="atLeast"/>
        </w:trPr>
        <w:tc>
          <w:tcPr>
            <w:tcW w:w="71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15</w:t>
            </w:r>
          </w:p>
        </w:tc>
        <w:tc>
          <w:tcPr>
            <w:tcW w:w="952"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134" w:type="dxa"/>
            <w:tcBorders>
              <w:top w:val="nil"/>
              <w:left w:val="nil"/>
              <w:bottom w:val="single" w:color="auto" w:sz="4" w:space="0"/>
              <w:right w:val="single" w:color="auto" w:sz="4" w:space="0"/>
            </w:tcBorders>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584" w:hRule="atLeast"/>
        </w:trPr>
        <w:tc>
          <w:tcPr>
            <w:tcW w:w="71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16</w:t>
            </w:r>
          </w:p>
        </w:tc>
        <w:tc>
          <w:tcPr>
            <w:tcW w:w="952"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41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27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1134" w:type="dxa"/>
            <w:tcBorders>
              <w:top w:val="nil"/>
              <w:left w:val="nil"/>
              <w:bottom w:val="single" w:color="auto" w:sz="4" w:space="0"/>
              <w:right w:val="single" w:color="auto" w:sz="4" w:space="0"/>
            </w:tcBorders>
          </w:tcPr>
          <w:p>
            <w:pPr>
              <w:widowControl/>
              <w:spacing w:line="360" w:lineRule="auto"/>
              <w:jc w:val="center"/>
              <w:rPr>
                <w:rFonts w:ascii="宋体" w:hAnsi="宋体" w:cs="宋体"/>
                <w:kern w:val="0"/>
                <w:szCs w:val="21"/>
              </w:rPr>
            </w:pPr>
          </w:p>
        </w:tc>
      </w:tr>
    </w:tbl>
    <w:p>
      <w:pPr>
        <w:spacing w:line="360" w:lineRule="auto"/>
        <w:ind w:left="-1" w:leftChars="-67" w:hanging="140" w:hangingChars="58"/>
        <w:jc w:val="center"/>
        <w:rPr>
          <w:rFonts w:ascii="宋体" w:hAnsi="宋体"/>
          <w:b/>
          <w:sz w:val="24"/>
        </w:rPr>
      </w:pPr>
      <w:r>
        <w:rPr>
          <w:rFonts w:hint="eastAsia" w:ascii="宋体" w:hAnsi="宋体"/>
          <w:b/>
          <w:sz w:val="24"/>
        </w:rPr>
        <w:t>日常巡检表（保安、保洁、工程）</w:t>
      </w:r>
    </w:p>
    <w:p>
      <w:pPr>
        <w:widowControl/>
        <w:spacing w:line="360" w:lineRule="auto"/>
        <w:rPr>
          <w:rFonts w:ascii="宋体" w:hAnsi="宋体"/>
          <w:szCs w:val="21"/>
        </w:rPr>
      </w:pPr>
    </w:p>
    <w:p>
      <w:pPr>
        <w:spacing w:line="360" w:lineRule="auto"/>
        <w:rPr>
          <w:rFonts w:ascii="宋体" w:hAnsi="宋体"/>
          <w:szCs w:val="21"/>
        </w:rPr>
      </w:pPr>
    </w:p>
    <w:p>
      <w:pPr>
        <w:spacing w:line="360" w:lineRule="auto"/>
        <w:ind w:firstLine="527" w:firstLineChars="250"/>
        <w:rPr>
          <w:rFonts w:ascii="宋体" w:hAnsi="宋体"/>
          <w:b/>
          <w:szCs w:val="21"/>
        </w:rPr>
      </w:pPr>
    </w:p>
    <w:p>
      <w:pPr>
        <w:widowControl/>
        <w:spacing w:line="360" w:lineRule="auto"/>
        <w:jc w:val="left"/>
        <w:rPr>
          <w:rFonts w:ascii="宋体" w:hAnsi="宋体"/>
          <w:b/>
          <w:szCs w:val="21"/>
        </w:rPr>
      </w:pPr>
      <w:r>
        <w:rPr>
          <w:rFonts w:ascii="宋体" w:hAnsi="宋体"/>
          <w:b/>
          <w:szCs w:val="21"/>
        </w:rPr>
        <w:br w:type="page"/>
      </w:r>
    </w:p>
    <w:p>
      <w:pPr>
        <w:spacing w:line="360" w:lineRule="auto"/>
        <w:rPr>
          <w:rFonts w:ascii="宋体" w:hAnsi="宋体"/>
          <w:szCs w:val="21"/>
        </w:rPr>
      </w:pPr>
      <w:r>
        <w:rPr>
          <w:rFonts w:hint="eastAsia" w:ascii="宋体" w:hAnsi="宋体"/>
          <w:szCs w:val="21"/>
        </w:rPr>
        <w:t xml:space="preserve">附表2：              </w:t>
      </w:r>
    </w:p>
    <w:p>
      <w:pPr>
        <w:spacing w:line="360" w:lineRule="auto"/>
        <w:ind w:left="-1" w:leftChars="-67" w:hanging="140" w:hangingChars="58"/>
        <w:jc w:val="center"/>
        <w:rPr>
          <w:rFonts w:hint="eastAsia" w:ascii="宋体" w:hAnsi="宋体"/>
          <w:b/>
          <w:sz w:val="24"/>
        </w:rPr>
      </w:pPr>
      <w:r>
        <w:rPr>
          <w:rFonts w:hint="eastAsia" w:ascii="宋体" w:hAnsi="宋体"/>
          <w:b/>
          <w:sz w:val="24"/>
        </w:rPr>
        <w:t>工作联系单</w:t>
      </w:r>
    </w:p>
    <w:tbl>
      <w:tblPr>
        <w:tblStyle w:val="46"/>
        <w:tblpPr w:leftFromText="180" w:rightFromText="180" w:vertAnchor="page" w:horzAnchor="margin" w:tblpXSpec="center" w:tblpY="28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632"/>
        <w:gridCol w:w="1301"/>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0"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通知单号</w:t>
            </w:r>
          </w:p>
        </w:tc>
        <w:tc>
          <w:tcPr>
            <w:tcW w:w="2632"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例：2</w:t>
            </w:r>
            <w:r>
              <w:rPr>
                <w:rFonts w:cs="Times New Roman" w:asciiTheme="majorEastAsia" w:hAnsiTheme="majorEastAsia" w:eastAsiaTheme="majorEastAsia"/>
                <w:szCs w:val="21"/>
              </w:rPr>
              <w:t>022-01-01</w:t>
            </w:r>
          </w:p>
        </w:tc>
        <w:tc>
          <w:tcPr>
            <w:tcW w:w="1301"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甲方负责人</w:t>
            </w:r>
          </w:p>
        </w:tc>
        <w:tc>
          <w:tcPr>
            <w:tcW w:w="3119" w:type="dxa"/>
            <w:shd w:val="clear" w:color="auto" w:fill="auto"/>
            <w:vAlign w:val="center"/>
          </w:tcPr>
          <w:p>
            <w:pPr>
              <w:spacing w:line="360" w:lineRule="auto"/>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0"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ascii="宋体" w:hAnsi="宋体"/>
              </w:rPr>
              <w:t>服务商名称</w:t>
            </w:r>
          </w:p>
        </w:tc>
        <w:tc>
          <w:tcPr>
            <w:tcW w:w="2632" w:type="dxa"/>
            <w:shd w:val="clear" w:color="auto" w:fill="auto"/>
            <w:vAlign w:val="center"/>
          </w:tcPr>
          <w:p>
            <w:pPr>
              <w:spacing w:line="360" w:lineRule="auto"/>
              <w:jc w:val="center"/>
              <w:rPr>
                <w:rFonts w:cs="Times New Roman" w:asciiTheme="majorEastAsia" w:hAnsiTheme="majorEastAsia" w:eastAsiaTheme="majorEastAsia"/>
                <w:szCs w:val="21"/>
              </w:rPr>
            </w:pPr>
          </w:p>
        </w:tc>
        <w:tc>
          <w:tcPr>
            <w:tcW w:w="1301"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乙方负责人</w:t>
            </w:r>
          </w:p>
        </w:tc>
        <w:tc>
          <w:tcPr>
            <w:tcW w:w="3119" w:type="dxa"/>
            <w:shd w:val="clear" w:color="auto" w:fill="auto"/>
            <w:vAlign w:val="center"/>
          </w:tcPr>
          <w:p>
            <w:pPr>
              <w:spacing w:line="360" w:lineRule="auto"/>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0"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服务内容</w:t>
            </w:r>
          </w:p>
        </w:tc>
        <w:tc>
          <w:tcPr>
            <w:tcW w:w="7052" w:type="dxa"/>
            <w:gridSpan w:val="3"/>
            <w:shd w:val="clear" w:color="auto" w:fill="auto"/>
            <w:vAlign w:val="center"/>
          </w:tcPr>
          <w:p>
            <w:pPr>
              <w:spacing w:line="360" w:lineRule="auto"/>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0"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服务地点</w:t>
            </w:r>
          </w:p>
        </w:tc>
        <w:tc>
          <w:tcPr>
            <w:tcW w:w="7052" w:type="dxa"/>
            <w:gridSpan w:val="3"/>
            <w:shd w:val="clear" w:color="auto" w:fill="auto"/>
            <w:vAlign w:val="center"/>
          </w:tcPr>
          <w:p>
            <w:pPr>
              <w:spacing w:line="360" w:lineRule="auto"/>
              <w:jc w:val="center"/>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420" w:type="dxa"/>
            <w:vMerge w:val="restart"/>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任务描述</w:t>
            </w:r>
          </w:p>
        </w:tc>
        <w:tc>
          <w:tcPr>
            <w:tcW w:w="7052" w:type="dxa"/>
            <w:gridSpan w:val="3"/>
            <w:shd w:val="clear" w:color="auto" w:fill="auto"/>
            <w:vAlign w:val="center"/>
          </w:tcPr>
          <w:p>
            <w:pPr>
              <w:spacing w:line="360" w:lineRule="auto"/>
              <w:jc w:val="left"/>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20" w:type="dxa"/>
            <w:vMerge w:val="continue"/>
            <w:shd w:val="clear" w:color="auto" w:fill="auto"/>
            <w:vAlign w:val="center"/>
          </w:tcPr>
          <w:p>
            <w:pPr>
              <w:spacing w:line="360" w:lineRule="auto"/>
              <w:jc w:val="center"/>
              <w:rPr>
                <w:rFonts w:cs="Times New Roman" w:asciiTheme="majorEastAsia" w:hAnsiTheme="majorEastAsia" w:eastAsiaTheme="majorEastAsia"/>
                <w:szCs w:val="21"/>
              </w:rPr>
            </w:pPr>
          </w:p>
        </w:tc>
        <w:tc>
          <w:tcPr>
            <w:tcW w:w="7052" w:type="dxa"/>
            <w:gridSpan w:val="3"/>
            <w:shd w:val="clear" w:color="auto" w:fill="auto"/>
            <w:vAlign w:val="center"/>
          </w:tcPr>
          <w:p>
            <w:pPr>
              <w:spacing w:line="360" w:lineRule="auto"/>
              <w:jc w:val="left"/>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计划完成标准：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420" w:type="dxa"/>
            <w:vMerge w:val="restart"/>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执行情况</w:t>
            </w:r>
          </w:p>
        </w:tc>
        <w:tc>
          <w:tcPr>
            <w:tcW w:w="7052" w:type="dxa"/>
            <w:gridSpan w:val="3"/>
            <w:shd w:val="clear" w:color="auto" w:fill="auto"/>
            <w:vAlign w:val="center"/>
          </w:tcPr>
          <w:p>
            <w:pPr>
              <w:spacing w:line="360" w:lineRule="auto"/>
              <w:jc w:val="left"/>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实际完成时间：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420" w:type="dxa"/>
            <w:vMerge w:val="continue"/>
            <w:shd w:val="clear" w:color="auto" w:fill="auto"/>
            <w:vAlign w:val="center"/>
          </w:tcPr>
          <w:p>
            <w:pPr>
              <w:spacing w:line="360" w:lineRule="auto"/>
              <w:jc w:val="center"/>
              <w:rPr>
                <w:rFonts w:cs="Times New Roman" w:asciiTheme="majorEastAsia" w:hAnsiTheme="majorEastAsia" w:eastAsiaTheme="majorEastAsia"/>
                <w:szCs w:val="21"/>
              </w:rPr>
            </w:pPr>
          </w:p>
        </w:tc>
        <w:tc>
          <w:tcPr>
            <w:tcW w:w="7052" w:type="dxa"/>
            <w:gridSpan w:val="3"/>
            <w:shd w:val="clear" w:color="auto" w:fill="auto"/>
            <w:vAlign w:val="center"/>
          </w:tcPr>
          <w:p>
            <w:pPr>
              <w:spacing w:line="360" w:lineRule="auto"/>
              <w:jc w:val="left"/>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实际完成标准：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420" w:type="dxa"/>
            <w:shd w:val="clear" w:color="auto" w:fill="auto"/>
            <w:vAlign w:val="center"/>
          </w:tcPr>
          <w:p>
            <w:pPr>
              <w:spacing w:line="360" w:lineRule="auto"/>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处理结果</w:t>
            </w:r>
          </w:p>
        </w:tc>
        <w:tc>
          <w:tcPr>
            <w:tcW w:w="7052" w:type="dxa"/>
            <w:gridSpan w:val="3"/>
            <w:shd w:val="clear" w:color="auto" w:fill="auto"/>
            <w:vAlign w:val="center"/>
          </w:tcPr>
          <w:p>
            <w:pPr>
              <w:spacing w:line="360" w:lineRule="auto"/>
              <w:jc w:val="left"/>
              <w:rPr>
                <w:rFonts w:cs="Times New Roman" w:asciiTheme="majorEastAsia" w:hAnsiTheme="majorEastAsia" w:eastAsiaTheme="majorEastAsia"/>
                <w:szCs w:val="21"/>
              </w:rPr>
            </w:pPr>
          </w:p>
        </w:tc>
      </w:tr>
    </w:tbl>
    <w:p>
      <w:pPr>
        <w:pStyle w:val="2"/>
      </w:pPr>
    </w:p>
    <w:p>
      <w:pPr>
        <w:widowControl/>
        <w:spacing w:line="360" w:lineRule="auto"/>
        <w:jc w:val="left"/>
        <w:rPr>
          <w:szCs w:val="21"/>
        </w:rPr>
      </w:pPr>
    </w:p>
    <w:p>
      <w:pPr>
        <w:spacing w:line="360" w:lineRule="auto"/>
        <w:rPr>
          <w:szCs w:val="21"/>
        </w:rPr>
      </w:pPr>
    </w:p>
    <w:p>
      <w:pPr>
        <w:pStyle w:val="2"/>
        <w:rPr>
          <w:szCs w:val="21"/>
        </w:rPr>
      </w:pPr>
    </w:p>
    <w:p>
      <w:pPr>
        <w:pStyle w:val="2"/>
        <w:rPr>
          <w:szCs w:val="21"/>
        </w:rPr>
      </w:pPr>
    </w:p>
    <w:p>
      <w:pPr>
        <w:pStyle w:val="2"/>
        <w:rPr>
          <w:szCs w:val="21"/>
        </w:rPr>
      </w:pPr>
    </w:p>
    <w:p>
      <w:pPr>
        <w:pStyle w:val="2"/>
        <w:rPr>
          <w:szCs w:val="21"/>
        </w:rPr>
      </w:pPr>
    </w:p>
    <w:p>
      <w:pPr>
        <w:spacing w:line="360" w:lineRule="auto"/>
        <w:rPr>
          <w:szCs w:val="21"/>
        </w:rPr>
      </w:pPr>
      <w:r>
        <w:rPr>
          <w:rFonts w:hint="eastAsia"/>
          <w:szCs w:val="21"/>
        </w:rPr>
        <w:t>附表3:</w:t>
      </w:r>
    </w:p>
    <w:tbl>
      <w:tblPr>
        <w:tblStyle w:val="46"/>
        <w:tblW w:w="4998" w:type="pct"/>
        <w:jc w:val="center"/>
        <w:tblLayout w:type="fixed"/>
        <w:tblCellMar>
          <w:top w:w="0" w:type="dxa"/>
          <w:left w:w="108" w:type="dxa"/>
          <w:bottom w:w="0" w:type="dxa"/>
          <w:right w:w="108" w:type="dxa"/>
        </w:tblCellMar>
      </w:tblPr>
      <w:tblGrid>
        <w:gridCol w:w="4660"/>
        <w:gridCol w:w="3573"/>
        <w:gridCol w:w="709"/>
      </w:tblGrid>
      <w:tr>
        <w:tblPrEx>
          <w:tblCellMar>
            <w:top w:w="0" w:type="dxa"/>
            <w:left w:w="108" w:type="dxa"/>
            <w:bottom w:w="0" w:type="dxa"/>
            <w:right w:w="108" w:type="dxa"/>
          </w:tblCellMar>
        </w:tblPrEx>
        <w:trPr>
          <w:trHeight w:val="469" w:hRule="atLeast"/>
          <w:jc w:val="center"/>
        </w:trPr>
        <w:tc>
          <w:tcPr>
            <w:tcW w:w="5000" w:type="pct"/>
            <w:gridSpan w:val="3"/>
            <w:tcBorders>
              <w:top w:val="nil"/>
              <w:left w:val="nil"/>
              <w:bottom w:val="single" w:color="auto" w:sz="4" w:space="0"/>
              <w:right w:val="nil"/>
            </w:tcBorders>
            <w:shd w:val="clear" w:color="auto" w:fill="auto"/>
            <w:noWrap/>
            <w:vAlign w:val="center"/>
          </w:tcPr>
          <w:p>
            <w:pPr>
              <w:widowControl/>
              <w:spacing w:line="360" w:lineRule="auto"/>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月浦基地综合服务满意度调查表</w:t>
            </w:r>
          </w:p>
        </w:tc>
      </w:tr>
      <w:tr>
        <w:tblPrEx>
          <w:tblCellMar>
            <w:top w:w="0" w:type="dxa"/>
            <w:left w:w="108" w:type="dxa"/>
            <w:bottom w:w="0" w:type="dxa"/>
            <w:right w:w="108" w:type="dxa"/>
          </w:tblCellMar>
        </w:tblPrEx>
        <w:trPr>
          <w:trHeight w:val="1915"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尊敬的入驻单位：</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   为了提高月浦基地的综合服务和管理水平，更好地为您提供优质满意的服务，请您在百忙之中为我们的各项工作进行评分。谢谢您的支持！</w:t>
            </w:r>
          </w:p>
        </w:tc>
      </w:tr>
      <w:tr>
        <w:tblPrEx>
          <w:tblCellMar>
            <w:top w:w="0" w:type="dxa"/>
            <w:left w:w="108" w:type="dxa"/>
            <w:bottom w:w="0" w:type="dxa"/>
            <w:right w:w="108" w:type="dxa"/>
          </w:tblCellMar>
        </w:tblPrEx>
        <w:trPr>
          <w:trHeight w:val="675" w:hRule="atLeast"/>
          <w:jc w:val="center"/>
        </w:trPr>
        <w:tc>
          <w:tcPr>
            <w:tcW w:w="26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入驻单位名称：     </w:t>
            </w:r>
          </w:p>
        </w:tc>
        <w:tc>
          <w:tcPr>
            <w:tcW w:w="239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签名：</w:t>
            </w:r>
          </w:p>
        </w:tc>
      </w:tr>
      <w:tr>
        <w:tblPrEx>
          <w:tblCellMar>
            <w:top w:w="0" w:type="dxa"/>
            <w:left w:w="108" w:type="dxa"/>
            <w:bottom w:w="0" w:type="dxa"/>
            <w:right w:w="108" w:type="dxa"/>
          </w:tblCellMar>
        </w:tblPrEx>
        <w:trPr>
          <w:trHeight w:val="666" w:hRule="atLeast"/>
          <w:jc w:val="center"/>
        </w:trPr>
        <w:tc>
          <w:tcPr>
            <w:tcW w:w="26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服务项</w:t>
            </w:r>
          </w:p>
        </w:tc>
        <w:tc>
          <w:tcPr>
            <w:tcW w:w="1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服务满意度</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评分</w:t>
            </w:r>
          </w:p>
        </w:tc>
      </w:tr>
      <w:tr>
        <w:tblPrEx>
          <w:tblCellMar>
            <w:top w:w="0" w:type="dxa"/>
            <w:left w:w="108" w:type="dxa"/>
            <w:bottom w:w="0" w:type="dxa"/>
            <w:right w:w="108" w:type="dxa"/>
          </w:tblCellMar>
        </w:tblPrEx>
        <w:trPr>
          <w:trHeight w:val="479"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一、管理服务类</w:t>
            </w:r>
          </w:p>
        </w:tc>
      </w:tr>
      <w:tr>
        <w:tblPrEx>
          <w:tblCellMar>
            <w:top w:w="0" w:type="dxa"/>
            <w:left w:w="108" w:type="dxa"/>
            <w:bottom w:w="0" w:type="dxa"/>
            <w:right w:w="108" w:type="dxa"/>
          </w:tblCellMar>
        </w:tblPrEx>
        <w:trPr>
          <w:trHeight w:val="480"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1、服务人员的仪容仪表、行为规范、服务态度</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2、现场协调与解决问题能力</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二、安全服务类</w:t>
            </w: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1、园区秩序与安全保障</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2、机动车、非机动车管理</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三、卫生绿化服务类</w:t>
            </w: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1、园区公共区域卫生</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2、园区绿化与休闲</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四、工程维修类</w:t>
            </w: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1、工程维修质量</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479" w:hRule="atLeast"/>
          <w:jc w:val="center"/>
        </w:trPr>
        <w:tc>
          <w:tcPr>
            <w:tcW w:w="2606"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2、维修处理及时性</w:t>
            </w:r>
          </w:p>
        </w:tc>
        <w:tc>
          <w:tcPr>
            <w:tcW w:w="19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□非常满意  □满意 □不满意</w:t>
            </w:r>
          </w:p>
        </w:tc>
        <w:tc>
          <w:tcPr>
            <w:tcW w:w="39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2175"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noWrap/>
          </w:tcPr>
          <w:p>
            <w:pPr>
              <w:widowControl/>
              <w:spacing w:line="360" w:lineRule="auto"/>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其他意见与建议：</w:t>
            </w:r>
          </w:p>
          <w:p>
            <w:pPr>
              <w:widowControl/>
              <w:spacing w:line="360" w:lineRule="auto"/>
              <w:jc w:val="left"/>
              <w:rPr>
                <w:rFonts w:cs="宋体" w:asciiTheme="majorEastAsia" w:hAnsiTheme="majorEastAsia" w:eastAsiaTheme="majorEastAsia"/>
                <w:kern w:val="0"/>
                <w:szCs w:val="21"/>
              </w:rPr>
            </w:pPr>
          </w:p>
        </w:tc>
      </w:tr>
      <w:tr>
        <w:tblPrEx>
          <w:tblCellMar>
            <w:top w:w="0" w:type="dxa"/>
            <w:left w:w="108" w:type="dxa"/>
            <w:bottom w:w="0" w:type="dxa"/>
            <w:right w:w="108" w:type="dxa"/>
          </w:tblCellMar>
        </w:tblPrEx>
        <w:trPr>
          <w:trHeight w:val="729" w:hRule="atLeast"/>
          <w:jc w:val="center"/>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vAlign w:val="bottom"/>
          </w:tcPr>
          <w:p>
            <w:pPr>
              <w:widowControl/>
              <w:spacing w:after="240" w:line="360" w:lineRule="auto"/>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再次感谢您对月浦基地管理工作的支持和理解！</w:t>
            </w:r>
          </w:p>
        </w:tc>
      </w:tr>
    </w:tbl>
    <w:p>
      <w:pPr>
        <w:spacing w:line="360" w:lineRule="auto"/>
        <w:rPr>
          <w:szCs w:val="21"/>
        </w:rPr>
      </w:pPr>
    </w:p>
    <w:p>
      <w:pPr>
        <w:pageBreakBefore/>
        <w:rPr>
          <w:rFonts w:ascii="宋体" w:hAnsi="宋体"/>
          <w:szCs w:val="21"/>
        </w:rPr>
      </w:pPr>
      <w:r>
        <w:rPr>
          <w:rFonts w:hint="eastAsia" w:ascii="宋体" w:hAnsi="宋体"/>
          <w:szCs w:val="21"/>
        </w:rPr>
        <w:t>附表</w:t>
      </w:r>
      <w:r>
        <w:rPr>
          <w:rFonts w:ascii="宋体" w:hAnsi="宋体"/>
          <w:szCs w:val="21"/>
        </w:rPr>
        <w:t>4</w:t>
      </w:r>
      <w:r>
        <w:rPr>
          <w:rFonts w:hint="eastAsia" w:ascii="宋体" w:hAnsi="宋体"/>
          <w:szCs w:val="21"/>
        </w:rPr>
        <w:t xml:space="preserve">： </w:t>
      </w:r>
    </w:p>
    <w:p>
      <w:pPr>
        <w:widowControl/>
        <w:jc w:val="center"/>
        <w:rPr>
          <w:b/>
          <w:sz w:val="24"/>
        </w:rPr>
      </w:pPr>
      <w:r>
        <w:rPr>
          <w:rFonts w:hint="eastAsia"/>
          <w:b/>
          <w:sz w:val="24"/>
        </w:rPr>
        <w:t>工作检查及验收</w:t>
      </w:r>
    </w:p>
    <w:p>
      <w:pPr>
        <w:tabs>
          <w:tab w:val="left" w:pos="5580"/>
        </w:tabs>
        <w:ind w:right="720"/>
        <w:jc w:val="right"/>
        <w:rPr>
          <w:sz w:val="24"/>
        </w:rPr>
      </w:pPr>
    </w:p>
    <w:p>
      <w:pPr>
        <w:tabs>
          <w:tab w:val="left" w:pos="5580"/>
        </w:tabs>
        <w:ind w:right="720"/>
        <w:jc w:val="right"/>
        <w:rPr>
          <w:sz w:val="24"/>
        </w:rPr>
      </w:pP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tbl>
      <w:tblPr>
        <w:tblStyle w:val="4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74"/>
        <w:gridCol w:w="1766"/>
        <w:gridCol w:w="2840"/>
        <w:gridCol w:w="28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2" w:hRule="atLeast"/>
          <w:jc w:val="center"/>
        </w:trPr>
        <w:tc>
          <w:tcPr>
            <w:tcW w:w="2840" w:type="dxa"/>
            <w:gridSpan w:val="2"/>
            <w:vAlign w:val="center"/>
          </w:tcPr>
          <w:p>
            <w:pPr>
              <w:jc w:val="center"/>
            </w:pPr>
            <w:r>
              <w:rPr>
                <w:rFonts w:hint="eastAsia"/>
              </w:rPr>
              <w:t>合同执行部门</w:t>
            </w:r>
          </w:p>
        </w:tc>
        <w:tc>
          <w:tcPr>
            <w:tcW w:w="2840" w:type="dxa"/>
            <w:vAlign w:val="center"/>
          </w:tcPr>
          <w:p>
            <w:pPr>
              <w:jc w:val="center"/>
            </w:pPr>
            <w:r>
              <w:rPr>
                <w:rFonts w:hint="eastAsia"/>
              </w:rPr>
              <w:t>合同编号</w:t>
            </w:r>
          </w:p>
        </w:tc>
        <w:tc>
          <w:tcPr>
            <w:tcW w:w="2840" w:type="dxa"/>
            <w:vAlign w:val="center"/>
          </w:tcPr>
          <w:p>
            <w:pPr>
              <w:jc w:val="center"/>
            </w:pPr>
            <w:r>
              <w:rPr>
                <w:rFonts w:hint="eastAsia"/>
              </w:rPr>
              <w:t>合同名称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2840" w:type="dxa"/>
            <w:gridSpan w:val="2"/>
            <w:vAlign w:val="center"/>
          </w:tcPr>
          <w:p>
            <w:pPr>
              <w:jc w:val="center"/>
            </w:pPr>
            <w:r>
              <w:rPr>
                <w:rFonts w:hint="eastAsia"/>
              </w:rPr>
              <w:t>综合服务管理部</w:t>
            </w:r>
          </w:p>
        </w:tc>
        <w:tc>
          <w:tcPr>
            <w:tcW w:w="2840" w:type="dxa"/>
            <w:vAlign w:val="center"/>
          </w:tcPr>
          <w:p>
            <w:pPr>
              <w:jc w:val="center"/>
            </w:pPr>
          </w:p>
        </w:tc>
        <w:tc>
          <w:tcPr>
            <w:tcW w:w="2840" w:type="dxa"/>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5" w:hRule="atLeast"/>
          <w:jc w:val="center"/>
        </w:trPr>
        <w:tc>
          <w:tcPr>
            <w:tcW w:w="8520" w:type="dxa"/>
            <w:gridSpan w:val="4"/>
            <w:vAlign w:val="center"/>
          </w:tcPr>
          <w:p>
            <w:pPr>
              <w:jc w:val="center"/>
            </w:pPr>
            <w:r>
              <w:rPr>
                <w:rFonts w:hint="eastAsia"/>
              </w:rPr>
              <w:t>履行情况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jc w:val="center"/>
        </w:trPr>
        <w:tc>
          <w:tcPr>
            <w:tcW w:w="1074" w:type="dxa"/>
            <w:vAlign w:val="center"/>
          </w:tcPr>
          <w:p>
            <w:pPr>
              <w:jc w:val="center"/>
            </w:pPr>
            <w:r>
              <w:rPr>
                <w:rFonts w:hint="eastAsia"/>
              </w:rPr>
              <w:t>进度</w:t>
            </w:r>
          </w:p>
        </w:tc>
        <w:tc>
          <w:tcPr>
            <w:tcW w:w="7446" w:type="dxa"/>
            <w:gridSpan w:val="3"/>
          </w:tcPr>
          <w:p/>
          <w:p/>
          <w:p/>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70" w:hRule="atLeast"/>
          <w:jc w:val="center"/>
        </w:trPr>
        <w:tc>
          <w:tcPr>
            <w:tcW w:w="1074" w:type="dxa"/>
            <w:vAlign w:val="center"/>
          </w:tcPr>
          <w:p>
            <w:pPr>
              <w:jc w:val="center"/>
            </w:pPr>
            <w:r>
              <w:rPr>
                <w:rFonts w:hint="eastAsia"/>
              </w:rPr>
              <w:t>技术实力</w:t>
            </w:r>
          </w:p>
        </w:tc>
        <w:tc>
          <w:tcPr>
            <w:tcW w:w="7446" w:type="dxa"/>
            <w:gridSpan w:val="3"/>
          </w:tcPr>
          <w:p/>
          <w:p/>
          <w:p/>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jc w:val="center"/>
        </w:trPr>
        <w:tc>
          <w:tcPr>
            <w:tcW w:w="1074" w:type="dxa"/>
            <w:vAlign w:val="center"/>
          </w:tcPr>
          <w:p>
            <w:pPr>
              <w:jc w:val="center"/>
            </w:pPr>
            <w:r>
              <w:rPr>
                <w:rFonts w:hint="eastAsia"/>
              </w:rPr>
              <w:t>工作质量</w:t>
            </w:r>
          </w:p>
        </w:tc>
        <w:tc>
          <w:tcPr>
            <w:tcW w:w="7446" w:type="dxa"/>
            <w:gridSpan w:val="3"/>
          </w:tcPr>
          <w:p/>
          <w:p/>
          <w:p/>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jc w:val="center"/>
        </w:trPr>
        <w:tc>
          <w:tcPr>
            <w:tcW w:w="1074" w:type="dxa"/>
            <w:vAlign w:val="center"/>
          </w:tcPr>
          <w:p>
            <w:pPr>
              <w:jc w:val="center"/>
            </w:pPr>
            <w:r>
              <w:rPr>
                <w:rFonts w:hint="eastAsia"/>
              </w:rPr>
              <w:t>合作态度</w:t>
            </w:r>
          </w:p>
        </w:tc>
        <w:tc>
          <w:tcPr>
            <w:tcW w:w="7446" w:type="dxa"/>
            <w:gridSpan w:val="3"/>
          </w:tcPr>
          <w:p/>
          <w:p/>
          <w:p/>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70" w:hRule="atLeast"/>
          <w:jc w:val="center"/>
        </w:trPr>
        <w:tc>
          <w:tcPr>
            <w:tcW w:w="1074" w:type="dxa"/>
            <w:vAlign w:val="center"/>
          </w:tcPr>
          <w:p>
            <w:pPr>
              <w:jc w:val="center"/>
            </w:pPr>
            <w:r>
              <w:rPr>
                <w:rFonts w:hint="eastAsia"/>
              </w:rPr>
              <w:t>合同变更原因及</w:t>
            </w:r>
          </w:p>
          <w:p>
            <w:pPr>
              <w:jc w:val="center"/>
            </w:pPr>
            <w:r>
              <w:rPr>
                <w:rFonts w:hint="eastAsia"/>
              </w:rPr>
              <w:t>合理性</w:t>
            </w:r>
          </w:p>
        </w:tc>
        <w:tc>
          <w:tcPr>
            <w:tcW w:w="7446" w:type="dxa"/>
            <w:gridSpan w:val="3"/>
          </w:tcPr>
          <w:p/>
          <w:p/>
          <w:p/>
          <w:p/>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8" w:hRule="atLeast"/>
          <w:jc w:val="center"/>
        </w:trPr>
        <w:tc>
          <w:tcPr>
            <w:tcW w:w="1074" w:type="dxa"/>
            <w:vAlign w:val="center"/>
          </w:tcPr>
          <w:p>
            <w:pPr>
              <w:jc w:val="center"/>
            </w:pPr>
            <w:r>
              <w:rPr>
                <w:rFonts w:hint="eastAsia"/>
              </w:rPr>
              <w:t>合同条款存在问题</w:t>
            </w:r>
          </w:p>
        </w:tc>
        <w:tc>
          <w:tcPr>
            <w:tcW w:w="7446" w:type="dxa"/>
            <w:gridSpan w:val="3"/>
          </w:tcPr>
          <w:p/>
          <w:p/>
          <w:p/>
          <w:p/>
        </w:tc>
      </w:tr>
    </w:tbl>
    <w:p/>
    <w:p>
      <w:pPr>
        <w:ind w:firstLine="420" w:firstLineChars="200"/>
      </w:pPr>
    </w:p>
    <w:p>
      <w:pPr>
        <w:ind w:left="3825" w:firstLine="425"/>
        <w:jc w:val="center"/>
      </w:pPr>
      <w:r>
        <w:rPr>
          <w:rFonts w:hint="eastAsia"/>
        </w:rPr>
        <w:t>验收签字：____________________</w:t>
      </w:r>
    </w:p>
    <w:p>
      <w:pPr>
        <w:rPr>
          <w:szCs w:val="21"/>
        </w:rPr>
      </w:pPr>
    </w:p>
    <w:p>
      <w:pPr>
        <w:rPr>
          <w:szCs w:val="21"/>
        </w:rPr>
      </w:pPr>
      <w:r>
        <w:rPr>
          <w:rFonts w:hint="eastAsia"/>
          <w:szCs w:val="21"/>
        </w:rPr>
        <w:t>1．本表作为每月付款的支持材料。</w:t>
      </w:r>
    </w:p>
    <w:p>
      <w:pPr>
        <w:widowControl/>
        <w:jc w:val="left"/>
        <w:rPr>
          <w:szCs w:val="21"/>
        </w:rPr>
      </w:pPr>
    </w:p>
    <w:p>
      <w:pPr>
        <w:keepNext/>
        <w:keepLines/>
        <w:pageBreakBefore w:val="0"/>
        <w:widowControl/>
        <w:kinsoku/>
        <w:wordWrap/>
        <w:overflowPunct/>
        <w:topLinePunct w:val="0"/>
        <w:autoSpaceDE/>
        <w:autoSpaceDN/>
        <w:bidi w:val="0"/>
        <w:adjustRightInd w:val="0"/>
        <w:snapToGrid w:val="0"/>
        <w:spacing w:before="340" w:beforeLines="0" w:after="330" w:line="360" w:lineRule="auto"/>
        <w:ind w:left="0" w:leftChars="0" w:right="0" w:rightChars="0" w:firstLine="0" w:firstLineChars="0"/>
        <w:jc w:val="left"/>
        <w:textAlignment w:val="auto"/>
        <w:outlineLvl w:val="0"/>
        <w:rPr>
          <w:rFonts w:hint="eastAsia" w:ascii="宋体" w:hAnsi="宋体" w:eastAsia="宋体" w:cs="宋体"/>
          <w:bCs/>
          <w:snapToGrid w:val="0"/>
          <w:kern w:val="0"/>
          <w:sz w:val="24"/>
          <w:lang w:val="zh-CN" w:eastAsia="zh-CN"/>
        </w:rPr>
      </w:pPr>
      <w:r>
        <w:rPr>
          <w:rFonts w:hint="eastAsia" w:ascii="宋体" w:hAnsi="宋体" w:eastAsia="宋体" w:cs="宋体"/>
          <w:bCs/>
          <w:snapToGrid w:val="0"/>
          <w:kern w:val="0"/>
          <w:sz w:val="24"/>
          <w:lang w:val="zh-CN" w:eastAsia="zh-CN"/>
        </w:rPr>
        <w:t>附件三：费用明细表</w:t>
      </w:r>
    </w:p>
    <w:p>
      <w:pPr>
        <w:jc w:val="center"/>
        <w:rPr>
          <w:sz w:val="32"/>
          <w:szCs w:val="32"/>
        </w:rPr>
      </w:pPr>
      <w:r>
        <w:rPr>
          <w:rFonts w:hint="eastAsia"/>
          <w:sz w:val="32"/>
          <w:szCs w:val="32"/>
        </w:rPr>
        <w:t>费用明细表</w:t>
      </w:r>
    </w:p>
    <w:tbl>
      <w:tblPr>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76"/>
        <w:gridCol w:w="1356"/>
        <w:gridCol w:w="1371"/>
        <w:gridCol w:w="427"/>
        <w:gridCol w:w="4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ins w:id="0" w:author="张鲁燕" w:date="2024-12-25T19:38:54Z"/>
        </w:trPr>
        <w:tc>
          <w:tcPr>
            <w:tcW w:w="8612"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 w:author="张鲁燕" w:date="2024-12-25T19:38:54Z"/>
                <w:rFonts w:hint="eastAsia" w:ascii="宋体" w:hAnsi="宋体" w:eastAsia="宋体" w:cs="宋体"/>
                <w:b/>
                <w:bCs/>
                <w:i w:val="0"/>
                <w:iCs w:val="0"/>
                <w:color w:val="000000"/>
                <w:sz w:val="28"/>
                <w:szCs w:val="28"/>
                <w:u w:val="none"/>
              </w:rPr>
            </w:pPr>
            <w:ins w:id="2" w:author="张鲁燕" w:date="2024-12-25T19:38:54Z">
              <w:r>
                <w:rPr>
                  <w:rFonts w:hint="eastAsia" w:ascii="宋体" w:hAnsi="宋体" w:eastAsia="宋体" w:cs="宋体"/>
                  <w:b/>
                  <w:bCs/>
                  <w:i w:val="0"/>
                  <w:iCs w:val="0"/>
                  <w:color w:val="000000"/>
                  <w:kern w:val="0"/>
                  <w:sz w:val="28"/>
                  <w:szCs w:val="28"/>
                  <w:u w:val="none"/>
                  <w:bdr w:val="none" w:color="auto" w:sz="0" w:space="0"/>
                  <w:lang w:val="en-US" w:eastAsia="zh-CN" w:bidi="ar"/>
                </w:rPr>
                <w:t>附件一、合同费用报价明细表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1" w:hRule="atLeast"/>
          <w:ins w:id="3"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4" w:author="张鲁燕" w:date="2024-12-25T19:38:54Z"/>
                <w:rFonts w:hint="eastAsia" w:ascii="宋体" w:hAnsi="宋体" w:eastAsia="宋体" w:cs="宋体"/>
                <w:b/>
                <w:bCs/>
                <w:i w:val="0"/>
                <w:iCs w:val="0"/>
                <w:color w:val="000000"/>
                <w:sz w:val="21"/>
                <w:szCs w:val="21"/>
                <w:u w:val="none"/>
              </w:rPr>
            </w:pPr>
            <w:ins w:id="5"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序号</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6" w:author="张鲁燕" w:date="2024-12-25T19:38:54Z"/>
                <w:rFonts w:hint="eastAsia" w:ascii="宋体" w:hAnsi="宋体" w:eastAsia="宋体" w:cs="宋体"/>
                <w:b/>
                <w:bCs/>
                <w:i w:val="0"/>
                <w:iCs w:val="0"/>
                <w:color w:val="000000"/>
                <w:sz w:val="21"/>
                <w:szCs w:val="21"/>
                <w:u w:val="none"/>
              </w:rPr>
            </w:pPr>
            <w:ins w:id="7"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费用项目</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8" w:author="张鲁燕" w:date="2024-12-25T19:38:54Z"/>
                <w:rFonts w:hint="eastAsia" w:ascii="宋体" w:hAnsi="宋体" w:eastAsia="宋体" w:cs="宋体"/>
                <w:b/>
                <w:bCs/>
                <w:i w:val="0"/>
                <w:iCs w:val="0"/>
                <w:color w:val="000000"/>
                <w:sz w:val="21"/>
                <w:szCs w:val="21"/>
                <w:u w:val="none"/>
              </w:rPr>
            </w:pPr>
            <w:ins w:id="9"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月度费用小计</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0" w:author="张鲁燕" w:date="2024-12-25T19:38:54Z"/>
                <w:rFonts w:hint="eastAsia" w:ascii="宋体" w:hAnsi="宋体" w:eastAsia="宋体" w:cs="宋体"/>
                <w:b/>
                <w:bCs/>
                <w:i w:val="0"/>
                <w:iCs w:val="0"/>
                <w:color w:val="000000"/>
                <w:sz w:val="21"/>
                <w:szCs w:val="21"/>
                <w:u w:val="none"/>
              </w:rPr>
            </w:pPr>
            <w:ins w:id="11"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具体要求</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ins w:id="12"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3" w:author="张鲁燕" w:date="2024-12-25T19:38:54Z"/>
                <w:rFonts w:hint="eastAsia" w:ascii="宋体" w:hAnsi="宋体" w:eastAsia="宋体" w:cs="宋体"/>
                <w:b/>
                <w:bCs/>
                <w:i w:val="0"/>
                <w:iCs w:val="0"/>
                <w:color w:val="000000"/>
                <w:sz w:val="21"/>
                <w:szCs w:val="21"/>
                <w:u w:val="none"/>
              </w:rPr>
            </w:pPr>
            <w:ins w:id="14"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1</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5" w:author="张鲁燕" w:date="2024-12-25T19:38:54Z"/>
                <w:rFonts w:hint="eastAsia" w:ascii="宋体" w:hAnsi="宋体" w:eastAsia="宋体" w:cs="宋体"/>
                <w:b/>
                <w:bCs/>
                <w:i w:val="0"/>
                <w:iCs w:val="0"/>
                <w:color w:val="000000"/>
                <w:sz w:val="21"/>
                <w:szCs w:val="21"/>
                <w:u w:val="none"/>
              </w:rPr>
            </w:pPr>
            <w:ins w:id="16"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月度固定服务</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7" w:author="张鲁燕" w:date="2024-12-25T19:38:54Z"/>
                <w:rFonts w:hint="eastAsia" w:ascii="宋体" w:hAnsi="宋体" w:eastAsia="宋体" w:cs="宋体"/>
                <w:b/>
                <w:bCs/>
                <w:i w:val="0"/>
                <w:iCs w:val="0"/>
                <w:color w:val="000000"/>
                <w:sz w:val="21"/>
                <w:szCs w:val="21"/>
                <w:u w:val="none"/>
              </w:rPr>
            </w:pPr>
            <w:ins w:id="18"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9" w:author="张鲁燕" w:date="2024-12-25T19:38:54Z"/>
                <w:rFonts w:hint="eastAsia" w:ascii="宋体" w:hAnsi="宋体" w:eastAsia="宋体" w:cs="宋体"/>
                <w:b/>
                <w:bCs/>
                <w:i w:val="0"/>
                <w:iCs w:val="0"/>
                <w:color w:val="000000"/>
                <w:sz w:val="21"/>
                <w:szCs w:val="21"/>
                <w:u w:val="none"/>
              </w:rPr>
            </w:pPr>
            <w:ins w:id="20"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每月固定发生费用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1" w:hRule="atLeast"/>
          <w:ins w:id="21"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2" w:author="张鲁燕" w:date="2024-12-25T19:38:54Z"/>
                <w:rFonts w:hint="eastAsia" w:ascii="宋体" w:hAnsi="宋体" w:eastAsia="宋体" w:cs="宋体"/>
                <w:i w:val="0"/>
                <w:iCs w:val="0"/>
                <w:color w:val="000000"/>
                <w:sz w:val="21"/>
                <w:szCs w:val="21"/>
                <w:u w:val="none"/>
              </w:rPr>
            </w:pPr>
            <w:ins w:id="23"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1.1</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4" w:author="张鲁燕" w:date="2024-12-25T19:38:54Z"/>
                <w:rFonts w:hint="eastAsia" w:ascii="宋体" w:hAnsi="宋体" w:eastAsia="宋体" w:cs="宋体"/>
                <w:i w:val="0"/>
                <w:iCs w:val="0"/>
                <w:color w:val="000000"/>
                <w:sz w:val="21"/>
                <w:szCs w:val="21"/>
                <w:u w:val="none"/>
              </w:rPr>
            </w:pPr>
            <w:ins w:id="25"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人员成本</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6" w:author="张鲁燕" w:date="2024-12-25T19:38:54Z"/>
                <w:rFonts w:hint="eastAsia" w:ascii="宋体" w:hAnsi="宋体" w:eastAsia="宋体" w:cs="宋体"/>
                <w:i w:val="0"/>
                <w:iCs w:val="0"/>
                <w:color w:val="000000"/>
                <w:sz w:val="21"/>
                <w:szCs w:val="21"/>
                <w:u w:val="none"/>
              </w:rPr>
            </w:pPr>
            <w:ins w:id="27"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28" w:author="张鲁燕" w:date="2024-12-25T19:38:54Z"/>
                <w:rFonts w:hint="eastAsia" w:ascii="宋体" w:hAnsi="宋体" w:eastAsia="宋体" w:cs="宋体"/>
                <w:i w:val="0"/>
                <w:iCs w:val="0"/>
                <w:color w:val="000000"/>
                <w:sz w:val="21"/>
                <w:szCs w:val="21"/>
                <w:u w:val="none"/>
              </w:rPr>
            </w:pPr>
            <w:ins w:id="29"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人员直接成本、管理费等，为满足综合服务要求，人员构成可参考《人员配置参考表》。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0" w:hRule="atLeast"/>
          <w:ins w:id="30"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31" w:author="张鲁燕" w:date="2024-12-25T19:38:54Z"/>
                <w:rFonts w:hint="eastAsia" w:ascii="宋体" w:hAnsi="宋体" w:eastAsia="宋体" w:cs="宋体"/>
                <w:i w:val="0"/>
                <w:iCs w:val="0"/>
                <w:color w:val="000000"/>
                <w:sz w:val="21"/>
                <w:szCs w:val="21"/>
                <w:u w:val="none"/>
              </w:rPr>
            </w:pPr>
            <w:ins w:id="32"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1.2</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33" w:author="张鲁燕" w:date="2024-12-25T19:38:54Z"/>
                <w:rFonts w:hint="eastAsia" w:ascii="宋体" w:hAnsi="宋体" w:eastAsia="宋体" w:cs="宋体"/>
                <w:i w:val="0"/>
                <w:iCs w:val="0"/>
                <w:color w:val="000000"/>
                <w:sz w:val="21"/>
                <w:szCs w:val="21"/>
                <w:u w:val="none"/>
              </w:rPr>
            </w:pPr>
            <w:ins w:id="3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绿化养护</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35" w:author="张鲁燕" w:date="2024-12-25T19:38:54Z"/>
                <w:rFonts w:hint="eastAsia" w:ascii="宋体" w:hAnsi="宋体" w:eastAsia="宋体" w:cs="宋体"/>
                <w:i w:val="0"/>
                <w:iCs w:val="0"/>
                <w:color w:val="000000"/>
                <w:sz w:val="21"/>
                <w:szCs w:val="21"/>
                <w:u w:val="none"/>
              </w:rPr>
            </w:pPr>
            <w:ins w:id="36"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37" w:author="张鲁燕" w:date="2024-12-25T19:38:54Z"/>
                <w:rFonts w:hint="eastAsia" w:ascii="宋体" w:hAnsi="宋体" w:eastAsia="宋体" w:cs="宋体"/>
                <w:i w:val="0"/>
                <w:iCs w:val="0"/>
                <w:color w:val="000000"/>
                <w:sz w:val="21"/>
                <w:szCs w:val="21"/>
                <w:u w:val="none"/>
              </w:rPr>
            </w:pPr>
            <w:ins w:id="38"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树木、草坪、花卉、地被植物等总面积3543㎡按照《园林绿化养护标准》（DG/TJ08—19—2023 J11852—2023）二级养护、修剪、施肥、补种、换种等。</w:t>
              </w:r>
            </w:ins>
            <w:ins w:id="39"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br w:type="textWrapping"/>
              </w:r>
            </w:ins>
            <w:ins w:id="40"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1、草坪具体参考2.2标准进行养护</w:t>
              </w:r>
            </w:ins>
            <w:ins w:id="41"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br w:type="textWrapping"/>
              </w:r>
            </w:ins>
            <w:ins w:id="42"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2、花卉具体参考2.3标准进行养护</w:t>
              </w:r>
            </w:ins>
            <w:ins w:id="43"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br w:type="textWrapping"/>
              </w:r>
            </w:ins>
            <w:ins w:id="4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3、树木具体参考2.4标准进行养护</w:t>
              </w:r>
            </w:ins>
            <w:ins w:id="45"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br w:type="textWrapping"/>
              </w:r>
            </w:ins>
            <w:ins w:id="46"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特别说明：种植及租摆的花卉在正常花期内如出现枯萎死亡等情况，需要及时进行更换。</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ins w:id="47" w:author="张鲁燕" w:date="2024-12-25T19:38:54Z"/>
        </w:trPr>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48" w:author="张鲁燕" w:date="2024-12-25T19:38:54Z"/>
                <w:rFonts w:hint="eastAsia" w:ascii="宋体" w:hAnsi="宋体" w:eastAsia="宋体" w:cs="宋体"/>
                <w:i w:val="0"/>
                <w:iCs w:val="0"/>
                <w:color w:val="000000"/>
                <w:sz w:val="21"/>
                <w:szCs w:val="21"/>
                <w:u w:val="none"/>
              </w:rPr>
            </w:pPr>
            <w:ins w:id="49"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1.3</w:t>
              </w:r>
            </w:ins>
          </w:p>
        </w:tc>
        <w:tc>
          <w:tcPr>
            <w:tcW w:w="13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50" w:author="张鲁燕" w:date="2024-12-25T19:38:54Z"/>
                <w:rFonts w:hint="eastAsia" w:ascii="宋体" w:hAnsi="宋体" w:eastAsia="宋体" w:cs="宋体"/>
                <w:i w:val="0"/>
                <w:iCs w:val="0"/>
                <w:color w:val="000000"/>
                <w:sz w:val="21"/>
                <w:szCs w:val="21"/>
                <w:u w:val="none"/>
              </w:rPr>
            </w:pPr>
            <w:ins w:id="51"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设备维保</w:t>
              </w:r>
            </w:ins>
          </w:p>
        </w:tc>
        <w:tc>
          <w:tcPr>
            <w:tcW w:w="1651"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52" w:author="张鲁燕" w:date="2024-12-25T19:38:54Z"/>
                <w:rFonts w:hint="eastAsia" w:ascii="宋体" w:hAnsi="宋体" w:eastAsia="宋体" w:cs="宋体"/>
                <w:i w:val="0"/>
                <w:iCs w:val="0"/>
                <w:color w:val="000000"/>
                <w:sz w:val="21"/>
                <w:szCs w:val="21"/>
                <w:u w:val="none"/>
              </w:rPr>
            </w:pPr>
            <w:ins w:id="53"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54" w:author="张鲁燕" w:date="2024-12-25T19:38:54Z"/>
                <w:rFonts w:hint="eastAsia" w:ascii="宋体" w:hAnsi="宋体" w:eastAsia="宋体" w:cs="宋体"/>
                <w:i w:val="0"/>
                <w:iCs w:val="0"/>
                <w:color w:val="000000"/>
                <w:sz w:val="21"/>
                <w:szCs w:val="21"/>
                <w:u w:val="none"/>
              </w:rPr>
            </w:pPr>
            <w:ins w:id="55"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1、每年1次防雷综合检测</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ins w:id="56" w:author="张鲁燕" w:date="2024-12-25T19:38:54Z"/>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57" w:author="张鲁燕" w:date="2024-12-25T19:38:54Z"/>
                <w:rFonts w:hint="eastAsia" w:ascii="宋体" w:hAnsi="宋体" w:eastAsia="宋体" w:cs="宋体"/>
                <w:i w:val="0"/>
                <w:iCs w:val="0"/>
                <w:color w:val="000000"/>
                <w:sz w:val="21"/>
                <w:szCs w:val="21"/>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58" w:author="张鲁燕" w:date="2024-12-25T19:38:54Z"/>
                <w:rFonts w:hint="eastAsia" w:ascii="宋体" w:hAnsi="宋体" w:eastAsia="宋体" w:cs="宋体"/>
                <w:i w:val="0"/>
                <w:iCs w:val="0"/>
                <w:color w:val="000000"/>
                <w:sz w:val="21"/>
                <w:szCs w:val="21"/>
                <w:u w:val="none"/>
              </w:rPr>
            </w:pPr>
          </w:p>
        </w:tc>
        <w:tc>
          <w:tcPr>
            <w:tcW w:w="165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59" w:author="张鲁燕" w:date="2024-12-25T19:38:54Z"/>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60" w:author="张鲁燕" w:date="2024-12-25T19:38:54Z"/>
                <w:rFonts w:hint="eastAsia" w:ascii="宋体" w:hAnsi="宋体" w:eastAsia="宋体" w:cs="宋体"/>
                <w:i w:val="0"/>
                <w:iCs w:val="0"/>
                <w:color w:val="000000"/>
                <w:sz w:val="21"/>
                <w:szCs w:val="21"/>
                <w:u w:val="none"/>
              </w:rPr>
            </w:pPr>
            <w:ins w:id="61"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2、实验楼电梯每月2次维保；限速器和电梯整体年检.</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ins w:id="62" w:author="张鲁燕" w:date="2024-12-25T19:38:54Z"/>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63" w:author="张鲁燕" w:date="2024-12-25T19:38:54Z"/>
                <w:rFonts w:hint="eastAsia" w:ascii="宋体" w:hAnsi="宋体" w:eastAsia="宋体" w:cs="宋体"/>
                <w:i w:val="0"/>
                <w:iCs w:val="0"/>
                <w:color w:val="000000"/>
                <w:sz w:val="21"/>
                <w:szCs w:val="21"/>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64" w:author="张鲁燕" w:date="2024-12-25T19:38:54Z"/>
                <w:rFonts w:hint="eastAsia" w:ascii="宋体" w:hAnsi="宋体" w:eastAsia="宋体" w:cs="宋体"/>
                <w:i w:val="0"/>
                <w:iCs w:val="0"/>
                <w:color w:val="000000"/>
                <w:sz w:val="21"/>
                <w:szCs w:val="21"/>
                <w:u w:val="none"/>
              </w:rPr>
            </w:pPr>
          </w:p>
        </w:tc>
        <w:tc>
          <w:tcPr>
            <w:tcW w:w="165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65" w:author="张鲁燕" w:date="2024-12-25T19:38:54Z"/>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66" w:author="张鲁燕" w:date="2024-12-25T19:38:54Z"/>
                <w:rFonts w:hint="eastAsia" w:ascii="宋体" w:hAnsi="宋体" w:eastAsia="宋体" w:cs="宋体"/>
                <w:i w:val="0"/>
                <w:iCs w:val="0"/>
                <w:color w:val="000000"/>
                <w:sz w:val="21"/>
                <w:szCs w:val="21"/>
                <w:u w:val="none"/>
              </w:rPr>
            </w:pPr>
            <w:ins w:id="67"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3、每3年变电所设备进行一次耐高压设备检测</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ins w:id="68" w:author="张鲁燕" w:date="2024-12-25T19:38:54Z"/>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69" w:author="张鲁燕" w:date="2024-12-25T19:38:54Z"/>
                <w:rFonts w:hint="eastAsia" w:ascii="宋体" w:hAnsi="宋体" w:eastAsia="宋体" w:cs="宋体"/>
                <w:i w:val="0"/>
                <w:iCs w:val="0"/>
                <w:color w:val="000000"/>
                <w:sz w:val="21"/>
                <w:szCs w:val="21"/>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70" w:author="张鲁燕" w:date="2024-12-25T19:38:54Z"/>
                <w:rFonts w:hint="eastAsia" w:ascii="宋体" w:hAnsi="宋体" w:eastAsia="宋体" w:cs="宋体"/>
                <w:i w:val="0"/>
                <w:iCs w:val="0"/>
                <w:color w:val="000000"/>
                <w:sz w:val="21"/>
                <w:szCs w:val="21"/>
                <w:u w:val="none"/>
              </w:rPr>
            </w:pPr>
          </w:p>
        </w:tc>
        <w:tc>
          <w:tcPr>
            <w:tcW w:w="165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71" w:author="张鲁燕" w:date="2024-12-25T19:38:54Z"/>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72" w:author="张鲁燕" w:date="2024-12-25T19:38:54Z"/>
                <w:rFonts w:hint="eastAsia" w:ascii="宋体" w:hAnsi="宋体" w:eastAsia="宋体" w:cs="宋体"/>
                <w:i w:val="0"/>
                <w:iCs w:val="0"/>
                <w:color w:val="000000"/>
                <w:sz w:val="21"/>
                <w:szCs w:val="21"/>
                <w:u w:val="none"/>
              </w:rPr>
            </w:pPr>
            <w:ins w:id="73"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4、基地内6台挂式空调的日常维护、滤网清洗、零部件和氟利昂更换等。空调压缩机等大件维修不在此范围。</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ins w:id="74" w:author="张鲁燕" w:date="2024-12-25T19:38:54Z"/>
        </w:trPr>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75" w:author="张鲁燕" w:date="2024-12-25T19:38:54Z"/>
                <w:rFonts w:hint="eastAsia" w:ascii="宋体" w:hAnsi="宋体" w:eastAsia="宋体" w:cs="宋体"/>
                <w:i w:val="0"/>
                <w:iCs w:val="0"/>
                <w:color w:val="000000"/>
                <w:sz w:val="21"/>
                <w:szCs w:val="21"/>
                <w:u w:val="none"/>
              </w:rPr>
            </w:pPr>
            <w:ins w:id="76"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1.4</w:t>
              </w:r>
            </w:ins>
          </w:p>
        </w:tc>
        <w:tc>
          <w:tcPr>
            <w:tcW w:w="13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77" w:author="张鲁燕" w:date="2024-12-25T19:38:54Z"/>
                <w:rFonts w:hint="eastAsia" w:ascii="宋体" w:hAnsi="宋体" w:eastAsia="宋体" w:cs="宋体"/>
                <w:i w:val="0"/>
                <w:iCs w:val="0"/>
                <w:color w:val="000000"/>
                <w:sz w:val="21"/>
                <w:szCs w:val="21"/>
                <w:u w:val="none"/>
              </w:rPr>
            </w:pPr>
            <w:ins w:id="78"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物料包干</w:t>
              </w:r>
            </w:ins>
          </w:p>
        </w:tc>
        <w:tc>
          <w:tcPr>
            <w:tcW w:w="1651"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79" w:author="张鲁燕" w:date="2024-12-25T19:38:54Z"/>
                <w:rFonts w:hint="eastAsia" w:ascii="宋体" w:hAnsi="宋体" w:eastAsia="宋体" w:cs="宋体"/>
                <w:i w:val="0"/>
                <w:iCs w:val="0"/>
                <w:color w:val="000000"/>
                <w:sz w:val="21"/>
                <w:szCs w:val="21"/>
                <w:u w:val="none"/>
              </w:rPr>
            </w:pPr>
            <w:ins w:id="80"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81" w:author="张鲁燕" w:date="2024-12-25T19:38:54Z"/>
                <w:rFonts w:hint="eastAsia" w:ascii="宋体" w:hAnsi="宋体" w:eastAsia="宋体" w:cs="宋体"/>
                <w:i w:val="0"/>
                <w:iCs w:val="0"/>
                <w:color w:val="000000"/>
                <w:sz w:val="21"/>
                <w:szCs w:val="21"/>
                <w:u w:val="none"/>
              </w:rPr>
            </w:pPr>
            <w:ins w:id="82"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1、维修物料：标识牌宣传栏掉漆修补、道路小面积修补（≤1平方米）、锁芯、门把手、照明灯管、水龙头、水管、地漏、电工日常维修工具、配电房交流接触器空气开关、道闸遥控器、伸缩门遥控器、门卫室内椅子维修、马桶盖、淋浴器配件等</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ins w:id="83" w:author="张鲁燕" w:date="2024-12-25T19:38:54Z"/>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84" w:author="张鲁燕" w:date="2024-12-25T19:38:54Z"/>
                <w:rFonts w:hint="eastAsia" w:ascii="宋体" w:hAnsi="宋体" w:eastAsia="宋体" w:cs="宋体"/>
                <w:i w:val="0"/>
                <w:iCs w:val="0"/>
                <w:color w:val="000000"/>
                <w:sz w:val="21"/>
                <w:szCs w:val="21"/>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85" w:author="张鲁燕" w:date="2024-12-25T19:38:54Z"/>
                <w:rFonts w:hint="eastAsia" w:ascii="宋体" w:hAnsi="宋体" w:eastAsia="宋体" w:cs="宋体"/>
                <w:i w:val="0"/>
                <w:iCs w:val="0"/>
                <w:color w:val="000000"/>
                <w:sz w:val="21"/>
                <w:szCs w:val="21"/>
                <w:u w:val="none"/>
              </w:rPr>
            </w:pPr>
          </w:p>
        </w:tc>
        <w:tc>
          <w:tcPr>
            <w:tcW w:w="165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86" w:author="张鲁燕" w:date="2024-12-25T19:38:54Z"/>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87" w:author="张鲁燕" w:date="2024-12-25T19:38:54Z"/>
                <w:rFonts w:hint="eastAsia" w:ascii="宋体" w:hAnsi="宋体" w:eastAsia="宋体" w:cs="宋体"/>
                <w:i w:val="0"/>
                <w:iCs w:val="0"/>
                <w:color w:val="000000"/>
                <w:sz w:val="21"/>
                <w:szCs w:val="21"/>
                <w:u w:val="none"/>
              </w:rPr>
            </w:pPr>
            <w:ins w:id="88"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2、保洁物料：扫把、拖把、畚箕、抹布、洗洁精、洗手液、除臭剂、卫浴清洁剂、洁厕剂、卫生纸（卷纸和抽纸）、垃圾袋、擦窗器、水刮器、除草剂、割草机、草耙子、铲子等</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9" w:hRule="atLeast"/>
          <w:ins w:id="89" w:author="张鲁燕" w:date="2024-12-25T19:38:54Z"/>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90" w:author="张鲁燕" w:date="2024-12-25T19:38:54Z"/>
                <w:rFonts w:hint="eastAsia" w:ascii="宋体" w:hAnsi="宋体" w:eastAsia="宋体" w:cs="宋体"/>
                <w:i w:val="0"/>
                <w:iCs w:val="0"/>
                <w:color w:val="000000"/>
                <w:sz w:val="21"/>
                <w:szCs w:val="21"/>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91" w:author="张鲁燕" w:date="2024-12-25T19:38:54Z"/>
                <w:rFonts w:hint="eastAsia" w:ascii="宋体" w:hAnsi="宋体" w:eastAsia="宋体" w:cs="宋体"/>
                <w:i w:val="0"/>
                <w:iCs w:val="0"/>
                <w:color w:val="000000"/>
                <w:sz w:val="21"/>
                <w:szCs w:val="21"/>
                <w:u w:val="none"/>
              </w:rPr>
            </w:pPr>
          </w:p>
        </w:tc>
        <w:tc>
          <w:tcPr>
            <w:tcW w:w="165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92" w:author="张鲁燕" w:date="2024-12-25T19:38:54Z"/>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93" w:author="张鲁燕" w:date="2024-12-25T19:38:54Z"/>
                <w:rFonts w:hint="eastAsia" w:ascii="宋体" w:hAnsi="宋体" w:eastAsia="宋体" w:cs="宋体"/>
                <w:i w:val="0"/>
                <w:iCs w:val="0"/>
                <w:color w:val="000000"/>
                <w:sz w:val="21"/>
                <w:szCs w:val="21"/>
                <w:u w:val="none"/>
              </w:rPr>
            </w:pPr>
            <w:ins w:id="9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3、安全物资：沙袋、防爆工具等</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1" w:hRule="atLeast"/>
          <w:ins w:id="95" w:author="张鲁燕" w:date="2024-12-25T19:38:54Z"/>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96" w:author="张鲁燕" w:date="2024-12-25T19:38:54Z"/>
                <w:rFonts w:hint="eastAsia" w:ascii="宋体" w:hAnsi="宋体" w:eastAsia="宋体" w:cs="宋体"/>
                <w:i w:val="0"/>
                <w:iCs w:val="0"/>
                <w:color w:val="000000"/>
                <w:sz w:val="21"/>
                <w:szCs w:val="21"/>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97" w:author="张鲁燕" w:date="2024-12-25T19:38:54Z"/>
                <w:rFonts w:hint="eastAsia" w:ascii="宋体" w:hAnsi="宋体" w:eastAsia="宋体" w:cs="宋体"/>
                <w:i w:val="0"/>
                <w:iCs w:val="0"/>
                <w:color w:val="000000"/>
                <w:sz w:val="21"/>
                <w:szCs w:val="21"/>
                <w:u w:val="none"/>
              </w:rPr>
            </w:pPr>
          </w:p>
        </w:tc>
        <w:tc>
          <w:tcPr>
            <w:tcW w:w="165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ins w:id="98" w:author="张鲁燕" w:date="2024-12-25T19:38:54Z"/>
                <w:rFonts w:hint="eastAsia" w:ascii="宋体" w:hAnsi="宋体" w:eastAsia="宋体" w:cs="宋体"/>
                <w:i w:val="0"/>
                <w:iCs w:val="0"/>
                <w:color w:val="000000"/>
                <w:sz w:val="21"/>
                <w:szCs w:val="21"/>
                <w:u w:val="none"/>
              </w:rPr>
            </w:pPr>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99" w:author="张鲁燕" w:date="2024-12-25T19:38:54Z"/>
                <w:rFonts w:hint="eastAsia" w:ascii="宋体" w:hAnsi="宋体" w:eastAsia="宋体" w:cs="宋体"/>
                <w:i w:val="0"/>
                <w:iCs w:val="0"/>
                <w:color w:val="000000"/>
                <w:sz w:val="21"/>
                <w:szCs w:val="21"/>
                <w:u w:val="none"/>
              </w:rPr>
            </w:pPr>
            <w:ins w:id="100"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4、其他物料：保安制服、横幅、指示牌等</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ins w:id="101"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02" w:author="张鲁燕" w:date="2024-12-25T19:38:54Z"/>
                <w:rFonts w:hint="eastAsia" w:ascii="宋体" w:hAnsi="宋体" w:eastAsia="宋体" w:cs="宋体"/>
                <w:i w:val="0"/>
                <w:iCs w:val="0"/>
                <w:color w:val="000000"/>
                <w:sz w:val="21"/>
                <w:szCs w:val="21"/>
                <w:u w:val="none"/>
              </w:rPr>
            </w:pPr>
            <w:ins w:id="103"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1.5</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04" w:author="张鲁燕" w:date="2024-12-25T19:38:54Z"/>
                <w:rFonts w:hint="eastAsia" w:ascii="宋体" w:hAnsi="宋体" w:eastAsia="宋体" w:cs="宋体"/>
                <w:i w:val="0"/>
                <w:iCs w:val="0"/>
                <w:color w:val="000000"/>
                <w:sz w:val="21"/>
                <w:szCs w:val="21"/>
                <w:u w:val="none"/>
              </w:rPr>
            </w:pPr>
            <w:ins w:id="105"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办公用品</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06" w:author="张鲁燕" w:date="2024-12-25T19:38:54Z"/>
                <w:rFonts w:hint="eastAsia" w:ascii="宋体" w:hAnsi="宋体" w:eastAsia="宋体" w:cs="宋体"/>
                <w:i w:val="0"/>
                <w:iCs w:val="0"/>
                <w:color w:val="000000"/>
                <w:sz w:val="21"/>
                <w:szCs w:val="21"/>
                <w:u w:val="none"/>
              </w:rPr>
            </w:pPr>
            <w:ins w:id="107"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ins w:id="108" w:author="张鲁燕" w:date="2024-12-25T19:38:54Z"/>
                <w:rFonts w:hint="eastAsia" w:ascii="宋体" w:hAnsi="宋体" w:eastAsia="宋体" w:cs="宋体"/>
                <w:i w:val="0"/>
                <w:iCs w:val="0"/>
                <w:color w:val="000000"/>
                <w:sz w:val="21"/>
                <w:szCs w:val="21"/>
                <w:u w:val="none"/>
              </w:rPr>
            </w:pPr>
            <w:ins w:id="109"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甲方工作人员日常饮用水（每个月至少保证3桶19升桶装水），纸巾、水笔、笔记本、文件夹、资料袋、标签贴、电池、计算器、订书机等办公用品</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ins w:id="110"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11" w:author="张鲁燕" w:date="2024-12-25T19:38:54Z"/>
                <w:rFonts w:hint="eastAsia" w:ascii="宋体" w:hAnsi="宋体" w:eastAsia="宋体" w:cs="宋体"/>
                <w:i w:val="0"/>
                <w:iCs w:val="0"/>
                <w:color w:val="000000"/>
                <w:sz w:val="21"/>
                <w:szCs w:val="21"/>
                <w:u w:val="none"/>
              </w:rPr>
            </w:pPr>
            <w:ins w:id="112"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1.6</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13" w:author="张鲁燕" w:date="2024-12-25T19:38:54Z"/>
                <w:rFonts w:hint="eastAsia" w:ascii="宋体" w:hAnsi="宋体" w:eastAsia="宋体" w:cs="宋体"/>
                <w:i w:val="0"/>
                <w:iCs w:val="0"/>
                <w:color w:val="000000"/>
                <w:sz w:val="21"/>
                <w:szCs w:val="21"/>
                <w:u w:val="none"/>
              </w:rPr>
            </w:pPr>
            <w:ins w:id="11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垃圾外运</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15" w:author="张鲁燕" w:date="2024-12-25T19:38:54Z"/>
                <w:rFonts w:hint="eastAsia" w:ascii="宋体" w:hAnsi="宋体" w:eastAsia="宋体" w:cs="宋体"/>
                <w:i w:val="0"/>
                <w:iCs w:val="0"/>
                <w:color w:val="000000"/>
                <w:sz w:val="21"/>
                <w:szCs w:val="21"/>
                <w:u w:val="none"/>
              </w:rPr>
            </w:pPr>
            <w:ins w:id="116"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117" w:author="张鲁燕" w:date="2024-12-25T19:38:54Z"/>
                <w:rFonts w:hint="eastAsia" w:ascii="宋体" w:hAnsi="宋体" w:eastAsia="宋体" w:cs="宋体"/>
                <w:i w:val="0"/>
                <w:iCs w:val="0"/>
                <w:color w:val="000000"/>
                <w:sz w:val="21"/>
                <w:szCs w:val="21"/>
                <w:u w:val="none"/>
              </w:rPr>
            </w:pPr>
            <w:ins w:id="118"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根据上海市市政垃圾清运要求，基地内需设置1个湿垃圾桶，4个干垃圾桶</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ins w:id="119"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20" w:author="张鲁燕" w:date="2024-12-25T19:38:54Z"/>
                <w:rFonts w:hint="eastAsia" w:ascii="宋体" w:hAnsi="宋体" w:eastAsia="宋体" w:cs="宋体"/>
                <w:i w:val="0"/>
                <w:iCs w:val="0"/>
                <w:color w:val="000000"/>
                <w:sz w:val="21"/>
                <w:szCs w:val="21"/>
                <w:u w:val="none"/>
              </w:rPr>
            </w:pPr>
            <w:ins w:id="121"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1.7</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22" w:author="张鲁燕" w:date="2024-12-25T19:38:54Z"/>
                <w:rFonts w:hint="eastAsia" w:ascii="宋体" w:hAnsi="宋体" w:eastAsia="宋体" w:cs="宋体"/>
                <w:i w:val="0"/>
                <w:iCs w:val="0"/>
                <w:color w:val="000000"/>
                <w:sz w:val="21"/>
                <w:szCs w:val="21"/>
                <w:u w:val="none"/>
              </w:rPr>
            </w:pPr>
            <w:ins w:id="123"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投标人自定义（新增）</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24" w:author="张鲁燕" w:date="2024-12-25T19:38:54Z"/>
                <w:rFonts w:hint="eastAsia" w:ascii="宋体" w:hAnsi="宋体" w:eastAsia="宋体" w:cs="宋体"/>
                <w:i w:val="0"/>
                <w:iCs w:val="0"/>
                <w:color w:val="000000"/>
                <w:sz w:val="21"/>
                <w:szCs w:val="21"/>
                <w:u w:val="none"/>
              </w:rPr>
            </w:pPr>
            <w:ins w:id="125"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126" w:author="张鲁燕" w:date="2024-12-25T19:38:54Z"/>
                <w:rFonts w:hint="eastAsia" w:ascii="宋体" w:hAnsi="宋体" w:eastAsia="宋体" w:cs="宋体"/>
                <w:i w:val="0"/>
                <w:iCs w:val="0"/>
                <w:color w:val="000000"/>
                <w:sz w:val="21"/>
                <w:szCs w:val="21"/>
                <w:u w:val="none"/>
              </w:rPr>
            </w:pPr>
            <w:ins w:id="127"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投标人可根据技术文件的要求另外列支的费用。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ins w:id="128"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29" w:author="张鲁燕" w:date="2024-12-25T19:38:54Z"/>
                <w:rFonts w:hint="eastAsia" w:ascii="宋体" w:hAnsi="宋体" w:eastAsia="宋体" w:cs="宋体"/>
                <w:b/>
                <w:bCs/>
                <w:i w:val="0"/>
                <w:iCs w:val="0"/>
                <w:color w:val="000000"/>
                <w:sz w:val="21"/>
                <w:szCs w:val="21"/>
                <w:u w:val="none"/>
              </w:rPr>
            </w:pPr>
            <w:ins w:id="130"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2</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31" w:author="张鲁燕" w:date="2024-12-25T19:38:54Z"/>
                <w:rFonts w:hint="eastAsia" w:ascii="宋体" w:hAnsi="宋体" w:eastAsia="宋体" w:cs="宋体"/>
                <w:i w:val="0"/>
                <w:iCs w:val="0"/>
                <w:color w:val="000000"/>
                <w:sz w:val="21"/>
                <w:szCs w:val="21"/>
                <w:u w:val="none"/>
              </w:rPr>
            </w:pPr>
            <w:ins w:id="132"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月度固定费用（不含税）合计</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33" w:author="张鲁燕" w:date="2024-12-25T19:38:54Z"/>
                <w:rFonts w:hint="eastAsia" w:ascii="宋体" w:hAnsi="宋体" w:eastAsia="宋体" w:cs="宋体"/>
                <w:b/>
                <w:bCs/>
                <w:i w:val="0"/>
                <w:iCs w:val="0"/>
                <w:color w:val="000000"/>
                <w:sz w:val="21"/>
                <w:szCs w:val="21"/>
                <w:u w:val="none"/>
              </w:rPr>
            </w:pPr>
            <w:ins w:id="134"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jc w:val="left"/>
              <w:rPr>
                <w:ins w:id="135" w:author="张鲁燕" w:date="2024-12-25T19:38:54Z"/>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ins w:id="136"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37" w:author="张鲁燕" w:date="2024-12-25T19:38:54Z"/>
                <w:rFonts w:hint="eastAsia" w:ascii="宋体" w:hAnsi="宋体" w:eastAsia="宋体" w:cs="宋体"/>
                <w:b/>
                <w:bCs/>
                <w:i w:val="0"/>
                <w:iCs w:val="0"/>
                <w:color w:val="000000"/>
                <w:sz w:val="21"/>
                <w:szCs w:val="21"/>
                <w:u w:val="none"/>
              </w:rPr>
            </w:pPr>
            <w:ins w:id="138"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3</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39" w:author="张鲁燕" w:date="2024-12-25T19:38:54Z"/>
                <w:rFonts w:hint="eastAsia" w:ascii="宋体" w:hAnsi="宋体" w:eastAsia="宋体" w:cs="宋体"/>
                <w:i w:val="0"/>
                <w:iCs w:val="0"/>
                <w:color w:val="000000"/>
                <w:sz w:val="21"/>
                <w:szCs w:val="21"/>
                <w:u w:val="none"/>
              </w:rPr>
            </w:pPr>
            <w:ins w:id="140"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年度固定费用（不含税）合计</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41" w:author="张鲁燕" w:date="2024-12-25T19:38:54Z"/>
                <w:rFonts w:hint="eastAsia" w:ascii="宋体" w:hAnsi="宋体" w:eastAsia="宋体" w:cs="宋体"/>
                <w:b/>
                <w:bCs/>
                <w:i w:val="0"/>
                <w:iCs w:val="0"/>
                <w:color w:val="000000"/>
                <w:sz w:val="21"/>
                <w:szCs w:val="21"/>
                <w:u w:val="none"/>
              </w:rPr>
            </w:pPr>
            <w:ins w:id="142"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143" w:author="张鲁燕" w:date="2024-12-25T19:38:54Z"/>
                <w:rFonts w:hint="eastAsia" w:ascii="宋体" w:hAnsi="宋体" w:eastAsia="宋体" w:cs="宋体"/>
                <w:i w:val="0"/>
                <w:iCs w:val="0"/>
                <w:color w:val="000000"/>
                <w:sz w:val="21"/>
                <w:szCs w:val="21"/>
                <w:u w:val="none"/>
              </w:rPr>
            </w:pPr>
            <w:ins w:id="14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月度费用*12月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ins w:id="145"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46" w:author="张鲁燕" w:date="2024-12-25T19:38:54Z"/>
                <w:rFonts w:hint="eastAsia" w:ascii="宋体" w:hAnsi="宋体" w:eastAsia="宋体" w:cs="宋体"/>
                <w:b/>
                <w:bCs/>
                <w:i w:val="0"/>
                <w:iCs w:val="0"/>
                <w:color w:val="000000"/>
                <w:sz w:val="21"/>
                <w:szCs w:val="21"/>
                <w:u w:val="none"/>
              </w:rPr>
            </w:pPr>
            <w:ins w:id="147"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4</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48" w:author="张鲁燕" w:date="2024-12-25T19:38:54Z"/>
                <w:rFonts w:hint="eastAsia" w:ascii="宋体" w:hAnsi="宋体" w:eastAsia="宋体" w:cs="宋体"/>
                <w:b/>
                <w:bCs/>
                <w:i w:val="0"/>
                <w:iCs w:val="0"/>
                <w:color w:val="000000"/>
                <w:sz w:val="21"/>
                <w:szCs w:val="21"/>
                <w:u w:val="none"/>
              </w:rPr>
            </w:pPr>
            <w:ins w:id="149"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计划外维修服务</w:t>
              </w:r>
            </w:ins>
          </w:p>
        </w:tc>
        <w:tc>
          <w:tcPr>
            <w:tcW w:w="1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50" w:author="张鲁燕" w:date="2024-12-25T19:38:54Z"/>
                <w:rFonts w:hint="eastAsia" w:ascii="宋体" w:hAnsi="宋体" w:eastAsia="宋体" w:cs="宋体"/>
                <w:b/>
                <w:bCs/>
                <w:i w:val="0"/>
                <w:iCs w:val="0"/>
                <w:color w:val="000000"/>
                <w:sz w:val="21"/>
                <w:szCs w:val="21"/>
                <w:u w:val="none"/>
              </w:rPr>
            </w:pPr>
            <w:ins w:id="151"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单价</w:t>
              </w:r>
            </w:ins>
          </w:p>
        </w:tc>
        <w:tc>
          <w:tcPr>
            <w:tcW w:w="2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52" w:author="张鲁燕" w:date="2024-12-25T19:38:54Z"/>
                <w:rFonts w:hint="eastAsia" w:ascii="宋体" w:hAnsi="宋体" w:eastAsia="宋体" w:cs="宋体"/>
                <w:b/>
                <w:bCs/>
                <w:i w:val="0"/>
                <w:iCs w:val="0"/>
                <w:color w:val="000000"/>
                <w:sz w:val="21"/>
                <w:szCs w:val="21"/>
                <w:u w:val="none"/>
              </w:rPr>
            </w:pPr>
            <w:ins w:id="153"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暂估价</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154" w:author="张鲁燕" w:date="2024-12-25T19:38:54Z"/>
                <w:rFonts w:hint="eastAsia" w:ascii="宋体" w:hAnsi="宋体" w:eastAsia="宋体" w:cs="宋体"/>
                <w:b/>
                <w:bCs/>
                <w:i w:val="0"/>
                <w:iCs w:val="0"/>
                <w:color w:val="000000"/>
                <w:sz w:val="21"/>
                <w:szCs w:val="21"/>
                <w:u w:val="none"/>
              </w:rPr>
            </w:pPr>
            <w:ins w:id="155"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计划外维修服务报价均为暂估价</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ins w:id="156"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57" w:author="张鲁燕" w:date="2024-12-25T19:38:54Z"/>
                <w:rFonts w:hint="eastAsia" w:ascii="宋体" w:hAnsi="宋体" w:eastAsia="宋体" w:cs="宋体"/>
                <w:i w:val="0"/>
                <w:iCs w:val="0"/>
                <w:color w:val="000000"/>
                <w:sz w:val="21"/>
                <w:szCs w:val="21"/>
                <w:u w:val="none"/>
              </w:rPr>
            </w:pPr>
            <w:ins w:id="158"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4.1</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59" w:author="张鲁燕" w:date="2024-12-25T19:38:54Z"/>
                <w:rFonts w:hint="eastAsia" w:ascii="宋体" w:hAnsi="宋体" w:eastAsia="宋体" w:cs="宋体"/>
                <w:i w:val="0"/>
                <w:iCs w:val="0"/>
                <w:color w:val="000000"/>
                <w:sz w:val="21"/>
                <w:szCs w:val="21"/>
                <w:u w:val="none"/>
              </w:rPr>
            </w:pPr>
            <w:ins w:id="160"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防水维修</w:t>
              </w:r>
            </w:ins>
          </w:p>
        </w:tc>
        <w:tc>
          <w:tcPr>
            <w:tcW w:w="1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61" w:author="张鲁燕" w:date="2024-12-25T19:38:54Z"/>
                <w:rFonts w:hint="eastAsia" w:ascii="宋体" w:hAnsi="宋体" w:eastAsia="宋体" w:cs="宋体"/>
                <w:i w:val="0"/>
                <w:iCs w:val="0"/>
                <w:color w:val="000000"/>
                <w:sz w:val="22"/>
                <w:szCs w:val="22"/>
                <w:u w:val="none"/>
              </w:rPr>
            </w:pPr>
            <w:ins w:id="162" w:author="张鲁燕" w:date="2024-12-25T19:38:54Z">
              <w:r>
                <w:rPr>
                  <w:rFonts w:hint="eastAsia" w:ascii="宋体" w:hAnsi="宋体" w:eastAsia="宋体" w:cs="宋体"/>
                  <w:i w:val="0"/>
                  <w:iCs w:val="0"/>
                  <w:color w:val="000000"/>
                  <w:kern w:val="0"/>
                  <w:sz w:val="22"/>
                  <w:szCs w:val="22"/>
                  <w:u w:val="none"/>
                  <w:bdr w:val="none" w:color="auto" w:sz="0" w:space="0"/>
                  <w:lang w:val="en-US" w:eastAsia="zh-CN" w:bidi="ar"/>
                </w:rPr>
                <w:t xml:space="preserve"> -   </w:t>
              </w:r>
            </w:ins>
          </w:p>
        </w:tc>
        <w:tc>
          <w:tcPr>
            <w:tcW w:w="2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ins w:id="163" w:author="张鲁燕" w:date="2024-12-25T19:38:54Z"/>
                <w:rFonts w:hint="eastAsia" w:ascii="宋体" w:hAnsi="宋体" w:eastAsia="宋体" w:cs="宋体"/>
                <w:i w:val="0"/>
                <w:iCs w:val="0"/>
                <w:color w:val="000000"/>
                <w:sz w:val="21"/>
                <w:szCs w:val="21"/>
                <w:u w:val="none"/>
              </w:rPr>
            </w:pPr>
            <w:ins w:id="16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165" w:author="张鲁燕" w:date="2024-12-25T19:38:54Z"/>
                <w:rFonts w:hint="eastAsia" w:ascii="宋体" w:hAnsi="宋体" w:eastAsia="宋体" w:cs="宋体"/>
                <w:i w:val="0"/>
                <w:iCs w:val="0"/>
                <w:color w:val="000000"/>
                <w:sz w:val="21"/>
                <w:szCs w:val="21"/>
                <w:u w:val="none"/>
              </w:rPr>
            </w:pPr>
            <w:ins w:id="166" w:author="张鲁燕" w:date="2024-12-25T19:38:54Z">
              <w:r>
                <w:rPr>
                  <w:rStyle w:val="314"/>
                  <w:bdr w:val="none" w:color="auto" w:sz="0" w:space="0"/>
                  <w:lang w:val="en-US" w:eastAsia="zh-CN" w:bidi="ar"/>
                </w:rPr>
                <w:t>单价按照每平方米含人工、材料、机具设备单价进行报价，年度维修面积约50㎡，据实结算。</w:t>
              </w:r>
            </w:ins>
            <w:ins w:id="167"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暂估价为单价*50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ins w:id="168"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69" w:author="张鲁燕" w:date="2024-12-25T19:38:54Z"/>
                <w:rFonts w:hint="eastAsia" w:ascii="宋体" w:hAnsi="宋体" w:eastAsia="宋体" w:cs="宋体"/>
                <w:i w:val="0"/>
                <w:iCs w:val="0"/>
                <w:color w:val="000000"/>
                <w:sz w:val="21"/>
                <w:szCs w:val="21"/>
                <w:u w:val="none"/>
              </w:rPr>
            </w:pPr>
            <w:ins w:id="170"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4.2</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71" w:author="张鲁燕" w:date="2024-12-25T19:38:54Z"/>
                <w:rFonts w:hint="eastAsia" w:ascii="宋体" w:hAnsi="宋体" w:eastAsia="宋体" w:cs="宋体"/>
                <w:i w:val="0"/>
                <w:iCs w:val="0"/>
                <w:color w:val="000000"/>
                <w:sz w:val="21"/>
                <w:szCs w:val="21"/>
                <w:u w:val="none"/>
              </w:rPr>
            </w:pPr>
            <w:ins w:id="172"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外墙体维修</w:t>
              </w:r>
            </w:ins>
          </w:p>
        </w:tc>
        <w:tc>
          <w:tcPr>
            <w:tcW w:w="1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73" w:author="张鲁燕" w:date="2024-12-25T19:38:54Z"/>
                <w:rFonts w:hint="eastAsia" w:ascii="宋体" w:hAnsi="宋体" w:eastAsia="宋体" w:cs="宋体"/>
                <w:i w:val="0"/>
                <w:iCs w:val="0"/>
                <w:color w:val="000000"/>
                <w:sz w:val="22"/>
                <w:szCs w:val="22"/>
                <w:u w:val="none"/>
              </w:rPr>
            </w:pPr>
            <w:ins w:id="174" w:author="张鲁燕" w:date="2024-12-25T19:38:54Z">
              <w:r>
                <w:rPr>
                  <w:rFonts w:hint="eastAsia" w:ascii="宋体" w:hAnsi="宋体" w:eastAsia="宋体" w:cs="宋体"/>
                  <w:i w:val="0"/>
                  <w:iCs w:val="0"/>
                  <w:color w:val="000000"/>
                  <w:kern w:val="0"/>
                  <w:sz w:val="22"/>
                  <w:szCs w:val="22"/>
                  <w:u w:val="none"/>
                  <w:bdr w:val="none" w:color="auto" w:sz="0" w:space="0"/>
                  <w:lang w:val="en-US" w:eastAsia="zh-CN" w:bidi="ar"/>
                </w:rPr>
                <w:t xml:space="preserve"> -   </w:t>
              </w:r>
            </w:ins>
          </w:p>
        </w:tc>
        <w:tc>
          <w:tcPr>
            <w:tcW w:w="2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ins w:id="175" w:author="张鲁燕" w:date="2024-12-25T19:38:54Z"/>
                <w:rFonts w:hint="eastAsia" w:ascii="宋体" w:hAnsi="宋体" w:eastAsia="宋体" w:cs="宋体"/>
                <w:i w:val="0"/>
                <w:iCs w:val="0"/>
                <w:color w:val="000000"/>
                <w:sz w:val="21"/>
                <w:szCs w:val="21"/>
                <w:u w:val="none"/>
              </w:rPr>
            </w:pPr>
            <w:ins w:id="176"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177" w:author="张鲁燕" w:date="2024-12-25T19:38:54Z"/>
                <w:rFonts w:hint="eastAsia" w:ascii="宋体" w:hAnsi="宋体" w:eastAsia="宋体" w:cs="宋体"/>
                <w:i w:val="0"/>
                <w:iCs w:val="0"/>
                <w:color w:val="000000"/>
                <w:sz w:val="21"/>
                <w:szCs w:val="21"/>
                <w:u w:val="none"/>
              </w:rPr>
            </w:pPr>
            <w:ins w:id="178" w:author="张鲁燕" w:date="2024-12-25T19:38:54Z">
              <w:r>
                <w:rPr>
                  <w:rStyle w:val="314"/>
                  <w:bdr w:val="none" w:color="auto" w:sz="0" w:space="0"/>
                  <w:lang w:val="en-US" w:eastAsia="zh-CN" w:bidi="ar"/>
                </w:rPr>
                <w:t>单价按照每平方米含人工、材料、机具设备单价进行报价，年度维修面积约50㎡，据实结算。</w:t>
              </w:r>
            </w:ins>
            <w:ins w:id="179"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暂估价为单价*50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ins w:id="180"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81" w:author="张鲁燕" w:date="2024-12-25T19:38:54Z"/>
                <w:rFonts w:hint="eastAsia" w:ascii="宋体" w:hAnsi="宋体" w:eastAsia="宋体" w:cs="宋体"/>
                <w:i w:val="0"/>
                <w:iCs w:val="0"/>
                <w:color w:val="000000"/>
                <w:sz w:val="21"/>
                <w:szCs w:val="21"/>
                <w:u w:val="none"/>
              </w:rPr>
            </w:pPr>
            <w:ins w:id="182"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4.3</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83" w:author="张鲁燕" w:date="2024-12-25T19:38:54Z"/>
                <w:rFonts w:hint="eastAsia" w:ascii="宋体" w:hAnsi="宋体" w:eastAsia="宋体" w:cs="宋体"/>
                <w:i w:val="0"/>
                <w:iCs w:val="0"/>
                <w:color w:val="000000"/>
                <w:sz w:val="21"/>
                <w:szCs w:val="21"/>
                <w:u w:val="none"/>
              </w:rPr>
            </w:pPr>
            <w:ins w:id="18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内部装修维修</w:t>
              </w:r>
            </w:ins>
          </w:p>
        </w:tc>
        <w:tc>
          <w:tcPr>
            <w:tcW w:w="1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85" w:author="张鲁燕" w:date="2024-12-25T19:38:54Z"/>
                <w:rFonts w:hint="eastAsia" w:ascii="宋体" w:hAnsi="宋体" w:eastAsia="宋体" w:cs="宋体"/>
                <w:i w:val="0"/>
                <w:iCs w:val="0"/>
                <w:color w:val="000000"/>
                <w:sz w:val="22"/>
                <w:szCs w:val="22"/>
                <w:u w:val="none"/>
              </w:rPr>
            </w:pPr>
            <w:ins w:id="186" w:author="张鲁燕" w:date="2024-12-25T19:38:54Z">
              <w:r>
                <w:rPr>
                  <w:rFonts w:hint="eastAsia" w:ascii="宋体" w:hAnsi="宋体" w:eastAsia="宋体" w:cs="宋体"/>
                  <w:i w:val="0"/>
                  <w:iCs w:val="0"/>
                  <w:color w:val="000000"/>
                  <w:kern w:val="0"/>
                  <w:sz w:val="22"/>
                  <w:szCs w:val="22"/>
                  <w:u w:val="none"/>
                  <w:bdr w:val="none" w:color="auto" w:sz="0" w:space="0"/>
                  <w:lang w:val="en-US" w:eastAsia="zh-CN" w:bidi="ar"/>
                </w:rPr>
                <w:t xml:space="preserve"> -   </w:t>
              </w:r>
            </w:ins>
          </w:p>
        </w:tc>
        <w:tc>
          <w:tcPr>
            <w:tcW w:w="2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ins w:id="187" w:author="张鲁燕" w:date="2024-12-25T19:38:54Z"/>
                <w:rFonts w:hint="eastAsia" w:ascii="宋体" w:hAnsi="宋体" w:eastAsia="宋体" w:cs="宋体"/>
                <w:i w:val="0"/>
                <w:iCs w:val="0"/>
                <w:color w:val="000000"/>
                <w:sz w:val="21"/>
                <w:szCs w:val="21"/>
                <w:u w:val="none"/>
              </w:rPr>
            </w:pPr>
            <w:ins w:id="188"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189" w:author="张鲁燕" w:date="2024-12-25T19:38:54Z"/>
                <w:rFonts w:hint="eastAsia" w:ascii="宋体" w:hAnsi="宋体" w:eastAsia="宋体" w:cs="宋体"/>
                <w:i w:val="0"/>
                <w:iCs w:val="0"/>
                <w:color w:val="000000"/>
                <w:sz w:val="21"/>
                <w:szCs w:val="21"/>
                <w:u w:val="none"/>
              </w:rPr>
            </w:pPr>
            <w:ins w:id="190" w:author="张鲁燕" w:date="2024-12-25T19:38:54Z">
              <w:r>
                <w:rPr>
                  <w:rStyle w:val="314"/>
                  <w:bdr w:val="none" w:color="auto" w:sz="0" w:space="0"/>
                  <w:lang w:val="en-US" w:eastAsia="zh-CN" w:bidi="ar"/>
                </w:rPr>
                <w:t>单价按照每平方米含人工、材料、机具设备单价进行报价，年度维修面积约50㎡，据实结算。</w:t>
              </w:r>
            </w:ins>
            <w:ins w:id="191"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暂估价为单价*50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ins w:id="192"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93" w:author="张鲁燕" w:date="2024-12-25T19:38:54Z"/>
                <w:rFonts w:hint="eastAsia" w:ascii="宋体" w:hAnsi="宋体" w:eastAsia="宋体" w:cs="宋体"/>
                <w:i w:val="0"/>
                <w:iCs w:val="0"/>
                <w:color w:val="000000"/>
                <w:sz w:val="21"/>
                <w:szCs w:val="21"/>
                <w:u w:val="none"/>
              </w:rPr>
            </w:pPr>
            <w:ins w:id="19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4.4</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95" w:author="张鲁燕" w:date="2024-12-25T19:38:54Z"/>
                <w:rFonts w:hint="eastAsia" w:ascii="宋体" w:hAnsi="宋体" w:eastAsia="宋体" w:cs="宋体"/>
                <w:i w:val="0"/>
                <w:iCs w:val="0"/>
                <w:color w:val="000000"/>
                <w:sz w:val="21"/>
                <w:szCs w:val="21"/>
                <w:u w:val="none"/>
              </w:rPr>
            </w:pPr>
            <w:ins w:id="196"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水电管网维修</w:t>
              </w:r>
            </w:ins>
          </w:p>
        </w:tc>
        <w:tc>
          <w:tcPr>
            <w:tcW w:w="1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97" w:author="张鲁燕" w:date="2024-12-25T19:38:54Z"/>
                <w:rFonts w:hint="eastAsia" w:ascii="宋体" w:hAnsi="宋体" w:eastAsia="宋体" w:cs="宋体"/>
                <w:i w:val="0"/>
                <w:iCs w:val="0"/>
                <w:color w:val="000000"/>
                <w:sz w:val="22"/>
                <w:szCs w:val="22"/>
                <w:u w:val="none"/>
              </w:rPr>
            </w:pPr>
            <w:ins w:id="198" w:author="张鲁燕" w:date="2024-12-25T19:38:54Z">
              <w:r>
                <w:rPr>
                  <w:rFonts w:hint="eastAsia" w:ascii="宋体" w:hAnsi="宋体" w:eastAsia="宋体" w:cs="宋体"/>
                  <w:i w:val="0"/>
                  <w:iCs w:val="0"/>
                  <w:color w:val="000000"/>
                  <w:kern w:val="0"/>
                  <w:sz w:val="22"/>
                  <w:szCs w:val="22"/>
                  <w:u w:val="none"/>
                  <w:bdr w:val="none" w:color="auto" w:sz="0" w:space="0"/>
                  <w:lang w:val="en-US" w:eastAsia="zh-CN" w:bidi="ar"/>
                </w:rPr>
                <w:t xml:space="preserve"> -   </w:t>
              </w:r>
            </w:ins>
          </w:p>
        </w:tc>
        <w:tc>
          <w:tcPr>
            <w:tcW w:w="2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ins w:id="199" w:author="张鲁燕" w:date="2024-12-25T19:38:54Z"/>
                <w:rFonts w:hint="eastAsia" w:ascii="宋体" w:hAnsi="宋体" w:eastAsia="宋体" w:cs="宋体"/>
                <w:i w:val="0"/>
                <w:iCs w:val="0"/>
                <w:color w:val="000000"/>
                <w:sz w:val="21"/>
                <w:szCs w:val="21"/>
                <w:u w:val="none"/>
              </w:rPr>
            </w:pPr>
            <w:ins w:id="200"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201" w:author="张鲁燕" w:date="2024-12-25T19:38:54Z"/>
                <w:rFonts w:hint="eastAsia" w:ascii="宋体" w:hAnsi="宋体" w:eastAsia="宋体" w:cs="宋体"/>
                <w:i w:val="0"/>
                <w:iCs w:val="0"/>
                <w:color w:val="000000"/>
                <w:sz w:val="21"/>
                <w:szCs w:val="21"/>
                <w:u w:val="none"/>
              </w:rPr>
            </w:pPr>
            <w:ins w:id="202" w:author="张鲁燕" w:date="2024-12-25T19:38:54Z">
              <w:r>
                <w:rPr>
                  <w:rStyle w:val="314"/>
                  <w:bdr w:val="none" w:color="auto" w:sz="0" w:space="0"/>
                  <w:lang w:val="en-US" w:eastAsia="zh-CN" w:bidi="ar"/>
                </w:rPr>
                <w:t>单价按照每米含人工、材料、机具设备单价进行报价，年度维修面积约40m，据实结算。</w:t>
              </w:r>
            </w:ins>
            <w:ins w:id="203"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暂估价为单价*40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ins w:id="204"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05" w:author="张鲁燕" w:date="2024-12-25T19:38:54Z"/>
                <w:rFonts w:hint="eastAsia" w:ascii="宋体" w:hAnsi="宋体" w:eastAsia="宋体" w:cs="宋体"/>
                <w:i w:val="0"/>
                <w:iCs w:val="0"/>
                <w:color w:val="000000"/>
                <w:sz w:val="21"/>
                <w:szCs w:val="21"/>
                <w:u w:val="none"/>
              </w:rPr>
            </w:pPr>
            <w:ins w:id="206"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4.5</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07" w:author="张鲁燕" w:date="2024-12-25T19:38:54Z"/>
                <w:rFonts w:hint="eastAsia" w:ascii="宋体" w:hAnsi="宋体" w:eastAsia="宋体" w:cs="宋体"/>
                <w:i w:val="0"/>
                <w:iCs w:val="0"/>
                <w:color w:val="000000"/>
                <w:sz w:val="21"/>
                <w:szCs w:val="21"/>
                <w:u w:val="none"/>
              </w:rPr>
            </w:pPr>
            <w:ins w:id="208"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道路修复（沥青）</w:t>
              </w:r>
            </w:ins>
          </w:p>
        </w:tc>
        <w:tc>
          <w:tcPr>
            <w:tcW w:w="1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09" w:author="张鲁燕" w:date="2024-12-25T19:38:54Z"/>
                <w:rFonts w:hint="eastAsia" w:ascii="宋体" w:hAnsi="宋体" w:eastAsia="宋体" w:cs="宋体"/>
                <w:i w:val="0"/>
                <w:iCs w:val="0"/>
                <w:color w:val="000000"/>
                <w:sz w:val="22"/>
                <w:szCs w:val="22"/>
                <w:u w:val="none"/>
              </w:rPr>
            </w:pPr>
            <w:ins w:id="210" w:author="张鲁燕" w:date="2024-12-25T19:38:54Z">
              <w:r>
                <w:rPr>
                  <w:rFonts w:hint="eastAsia" w:ascii="宋体" w:hAnsi="宋体" w:eastAsia="宋体" w:cs="宋体"/>
                  <w:i w:val="0"/>
                  <w:iCs w:val="0"/>
                  <w:color w:val="000000"/>
                  <w:kern w:val="0"/>
                  <w:sz w:val="22"/>
                  <w:szCs w:val="22"/>
                  <w:u w:val="none"/>
                  <w:bdr w:val="none" w:color="auto" w:sz="0" w:space="0"/>
                  <w:lang w:val="en-US" w:eastAsia="zh-CN" w:bidi="ar"/>
                </w:rPr>
                <w:t xml:space="preserve"> -   </w:t>
              </w:r>
            </w:ins>
          </w:p>
        </w:tc>
        <w:tc>
          <w:tcPr>
            <w:tcW w:w="2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ins w:id="211" w:author="张鲁燕" w:date="2024-12-25T19:38:54Z"/>
                <w:rFonts w:hint="eastAsia" w:ascii="宋体" w:hAnsi="宋体" w:eastAsia="宋体" w:cs="宋体"/>
                <w:i w:val="0"/>
                <w:iCs w:val="0"/>
                <w:color w:val="000000"/>
                <w:sz w:val="21"/>
                <w:szCs w:val="21"/>
                <w:u w:val="none"/>
              </w:rPr>
            </w:pPr>
            <w:ins w:id="212"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213" w:author="张鲁燕" w:date="2024-12-25T19:38:54Z"/>
                <w:rFonts w:hint="eastAsia" w:ascii="宋体" w:hAnsi="宋体" w:eastAsia="宋体" w:cs="宋体"/>
                <w:i w:val="0"/>
                <w:iCs w:val="0"/>
                <w:color w:val="000000"/>
                <w:sz w:val="21"/>
                <w:szCs w:val="21"/>
                <w:u w:val="none"/>
              </w:rPr>
            </w:pPr>
            <w:ins w:id="214" w:author="张鲁燕" w:date="2024-12-25T19:38:54Z">
              <w:r>
                <w:rPr>
                  <w:rStyle w:val="314"/>
                  <w:bdr w:val="none" w:color="auto" w:sz="0" w:space="0"/>
                  <w:lang w:val="en-US" w:eastAsia="zh-CN" w:bidi="ar"/>
                </w:rPr>
                <w:t>单价按照每平方米含人工、材料、机具设备单价进行报价，年度维修面积约20㎡，据实结算。</w:t>
              </w:r>
            </w:ins>
            <w:ins w:id="215"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暂估价为单价*20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ins w:id="216"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17" w:author="张鲁燕" w:date="2024-12-25T19:38:54Z"/>
                <w:rFonts w:hint="eastAsia" w:ascii="宋体" w:hAnsi="宋体" w:eastAsia="宋体" w:cs="宋体"/>
                <w:i w:val="0"/>
                <w:iCs w:val="0"/>
                <w:color w:val="000000"/>
                <w:sz w:val="21"/>
                <w:szCs w:val="21"/>
                <w:u w:val="none"/>
              </w:rPr>
            </w:pPr>
            <w:ins w:id="218"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4.6</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19" w:author="张鲁燕" w:date="2024-12-25T19:38:54Z"/>
                <w:rFonts w:hint="eastAsia" w:ascii="宋体" w:hAnsi="宋体" w:eastAsia="宋体" w:cs="宋体"/>
                <w:i w:val="0"/>
                <w:iCs w:val="0"/>
                <w:color w:val="000000"/>
                <w:sz w:val="21"/>
                <w:szCs w:val="21"/>
                <w:u w:val="none"/>
              </w:rPr>
            </w:pPr>
            <w:ins w:id="220"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道路修复（地砖）</w:t>
              </w:r>
            </w:ins>
          </w:p>
        </w:tc>
        <w:tc>
          <w:tcPr>
            <w:tcW w:w="1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21" w:author="张鲁燕" w:date="2024-12-25T19:38:54Z"/>
                <w:rFonts w:hint="eastAsia" w:ascii="宋体" w:hAnsi="宋体" w:eastAsia="宋体" w:cs="宋体"/>
                <w:i w:val="0"/>
                <w:iCs w:val="0"/>
                <w:color w:val="000000"/>
                <w:sz w:val="22"/>
                <w:szCs w:val="22"/>
                <w:u w:val="none"/>
              </w:rPr>
            </w:pPr>
            <w:ins w:id="222" w:author="张鲁燕" w:date="2024-12-25T19:38:54Z">
              <w:r>
                <w:rPr>
                  <w:rFonts w:hint="eastAsia" w:ascii="宋体" w:hAnsi="宋体" w:eastAsia="宋体" w:cs="宋体"/>
                  <w:i w:val="0"/>
                  <w:iCs w:val="0"/>
                  <w:color w:val="000000"/>
                  <w:kern w:val="0"/>
                  <w:sz w:val="22"/>
                  <w:szCs w:val="22"/>
                  <w:u w:val="none"/>
                  <w:bdr w:val="none" w:color="auto" w:sz="0" w:space="0"/>
                  <w:lang w:val="en-US" w:eastAsia="zh-CN" w:bidi="ar"/>
                </w:rPr>
                <w:t xml:space="preserve"> -   </w:t>
              </w:r>
            </w:ins>
          </w:p>
        </w:tc>
        <w:tc>
          <w:tcPr>
            <w:tcW w:w="2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ins w:id="223" w:author="张鲁燕" w:date="2024-12-25T19:38:54Z"/>
                <w:rFonts w:hint="eastAsia" w:ascii="宋体" w:hAnsi="宋体" w:eastAsia="宋体" w:cs="宋体"/>
                <w:i w:val="0"/>
                <w:iCs w:val="0"/>
                <w:color w:val="000000"/>
                <w:sz w:val="21"/>
                <w:szCs w:val="21"/>
                <w:u w:val="none"/>
              </w:rPr>
            </w:pPr>
            <w:ins w:id="22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225" w:author="张鲁燕" w:date="2024-12-25T19:38:54Z"/>
                <w:rFonts w:hint="eastAsia" w:ascii="宋体" w:hAnsi="宋体" w:eastAsia="宋体" w:cs="宋体"/>
                <w:i w:val="0"/>
                <w:iCs w:val="0"/>
                <w:color w:val="000000"/>
                <w:sz w:val="21"/>
                <w:szCs w:val="21"/>
                <w:u w:val="none"/>
              </w:rPr>
            </w:pPr>
            <w:ins w:id="226" w:author="张鲁燕" w:date="2024-12-25T19:38:54Z">
              <w:r>
                <w:rPr>
                  <w:rStyle w:val="314"/>
                  <w:bdr w:val="none" w:color="auto" w:sz="0" w:space="0"/>
                  <w:lang w:val="en-US" w:eastAsia="zh-CN" w:bidi="ar"/>
                </w:rPr>
                <w:t>暂估量按照每平方米含人工、材料、机具设备单价进行报价，年度维修面积约20㎡，据实结算。</w:t>
              </w:r>
            </w:ins>
            <w:ins w:id="227"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暂估价为单价*20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ins w:id="228"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29" w:author="张鲁燕" w:date="2024-12-25T19:38:54Z"/>
                <w:rFonts w:hint="eastAsia" w:ascii="宋体" w:hAnsi="宋体" w:eastAsia="宋体" w:cs="宋体"/>
                <w:i w:val="0"/>
                <w:iCs w:val="0"/>
                <w:color w:val="000000"/>
                <w:sz w:val="21"/>
                <w:szCs w:val="21"/>
                <w:u w:val="none"/>
              </w:rPr>
            </w:pPr>
            <w:ins w:id="230"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4.7</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31" w:author="张鲁燕" w:date="2024-12-25T19:38:54Z"/>
                <w:rFonts w:hint="eastAsia" w:ascii="宋体" w:hAnsi="宋体" w:eastAsia="宋体" w:cs="宋体"/>
                <w:i w:val="0"/>
                <w:iCs w:val="0"/>
                <w:color w:val="000000"/>
                <w:sz w:val="21"/>
                <w:szCs w:val="21"/>
                <w:u w:val="none"/>
              </w:rPr>
            </w:pPr>
            <w:ins w:id="232"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道路修复（大理石）</w:t>
              </w:r>
            </w:ins>
          </w:p>
        </w:tc>
        <w:tc>
          <w:tcPr>
            <w:tcW w:w="1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33" w:author="张鲁燕" w:date="2024-12-25T19:38:54Z"/>
                <w:rFonts w:hint="eastAsia" w:ascii="宋体" w:hAnsi="宋体" w:eastAsia="宋体" w:cs="宋体"/>
                <w:i w:val="0"/>
                <w:iCs w:val="0"/>
                <w:color w:val="000000"/>
                <w:sz w:val="22"/>
                <w:szCs w:val="22"/>
                <w:u w:val="none"/>
              </w:rPr>
            </w:pPr>
            <w:ins w:id="234" w:author="张鲁燕" w:date="2024-12-25T19:38:54Z">
              <w:r>
                <w:rPr>
                  <w:rFonts w:hint="eastAsia" w:ascii="宋体" w:hAnsi="宋体" w:eastAsia="宋体" w:cs="宋体"/>
                  <w:i w:val="0"/>
                  <w:iCs w:val="0"/>
                  <w:color w:val="000000"/>
                  <w:kern w:val="0"/>
                  <w:sz w:val="22"/>
                  <w:szCs w:val="22"/>
                  <w:u w:val="none"/>
                  <w:bdr w:val="none" w:color="auto" w:sz="0" w:space="0"/>
                  <w:lang w:val="en-US" w:eastAsia="zh-CN" w:bidi="ar"/>
                </w:rPr>
                <w:t xml:space="preserve"> -   </w:t>
              </w:r>
            </w:ins>
          </w:p>
        </w:tc>
        <w:tc>
          <w:tcPr>
            <w:tcW w:w="2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ins w:id="235" w:author="张鲁燕" w:date="2024-12-25T19:38:54Z"/>
                <w:rFonts w:hint="eastAsia" w:ascii="宋体" w:hAnsi="宋体" w:eastAsia="宋体" w:cs="宋体"/>
                <w:i w:val="0"/>
                <w:iCs w:val="0"/>
                <w:color w:val="000000"/>
                <w:sz w:val="21"/>
                <w:szCs w:val="21"/>
                <w:u w:val="none"/>
              </w:rPr>
            </w:pPr>
            <w:ins w:id="236"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237" w:author="张鲁燕" w:date="2024-12-25T19:38:54Z"/>
                <w:rFonts w:hint="eastAsia" w:ascii="宋体" w:hAnsi="宋体" w:eastAsia="宋体" w:cs="宋体"/>
                <w:i w:val="0"/>
                <w:iCs w:val="0"/>
                <w:color w:val="000000"/>
                <w:sz w:val="21"/>
                <w:szCs w:val="21"/>
                <w:u w:val="none"/>
              </w:rPr>
            </w:pPr>
            <w:ins w:id="238" w:author="张鲁燕" w:date="2024-12-25T19:38:54Z">
              <w:r>
                <w:rPr>
                  <w:rStyle w:val="314"/>
                  <w:bdr w:val="none" w:color="auto" w:sz="0" w:space="0"/>
                  <w:lang w:val="en-US" w:eastAsia="zh-CN" w:bidi="ar"/>
                </w:rPr>
                <w:t>单价按照每平方米含人工、材料、机具设备单价进行报价，年度维修面积约20㎡，厚度≥2.5cm，据实结算。</w:t>
              </w:r>
            </w:ins>
            <w:ins w:id="239"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暂估价为单价*20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ins w:id="240"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41" w:author="张鲁燕" w:date="2024-12-25T19:38:54Z"/>
                <w:rFonts w:hint="eastAsia" w:ascii="宋体" w:hAnsi="宋体" w:eastAsia="宋体" w:cs="宋体"/>
                <w:i w:val="0"/>
                <w:iCs w:val="0"/>
                <w:color w:val="000000"/>
                <w:sz w:val="21"/>
                <w:szCs w:val="21"/>
                <w:u w:val="none"/>
              </w:rPr>
            </w:pPr>
            <w:ins w:id="242"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4.8</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43" w:author="张鲁燕" w:date="2024-12-25T19:38:54Z"/>
                <w:rFonts w:hint="eastAsia" w:ascii="宋体" w:hAnsi="宋体" w:eastAsia="宋体" w:cs="宋体"/>
                <w:i w:val="0"/>
                <w:iCs w:val="0"/>
                <w:color w:val="000000"/>
                <w:sz w:val="21"/>
                <w:szCs w:val="21"/>
                <w:u w:val="none"/>
              </w:rPr>
            </w:pPr>
            <w:ins w:id="24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大型乔木修剪</w:t>
              </w:r>
            </w:ins>
          </w:p>
        </w:tc>
        <w:tc>
          <w:tcPr>
            <w:tcW w:w="1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45" w:author="张鲁燕" w:date="2024-12-25T19:38:54Z"/>
                <w:rFonts w:hint="eastAsia" w:ascii="宋体" w:hAnsi="宋体" w:eastAsia="宋体" w:cs="宋体"/>
                <w:i w:val="0"/>
                <w:iCs w:val="0"/>
                <w:color w:val="000000"/>
                <w:sz w:val="22"/>
                <w:szCs w:val="22"/>
                <w:u w:val="none"/>
              </w:rPr>
            </w:pPr>
            <w:ins w:id="246" w:author="张鲁燕" w:date="2024-12-25T19:38:54Z">
              <w:r>
                <w:rPr>
                  <w:rFonts w:hint="eastAsia" w:ascii="宋体" w:hAnsi="宋体" w:eastAsia="宋体" w:cs="宋体"/>
                  <w:i w:val="0"/>
                  <w:iCs w:val="0"/>
                  <w:color w:val="000000"/>
                  <w:kern w:val="0"/>
                  <w:sz w:val="22"/>
                  <w:szCs w:val="22"/>
                  <w:u w:val="none"/>
                  <w:bdr w:val="none" w:color="auto" w:sz="0" w:space="0"/>
                  <w:lang w:val="en-US" w:eastAsia="zh-CN" w:bidi="ar"/>
                </w:rPr>
                <w:t xml:space="preserve"> -   </w:t>
              </w:r>
            </w:ins>
          </w:p>
        </w:tc>
        <w:tc>
          <w:tcPr>
            <w:tcW w:w="2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ins w:id="247" w:author="张鲁燕" w:date="2024-12-25T19:38:54Z"/>
                <w:rFonts w:hint="eastAsia" w:ascii="宋体" w:hAnsi="宋体" w:eastAsia="宋体" w:cs="宋体"/>
                <w:i w:val="0"/>
                <w:iCs w:val="0"/>
                <w:color w:val="000000"/>
                <w:sz w:val="21"/>
                <w:szCs w:val="21"/>
                <w:u w:val="none"/>
              </w:rPr>
            </w:pPr>
            <w:ins w:id="248"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249" w:author="张鲁燕" w:date="2024-12-25T19:38:54Z"/>
                <w:rFonts w:hint="eastAsia" w:ascii="宋体" w:hAnsi="宋体" w:eastAsia="宋体" w:cs="宋体"/>
                <w:i w:val="0"/>
                <w:iCs w:val="0"/>
                <w:color w:val="000000"/>
                <w:sz w:val="21"/>
                <w:szCs w:val="21"/>
                <w:u w:val="none"/>
              </w:rPr>
            </w:pPr>
            <w:ins w:id="250" w:author="张鲁燕" w:date="2024-12-25T19:38:54Z">
              <w:r>
                <w:rPr>
                  <w:rStyle w:val="314"/>
                  <w:bdr w:val="none" w:color="auto" w:sz="0" w:space="0"/>
                  <w:lang w:val="en-US" w:eastAsia="zh-CN" w:bidi="ar"/>
                </w:rPr>
                <w:t>大型乔木高度10-15米，单价按照每棵树修剪所需人工、材料、机具设备单价等之和进行报价，年度修剪棵树约10棵，据实结算。</w:t>
              </w:r>
            </w:ins>
            <w:ins w:id="251"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暂估价为单价*10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ins w:id="252"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53" w:author="张鲁燕" w:date="2024-12-25T19:38:54Z"/>
                <w:rFonts w:hint="eastAsia" w:ascii="宋体" w:hAnsi="宋体" w:eastAsia="宋体" w:cs="宋体"/>
                <w:i w:val="0"/>
                <w:iCs w:val="0"/>
                <w:color w:val="000000"/>
                <w:sz w:val="21"/>
                <w:szCs w:val="21"/>
                <w:u w:val="none"/>
              </w:rPr>
            </w:pPr>
            <w:ins w:id="25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4.9</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55" w:author="张鲁燕" w:date="2024-12-25T19:38:54Z"/>
                <w:rFonts w:hint="eastAsia" w:ascii="宋体" w:hAnsi="宋体" w:eastAsia="宋体" w:cs="宋体"/>
                <w:i w:val="0"/>
                <w:iCs w:val="0"/>
                <w:color w:val="000000"/>
                <w:sz w:val="21"/>
                <w:szCs w:val="21"/>
                <w:u w:val="none"/>
              </w:rPr>
            </w:pPr>
            <w:ins w:id="256"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自然灾害受损大型树木清理</w:t>
              </w:r>
            </w:ins>
          </w:p>
        </w:tc>
        <w:tc>
          <w:tcPr>
            <w:tcW w:w="1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57" w:author="张鲁燕" w:date="2024-12-25T19:38:54Z"/>
                <w:rFonts w:hint="eastAsia" w:ascii="宋体" w:hAnsi="宋体" w:eastAsia="宋体" w:cs="宋体"/>
                <w:i w:val="0"/>
                <w:iCs w:val="0"/>
                <w:color w:val="000000"/>
                <w:sz w:val="22"/>
                <w:szCs w:val="22"/>
                <w:u w:val="none"/>
              </w:rPr>
            </w:pPr>
            <w:ins w:id="258" w:author="张鲁燕" w:date="2024-12-25T19:38:54Z">
              <w:r>
                <w:rPr>
                  <w:rFonts w:hint="eastAsia" w:ascii="宋体" w:hAnsi="宋体" w:eastAsia="宋体" w:cs="宋体"/>
                  <w:i w:val="0"/>
                  <w:iCs w:val="0"/>
                  <w:color w:val="000000"/>
                  <w:kern w:val="0"/>
                  <w:sz w:val="22"/>
                  <w:szCs w:val="22"/>
                  <w:u w:val="none"/>
                  <w:bdr w:val="none" w:color="auto" w:sz="0" w:space="0"/>
                  <w:lang w:val="en-US" w:eastAsia="zh-CN" w:bidi="ar"/>
                </w:rPr>
                <w:t xml:space="preserve"> -   </w:t>
              </w:r>
            </w:ins>
          </w:p>
        </w:tc>
        <w:tc>
          <w:tcPr>
            <w:tcW w:w="2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ins w:id="259" w:author="张鲁燕" w:date="2024-12-25T19:38:54Z"/>
                <w:rFonts w:hint="eastAsia" w:ascii="宋体" w:hAnsi="宋体" w:eastAsia="宋体" w:cs="宋体"/>
                <w:i w:val="0"/>
                <w:iCs w:val="0"/>
                <w:color w:val="000000"/>
                <w:sz w:val="21"/>
                <w:szCs w:val="21"/>
                <w:u w:val="none"/>
              </w:rPr>
            </w:pPr>
            <w:ins w:id="260"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261" w:author="张鲁燕" w:date="2024-12-25T19:38:54Z"/>
                <w:rFonts w:hint="eastAsia" w:ascii="宋体" w:hAnsi="宋体" w:eastAsia="宋体" w:cs="宋体"/>
                <w:i w:val="0"/>
                <w:iCs w:val="0"/>
                <w:color w:val="000000"/>
                <w:sz w:val="21"/>
                <w:szCs w:val="21"/>
                <w:u w:val="none"/>
              </w:rPr>
            </w:pPr>
            <w:ins w:id="262" w:author="张鲁燕" w:date="2024-12-25T19:38:54Z">
              <w:r>
                <w:rPr>
                  <w:rStyle w:val="314"/>
                  <w:bdr w:val="none" w:color="auto" w:sz="0" w:space="0"/>
                  <w:lang w:val="en-US" w:eastAsia="zh-CN" w:bidi="ar"/>
                </w:rPr>
                <w:t>单价包含人工、机具和苗木等费用之和，年度清理大型树木预估为5棵，据实结算。</w:t>
              </w:r>
            </w:ins>
            <w:ins w:id="263"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暂估价为单价*5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ins w:id="264"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65" w:author="张鲁燕" w:date="2024-12-25T19:38:54Z"/>
                <w:rFonts w:hint="eastAsia" w:ascii="宋体" w:hAnsi="宋体" w:eastAsia="宋体" w:cs="宋体"/>
                <w:i w:val="0"/>
                <w:iCs w:val="0"/>
                <w:color w:val="000000"/>
                <w:sz w:val="21"/>
                <w:szCs w:val="21"/>
                <w:u w:val="none"/>
              </w:rPr>
            </w:pPr>
            <w:ins w:id="266"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4.10</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67" w:author="张鲁燕" w:date="2024-12-25T19:38:54Z"/>
                <w:rFonts w:hint="eastAsia" w:ascii="宋体" w:hAnsi="宋体" w:eastAsia="宋体" w:cs="宋体"/>
                <w:i w:val="0"/>
                <w:iCs w:val="0"/>
                <w:color w:val="000000"/>
                <w:sz w:val="21"/>
                <w:szCs w:val="21"/>
                <w:u w:val="none"/>
              </w:rPr>
            </w:pPr>
            <w:ins w:id="268"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建筑外墙真石漆清洗</w:t>
              </w:r>
            </w:ins>
          </w:p>
        </w:tc>
        <w:tc>
          <w:tcPr>
            <w:tcW w:w="14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69" w:author="张鲁燕" w:date="2024-12-25T19:38:54Z"/>
                <w:rFonts w:hint="eastAsia" w:ascii="宋体" w:hAnsi="宋体" w:eastAsia="宋体" w:cs="宋体"/>
                <w:i w:val="0"/>
                <w:iCs w:val="0"/>
                <w:color w:val="000000"/>
                <w:sz w:val="22"/>
                <w:szCs w:val="22"/>
                <w:u w:val="none"/>
              </w:rPr>
            </w:pPr>
            <w:ins w:id="270" w:author="张鲁燕" w:date="2024-12-25T19:38:54Z">
              <w:r>
                <w:rPr>
                  <w:rFonts w:hint="eastAsia" w:ascii="宋体" w:hAnsi="宋体" w:eastAsia="宋体" w:cs="宋体"/>
                  <w:i w:val="0"/>
                  <w:iCs w:val="0"/>
                  <w:color w:val="000000"/>
                  <w:kern w:val="0"/>
                  <w:sz w:val="22"/>
                  <w:szCs w:val="22"/>
                  <w:u w:val="none"/>
                  <w:bdr w:val="none" w:color="auto" w:sz="0" w:space="0"/>
                  <w:lang w:val="en-US" w:eastAsia="zh-CN" w:bidi="ar"/>
                </w:rPr>
                <w:t xml:space="preserve"> -   </w:t>
              </w:r>
            </w:ins>
          </w:p>
        </w:tc>
        <w:tc>
          <w:tcPr>
            <w:tcW w:w="2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ins w:id="271" w:author="张鲁燕" w:date="2024-12-25T19:38:54Z"/>
                <w:rFonts w:hint="eastAsia" w:ascii="宋体" w:hAnsi="宋体" w:eastAsia="宋体" w:cs="宋体"/>
                <w:i w:val="0"/>
                <w:iCs w:val="0"/>
                <w:color w:val="000000"/>
                <w:sz w:val="21"/>
                <w:szCs w:val="21"/>
                <w:u w:val="none"/>
              </w:rPr>
            </w:pPr>
            <w:ins w:id="272"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273" w:author="张鲁燕" w:date="2024-12-25T19:38:54Z"/>
                <w:rFonts w:hint="eastAsia" w:ascii="宋体" w:hAnsi="宋体" w:eastAsia="宋体" w:cs="宋体"/>
                <w:i w:val="0"/>
                <w:iCs w:val="0"/>
                <w:color w:val="000000"/>
                <w:sz w:val="21"/>
                <w:szCs w:val="21"/>
                <w:u w:val="none"/>
              </w:rPr>
            </w:pPr>
            <w:ins w:id="274"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单价按照每平方米含人工、材料、机具设备单价进行报价，计划每三年清理一次，年度平均清理面积约2000㎡，据实结算。暂估价为单价*2000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ins w:id="275"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76" w:author="张鲁燕" w:date="2024-12-25T19:38:54Z"/>
                <w:rFonts w:hint="eastAsia" w:ascii="宋体" w:hAnsi="宋体" w:eastAsia="宋体" w:cs="宋体"/>
                <w:b/>
                <w:bCs/>
                <w:i w:val="0"/>
                <w:iCs w:val="0"/>
                <w:color w:val="000000"/>
                <w:sz w:val="21"/>
                <w:szCs w:val="21"/>
                <w:u w:val="none"/>
              </w:rPr>
            </w:pPr>
            <w:ins w:id="277"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5</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78" w:author="张鲁燕" w:date="2024-12-25T19:38:54Z"/>
                <w:rFonts w:hint="eastAsia" w:ascii="宋体" w:hAnsi="宋体" w:eastAsia="宋体" w:cs="宋体"/>
                <w:i w:val="0"/>
                <w:iCs w:val="0"/>
                <w:color w:val="000000"/>
                <w:sz w:val="21"/>
                <w:szCs w:val="21"/>
                <w:u w:val="none"/>
              </w:rPr>
            </w:pPr>
            <w:ins w:id="279"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年度费率（不含税）合计</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80" w:author="张鲁燕" w:date="2024-12-25T19:38:54Z"/>
                <w:rFonts w:hint="eastAsia" w:ascii="宋体" w:hAnsi="宋体" w:eastAsia="宋体" w:cs="宋体"/>
                <w:b/>
                <w:bCs/>
                <w:i w:val="0"/>
                <w:iCs w:val="0"/>
                <w:color w:val="000000"/>
                <w:sz w:val="22"/>
                <w:szCs w:val="22"/>
                <w:u w:val="none"/>
              </w:rPr>
            </w:pPr>
            <w:ins w:id="281" w:author="张鲁燕" w:date="2024-12-25T19:38:54Z">
              <w:r>
                <w:rPr>
                  <w:rFonts w:hint="eastAsia" w:ascii="宋体" w:hAnsi="宋体" w:eastAsia="宋体" w:cs="宋体"/>
                  <w:b/>
                  <w:bCs/>
                  <w:i w:val="0"/>
                  <w:iCs w:val="0"/>
                  <w:color w:val="000000"/>
                  <w:kern w:val="0"/>
                  <w:sz w:val="22"/>
                  <w:szCs w:val="22"/>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jc w:val="left"/>
              <w:rPr>
                <w:ins w:id="282" w:author="张鲁燕" w:date="2024-12-25T19:38:54Z"/>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ins w:id="283"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84" w:author="张鲁燕" w:date="2024-12-25T19:38:54Z"/>
                <w:rFonts w:hint="eastAsia" w:ascii="宋体" w:hAnsi="宋体" w:eastAsia="宋体" w:cs="宋体"/>
                <w:b/>
                <w:bCs/>
                <w:i w:val="0"/>
                <w:iCs w:val="0"/>
                <w:color w:val="000000"/>
                <w:sz w:val="21"/>
                <w:szCs w:val="21"/>
                <w:u w:val="none"/>
              </w:rPr>
            </w:pPr>
            <w:ins w:id="285"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6</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86" w:author="张鲁燕" w:date="2024-12-25T19:38:54Z"/>
                <w:rFonts w:hint="eastAsia" w:ascii="宋体" w:hAnsi="宋体" w:eastAsia="宋体" w:cs="宋体"/>
                <w:i w:val="0"/>
                <w:iCs w:val="0"/>
                <w:color w:val="000000"/>
                <w:sz w:val="21"/>
                <w:szCs w:val="21"/>
                <w:u w:val="none"/>
              </w:rPr>
            </w:pPr>
            <w:ins w:id="287"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年度费用（不含税）总计</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88" w:author="张鲁燕" w:date="2024-12-25T19:38:54Z"/>
                <w:rFonts w:hint="eastAsia" w:ascii="宋体" w:hAnsi="宋体" w:eastAsia="宋体" w:cs="宋体"/>
                <w:b/>
                <w:bCs/>
                <w:i w:val="0"/>
                <w:iCs w:val="0"/>
                <w:color w:val="000000"/>
                <w:sz w:val="22"/>
                <w:szCs w:val="22"/>
                <w:u w:val="none"/>
              </w:rPr>
            </w:pPr>
            <w:ins w:id="289" w:author="张鲁燕" w:date="2024-12-25T19:38:54Z">
              <w:r>
                <w:rPr>
                  <w:rFonts w:hint="eastAsia" w:ascii="宋体" w:hAnsi="宋体" w:eastAsia="宋体" w:cs="宋体"/>
                  <w:b/>
                  <w:bCs/>
                  <w:i w:val="0"/>
                  <w:iCs w:val="0"/>
                  <w:color w:val="000000"/>
                  <w:kern w:val="0"/>
                  <w:sz w:val="22"/>
                  <w:szCs w:val="22"/>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290" w:author="张鲁燕" w:date="2024-12-25T19:38:54Z"/>
                <w:rFonts w:hint="eastAsia" w:ascii="宋体" w:hAnsi="宋体" w:eastAsia="宋体" w:cs="宋体"/>
                <w:i w:val="0"/>
                <w:iCs w:val="0"/>
                <w:color w:val="000000"/>
                <w:sz w:val="21"/>
                <w:szCs w:val="21"/>
                <w:u w:val="none"/>
              </w:rPr>
            </w:pPr>
            <w:ins w:id="291" w:author="张鲁燕" w:date="2024-12-25T19:38:54Z">
              <w:r>
                <w:rPr>
                  <w:rFonts w:hint="eastAsia" w:ascii="宋体" w:hAnsi="宋体" w:eastAsia="宋体" w:cs="宋体"/>
                  <w:i w:val="0"/>
                  <w:iCs w:val="0"/>
                  <w:color w:val="000000"/>
                  <w:kern w:val="0"/>
                  <w:sz w:val="21"/>
                  <w:szCs w:val="21"/>
                  <w:u w:val="none"/>
                  <w:bdr w:val="none" w:color="auto" w:sz="0" w:space="0"/>
                  <w:lang w:val="en-US" w:eastAsia="zh-CN" w:bidi="ar"/>
                </w:rPr>
                <w:t>“3+5”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ins w:id="292" w:author="张鲁燕" w:date="2024-12-25T19:38:54Z"/>
        </w:trPr>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93" w:author="张鲁燕" w:date="2024-12-25T19:38:54Z"/>
                <w:rFonts w:hint="eastAsia" w:ascii="宋体" w:hAnsi="宋体" w:eastAsia="宋体" w:cs="宋体"/>
                <w:b/>
                <w:bCs/>
                <w:i w:val="0"/>
                <w:iCs w:val="0"/>
                <w:color w:val="000000"/>
                <w:sz w:val="21"/>
                <w:szCs w:val="21"/>
                <w:u w:val="none"/>
              </w:rPr>
            </w:pPr>
            <w:ins w:id="294"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7</w:t>
              </w:r>
            </w:ins>
          </w:p>
        </w:tc>
        <w:tc>
          <w:tcPr>
            <w:tcW w:w="1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95" w:author="张鲁燕" w:date="2024-12-25T19:38:54Z"/>
                <w:rFonts w:hint="eastAsia" w:ascii="宋体" w:hAnsi="宋体" w:eastAsia="宋体" w:cs="宋体"/>
                <w:b/>
                <w:bCs/>
                <w:i w:val="0"/>
                <w:iCs w:val="0"/>
                <w:color w:val="000000"/>
                <w:sz w:val="21"/>
                <w:szCs w:val="21"/>
                <w:u w:val="none"/>
              </w:rPr>
            </w:pPr>
            <w:ins w:id="296"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三年费用（不含税）总计</w:t>
              </w:r>
            </w:ins>
          </w:p>
        </w:tc>
        <w:tc>
          <w:tcPr>
            <w:tcW w:w="16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297" w:author="张鲁燕" w:date="2024-12-25T19:38:54Z"/>
                <w:rFonts w:hint="eastAsia" w:ascii="宋体" w:hAnsi="宋体" w:eastAsia="宋体" w:cs="宋体"/>
                <w:b/>
                <w:bCs/>
                <w:i w:val="0"/>
                <w:iCs w:val="0"/>
                <w:color w:val="000000"/>
                <w:sz w:val="22"/>
                <w:szCs w:val="22"/>
                <w:u w:val="none"/>
              </w:rPr>
            </w:pPr>
            <w:ins w:id="298" w:author="张鲁燕" w:date="2024-12-25T19:38:54Z">
              <w:r>
                <w:rPr>
                  <w:rFonts w:hint="eastAsia" w:ascii="宋体" w:hAnsi="宋体" w:eastAsia="宋体" w:cs="宋体"/>
                  <w:b/>
                  <w:bCs/>
                  <w:i w:val="0"/>
                  <w:iCs w:val="0"/>
                  <w:color w:val="000000"/>
                  <w:kern w:val="0"/>
                  <w:sz w:val="22"/>
                  <w:szCs w:val="22"/>
                  <w:u w:val="none"/>
                  <w:bdr w:val="none" w:color="auto" w:sz="0" w:space="0"/>
                  <w:lang w:val="en-US" w:eastAsia="zh-CN" w:bidi="ar"/>
                </w:rPr>
                <w:t xml:space="preserve"> -   </w:t>
              </w:r>
            </w:ins>
          </w:p>
        </w:tc>
        <w:tc>
          <w:tcPr>
            <w:tcW w:w="43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299" w:author="张鲁燕" w:date="2024-12-25T19:38:54Z"/>
                <w:rFonts w:hint="eastAsia" w:ascii="宋体" w:hAnsi="宋体" w:eastAsia="宋体" w:cs="宋体"/>
                <w:i w:val="0"/>
                <w:iCs w:val="0"/>
                <w:color w:val="000000"/>
                <w:sz w:val="21"/>
                <w:szCs w:val="21"/>
                <w:u w:val="none"/>
              </w:rPr>
            </w:pPr>
            <w:ins w:id="300" w:author="张鲁燕" w:date="2024-12-25T19:38:54Z">
              <w:r>
                <w:rPr>
                  <w:rStyle w:val="314"/>
                  <w:bdr w:val="none" w:color="auto" w:sz="0" w:space="0"/>
                  <w:lang w:val="en-US" w:eastAsia="zh-CN" w:bidi="ar"/>
                </w:rPr>
                <w:t>“6*3”，</w:t>
              </w:r>
            </w:ins>
            <w:ins w:id="301" w:author="张鲁燕" w:date="2024-12-25T19:38:54Z">
              <w:r>
                <w:rPr>
                  <w:rFonts w:hint="eastAsia" w:ascii="宋体" w:hAnsi="宋体" w:eastAsia="宋体" w:cs="宋体"/>
                  <w:b/>
                  <w:bCs/>
                  <w:i w:val="0"/>
                  <w:iCs w:val="0"/>
                  <w:color w:val="000000"/>
                  <w:kern w:val="0"/>
                  <w:sz w:val="21"/>
                  <w:szCs w:val="21"/>
                  <w:u w:val="none"/>
                  <w:bdr w:val="none" w:color="auto" w:sz="0" w:space="0"/>
                  <w:lang w:val="en-US" w:eastAsia="zh-CN" w:bidi="ar"/>
                </w:rPr>
                <w:t>此价格为评标价</w:t>
              </w:r>
            </w:ins>
          </w:p>
        </w:tc>
      </w:tr>
    </w:tbl>
    <w:p>
      <w:pPr>
        <w:pStyle w:val="123"/>
        <w:numPr>
          <w:ilvl w:val="0"/>
          <w:numId w:val="104"/>
        </w:numPr>
        <w:spacing w:line="360" w:lineRule="auto"/>
        <w:ind w:firstLineChars="0"/>
        <w:jc w:val="center"/>
        <w:rPr>
          <w:del w:id="302" w:author="张鲁燕" w:date="2024-12-25T19:38:54Z"/>
          <w:rFonts w:ascii="宋体" w:hAnsi="宋体"/>
          <w:b/>
          <w:bCs/>
          <w:sz w:val="28"/>
          <w:szCs w:val="28"/>
        </w:rPr>
      </w:pPr>
      <w:del w:id="303" w:author="张鲁燕" w:date="2024-12-25T19:38:54Z">
        <w:r>
          <w:rPr>
            <w:rFonts w:hint="eastAsia" w:ascii="宋体" w:hAnsi="宋体"/>
            <w:b/>
            <w:bCs/>
            <w:sz w:val="28"/>
            <w:szCs w:val="28"/>
          </w:rPr>
          <w:delText>合同固定费用明细</w:delText>
        </w:r>
      </w:del>
    </w:p>
    <w:p>
      <w:pPr>
        <w:pStyle w:val="123"/>
        <w:spacing w:after="156" w:afterLines="50" w:line="360" w:lineRule="auto"/>
        <w:ind w:left="-84" w:leftChars="-275" w:hanging="494" w:hangingChars="206"/>
        <w:rPr>
          <w:del w:id="304" w:author="张鲁燕" w:date="2024-12-25T19:38:54Z"/>
          <w:rFonts w:ascii="宋体" w:hAnsi="宋体"/>
          <w:sz w:val="24"/>
          <w:szCs w:val="24"/>
        </w:rPr>
      </w:pPr>
      <w:del w:id="305" w:author="张鲁燕" w:date="2024-12-25T19:38:54Z">
        <w:r>
          <w:rPr>
            <w:rFonts w:hint="eastAsia" w:ascii="宋体" w:hAnsi="宋体"/>
            <w:sz w:val="24"/>
            <w:szCs w:val="24"/>
          </w:rPr>
          <w:delText>(一)、日常综合费用汇总及成本明细</w:delText>
        </w:r>
      </w:del>
    </w:p>
    <w:p>
      <w:pPr>
        <w:spacing w:line="360" w:lineRule="auto"/>
        <w:rPr>
          <w:rFonts w:ascii="宋体" w:hAnsi="宋体"/>
          <w:b/>
          <w:bCs/>
          <w:sz w:val="28"/>
          <w:szCs w:val="28"/>
        </w:rPr>
      </w:pPr>
      <w:bookmarkStart w:id="391" w:name="_GoBack"/>
      <w:bookmarkEnd w:id="391"/>
    </w:p>
    <w:p>
      <w:pPr>
        <w:pStyle w:val="123"/>
        <w:numPr>
          <w:ilvl w:val="0"/>
          <w:numId w:val="104"/>
        </w:numPr>
        <w:spacing w:line="360" w:lineRule="auto"/>
        <w:ind w:firstLineChars="0"/>
        <w:jc w:val="center"/>
        <w:rPr>
          <w:rFonts w:ascii="宋体" w:hAnsi="宋体"/>
          <w:b/>
          <w:bCs/>
          <w:sz w:val="28"/>
          <w:szCs w:val="28"/>
        </w:rPr>
      </w:pPr>
      <w:r>
        <w:rPr>
          <w:rFonts w:ascii="宋体" w:hAnsi="宋体"/>
          <w:b/>
          <w:bCs/>
          <w:sz w:val="28"/>
          <w:szCs w:val="28"/>
        </w:rPr>
        <w:br w:type="page"/>
      </w:r>
      <w:r>
        <w:rPr>
          <w:rFonts w:hint="eastAsia" w:ascii="宋体" w:hAnsi="宋体"/>
          <w:b/>
          <w:bCs/>
          <w:sz w:val="28"/>
          <w:szCs w:val="28"/>
        </w:rPr>
        <w:t>计划外服务人员费率表</w:t>
      </w:r>
    </w:p>
    <w:p>
      <w:pPr>
        <w:widowControl/>
        <w:jc w:val="left"/>
        <w:rPr>
          <w:rFonts w:ascii="宋体" w:hAnsi="宋体"/>
          <w:sz w:val="24"/>
        </w:rPr>
      </w:pPr>
      <w:r>
        <w:rPr>
          <w:rFonts w:ascii="宋体" w:hAnsi="宋体"/>
          <w:sz w:val="24"/>
        </w:rPr>
        <w:br w:type="page"/>
      </w:r>
    </w:p>
    <w:p>
      <w:pPr>
        <w:widowControl/>
        <w:spacing w:line="360" w:lineRule="auto"/>
        <w:jc w:val="left"/>
        <w:rPr>
          <w:rFonts w:ascii="宋体" w:hAnsi="宋体"/>
          <w:b/>
          <w:bCs/>
          <w:sz w:val="24"/>
        </w:rPr>
      </w:pPr>
    </w:p>
    <w:p>
      <w:pPr>
        <w:pStyle w:val="123"/>
        <w:numPr>
          <w:ilvl w:val="0"/>
          <w:numId w:val="104"/>
        </w:numPr>
        <w:spacing w:line="360" w:lineRule="auto"/>
        <w:ind w:firstLineChars="0"/>
        <w:jc w:val="center"/>
        <w:rPr>
          <w:rFonts w:ascii="宋体" w:hAnsi="宋体"/>
          <w:b/>
          <w:bCs/>
          <w:sz w:val="28"/>
          <w:szCs w:val="28"/>
        </w:rPr>
      </w:pPr>
      <w:r>
        <w:rPr>
          <w:rFonts w:hint="eastAsia" w:ascii="宋体" w:hAnsi="宋体"/>
          <w:b/>
          <w:bCs/>
          <w:sz w:val="28"/>
          <w:szCs w:val="28"/>
        </w:rPr>
        <w:t>月浦基地计划外需求通知单</w:t>
      </w:r>
    </w:p>
    <w:p>
      <w:r>
        <w:rPr>
          <w:rFonts w:hint="eastAsia"/>
        </w:rPr>
        <w:t>编号</w:t>
      </w:r>
      <w:r>
        <w:t>(Ref.)</w:t>
      </w:r>
      <w:r>
        <w:rPr>
          <w:rFonts w:hint="eastAsia"/>
        </w:rPr>
        <w:t>：202</w:t>
      </w:r>
      <w:r>
        <w:rPr>
          <w:rFonts w:hint="eastAsia"/>
          <w:lang w:val="en-US" w:eastAsia="zh-CN"/>
        </w:rPr>
        <w:t>*</w:t>
      </w:r>
      <w:r>
        <w:rPr>
          <w:rFonts w:hint="eastAsia"/>
        </w:rPr>
        <w:t>-</w:t>
      </w:r>
      <w:r>
        <w:rPr>
          <w:rFonts w:hint="eastAsia"/>
          <w:lang w:val="en-US" w:eastAsia="zh-CN"/>
        </w:rPr>
        <w:t>**</w:t>
      </w:r>
      <w:r>
        <w:rPr>
          <w:rFonts w:hint="eastAsia"/>
        </w:rPr>
        <w:t>-</w:t>
      </w:r>
      <w:r>
        <w:rPr>
          <w:rFonts w:hint="eastAsia"/>
          <w:lang w:val="en-US" w:eastAsia="zh-CN"/>
        </w:rPr>
        <w:t>**</w:t>
      </w:r>
      <w:r>
        <w:rPr>
          <w:rFonts w:hint="eastAsia"/>
        </w:rPr>
        <w:t>（年-月-年度序号）</w:t>
      </w:r>
    </w:p>
    <w:tbl>
      <w:tblPr>
        <w:tblStyle w:val="46"/>
        <w:tblW w:w="8976" w:type="dxa"/>
        <w:tblInd w:w="-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42"/>
        <w:gridCol w:w="1278"/>
        <w:gridCol w:w="1161"/>
        <w:gridCol w:w="1955"/>
        <w:gridCol w:w="426"/>
        <w:gridCol w:w="2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442" w:type="dxa"/>
            <w:tcBorders>
              <w:top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服务名称</w:t>
            </w:r>
          </w:p>
        </w:tc>
        <w:tc>
          <w:tcPr>
            <w:tcW w:w="243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p>
        </w:tc>
        <w:tc>
          <w:tcPr>
            <w:tcW w:w="2381"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单位名称（甲方）</w:t>
            </w:r>
          </w:p>
        </w:tc>
        <w:tc>
          <w:tcPr>
            <w:tcW w:w="2714" w:type="dxa"/>
            <w:tcBorders>
              <w:top w:val="single" w:color="auto" w:sz="4" w:space="0"/>
              <w:left w:val="single" w:color="auto" w:sz="4" w:space="0"/>
              <w:bottom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42" w:type="dxa"/>
            <w:tcBorders>
              <w:top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合同号</w:t>
            </w:r>
          </w:p>
        </w:tc>
        <w:tc>
          <w:tcPr>
            <w:tcW w:w="2439" w:type="dxa"/>
            <w:gridSpan w:val="2"/>
            <w:tcBorders>
              <w:top w:val="single" w:color="auto" w:sz="4" w:space="0"/>
              <w:left w:val="single" w:color="auto" w:sz="4" w:space="0"/>
              <w:bottom w:val="single" w:color="auto" w:sz="4" w:space="0"/>
              <w:right w:val="single" w:color="auto" w:sz="4" w:space="0"/>
            </w:tcBorders>
            <w:vAlign w:val="center"/>
          </w:tcPr>
          <w:p>
            <w:pPr>
              <w:pStyle w:val="313"/>
              <w:widowControl w:val="0"/>
              <w:spacing w:line="360" w:lineRule="auto"/>
              <w:rPr>
                <w:rFonts w:ascii="宋体" w:hAnsi="宋体"/>
                <w:b/>
                <w:sz w:val="28"/>
              </w:rPr>
            </w:pPr>
          </w:p>
        </w:tc>
        <w:tc>
          <w:tcPr>
            <w:tcW w:w="2381"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 w:val="24"/>
              </w:rPr>
              <w:t>服务商名称</w:t>
            </w:r>
            <w:r>
              <w:rPr>
                <w:rFonts w:ascii="宋体" w:hAnsi="宋体"/>
                <w:sz w:val="24"/>
              </w:rPr>
              <w:t>(</w:t>
            </w:r>
            <w:r>
              <w:rPr>
                <w:rFonts w:hint="eastAsia" w:ascii="宋体" w:hAnsi="宋体"/>
                <w:sz w:val="24"/>
              </w:rPr>
              <w:t>乙方）</w:t>
            </w:r>
          </w:p>
        </w:tc>
        <w:tc>
          <w:tcPr>
            <w:tcW w:w="2714" w:type="dxa"/>
            <w:tcBorders>
              <w:top w:val="single" w:color="auto" w:sz="4" w:space="0"/>
              <w:left w:val="single" w:color="auto" w:sz="4" w:space="0"/>
              <w:bottom w:val="single" w:color="auto" w:sz="4" w:space="0"/>
            </w:tcBorders>
          </w:tcPr>
          <w:p>
            <w:pPr>
              <w:spacing w:line="360" w:lineRule="auto"/>
              <w:rPr>
                <w:rFonts w:ascii="宋体" w:hAnsi="宋体" w:cs="Arial"/>
                <w:sz w:val="24"/>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8976" w:type="dxa"/>
            <w:gridSpan w:val="6"/>
            <w:tcBorders>
              <w:top w:val="single" w:color="auto" w:sz="4" w:space="0"/>
              <w:bottom w:val="single" w:color="auto" w:sz="4" w:space="0"/>
            </w:tcBorders>
          </w:tcPr>
          <w:p>
            <w:pPr>
              <w:numPr>
                <w:ilvl w:val="0"/>
                <w:numId w:val="105"/>
              </w:numPr>
              <w:spacing w:line="360" w:lineRule="auto"/>
              <w:rPr>
                <w:rFonts w:ascii="宋体" w:hAnsi="宋体"/>
                <w:bCs/>
                <w:sz w:val="24"/>
              </w:rPr>
            </w:pPr>
            <w:r>
              <w:rPr>
                <w:rFonts w:hint="eastAsia" w:ascii="宋体" w:hAnsi="宋体"/>
                <w:bCs/>
                <w:sz w:val="24"/>
              </w:rPr>
              <w:t>服务开始时间和结束时间：</w:t>
            </w:r>
          </w:p>
          <w:p>
            <w:pPr>
              <w:spacing w:line="360" w:lineRule="auto"/>
              <w:ind w:left="360"/>
              <w:rPr>
                <w:rFonts w:ascii="宋体" w:hAnsi="宋体"/>
                <w:bCs/>
                <w:sz w:val="24"/>
              </w:rPr>
            </w:pPr>
          </w:p>
          <w:p>
            <w:pPr>
              <w:numPr>
                <w:ilvl w:val="0"/>
                <w:numId w:val="105"/>
              </w:numPr>
              <w:spacing w:before="156" w:beforeLines="50" w:line="360" w:lineRule="auto"/>
              <w:rPr>
                <w:rFonts w:ascii="宋体" w:hAnsi="宋体"/>
                <w:sz w:val="24"/>
              </w:rPr>
            </w:pPr>
            <w:r>
              <w:rPr>
                <w:rFonts w:hint="eastAsia" w:ascii="宋体" w:hAnsi="宋体"/>
                <w:sz w:val="24"/>
              </w:rPr>
              <w:t>服务内容和要求：</w:t>
            </w:r>
          </w:p>
          <w:p>
            <w:pPr>
              <w:spacing w:before="156" w:beforeLines="50" w:line="360" w:lineRule="auto"/>
              <w:rPr>
                <w:rFonts w:ascii="宋体" w:hAnsi="宋体"/>
                <w:sz w:val="24"/>
              </w:rPr>
            </w:pPr>
          </w:p>
          <w:p>
            <w:pPr>
              <w:numPr>
                <w:ilvl w:val="0"/>
                <w:numId w:val="105"/>
              </w:numPr>
              <w:spacing w:line="360" w:lineRule="auto"/>
              <w:jc w:val="left"/>
              <w:rPr>
                <w:rFonts w:ascii="宋体" w:hAnsi="宋体"/>
                <w:sz w:val="24"/>
              </w:rPr>
            </w:pPr>
            <w:r>
              <w:rPr>
                <w:rFonts w:hint="eastAsia" w:ascii="宋体" w:hAnsi="宋体"/>
                <w:sz w:val="24"/>
              </w:rPr>
              <w:t>服务收费：</w:t>
            </w:r>
          </w:p>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976" w:type="dxa"/>
            <w:gridSpan w:val="6"/>
            <w:tcBorders>
              <w:top w:val="single" w:color="auto" w:sz="4" w:space="0"/>
              <w:bottom w:val="single" w:color="auto" w:sz="4" w:space="0"/>
            </w:tcBorders>
          </w:tcPr>
          <w:p>
            <w:pPr>
              <w:spacing w:line="360" w:lineRule="auto"/>
              <w:rPr>
                <w:rFonts w:ascii="宋体" w:hAnsi="宋体"/>
                <w:sz w:val="24"/>
              </w:rPr>
            </w:pPr>
            <w:r>
              <w:rPr>
                <w:rFonts w:hint="eastAsia" w:ascii="宋体" w:hAnsi="宋体"/>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976" w:type="dxa"/>
            <w:gridSpan w:val="6"/>
            <w:tcBorders>
              <w:top w:val="single" w:color="auto" w:sz="4" w:space="0"/>
              <w:bottom w:val="single" w:color="auto" w:sz="4" w:space="0"/>
            </w:tcBorders>
          </w:tcPr>
          <w:p>
            <w:pPr>
              <w:spacing w:line="360" w:lineRule="auto"/>
              <w:rPr>
                <w:rFonts w:ascii="宋体" w:hAnsi="宋体"/>
                <w:sz w:val="24"/>
              </w:rPr>
            </w:pPr>
            <w:r>
              <w:rPr>
                <w:rFonts w:hint="eastAsia" w:ascii="宋体" w:hAnsi="宋体"/>
                <w:sz w:val="24"/>
              </w:rPr>
              <w:t>特别说明：</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8976" w:type="dxa"/>
            <w:gridSpan w:val="6"/>
            <w:tcBorders>
              <w:top w:val="single" w:color="auto" w:sz="4" w:space="0"/>
              <w:bottom w:val="single" w:color="auto" w:sz="4" w:space="0"/>
            </w:tcBorders>
          </w:tcPr>
          <w:p>
            <w:pPr>
              <w:spacing w:line="360" w:lineRule="auto"/>
              <w:ind w:firstLine="480" w:firstLineChars="200"/>
              <w:rPr>
                <w:rFonts w:ascii="宋体" w:hAnsi="宋体"/>
                <w:sz w:val="24"/>
              </w:rPr>
            </w:pPr>
            <w:r>
              <w:rPr>
                <w:rFonts w:hint="eastAsia" w:ascii="宋体" w:hAnsi="宋体"/>
                <w:sz w:val="24"/>
              </w:rPr>
              <w:t>本服务通知单一经乙方确认签字即成为合同“</w:t>
            </w:r>
            <w:r>
              <w:rPr>
                <w:rFonts w:ascii="宋体" w:hAnsi="宋体"/>
                <w:sz w:val="24"/>
              </w:rPr>
              <w:t>********</w:t>
            </w:r>
            <w:r>
              <w:rPr>
                <w:rFonts w:hint="eastAsia" w:ascii="宋体" w:hAnsi="宋体"/>
                <w:sz w:val="24"/>
              </w:rPr>
              <w:t>合同”</w:t>
            </w:r>
            <w:r>
              <w:rPr>
                <w:rFonts w:ascii="宋体" w:hAnsi="宋体"/>
                <w:sz w:val="24"/>
              </w:rPr>
              <w:t>(</w:t>
            </w:r>
            <w:r>
              <w:rPr>
                <w:rFonts w:hint="eastAsia" w:ascii="宋体" w:hAnsi="宋体"/>
                <w:sz w:val="24"/>
              </w:rPr>
              <w:t>合同号：</w:t>
            </w:r>
            <w:r>
              <w:rPr>
                <w:rFonts w:ascii="宋体" w:hAnsi="宋体"/>
                <w:sz w:val="24"/>
              </w:rPr>
              <w:t>******)</w:t>
            </w:r>
            <w:r>
              <w:rPr>
                <w:rFonts w:hint="eastAsia" w:ascii="宋体" w:hAnsi="宋体"/>
                <w:sz w:val="24"/>
              </w:rPr>
              <w:t>的一部分，对双方均具有约束力。</w:t>
            </w:r>
          </w:p>
          <w:p>
            <w:pPr>
              <w:spacing w:line="360" w:lineRule="auto"/>
              <w:ind w:firstLine="410"/>
              <w:rPr>
                <w:rFonts w:ascii="宋体" w:hAnsi="宋体"/>
                <w:b/>
                <w:bCs/>
                <w:sz w:val="24"/>
              </w:rPr>
            </w:pPr>
            <w:r>
              <w:rPr>
                <w:rFonts w:hint="eastAsia" w:ascii="宋体" w:hAnsi="宋体"/>
                <w:sz w:val="24"/>
              </w:rPr>
              <w:t>乙方凭此服务通知单作为付款依据。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4" w:hRule="atLeast"/>
        </w:trPr>
        <w:tc>
          <w:tcPr>
            <w:tcW w:w="2720" w:type="dxa"/>
            <w:gridSpan w:val="2"/>
            <w:tcBorders>
              <w:top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甲方联系人：</w:t>
            </w:r>
            <w:r>
              <w:rPr>
                <w:rFonts w:ascii="宋体" w:hAnsi="宋体"/>
                <w:sz w:val="24"/>
              </w:rPr>
              <w:t xml:space="preserve"> </w:t>
            </w:r>
          </w:p>
          <w:p>
            <w:pPr>
              <w:spacing w:line="360" w:lineRule="auto"/>
              <w:rPr>
                <w:rFonts w:ascii="宋体" w:hAnsi="宋体"/>
                <w:sz w:val="24"/>
              </w:rPr>
            </w:pPr>
            <w:r>
              <w:rPr>
                <w:rFonts w:hint="eastAsia" w:ascii="宋体" w:hAnsi="宋体"/>
                <w:sz w:val="24"/>
              </w:rPr>
              <w:t>乙方联系人：</w:t>
            </w:r>
            <w:r>
              <w:rPr>
                <w:rFonts w:ascii="宋体" w:hAnsi="宋体"/>
                <w:sz w:val="24"/>
              </w:rPr>
              <w:t xml:space="preserve"> </w:t>
            </w:r>
          </w:p>
        </w:tc>
        <w:tc>
          <w:tcPr>
            <w:tcW w:w="3116"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电话</w:t>
            </w:r>
            <w:r>
              <w:rPr>
                <w:rFonts w:ascii="宋体" w:hAnsi="宋体"/>
                <w:sz w:val="24"/>
              </w:rPr>
              <w:t>:</w:t>
            </w:r>
          </w:p>
          <w:p>
            <w:pPr>
              <w:spacing w:line="360" w:lineRule="auto"/>
              <w:rPr>
                <w:rFonts w:ascii="宋体" w:hAnsi="宋体" w:cs="Calibri"/>
                <w:kern w:val="0"/>
                <w:sz w:val="22"/>
              </w:rPr>
            </w:pPr>
            <w:r>
              <w:rPr>
                <w:rFonts w:hint="eastAsia" w:ascii="宋体" w:hAnsi="宋体"/>
                <w:sz w:val="24"/>
              </w:rPr>
              <w:t>电话</w:t>
            </w:r>
            <w:r>
              <w:rPr>
                <w:rFonts w:ascii="宋体" w:hAnsi="宋体"/>
                <w:sz w:val="24"/>
              </w:rPr>
              <w:t>:</w:t>
            </w:r>
          </w:p>
        </w:tc>
        <w:tc>
          <w:tcPr>
            <w:tcW w:w="3140" w:type="dxa"/>
            <w:gridSpan w:val="2"/>
            <w:tcBorders>
              <w:top w:val="single" w:color="auto" w:sz="4" w:space="0"/>
              <w:left w:val="single" w:color="auto" w:sz="4" w:space="0"/>
              <w:bottom w:val="single" w:color="auto" w:sz="4" w:space="0"/>
            </w:tcBorders>
          </w:tcPr>
          <w:p>
            <w:pPr>
              <w:spacing w:line="360" w:lineRule="auto"/>
              <w:rPr>
                <w:rFonts w:ascii="宋体" w:hAnsi="宋体"/>
                <w:sz w:val="24"/>
              </w:rPr>
            </w:pPr>
            <w:r>
              <w:rPr>
                <w:rFonts w:hint="eastAsia" w:ascii="宋体" w:hAnsi="宋体"/>
                <w:sz w:val="24"/>
              </w:rPr>
              <w:t>传真</w:t>
            </w:r>
            <w:r>
              <w:rPr>
                <w:rFonts w:ascii="宋体" w:hAnsi="宋体"/>
                <w:sz w:val="24"/>
              </w:rPr>
              <w:t>:</w:t>
            </w:r>
          </w:p>
          <w:p>
            <w:pPr>
              <w:spacing w:line="360" w:lineRule="auto"/>
              <w:rPr>
                <w:rFonts w:ascii="宋体" w:hAnsi="宋体" w:cs="Calibri"/>
                <w:kern w:val="0"/>
                <w:sz w:val="22"/>
              </w:rPr>
            </w:pPr>
            <w:r>
              <w:rPr>
                <w:rFonts w:hint="eastAsia" w:ascii="宋体" w:hAnsi="宋体"/>
                <w:sz w:val="24"/>
              </w:rPr>
              <w:t>传真</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8976" w:type="dxa"/>
            <w:gridSpan w:val="6"/>
            <w:tcBorders>
              <w:top w:val="single" w:color="auto" w:sz="4" w:space="0"/>
              <w:bottom w:val="single" w:color="auto" w:sz="4" w:space="0"/>
            </w:tcBorders>
          </w:tcPr>
          <w:p>
            <w:pPr>
              <w:spacing w:before="156" w:beforeLines="50" w:line="360" w:lineRule="auto"/>
              <w:rPr>
                <w:rFonts w:ascii="宋体" w:hAnsi="宋体"/>
                <w:sz w:val="24"/>
              </w:rPr>
            </w:pPr>
            <w:r>
              <w:rPr>
                <w:rFonts w:hint="eastAsia" w:ascii="宋体" w:hAnsi="宋体"/>
                <w:sz w:val="24"/>
              </w:rPr>
              <w:t>甲方（签字）：</w:t>
            </w:r>
            <w:r>
              <w:rPr>
                <w:rFonts w:ascii="宋体" w:hAnsi="宋体"/>
                <w:sz w:val="24"/>
              </w:rPr>
              <w:t xml:space="preserve">                               </w:t>
            </w:r>
            <w:r>
              <w:rPr>
                <w:rFonts w:hint="eastAsia" w:ascii="宋体" w:hAnsi="宋体"/>
                <w:sz w:val="24"/>
              </w:rPr>
              <w:t>日期：</w:t>
            </w:r>
          </w:p>
          <w:p>
            <w:pPr>
              <w:spacing w:before="156" w:beforeLines="50" w:line="360" w:lineRule="auto"/>
              <w:rPr>
                <w:rFonts w:ascii="宋体" w:hAnsi="宋体"/>
                <w:sz w:val="24"/>
              </w:rPr>
            </w:pPr>
            <w:r>
              <w:rPr>
                <w:rFonts w:hint="eastAsia" w:ascii="宋体" w:hAnsi="宋体"/>
                <w:sz w:val="24"/>
              </w:rPr>
              <w:t>乙方（签字）：</w:t>
            </w:r>
            <w:r>
              <w:rPr>
                <w:rFonts w:ascii="宋体" w:hAnsi="宋体"/>
                <w:sz w:val="24"/>
              </w:rPr>
              <w:t xml:space="preserve">                               </w:t>
            </w:r>
            <w:r>
              <w:rPr>
                <w:rFonts w:hint="eastAsia" w:ascii="宋体" w:hAnsi="宋体"/>
                <w:sz w:val="24"/>
              </w:rPr>
              <w:t>日期：</w:t>
            </w:r>
          </w:p>
        </w:tc>
      </w:tr>
    </w:tbl>
    <w:p>
      <w:pPr>
        <w:spacing w:line="360" w:lineRule="auto"/>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rPr>
      </w:pPr>
    </w:p>
    <w:p>
      <w:pPr>
        <w:spacing w:line="360" w:lineRule="auto"/>
        <w:rPr>
          <w:rFonts w:ascii="宋体" w:hAnsi="宋体"/>
          <w:lang w:val="zh-CN"/>
        </w:rPr>
      </w:pPr>
      <w:r>
        <w:rPr>
          <w:rFonts w:ascii="宋体" w:hAnsi="宋体"/>
          <w:lang w:val="zh-CN"/>
        </w:rPr>
        <w:t xml:space="preserve">                                              </w:t>
      </w:r>
    </w:p>
    <w:p>
      <w:pPr>
        <w:pStyle w:val="123"/>
        <w:numPr>
          <w:ilvl w:val="0"/>
          <w:numId w:val="104"/>
        </w:numPr>
        <w:spacing w:line="360" w:lineRule="auto"/>
        <w:ind w:firstLineChars="0"/>
        <w:jc w:val="center"/>
        <w:rPr>
          <w:rFonts w:ascii="宋体" w:hAnsi="宋体"/>
          <w:b/>
          <w:bCs/>
          <w:sz w:val="28"/>
          <w:szCs w:val="28"/>
        </w:rPr>
      </w:pPr>
      <w:r>
        <w:rPr>
          <w:rFonts w:hint="eastAsia" w:ascii="宋体" w:hAnsi="宋体"/>
          <w:b/>
          <w:bCs/>
          <w:sz w:val="28"/>
          <w:szCs w:val="28"/>
        </w:rPr>
        <w:t>月浦基地计划外需求确认单</w:t>
      </w:r>
    </w:p>
    <w:tbl>
      <w:tblPr>
        <w:tblStyle w:val="46"/>
        <w:tblpPr w:leftFromText="180" w:rightFromText="180" w:vertAnchor="page" w:horzAnchor="margin" w:tblpX="-68" w:tblpY="298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1134"/>
        <w:gridCol w:w="1134"/>
        <w:gridCol w:w="1134"/>
        <w:gridCol w:w="1560"/>
        <w:gridCol w:w="85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75" w:type="dxa"/>
            <w:vMerge w:val="restart"/>
            <w:vAlign w:val="center"/>
          </w:tcPr>
          <w:p>
            <w:pPr>
              <w:spacing w:line="360" w:lineRule="auto"/>
              <w:jc w:val="center"/>
              <w:rPr>
                <w:szCs w:val="21"/>
              </w:rPr>
            </w:pPr>
            <w:r>
              <w:rPr>
                <w:rFonts w:hint="eastAsia"/>
                <w:szCs w:val="21"/>
              </w:rPr>
              <w:t>序号</w:t>
            </w:r>
          </w:p>
        </w:tc>
        <w:tc>
          <w:tcPr>
            <w:tcW w:w="1134" w:type="dxa"/>
            <w:vMerge w:val="restart"/>
            <w:vAlign w:val="center"/>
          </w:tcPr>
          <w:p>
            <w:pPr>
              <w:spacing w:line="360" w:lineRule="auto"/>
              <w:jc w:val="center"/>
              <w:rPr>
                <w:szCs w:val="21"/>
              </w:rPr>
            </w:pPr>
            <w:r>
              <w:rPr>
                <w:rFonts w:hint="eastAsia"/>
                <w:szCs w:val="21"/>
              </w:rPr>
              <w:t>服务内容</w:t>
            </w:r>
          </w:p>
        </w:tc>
        <w:tc>
          <w:tcPr>
            <w:tcW w:w="1134" w:type="dxa"/>
            <w:vMerge w:val="restart"/>
            <w:vAlign w:val="center"/>
          </w:tcPr>
          <w:p>
            <w:pPr>
              <w:spacing w:line="360" w:lineRule="auto"/>
              <w:jc w:val="center"/>
              <w:rPr>
                <w:szCs w:val="21"/>
              </w:rPr>
            </w:pPr>
            <w:r>
              <w:rPr>
                <w:rFonts w:hint="eastAsia"/>
                <w:szCs w:val="21"/>
              </w:rPr>
              <w:t>服务时间</w:t>
            </w:r>
          </w:p>
        </w:tc>
        <w:tc>
          <w:tcPr>
            <w:tcW w:w="4678" w:type="dxa"/>
            <w:gridSpan w:val="4"/>
            <w:vAlign w:val="center"/>
          </w:tcPr>
          <w:p>
            <w:pPr>
              <w:spacing w:line="360" w:lineRule="auto"/>
              <w:jc w:val="center"/>
              <w:rPr>
                <w:szCs w:val="21"/>
              </w:rPr>
            </w:pPr>
            <w:r>
              <w:rPr>
                <w:rFonts w:hint="eastAsia"/>
                <w:szCs w:val="21"/>
              </w:rPr>
              <w:t>服务费用</w:t>
            </w:r>
          </w:p>
        </w:tc>
        <w:tc>
          <w:tcPr>
            <w:tcW w:w="1305" w:type="dxa"/>
            <w:vAlign w:val="center"/>
          </w:tcPr>
          <w:p>
            <w:pPr>
              <w:spacing w:line="36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75" w:type="dxa"/>
            <w:vMerge w:val="continue"/>
            <w:vAlign w:val="center"/>
          </w:tcPr>
          <w:p>
            <w:pPr>
              <w:spacing w:line="360" w:lineRule="auto"/>
              <w:jc w:val="center"/>
              <w:rPr>
                <w:szCs w:val="21"/>
              </w:rPr>
            </w:pPr>
          </w:p>
        </w:tc>
        <w:tc>
          <w:tcPr>
            <w:tcW w:w="1134" w:type="dxa"/>
            <w:vMerge w:val="continue"/>
            <w:vAlign w:val="center"/>
          </w:tcPr>
          <w:p>
            <w:pPr>
              <w:spacing w:line="360" w:lineRule="auto"/>
              <w:jc w:val="center"/>
              <w:rPr>
                <w:szCs w:val="21"/>
              </w:rPr>
            </w:pPr>
          </w:p>
        </w:tc>
        <w:tc>
          <w:tcPr>
            <w:tcW w:w="1134" w:type="dxa"/>
            <w:vMerge w:val="continue"/>
            <w:vAlign w:val="center"/>
          </w:tcPr>
          <w:p>
            <w:pPr>
              <w:spacing w:line="360" w:lineRule="auto"/>
              <w:jc w:val="center"/>
              <w:rPr>
                <w:szCs w:val="21"/>
              </w:rPr>
            </w:pPr>
          </w:p>
        </w:tc>
        <w:tc>
          <w:tcPr>
            <w:tcW w:w="1134" w:type="dxa"/>
            <w:vAlign w:val="center"/>
          </w:tcPr>
          <w:p>
            <w:pPr>
              <w:spacing w:line="360" w:lineRule="auto"/>
              <w:jc w:val="center"/>
              <w:rPr>
                <w:szCs w:val="21"/>
              </w:rPr>
            </w:pPr>
            <w:r>
              <w:rPr>
                <w:rFonts w:hint="eastAsia"/>
                <w:szCs w:val="21"/>
              </w:rPr>
              <w:t>岗位</w:t>
            </w:r>
            <w:r>
              <w:rPr>
                <w:szCs w:val="21"/>
              </w:rPr>
              <w:t>/</w:t>
            </w:r>
            <w:r>
              <w:rPr>
                <w:rFonts w:hint="eastAsia"/>
                <w:szCs w:val="21"/>
              </w:rPr>
              <w:t>工种</w:t>
            </w:r>
          </w:p>
        </w:tc>
        <w:tc>
          <w:tcPr>
            <w:tcW w:w="1134" w:type="dxa"/>
            <w:vAlign w:val="center"/>
          </w:tcPr>
          <w:p>
            <w:pPr>
              <w:spacing w:line="360" w:lineRule="auto"/>
              <w:jc w:val="center"/>
              <w:rPr>
                <w:szCs w:val="21"/>
              </w:rPr>
            </w:pPr>
            <w:r>
              <w:rPr>
                <w:rFonts w:hint="eastAsia"/>
                <w:szCs w:val="21"/>
              </w:rPr>
              <w:t>总工时数</w:t>
            </w:r>
          </w:p>
        </w:tc>
        <w:tc>
          <w:tcPr>
            <w:tcW w:w="1560" w:type="dxa"/>
            <w:vAlign w:val="center"/>
          </w:tcPr>
          <w:p>
            <w:pPr>
              <w:spacing w:line="360" w:lineRule="auto"/>
              <w:jc w:val="center"/>
              <w:rPr>
                <w:szCs w:val="21"/>
              </w:rPr>
            </w:pPr>
            <w:r>
              <w:rPr>
                <w:rFonts w:hint="eastAsia"/>
                <w:szCs w:val="21"/>
              </w:rPr>
              <w:t>单价（元</w:t>
            </w:r>
            <w:r>
              <w:rPr>
                <w:szCs w:val="21"/>
              </w:rPr>
              <w:t>/</w:t>
            </w:r>
            <w:r>
              <w:rPr>
                <w:rFonts w:hint="eastAsia"/>
                <w:szCs w:val="21"/>
              </w:rPr>
              <w:t>小时）</w:t>
            </w:r>
          </w:p>
        </w:tc>
        <w:tc>
          <w:tcPr>
            <w:tcW w:w="850" w:type="dxa"/>
            <w:vAlign w:val="center"/>
          </w:tcPr>
          <w:p>
            <w:pPr>
              <w:spacing w:line="360" w:lineRule="auto"/>
              <w:jc w:val="center"/>
              <w:rPr>
                <w:szCs w:val="21"/>
              </w:rPr>
            </w:pPr>
            <w:r>
              <w:rPr>
                <w:rFonts w:hint="eastAsia"/>
                <w:szCs w:val="21"/>
              </w:rPr>
              <w:t>合计</w:t>
            </w:r>
          </w:p>
        </w:tc>
        <w:tc>
          <w:tcPr>
            <w:tcW w:w="1305"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75"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560" w:type="dxa"/>
            <w:vAlign w:val="center"/>
          </w:tcPr>
          <w:p>
            <w:pPr>
              <w:spacing w:line="360" w:lineRule="auto"/>
              <w:jc w:val="center"/>
              <w:rPr>
                <w:szCs w:val="21"/>
              </w:rPr>
            </w:pPr>
          </w:p>
        </w:tc>
        <w:tc>
          <w:tcPr>
            <w:tcW w:w="850" w:type="dxa"/>
            <w:vAlign w:val="center"/>
          </w:tcPr>
          <w:p>
            <w:pPr>
              <w:spacing w:line="360" w:lineRule="auto"/>
              <w:jc w:val="center"/>
              <w:rPr>
                <w:szCs w:val="21"/>
              </w:rPr>
            </w:pPr>
          </w:p>
        </w:tc>
        <w:tc>
          <w:tcPr>
            <w:tcW w:w="1305"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75" w:type="dxa"/>
            <w:vAlign w:val="center"/>
          </w:tcPr>
          <w:p>
            <w:pPr>
              <w:spacing w:line="360" w:lineRule="auto"/>
              <w:ind w:firstLine="735" w:firstLineChars="350"/>
              <w:jc w:val="center"/>
              <w:rPr>
                <w:szCs w:val="21"/>
              </w:rPr>
            </w:pPr>
          </w:p>
        </w:tc>
        <w:tc>
          <w:tcPr>
            <w:tcW w:w="1134" w:type="dxa"/>
            <w:vAlign w:val="center"/>
          </w:tcPr>
          <w:p>
            <w:pPr>
              <w:spacing w:line="360" w:lineRule="auto"/>
              <w:ind w:firstLine="735" w:firstLineChars="350"/>
              <w:jc w:val="center"/>
              <w:rPr>
                <w:szCs w:val="21"/>
              </w:rPr>
            </w:pPr>
          </w:p>
        </w:tc>
        <w:tc>
          <w:tcPr>
            <w:tcW w:w="1134" w:type="dxa"/>
            <w:vAlign w:val="center"/>
          </w:tcPr>
          <w:p>
            <w:pPr>
              <w:spacing w:line="360" w:lineRule="auto"/>
              <w:ind w:firstLine="735" w:firstLineChars="350"/>
              <w:jc w:val="center"/>
              <w:rPr>
                <w:szCs w:val="21"/>
              </w:rPr>
            </w:pPr>
          </w:p>
        </w:tc>
        <w:tc>
          <w:tcPr>
            <w:tcW w:w="1134" w:type="dxa"/>
            <w:vAlign w:val="center"/>
          </w:tcPr>
          <w:p>
            <w:pPr>
              <w:spacing w:line="360" w:lineRule="auto"/>
              <w:ind w:firstLine="735" w:firstLineChars="350"/>
              <w:jc w:val="center"/>
              <w:rPr>
                <w:szCs w:val="21"/>
              </w:rPr>
            </w:pPr>
          </w:p>
        </w:tc>
        <w:tc>
          <w:tcPr>
            <w:tcW w:w="1134" w:type="dxa"/>
            <w:vAlign w:val="center"/>
          </w:tcPr>
          <w:p>
            <w:pPr>
              <w:spacing w:line="360" w:lineRule="auto"/>
              <w:jc w:val="center"/>
              <w:rPr>
                <w:szCs w:val="21"/>
              </w:rPr>
            </w:pPr>
          </w:p>
        </w:tc>
        <w:tc>
          <w:tcPr>
            <w:tcW w:w="1560" w:type="dxa"/>
            <w:vAlign w:val="center"/>
          </w:tcPr>
          <w:p>
            <w:pPr>
              <w:spacing w:line="360" w:lineRule="auto"/>
              <w:jc w:val="center"/>
              <w:rPr>
                <w:szCs w:val="21"/>
              </w:rPr>
            </w:pPr>
          </w:p>
        </w:tc>
        <w:tc>
          <w:tcPr>
            <w:tcW w:w="850" w:type="dxa"/>
            <w:vAlign w:val="center"/>
          </w:tcPr>
          <w:p>
            <w:pPr>
              <w:spacing w:line="360" w:lineRule="auto"/>
              <w:jc w:val="center"/>
              <w:rPr>
                <w:szCs w:val="21"/>
              </w:rPr>
            </w:pPr>
          </w:p>
        </w:tc>
        <w:tc>
          <w:tcPr>
            <w:tcW w:w="1305"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5"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560" w:type="dxa"/>
            <w:vAlign w:val="center"/>
          </w:tcPr>
          <w:p>
            <w:pPr>
              <w:spacing w:line="360" w:lineRule="auto"/>
              <w:jc w:val="center"/>
              <w:rPr>
                <w:szCs w:val="21"/>
              </w:rPr>
            </w:pPr>
          </w:p>
        </w:tc>
        <w:tc>
          <w:tcPr>
            <w:tcW w:w="850" w:type="dxa"/>
            <w:vAlign w:val="center"/>
          </w:tcPr>
          <w:p>
            <w:pPr>
              <w:spacing w:line="360" w:lineRule="auto"/>
              <w:jc w:val="center"/>
              <w:rPr>
                <w:szCs w:val="21"/>
              </w:rPr>
            </w:pPr>
          </w:p>
        </w:tc>
        <w:tc>
          <w:tcPr>
            <w:tcW w:w="1305"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5"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560" w:type="dxa"/>
            <w:vAlign w:val="center"/>
          </w:tcPr>
          <w:p>
            <w:pPr>
              <w:spacing w:line="360" w:lineRule="auto"/>
              <w:jc w:val="center"/>
              <w:rPr>
                <w:szCs w:val="21"/>
              </w:rPr>
            </w:pPr>
          </w:p>
        </w:tc>
        <w:tc>
          <w:tcPr>
            <w:tcW w:w="850" w:type="dxa"/>
            <w:vAlign w:val="center"/>
          </w:tcPr>
          <w:p>
            <w:pPr>
              <w:spacing w:line="360" w:lineRule="auto"/>
              <w:jc w:val="center"/>
              <w:rPr>
                <w:szCs w:val="21"/>
              </w:rPr>
            </w:pPr>
          </w:p>
        </w:tc>
        <w:tc>
          <w:tcPr>
            <w:tcW w:w="1305"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560" w:type="dxa"/>
            <w:vAlign w:val="center"/>
          </w:tcPr>
          <w:p>
            <w:pPr>
              <w:spacing w:line="360" w:lineRule="auto"/>
              <w:jc w:val="center"/>
              <w:rPr>
                <w:szCs w:val="21"/>
              </w:rPr>
            </w:pPr>
          </w:p>
        </w:tc>
        <w:tc>
          <w:tcPr>
            <w:tcW w:w="850" w:type="dxa"/>
            <w:vAlign w:val="center"/>
          </w:tcPr>
          <w:p>
            <w:pPr>
              <w:spacing w:line="360" w:lineRule="auto"/>
              <w:jc w:val="center"/>
              <w:rPr>
                <w:szCs w:val="21"/>
              </w:rPr>
            </w:pPr>
          </w:p>
        </w:tc>
        <w:tc>
          <w:tcPr>
            <w:tcW w:w="1305"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75"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560" w:type="dxa"/>
            <w:vAlign w:val="center"/>
          </w:tcPr>
          <w:p>
            <w:pPr>
              <w:spacing w:line="360" w:lineRule="auto"/>
              <w:jc w:val="center"/>
              <w:rPr>
                <w:szCs w:val="21"/>
              </w:rPr>
            </w:pPr>
          </w:p>
        </w:tc>
        <w:tc>
          <w:tcPr>
            <w:tcW w:w="850" w:type="dxa"/>
            <w:vAlign w:val="center"/>
          </w:tcPr>
          <w:p>
            <w:pPr>
              <w:spacing w:line="360" w:lineRule="auto"/>
              <w:jc w:val="center"/>
              <w:rPr>
                <w:szCs w:val="21"/>
              </w:rPr>
            </w:pPr>
          </w:p>
        </w:tc>
        <w:tc>
          <w:tcPr>
            <w:tcW w:w="1305"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134" w:type="dxa"/>
            <w:vAlign w:val="center"/>
          </w:tcPr>
          <w:p>
            <w:pPr>
              <w:spacing w:line="360" w:lineRule="auto"/>
              <w:jc w:val="center"/>
              <w:rPr>
                <w:szCs w:val="21"/>
              </w:rPr>
            </w:pPr>
          </w:p>
        </w:tc>
        <w:tc>
          <w:tcPr>
            <w:tcW w:w="1560" w:type="dxa"/>
            <w:vAlign w:val="center"/>
          </w:tcPr>
          <w:p>
            <w:pPr>
              <w:spacing w:line="360" w:lineRule="auto"/>
              <w:jc w:val="center"/>
              <w:rPr>
                <w:szCs w:val="21"/>
              </w:rPr>
            </w:pPr>
          </w:p>
        </w:tc>
        <w:tc>
          <w:tcPr>
            <w:tcW w:w="850" w:type="dxa"/>
            <w:vAlign w:val="center"/>
          </w:tcPr>
          <w:p>
            <w:pPr>
              <w:spacing w:line="360" w:lineRule="auto"/>
              <w:jc w:val="center"/>
              <w:rPr>
                <w:szCs w:val="21"/>
              </w:rPr>
            </w:pPr>
          </w:p>
        </w:tc>
        <w:tc>
          <w:tcPr>
            <w:tcW w:w="1305" w:type="dxa"/>
            <w:vAlign w:val="center"/>
          </w:tcPr>
          <w:p>
            <w:pPr>
              <w:spacing w:line="360" w:lineRule="auto"/>
              <w:jc w:val="center"/>
              <w:rPr>
                <w:szCs w:val="21"/>
              </w:rPr>
            </w:pPr>
          </w:p>
        </w:tc>
      </w:tr>
    </w:tbl>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lang w:val="zh-CN"/>
        </w:rPr>
      </w:pPr>
      <w:r>
        <w:rPr>
          <w:rFonts w:hint="eastAsia" w:ascii="宋体" w:hAnsi="宋体"/>
          <w:lang w:val="zh-CN"/>
        </w:rPr>
        <w:t>计划外通知单编号：</w:t>
      </w:r>
      <w:r>
        <w:rPr>
          <w:rFonts w:ascii="宋体" w:hAnsi="宋体"/>
          <w:lang w:val="zh-CN"/>
        </w:rPr>
        <w:t>2022-01-01</w:t>
      </w:r>
      <w:r>
        <w:rPr>
          <w:rFonts w:hint="eastAsia" w:ascii="宋体" w:hAnsi="宋体"/>
          <w:lang w:val="zh-CN"/>
        </w:rPr>
        <w:t>（年-月-年度序号）</w:t>
      </w:r>
    </w:p>
    <w:p>
      <w:pPr>
        <w:spacing w:line="360" w:lineRule="auto"/>
        <w:rPr>
          <w:rFonts w:ascii="宋体" w:hAnsi="宋体"/>
          <w:b/>
          <w:bCs/>
          <w:sz w:val="24"/>
        </w:rPr>
      </w:pPr>
    </w:p>
    <w:p>
      <w:pPr>
        <w:spacing w:line="360" w:lineRule="auto"/>
        <w:rPr>
          <w:rFonts w:ascii="宋体" w:hAnsi="宋体"/>
        </w:rPr>
      </w:pPr>
    </w:p>
    <w:p>
      <w:pPr>
        <w:spacing w:line="360" w:lineRule="auto"/>
        <w:rPr>
          <w:rFonts w:ascii="宋体" w:hAnsi="宋体"/>
          <w:lang w:val="zh-CN"/>
        </w:rPr>
      </w:pPr>
    </w:p>
    <w:p>
      <w:pPr>
        <w:spacing w:line="360" w:lineRule="auto"/>
        <w:rPr>
          <w:rFonts w:ascii="宋体" w:hAnsi="宋体"/>
          <w:lang w:val="zh-CN"/>
        </w:rPr>
      </w:pPr>
      <w:r>
        <w:rPr>
          <w:rFonts w:hint="eastAsia" w:ascii="宋体" w:hAnsi="宋体"/>
          <w:lang w:val="zh-CN"/>
        </w:rPr>
        <w:t>甲方签字：</w:t>
      </w:r>
      <w:r>
        <w:rPr>
          <w:rFonts w:ascii="宋体" w:hAnsi="宋体"/>
          <w:lang w:val="zh-CN"/>
        </w:rPr>
        <w:t xml:space="preserve">                             </w:t>
      </w:r>
      <w:r>
        <w:rPr>
          <w:rFonts w:hint="eastAsia" w:ascii="宋体" w:hAnsi="宋体"/>
          <w:lang w:val="zh-CN"/>
        </w:rPr>
        <w:t>乙方签字：</w:t>
      </w:r>
    </w:p>
    <w:p>
      <w:pPr>
        <w:spacing w:line="360" w:lineRule="auto"/>
        <w:rPr>
          <w:rFonts w:ascii="宋体" w:hAnsi="宋体"/>
          <w:lang w:val="zh-CN"/>
        </w:rPr>
      </w:pPr>
    </w:p>
    <w:p>
      <w:pPr>
        <w:spacing w:line="360" w:lineRule="auto"/>
        <w:rPr>
          <w:rFonts w:ascii="宋体" w:hAnsi="宋体"/>
          <w:lang w:val="zh-CN"/>
        </w:rPr>
      </w:pPr>
      <w:r>
        <w:rPr>
          <w:rFonts w:hint="eastAsia" w:ascii="宋体" w:hAnsi="宋体"/>
          <w:lang w:val="zh-CN"/>
        </w:rPr>
        <w:t>日期：</w:t>
      </w:r>
      <w:r>
        <w:rPr>
          <w:rFonts w:ascii="宋体" w:hAnsi="宋体"/>
          <w:lang w:val="zh-CN"/>
        </w:rPr>
        <w:t xml:space="preserve">                                 </w:t>
      </w:r>
      <w:r>
        <w:rPr>
          <w:rFonts w:hint="eastAsia" w:ascii="宋体" w:hAnsi="宋体"/>
          <w:lang w:val="zh-CN"/>
        </w:rPr>
        <w:t>日期：</w:t>
      </w:r>
    </w:p>
    <w:p>
      <w:pPr>
        <w:spacing w:line="360" w:lineRule="auto"/>
        <w:rPr>
          <w:rFonts w:ascii="宋体" w:hAnsi="宋体"/>
          <w:lang w:val="zh-CN"/>
        </w:rPr>
      </w:pPr>
    </w:p>
    <w:p>
      <w:pPr>
        <w:spacing w:line="360" w:lineRule="auto"/>
        <w:rPr>
          <w:rFonts w:ascii="宋体" w:hAnsi="宋体"/>
          <w:lang w:val="zh-CN"/>
        </w:rPr>
      </w:pPr>
    </w:p>
    <w:p>
      <w:pPr>
        <w:spacing w:line="360" w:lineRule="auto"/>
        <w:rPr>
          <w:rFonts w:ascii="宋体" w:hAnsi="宋体"/>
          <w:lang w:val="zh-CN"/>
        </w:rPr>
      </w:pPr>
    </w:p>
    <w:p>
      <w:pPr>
        <w:widowControl/>
        <w:jc w:val="left"/>
        <w:rPr>
          <w:rFonts w:ascii="宋体" w:hAnsi="宋体"/>
          <w:lang w:val="zh-CN"/>
        </w:rPr>
      </w:pPr>
      <w:r>
        <w:rPr>
          <w:rFonts w:ascii="宋体" w:hAnsi="宋体"/>
          <w:lang w:val="zh-CN"/>
        </w:rPr>
        <w:br w:type="page"/>
      </w:r>
    </w:p>
    <w:p>
      <w:pPr>
        <w:spacing w:line="360" w:lineRule="auto"/>
        <w:rPr>
          <w:rFonts w:ascii="宋体" w:hAnsi="宋体"/>
          <w:lang w:val="zh-CN"/>
        </w:rPr>
      </w:pPr>
    </w:p>
    <w:p>
      <w:pPr>
        <w:keepNext/>
        <w:keepLines/>
        <w:pageBreakBefore w:val="0"/>
        <w:widowControl/>
        <w:kinsoku/>
        <w:wordWrap/>
        <w:overflowPunct/>
        <w:topLinePunct w:val="0"/>
        <w:autoSpaceDE/>
        <w:autoSpaceDN/>
        <w:bidi w:val="0"/>
        <w:adjustRightInd w:val="0"/>
        <w:snapToGrid w:val="0"/>
        <w:spacing w:before="340" w:beforeLines="0" w:after="330" w:line="360" w:lineRule="auto"/>
        <w:ind w:left="0" w:leftChars="0" w:right="0" w:rightChars="0" w:firstLine="0" w:firstLineChars="0"/>
        <w:jc w:val="left"/>
        <w:textAlignment w:val="auto"/>
        <w:outlineLvl w:val="0"/>
        <w:rPr>
          <w:rFonts w:hint="eastAsia" w:ascii="宋体" w:hAnsi="宋体" w:eastAsia="宋体" w:cs="宋体"/>
          <w:bCs/>
          <w:snapToGrid w:val="0"/>
          <w:kern w:val="0"/>
          <w:sz w:val="24"/>
          <w:lang w:val="zh-CN" w:eastAsia="zh-CN"/>
        </w:rPr>
      </w:pPr>
      <w:r>
        <w:rPr>
          <w:rFonts w:hint="eastAsia" w:ascii="宋体" w:hAnsi="宋体" w:eastAsia="宋体" w:cs="宋体"/>
          <w:bCs/>
          <w:snapToGrid w:val="0"/>
          <w:kern w:val="0"/>
          <w:sz w:val="24"/>
          <w:lang w:val="zh-CN" w:eastAsia="zh-CN"/>
        </w:rPr>
        <w:t>附件四：乙方关键人员</w:t>
      </w:r>
    </w:p>
    <w:p>
      <w:pPr>
        <w:spacing w:after="156" w:afterLines="50"/>
        <w:jc w:val="center"/>
        <w:rPr>
          <w:b/>
          <w:sz w:val="32"/>
          <w:szCs w:val="32"/>
        </w:rPr>
      </w:pPr>
      <w:r>
        <w:rPr>
          <w:rFonts w:hint="eastAsia"/>
          <w:sz w:val="32"/>
          <w:szCs w:val="32"/>
        </w:rPr>
        <w:t>乙方关键人员（资质要求和能力）</w:t>
      </w:r>
    </w:p>
    <w:tbl>
      <w:tblPr>
        <w:tblStyle w:val="46"/>
        <w:tblW w:w="7374" w:type="dxa"/>
        <w:jc w:val="center"/>
        <w:tblLayout w:type="autofit"/>
        <w:tblCellMar>
          <w:top w:w="0" w:type="dxa"/>
          <w:left w:w="108" w:type="dxa"/>
          <w:bottom w:w="0" w:type="dxa"/>
          <w:right w:w="108" w:type="dxa"/>
        </w:tblCellMar>
      </w:tblPr>
      <w:tblGrid>
        <w:gridCol w:w="1686"/>
        <w:gridCol w:w="3686"/>
        <w:gridCol w:w="2002"/>
      </w:tblGrid>
      <w:tr>
        <w:tblPrEx>
          <w:tblCellMar>
            <w:top w:w="0" w:type="dxa"/>
            <w:left w:w="108" w:type="dxa"/>
            <w:bottom w:w="0" w:type="dxa"/>
            <w:right w:w="108" w:type="dxa"/>
          </w:tblCellMar>
        </w:tblPrEx>
        <w:trPr>
          <w:trHeight w:val="623" w:hRule="atLeast"/>
          <w:jc w:val="center"/>
        </w:trPr>
        <w:tc>
          <w:tcPr>
            <w:tcW w:w="1686" w:type="dxa"/>
            <w:tcBorders>
              <w:top w:val="single" w:color="auto" w:sz="12" w:space="0"/>
              <w:left w:val="single" w:color="auto" w:sz="12" w:space="0"/>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岗</w:t>
            </w:r>
            <w:r>
              <w:rPr>
                <w:rFonts w:ascii="宋体" w:hAnsi="宋体" w:cs="宋体"/>
                <w:b/>
                <w:bCs/>
                <w:kern w:val="0"/>
                <w:sz w:val="24"/>
              </w:rPr>
              <w:t xml:space="preserve">  </w:t>
            </w:r>
            <w:r>
              <w:rPr>
                <w:rFonts w:hint="eastAsia" w:ascii="宋体" w:hAnsi="宋体" w:cs="宋体"/>
                <w:b/>
                <w:bCs/>
                <w:kern w:val="0"/>
                <w:sz w:val="24"/>
              </w:rPr>
              <w:t>位</w:t>
            </w:r>
          </w:p>
        </w:tc>
        <w:tc>
          <w:tcPr>
            <w:tcW w:w="3686" w:type="dxa"/>
            <w:tcBorders>
              <w:top w:val="single" w:color="auto" w:sz="12"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资质要求</w:t>
            </w:r>
          </w:p>
        </w:tc>
        <w:tc>
          <w:tcPr>
            <w:tcW w:w="2002" w:type="dxa"/>
            <w:tcBorders>
              <w:top w:val="single" w:color="auto" w:sz="12" w:space="0"/>
              <w:left w:val="nil"/>
              <w:bottom w:val="single" w:color="auto" w:sz="4" w:space="0"/>
              <w:right w:val="single" w:color="auto" w:sz="12"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592" w:hRule="atLeast"/>
          <w:jc w:val="center"/>
        </w:trPr>
        <w:tc>
          <w:tcPr>
            <w:tcW w:w="1686" w:type="dxa"/>
            <w:tcBorders>
              <w:top w:val="nil"/>
              <w:left w:val="single" w:color="auto" w:sz="12" w:space="0"/>
              <w:bottom w:val="single" w:color="auto" w:sz="4" w:space="0"/>
              <w:right w:val="single" w:color="auto" w:sz="4" w:space="0"/>
            </w:tcBorders>
            <w:vAlign w:val="center"/>
          </w:tcPr>
          <w:p>
            <w:pPr>
              <w:widowControl/>
              <w:spacing w:line="360" w:lineRule="auto"/>
              <w:jc w:val="center"/>
              <w:rPr>
                <w:rFonts w:ascii="宋体" w:cs="宋体"/>
                <w:kern w:val="0"/>
                <w:sz w:val="24"/>
              </w:rPr>
            </w:pPr>
            <w:r>
              <w:rPr>
                <w:rFonts w:hint="eastAsia" w:ascii="宋体" w:hAnsi="宋体" w:cs="宋体"/>
                <w:kern w:val="0"/>
                <w:sz w:val="24"/>
              </w:rPr>
              <w:t>水电工</w:t>
            </w:r>
          </w:p>
        </w:tc>
        <w:tc>
          <w:tcPr>
            <w:tcW w:w="3686" w:type="dxa"/>
            <w:tcBorders>
              <w:top w:val="nil"/>
              <w:left w:val="nil"/>
              <w:bottom w:val="single" w:color="auto" w:sz="4" w:space="0"/>
              <w:right w:val="single" w:color="auto" w:sz="4" w:space="0"/>
            </w:tcBorders>
            <w:vAlign w:val="center"/>
          </w:tcPr>
          <w:p>
            <w:pPr>
              <w:widowControl/>
              <w:spacing w:line="360" w:lineRule="auto"/>
              <w:jc w:val="left"/>
              <w:rPr>
                <w:rFonts w:ascii="宋体" w:cs="宋体"/>
                <w:kern w:val="0"/>
                <w:sz w:val="24"/>
              </w:rPr>
            </w:pPr>
            <w:r>
              <w:rPr>
                <w:rFonts w:hint="eastAsia" w:ascii="宋体" w:hAnsi="宋体" w:cs="宋体"/>
                <w:kern w:val="0"/>
                <w:sz w:val="24"/>
              </w:rPr>
              <w:t>水电工上岗证等从业资格证书，</w:t>
            </w:r>
            <w:r>
              <w:rPr>
                <w:rFonts w:hint="eastAsia" w:ascii="宋体" w:hAnsi="宋体" w:cs="宋体"/>
                <w:b/>
                <w:bCs/>
                <w:kern w:val="0"/>
                <w:sz w:val="24"/>
              </w:rPr>
              <w:t>电工高低压操作证书。</w:t>
            </w:r>
          </w:p>
        </w:tc>
        <w:tc>
          <w:tcPr>
            <w:tcW w:w="2002" w:type="dxa"/>
            <w:tcBorders>
              <w:top w:val="nil"/>
              <w:left w:val="nil"/>
              <w:bottom w:val="single" w:color="auto" w:sz="4" w:space="0"/>
              <w:right w:val="single" w:color="auto" w:sz="12" w:space="0"/>
            </w:tcBorders>
            <w:vAlign w:val="center"/>
          </w:tcPr>
          <w:p>
            <w:pPr>
              <w:widowControl/>
              <w:spacing w:line="360" w:lineRule="auto"/>
              <w:jc w:val="center"/>
              <w:rPr>
                <w:rFonts w:ascii="宋体" w:hAnsi="宋体" w:cs="宋体"/>
                <w:kern w:val="0"/>
                <w:sz w:val="24"/>
              </w:rPr>
            </w:pPr>
          </w:p>
        </w:tc>
      </w:tr>
      <w:tr>
        <w:tblPrEx>
          <w:tblCellMar>
            <w:top w:w="0" w:type="dxa"/>
            <w:left w:w="108" w:type="dxa"/>
            <w:bottom w:w="0" w:type="dxa"/>
            <w:right w:w="108" w:type="dxa"/>
          </w:tblCellMar>
        </w:tblPrEx>
        <w:trPr>
          <w:trHeight w:val="592" w:hRule="atLeast"/>
          <w:jc w:val="center"/>
        </w:trPr>
        <w:tc>
          <w:tcPr>
            <w:tcW w:w="1686" w:type="dxa"/>
            <w:tcBorders>
              <w:top w:val="nil"/>
              <w:left w:val="single" w:color="auto" w:sz="12"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368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2002" w:type="dxa"/>
            <w:tcBorders>
              <w:top w:val="nil"/>
              <w:left w:val="nil"/>
              <w:bottom w:val="single" w:color="auto" w:sz="4" w:space="0"/>
              <w:right w:val="single" w:color="auto" w:sz="12" w:space="0"/>
            </w:tcBorders>
            <w:vAlign w:val="center"/>
          </w:tcPr>
          <w:p>
            <w:pPr>
              <w:widowControl/>
              <w:spacing w:line="360" w:lineRule="auto"/>
              <w:jc w:val="center"/>
              <w:rPr>
                <w:rFonts w:ascii="宋体" w:hAnsi="宋体" w:cs="宋体"/>
                <w:kern w:val="0"/>
                <w:sz w:val="24"/>
              </w:rPr>
            </w:pPr>
          </w:p>
        </w:tc>
      </w:tr>
      <w:tr>
        <w:tblPrEx>
          <w:tblCellMar>
            <w:top w:w="0" w:type="dxa"/>
            <w:left w:w="108" w:type="dxa"/>
            <w:bottom w:w="0" w:type="dxa"/>
            <w:right w:w="108" w:type="dxa"/>
          </w:tblCellMar>
        </w:tblPrEx>
        <w:trPr>
          <w:trHeight w:val="592" w:hRule="atLeast"/>
          <w:jc w:val="center"/>
        </w:trPr>
        <w:tc>
          <w:tcPr>
            <w:tcW w:w="1686" w:type="dxa"/>
            <w:tcBorders>
              <w:top w:val="nil"/>
              <w:left w:val="single" w:color="auto" w:sz="12"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368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2002" w:type="dxa"/>
            <w:tcBorders>
              <w:top w:val="nil"/>
              <w:left w:val="nil"/>
              <w:bottom w:val="single" w:color="auto" w:sz="4" w:space="0"/>
              <w:right w:val="single" w:color="auto" w:sz="12" w:space="0"/>
            </w:tcBorders>
            <w:vAlign w:val="center"/>
          </w:tcPr>
          <w:p>
            <w:pPr>
              <w:widowControl/>
              <w:spacing w:line="360" w:lineRule="auto"/>
              <w:jc w:val="center"/>
              <w:rPr>
                <w:rFonts w:ascii="宋体" w:hAnsi="宋体" w:cs="宋体"/>
                <w:kern w:val="0"/>
                <w:sz w:val="24"/>
              </w:rPr>
            </w:pPr>
          </w:p>
        </w:tc>
      </w:tr>
      <w:tr>
        <w:tblPrEx>
          <w:tblCellMar>
            <w:top w:w="0" w:type="dxa"/>
            <w:left w:w="108" w:type="dxa"/>
            <w:bottom w:w="0" w:type="dxa"/>
            <w:right w:w="108" w:type="dxa"/>
          </w:tblCellMar>
        </w:tblPrEx>
        <w:trPr>
          <w:trHeight w:val="623" w:hRule="atLeast"/>
          <w:jc w:val="center"/>
        </w:trPr>
        <w:tc>
          <w:tcPr>
            <w:tcW w:w="1686" w:type="dxa"/>
            <w:tcBorders>
              <w:top w:val="nil"/>
              <w:left w:val="single" w:color="auto" w:sz="12" w:space="0"/>
              <w:bottom w:val="single" w:color="auto" w:sz="12" w:space="0"/>
              <w:right w:val="single" w:color="auto" w:sz="4" w:space="0"/>
            </w:tcBorders>
            <w:vAlign w:val="center"/>
          </w:tcPr>
          <w:p>
            <w:pPr>
              <w:widowControl/>
              <w:spacing w:line="360" w:lineRule="auto"/>
              <w:jc w:val="center"/>
              <w:rPr>
                <w:rFonts w:ascii="宋体" w:hAnsi="宋体" w:cs="宋体"/>
                <w:b/>
                <w:bCs/>
                <w:kern w:val="0"/>
                <w:sz w:val="24"/>
              </w:rPr>
            </w:pPr>
          </w:p>
        </w:tc>
        <w:tc>
          <w:tcPr>
            <w:tcW w:w="3686" w:type="dxa"/>
            <w:tcBorders>
              <w:top w:val="nil"/>
              <w:left w:val="nil"/>
              <w:bottom w:val="single" w:color="auto" w:sz="12" w:space="0"/>
              <w:right w:val="single" w:color="auto" w:sz="4" w:space="0"/>
            </w:tcBorders>
            <w:vAlign w:val="center"/>
          </w:tcPr>
          <w:p>
            <w:pPr>
              <w:widowControl/>
              <w:spacing w:line="360" w:lineRule="auto"/>
              <w:jc w:val="left"/>
              <w:rPr>
                <w:rFonts w:ascii="宋体" w:hAnsi="宋体" w:cs="宋体"/>
                <w:kern w:val="0"/>
                <w:szCs w:val="21"/>
              </w:rPr>
            </w:pPr>
          </w:p>
        </w:tc>
        <w:tc>
          <w:tcPr>
            <w:tcW w:w="2002" w:type="dxa"/>
            <w:tcBorders>
              <w:top w:val="nil"/>
              <w:left w:val="nil"/>
              <w:bottom w:val="single" w:color="auto" w:sz="12" w:space="0"/>
              <w:right w:val="single" w:color="auto" w:sz="12" w:space="0"/>
            </w:tcBorders>
            <w:vAlign w:val="center"/>
          </w:tcPr>
          <w:p>
            <w:pPr>
              <w:widowControl/>
              <w:spacing w:line="360" w:lineRule="auto"/>
              <w:jc w:val="center"/>
              <w:rPr>
                <w:rFonts w:ascii="宋体" w:hAnsi="宋体" w:cs="宋体"/>
                <w:b/>
                <w:bCs/>
                <w:kern w:val="0"/>
                <w:sz w:val="24"/>
              </w:rPr>
            </w:pPr>
          </w:p>
        </w:tc>
      </w:tr>
    </w:tbl>
    <w:p>
      <w:pPr>
        <w:spacing w:line="360" w:lineRule="auto"/>
        <w:rPr>
          <w:rFonts w:ascii="宋体" w:hAnsi="宋体"/>
          <w:lang w:val="zh-CN"/>
        </w:rPr>
      </w:pPr>
    </w:p>
    <w:bookmarkEnd w:id="369"/>
    <w:bookmarkEnd w:id="370"/>
    <w:bookmarkEnd w:id="371"/>
    <w:p>
      <w:pPr>
        <w:widowControl/>
        <w:jc w:val="left"/>
        <w:rPr>
          <w:rFonts w:ascii="宋体" w:hAnsi="宋体"/>
          <w:lang w:val="zh-CN"/>
        </w:rPr>
      </w:pPr>
      <w:r>
        <w:rPr>
          <w:rFonts w:ascii="宋体" w:hAnsi="宋体"/>
          <w:lang w:val="zh-CN"/>
        </w:rPr>
        <w:br w:type="page"/>
      </w:r>
    </w:p>
    <w:p>
      <w:pPr>
        <w:keepNext/>
        <w:keepLines/>
        <w:pageBreakBefore w:val="0"/>
        <w:widowControl/>
        <w:kinsoku/>
        <w:wordWrap/>
        <w:overflowPunct/>
        <w:topLinePunct w:val="0"/>
        <w:autoSpaceDE/>
        <w:autoSpaceDN/>
        <w:bidi w:val="0"/>
        <w:adjustRightInd w:val="0"/>
        <w:snapToGrid w:val="0"/>
        <w:spacing w:before="340" w:beforeLines="0" w:after="330" w:line="360" w:lineRule="auto"/>
        <w:ind w:left="0" w:leftChars="0" w:right="0" w:rightChars="0" w:firstLine="0" w:firstLineChars="0"/>
        <w:jc w:val="left"/>
        <w:textAlignment w:val="auto"/>
        <w:outlineLvl w:val="0"/>
        <w:rPr>
          <w:rFonts w:hint="eastAsia" w:ascii="宋体" w:hAnsi="宋体" w:eastAsia="宋体" w:cs="宋体"/>
          <w:bCs/>
          <w:snapToGrid w:val="0"/>
          <w:kern w:val="0"/>
          <w:sz w:val="24"/>
          <w:lang w:val="zh-CN" w:eastAsia="zh-CN"/>
        </w:rPr>
      </w:pPr>
      <w:r>
        <w:rPr>
          <w:rFonts w:hint="eastAsia" w:ascii="宋体" w:hAnsi="宋体" w:eastAsia="宋体" w:cs="宋体"/>
          <w:bCs/>
          <w:snapToGrid w:val="0"/>
          <w:kern w:val="0"/>
          <w:sz w:val="24"/>
          <w:lang w:val="zh-CN" w:eastAsia="zh-CN"/>
        </w:rPr>
        <w:t>附件</w:t>
      </w:r>
      <w:r>
        <w:rPr>
          <w:rFonts w:hint="eastAsia" w:ascii="宋体" w:hAnsi="宋体" w:eastAsia="宋体" w:cs="宋体"/>
          <w:bCs/>
          <w:snapToGrid w:val="0"/>
          <w:kern w:val="0"/>
          <w:sz w:val="24"/>
          <w:lang w:val="en-US" w:eastAsia="zh-CN"/>
        </w:rPr>
        <w:t>五</w:t>
      </w:r>
      <w:r>
        <w:rPr>
          <w:rFonts w:hint="eastAsia" w:ascii="宋体" w:hAnsi="宋体" w:eastAsia="宋体" w:cs="宋体"/>
          <w:bCs/>
          <w:snapToGrid w:val="0"/>
          <w:kern w:val="0"/>
          <w:sz w:val="24"/>
          <w:lang w:val="zh-CN" w:eastAsia="zh-CN"/>
        </w:rPr>
        <w:t>：供应商绩效考核评价表</w:t>
      </w:r>
    </w:p>
    <w:p>
      <w:pPr>
        <w:spacing w:line="360" w:lineRule="auto"/>
        <w:jc w:val="center"/>
        <w:rPr>
          <w:rFonts w:ascii="Times New Roman" w:hAnsi="Times New Roman" w:eastAsia="宋体" w:cs="Times New Roman"/>
          <w:b/>
          <w:bCs/>
          <w:sz w:val="30"/>
          <w:szCs w:val="30"/>
          <w:highlight w:val="none"/>
        </w:rPr>
      </w:pPr>
      <w:r>
        <w:rPr>
          <w:rFonts w:hint="eastAsia" w:ascii="Times New Roman" w:hAnsi="Times New Roman" w:eastAsia="宋体" w:cs="Times New Roman"/>
          <w:b/>
          <w:bCs/>
          <w:sz w:val="30"/>
          <w:szCs w:val="30"/>
          <w:highlight w:val="none"/>
        </w:rPr>
        <w:t>供应商绩效考核</w:t>
      </w:r>
      <w:r>
        <w:rPr>
          <w:rFonts w:hint="eastAsia" w:ascii="Times New Roman" w:hAnsi="Times New Roman" w:eastAsia="宋体" w:cs="Times New Roman"/>
          <w:b/>
          <w:bCs/>
          <w:sz w:val="30"/>
          <w:szCs w:val="30"/>
          <w:highlight w:val="none"/>
          <w:lang w:val="en-US" w:eastAsia="zh-CN"/>
        </w:rPr>
        <w:t>评价表</w:t>
      </w:r>
    </w:p>
    <w:tbl>
      <w:tblPr>
        <w:tblStyle w:val="46"/>
        <w:tblpPr w:leftFromText="180" w:rightFromText="180" w:vertAnchor="text" w:horzAnchor="page" w:tblpX="1089" w:tblpY="462"/>
        <w:tblOverlap w:val="never"/>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29"/>
        <w:gridCol w:w="531"/>
        <w:gridCol w:w="1494"/>
        <w:gridCol w:w="543"/>
        <w:gridCol w:w="1384"/>
        <w:gridCol w:w="555"/>
        <w:gridCol w:w="556"/>
        <w:gridCol w:w="581"/>
        <w:gridCol w:w="568"/>
        <w:gridCol w:w="592"/>
        <w:gridCol w:w="680"/>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65" w:type="dxa"/>
            <w:gridSpan w:val="13"/>
            <w:shd w:val="clear" w:color="auto" w:fill="366091"/>
            <w:noWrap w:val="0"/>
            <w:vAlign w:val="center"/>
          </w:tcPr>
          <w:p>
            <w:pPr>
              <w:widowControl/>
              <w:shd w:val="clear" w:color="auto" w:fill="auto"/>
              <w:tabs>
                <w:tab w:val="left" w:pos="15960"/>
              </w:tabs>
              <w:jc w:val="center"/>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中国海油供应商绩效考核模板（服务类）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80" w:type="dxa"/>
            <w:noWrap w:val="0"/>
            <w:vAlign w:val="center"/>
          </w:tcPr>
          <w:p>
            <w:pPr>
              <w:widowControl/>
              <w:shd w:val="clear" w:color="auto" w:fill="auto"/>
              <w:tabs>
                <w:tab w:val="left" w:pos="15960"/>
              </w:tabs>
              <w:snapToGrid w:val="0"/>
              <w:jc w:val="center"/>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供应商</w:t>
            </w:r>
          </w:p>
          <w:p>
            <w:pPr>
              <w:widowControl/>
              <w:shd w:val="clear" w:color="auto" w:fill="auto"/>
              <w:tabs>
                <w:tab w:val="left" w:pos="15960"/>
              </w:tabs>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编码</w:t>
            </w:r>
          </w:p>
        </w:tc>
        <w:tc>
          <w:tcPr>
            <w:tcW w:w="729" w:type="dxa"/>
            <w:noWrap/>
            <w:vAlign w:val="center"/>
          </w:tcPr>
          <w:p>
            <w:pPr>
              <w:widowControl/>
              <w:shd w:val="clear" w:color="auto" w:fill="auto"/>
              <w:tabs>
                <w:tab w:val="left" w:pos="15960"/>
              </w:tabs>
              <w:snapToGrid w:val="0"/>
              <w:rPr>
                <w:rFonts w:ascii="宋体" w:hAnsi="宋体" w:eastAsia="宋体" w:cs="宋体"/>
                <w:sz w:val="15"/>
                <w:szCs w:val="15"/>
                <w:highlight w:val="none"/>
              </w:rPr>
            </w:pPr>
          </w:p>
        </w:tc>
        <w:tc>
          <w:tcPr>
            <w:tcW w:w="531" w:type="dxa"/>
            <w:noWrap/>
            <w:vAlign w:val="center"/>
          </w:tcPr>
          <w:p>
            <w:pPr>
              <w:widowControl/>
              <w:shd w:val="clear" w:color="auto" w:fill="auto"/>
              <w:tabs>
                <w:tab w:val="left" w:pos="15960"/>
              </w:tabs>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合同</w:t>
            </w:r>
          </w:p>
          <w:p>
            <w:pPr>
              <w:widowControl/>
              <w:shd w:val="clear" w:color="auto" w:fill="auto"/>
              <w:tabs>
                <w:tab w:val="left" w:pos="15960"/>
              </w:tabs>
              <w:snapToGrid w:val="0"/>
              <w:jc w:val="left"/>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编码</w:t>
            </w:r>
          </w:p>
        </w:tc>
        <w:tc>
          <w:tcPr>
            <w:tcW w:w="1494" w:type="dxa"/>
            <w:noWrap w:val="0"/>
            <w:vAlign w:val="center"/>
          </w:tcPr>
          <w:p>
            <w:pPr>
              <w:widowControl/>
              <w:shd w:val="clear" w:color="auto" w:fill="auto"/>
              <w:tabs>
                <w:tab w:val="left" w:pos="15960"/>
              </w:tabs>
              <w:snapToGrid w:val="0"/>
              <w:jc w:val="center"/>
              <w:rPr>
                <w:rFonts w:ascii="宋体" w:hAnsi="宋体" w:eastAsia="宋体" w:cs="宋体"/>
                <w:b/>
                <w:bCs/>
                <w:sz w:val="15"/>
                <w:szCs w:val="15"/>
                <w:highlight w:val="none"/>
              </w:rPr>
            </w:pPr>
          </w:p>
        </w:tc>
        <w:tc>
          <w:tcPr>
            <w:tcW w:w="543" w:type="dxa"/>
            <w:noWrap w:val="0"/>
            <w:vAlign w:val="center"/>
          </w:tcPr>
          <w:p>
            <w:pPr>
              <w:widowControl/>
              <w:shd w:val="clear" w:color="auto" w:fill="auto"/>
              <w:tabs>
                <w:tab w:val="left" w:pos="15960"/>
              </w:tabs>
              <w:snapToGrid w:val="0"/>
              <w:jc w:val="center"/>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合同</w:t>
            </w:r>
          </w:p>
          <w:p>
            <w:pPr>
              <w:widowControl/>
              <w:shd w:val="clear" w:color="auto" w:fill="auto"/>
              <w:tabs>
                <w:tab w:val="left" w:pos="15960"/>
              </w:tabs>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名称</w:t>
            </w:r>
          </w:p>
        </w:tc>
        <w:tc>
          <w:tcPr>
            <w:tcW w:w="1384" w:type="dxa"/>
            <w:noWrap w:val="0"/>
            <w:vAlign w:val="center"/>
          </w:tcPr>
          <w:p>
            <w:pPr>
              <w:widowControl/>
              <w:shd w:val="clear" w:color="auto" w:fill="auto"/>
              <w:tabs>
                <w:tab w:val="left" w:pos="15960"/>
              </w:tabs>
              <w:snapToGrid w:val="0"/>
              <w:jc w:val="center"/>
              <w:rPr>
                <w:rFonts w:ascii="宋体" w:hAnsi="宋体" w:eastAsia="宋体" w:cs="宋体"/>
                <w:b/>
                <w:bCs/>
                <w:sz w:val="15"/>
                <w:szCs w:val="15"/>
                <w:highlight w:val="none"/>
              </w:rPr>
            </w:pPr>
          </w:p>
        </w:tc>
        <w:tc>
          <w:tcPr>
            <w:tcW w:w="555" w:type="dxa"/>
            <w:noWrap w:val="0"/>
            <w:vAlign w:val="center"/>
          </w:tcPr>
          <w:p>
            <w:pPr>
              <w:widowControl/>
              <w:shd w:val="clear" w:color="auto" w:fill="auto"/>
              <w:tabs>
                <w:tab w:val="left" w:pos="15960"/>
              </w:tabs>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订单</w:t>
            </w:r>
          </w:p>
          <w:p>
            <w:pPr>
              <w:widowControl/>
              <w:shd w:val="clear" w:color="auto" w:fill="auto"/>
              <w:tabs>
                <w:tab w:val="left" w:pos="15960"/>
              </w:tabs>
              <w:snapToGrid w:val="0"/>
              <w:jc w:val="left"/>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编码</w:t>
            </w:r>
          </w:p>
        </w:tc>
        <w:tc>
          <w:tcPr>
            <w:tcW w:w="1137" w:type="dxa"/>
            <w:gridSpan w:val="2"/>
            <w:noWrap w:val="0"/>
            <w:vAlign w:val="center"/>
          </w:tcPr>
          <w:p>
            <w:pPr>
              <w:widowControl/>
              <w:shd w:val="clear" w:color="auto" w:fill="auto"/>
              <w:tabs>
                <w:tab w:val="left" w:pos="15960"/>
              </w:tabs>
              <w:snapToGrid w:val="0"/>
              <w:rPr>
                <w:rFonts w:ascii="宋体" w:hAnsi="宋体" w:eastAsia="宋体" w:cs="宋体"/>
                <w:b/>
                <w:bCs/>
                <w:sz w:val="15"/>
                <w:szCs w:val="15"/>
                <w:highlight w:val="none"/>
              </w:rPr>
            </w:pPr>
          </w:p>
        </w:tc>
        <w:tc>
          <w:tcPr>
            <w:tcW w:w="568" w:type="dxa"/>
            <w:noWrap w:val="0"/>
            <w:vAlign w:val="center"/>
          </w:tcPr>
          <w:p>
            <w:pPr>
              <w:widowControl/>
              <w:shd w:val="clear" w:color="auto" w:fill="auto"/>
              <w:tabs>
                <w:tab w:val="left" w:pos="15960"/>
              </w:tabs>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绩效满分</w:t>
            </w:r>
          </w:p>
        </w:tc>
        <w:tc>
          <w:tcPr>
            <w:tcW w:w="592" w:type="dxa"/>
            <w:noWrap w:val="0"/>
            <w:vAlign w:val="center"/>
          </w:tcPr>
          <w:p>
            <w:pPr>
              <w:widowControl/>
              <w:shd w:val="clear" w:color="auto" w:fill="auto"/>
              <w:tabs>
                <w:tab w:val="left" w:pos="15960"/>
              </w:tabs>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30</w:t>
            </w:r>
          </w:p>
        </w:tc>
        <w:tc>
          <w:tcPr>
            <w:tcW w:w="680" w:type="dxa"/>
            <w:noWrap w:val="0"/>
            <w:vAlign w:val="center"/>
          </w:tcPr>
          <w:p>
            <w:pPr>
              <w:widowControl/>
              <w:shd w:val="clear" w:color="auto" w:fill="auto"/>
              <w:tabs>
                <w:tab w:val="left" w:pos="15960"/>
              </w:tabs>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供应商得分</w:t>
            </w:r>
          </w:p>
        </w:tc>
        <w:tc>
          <w:tcPr>
            <w:tcW w:w="1272" w:type="dxa"/>
            <w:noWrap w:val="0"/>
            <w:vAlign w:val="center"/>
          </w:tcPr>
          <w:p>
            <w:pPr>
              <w:widowControl/>
              <w:shd w:val="clear" w:color="auto" w:fill="auto"/>
              <w:tabs>
                <w:tab w:val="left" w:pos="15960"/>
              </w:tabs>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0"/>
            <w:vAlign w:val="center"/>
          </w:tcPr>
          <w:p>
            <w:pPr>
              <w:widowControl/>
              <w:shd w:val="clear" w:color="auto" w:fill="auto"/>
              <w:tabs>
                <w:tab w:val="left" w:pos="15960"/>
              </w:tabs>
              <w:snapToGrid w:val="0"/>
              <w:jc w:val="center"/>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供应商</w:t>
            </w:r>
          </w:p>
          <w:p>
            <w:pPr>
              <w:widowControl/>
              <w:shd w:val="clear" w:color="auto" w:fill="auto"/>
              <w:tabs>
                <w:tab w:val="left" w:pos="15960"/>
              </w:tabs>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名称</w:t>
            </w:r>
          </w:p>
        </w:tc>
        <w:tc>
          <w:tcPr>
            <w:tcW w:w="729" w:type="dxa"/>
            <w:noWrap/>
            <w:vAlign w:val="center"/>
          </w:tcPr>
          <w:p>
            <w:pPr>
              <w:widowControl/>
              <w:shd w:val="clear" w:color="auto" w:fill="auto"/>
              <w:tabs>
                <w:tab w:val="left" w:pos="15960"/>
              </w:tabs>
              <w:snapToGrid w:val="0"/>
              <w:rPr>
                <w:rFonts w:ascii="宋体" w:hAnsi="宋体" w:eastAsia="宋体" w:cs="宋体"/>
                <w:b/>
                <w:bCs/>
                <w:sz w:val="15"/>
                <w:szCs w:val="15"/>
                <w:highlight w:val="none"/>
              </w:rPr>
            </w:pPr>
          </w:p>
        </w:tc>
        <w:tc>
          <w:tcPr>
            <w:tcW w:w="531" w:type="dxa"/>
            <w:noWrap/>
            <w:vAlign w:val="center"/>
          </w:tcPr>
          <w:p>
            <w:pPr>
              <w:widowControl/>
              <w:shd w:val="clear" w:color="auto" w:fill="auto"/>
              <w:tabs>
                <w:tab w:val="left" w:pos="15960"/>
              </w:tabs>
              <w:snapToGrid w:val="0"/>
              <w:jc w:val="left"/>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评分单位</w:t>
            </w:r>
          </w:p>
        </w:tc>
        <w:tc>
          <w:tcPr>
            <w:tcW w:w="5113" w:type="dxa"/>
            <w:gridSpan w:val="6"/>
            <w:noWrap w:val="0"/>
            <w:vAlign w:val="center"/>
          </w:tcPr>
          <w:p>
            <w:pPr>
              <w:widowControl/>
              <w:shd w:val="clear" w:color="auto" w:fill="auto"/>
              <w:tabs>
                <w:tab w:val="left" w:pos="15960"/>
              </w:tabs>
              <w:snapToGrid w:val="0"/>
              <w:rPr>
                <w:rFonts w:ascii="宋体" w:hAnsi="宋体" w:eastAsia="宋体" w:cs="宋体"/>
                <w:b/>
                <w:bCs/>
                <w:sz w:val="15"/>
                <w:szCs w:val="15"/>
                <w:highlight w:val="none"/>
              </w:rPr>
            </w:pPr>
          </w:p>
        </w:tc>
        <w:tc>
          <w:tcPr>
            <w:tcW w:w="568" w:type="dxa"/>
            <w:noWrap w:val="0"/>
            <w:vAlign w:val="center"/>
          </w:tcPr>
          <w:p>
            <w:pPr>
              <w:widowControl/>
              <w:shd w:val="clear" w:color="auto" w:fill="auto"/>
              <w:tabs>
                <w:tab w:val="left" w:pos="15960"/>
              </w:tabs>
              <w:snapToGrid w:val="0"/>
              <w:jc w:val="center"/>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评分</w:t>
            </w:r>
          </w:p>
          <w:p>
            <w:pPr>
              <w:widowControl/>
              <w:shd w:val="clear" w:color="auto" w:fill="auto"/>
              <w:tabs>
                <w:tab w:val="left" w:pos="15960"/>
              </w:tabs>
              <w:snapToGrid w:val="0"/>
              <w:jc w:val="center"/>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人</w:t>
            </w:r>
          </w:p>
        </w:tc>
        <w:tc>
          <w:tcPr>
            <w:tcW w:w="592" w:type="dxa"/>
            <w:noWrap w:val="0"/>
            <w:vAlign w:val="center"/>
          </w:tcPr>
          <w:p>
            <w:pPr>
              <w:widowControl/>
              <w:shd w:val="clear" w:color="auto" w:fill="auto"/>
              <w:tabs>
                <w:tab w:val="left" w:pos="15960"/>
              </w:tabs>
              <w:snapToGrid w:val="0"/>
              <w:jc w:val="center"/>
              <w:textAlignment w:val="center"/>
              <w:rPr>
                <w:rFonts w:ascii="宋体" w:hAnsi="宋体" w:eastAsia="宋体" w:cs="宋体"/>
                <w:kern w:val="0"/>
                <w:sz w:val="15"/>
                <w:szCs w:val="15"/>
                <w:highlight w:val="none"/>
                <w:lang w:bidi="ar"/>
              </w:rPr>
            </w:pPr>
          </w:p>
        </w:tc>
        <w:tc>
          <w:tcPr>
            <w:tcW w:w="680" w:type="dxa"/>
            <w:noWrap w:val="0"/>
            <w:vAlign w:val="center"/>
          </w:tcPr>
          <w:p>
            <w:pPr>
              <w:widowControl/>
              <w:shd w:val="clear" w:color="auto" w:fill="auto"/>
              <w:snapToGrid w:val="0"/>
              <w:jc w:val="center"/>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考评</w:t>
            </w:r>
          </w:p>
          <w:p>
            <w:pPr>
              <w:widowControl/>
              <w:shd w:val="clear" w:color="auto" w:fill="auto"/>
              <w:snapToGrid w:val="0"/>
              <w:jc w:val="center"/>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日期</w:t>
            </w:r>
          </w:p>
        </w:tc>
        <w:tc>
          <w:tcPr>
            <w:tcW w:w="1272" w:type="dxa"/>
            <w:noWrap w:val="0"/>
            <w:vAlign w:val="center"/>
          </w:tcPr>
          <w:p>
            <w:pPr>
              <w:widowControl/>
              <w:shd w:val="clear" w:color="auto" w:fill="auto"/>
              <w:tabs>
                <w:tab w:val="left" w:pos="15960"/>
              </w:tabs>
              <w:snapToGrid w:val="0"/>
              <w:jc w:val="center"/>
              <w:textAlignment w:val="center"/>
              <w:rPr>
                <w:rFonts w:ascii="宋体" w:hAnsi="宋体" w:eastAsia="宋体" w:cs="宋体"/>
                <w:b/>
                <w:bCs/>
                <w:kern w:val="0"/>
                <w:sz w:val="15"/>
                <w:szCs w:val="15"/>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shd w:val="clear" w:color="auto" w:fill="366091"/>
            <w:noWrap/>
            <w:vAlign w:val="center"/>
          </w:tcPr>
          <w:p>
            <w:pPr>
              <w:keepNext w:val="0"/>
              <w:keepLines w:val="0"/>
              <w:pageBreakBefore w:val="0"/>
              <w:widowControl/>
              <w:shd w:val="clear" w:color="auto" w:fill="auto"/>
              <w:kinsoku/>
              <w:wordWrap/>
              <w:overflowPunct/>
              <w:topLinePunct w:val="0"/>
              <w:autoSpaceDE/>
              <w:autoSpaceDN/>
              <w:bidi w:val="0"/>
              <w:adjustRightInd/>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序号</w:t>
            </w:r>
          </w:p>
        </w:tc>
        <w:tc>
          <w:tcPr>
            <w:tcW w:w="729" w:type="dxa"/>
            <w:shd w:val="clear" w:color="auto" w:fill="366091"/>
            <w:noWrap/>
            <w:vAlign w:val="center"/>
          </w:tcPr>
          <w:p>
            <w:pPr>
              <w:keepNext w:val="0"/>
              <w:keepLines w:val="0"/>
              <w:pageBreakBefore w:val="0"/>
              <w:widowControl/>
              <w:shd w:val="clear" w:color="auto" w:fill="auto"/>
              <w:kinsoku/>
              <w:wordWrap/>
              <w:overflowPunct/>
              <w:topLinePunct w:val="0"/>
              <w:autoSpaceDE/>
              <w:autoSpaceDN/>
              <w:bidi w:val="0"/>
              <w:adjustRightInd/>
              <w:snapToGrid w:val="0"/>
              <w:jc w:val="center"/>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指标</w:t>
            </w:r>
          </w:p>
          <w:p>
            <w:pPr>
              <w:keepNext w:val="0"/>
              <w:keepLines w:val="0"/>
              <w:pageBreakBefore w:val="0"/>
              <w:widowControl/>
              <w:shd w:val="clear" w:color="auto" w:fill="auto"/>
              <w:kinsoku/>
              <w:wordWrap/>
              <w:overflowPunct/>
              <w:topLinePunct w:val="0"/>
              <w:autoSpaceDE/>
              <w:autoSpaceDN/>
              <w:bidi w:val="0"/>
              <w:adjustRightInd/>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维度</w:t>
            </w:r>
          </w:p>
        </w:tc>
        <w:tc>
          <w:tcPr>
            <w:tcW w:w="531" w:type="dxa"/>
            <w:shd w:val="clear" w:color="auto" w:fill="366091"/>
            <w:noWrap/>
            <w:vAlign w:val="center"/>
          </w:tcPr>
          <w:p>
            <w:pPr>
              <w:keepNext w:val="0"/>
              <w:keepLines w:val="0"/>
              <w:pageBreakBefore w:val="0"/>
              <w:widowControl/>
              <w:shd w:val="clear" w:color="auto" w:fill="auto"/>
              <w:kinsoku/>
              <w:wordWrap/>
              <w:overflowPunct/>
              <w:topLinePunct w:val="0"/>
              <w:autoSpaceDE/>
              <w:autoSpaceDN/>
              <w:bidi w:val="0"/>
              <w:adjustRightInd/>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指标名称</w:t>
            </w:r>
          </w:p>
        </w:tc>
        <w:tc>
          <w:tcPr>
            <w:tcW w:w="3421" w:type="dxa"/>
            <w:gridSpan w:val="3"/>
            <w:shd w:val="clear" w:color="auto" w:fill="366091"/>
            <w:noWrap/>
            <w:vAlign w:val="center"/>
          </w:tcPr>
          <w:p>
            <w:pPr>
              <w:keepNext w:val="0"/>
              <w:keepLines w:val="0"/>
              <w:pageBreakBefore w:val="0"/>
              <w:widowControl/>
              <w:shd w:val="clear" w:color="auto" w:fill="auto"/>
              <w:kinsoku/>
              <w:wordWrap/>
              <w:overflowPunct/>
              <w:topLinePunct w:val="0"/>
              <w:autoSpaceDE/>
              <w:autoSpaceDN/>
              <w:bidi w:val="0"/>
              <w:adjustRightInd/>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指标描述</w:t>
            </w:r>
          </w:p>
        </w:tc>
        <w:tc>
          <w:tcPr>
            <w:tcW w:w="2852" w:type="dxa"/>
            <w:gridSpan w:val="5"/>
            <w:shd w:val="clear" w:color="auto" w:fill="366091"/>
            <w:noWrap/>
            <w:vAlign w:val="center"/>
          </w:tcPr>
          <w:p>
            <w:pPr>
              <w:keepNext w:val="0"/>
              <w:keepLines w:val="0"/>
              <w:pageBreakBefore w:val="0"/>
              <w:widowControl/>
              <w:shd w:val="clear" w:color="auto" w:fill="auto"/>
              <w:kinsoku/>
              <w:wordWrap/>
              <w:overflowPunct/>
              <w:topLinePunct w:val="0"/>
              <w:autoSpaceDE/>
              <w:autoSpaceDN/>
              <w:bidi w:val="0"/>
              <w:adjustRightInd/>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分值（3分为合格基准分）</w:t>
            </w:r>
          </w:p>
        </w:tc>
        <w:tc>
          <w:tcPr>
            <w:tcW w:w="680" w:type="dxa"/>
            <w:shd w:val="clear" w:color="auto" w:fill="366091"/>
            <w:noWrap/>
            <w:vAlign w:val="center"/>
          </w:tcPr>
          <w:p>
            <w:pPr>
              <w:keepNext w:val="0"/>
              <w:keepLines w:val="0"/>
              <w:pageBreakBefore w:val="0"/>
              <w:widowControl/>
              <w:shd w:val="clear" w:color="auto" w:fill="auto"/>
              <w:kinsoku/>
              <w:wordWrap/>
              <w:overflowPunct/>
              <w:topLinePunct w:val="0"/>
              <w:autoSpaceDE/>
              <w:autoSpaceDN/>
              <w:bidi w:val="0"/>
              <w:adjustRightInd/>
              <w:snapToGrid w:val="0"/>
              <w:jc w:val="center"/>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评分</w:t>
            </w:r>
          </w:p>
        </w:tc>
        <w:tc>
          <w:tcPr>
            <w:tcW w:w="1272" w:type="dxa"/>
            <w:shd w:val="clear" w:color="auto" w:fill="366091"/>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jc w:val="left"/>
              <w:textAlignment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评分备注（5分或2分及以下需填写说明）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680" w:type="dxa"/>
            <w:noWrap/>
            <w:vAlign w:val="center"/>
          </w:tcPr>
          <w:p>
            <w:pPr>
              <w:widowControl/>
              <w:shd w:val="clear" w:color="auto" w:fill="auto"/>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1</w:t>
            </w:r>
          </w:p>
        </w:tc>
        <w:tc>
          <w:tcPr>
            <w:tcW w:w="729" w:type="dxa"/>
            <w:vMerge w:val="restart"/>
            <w:noWrap/>
            <w:vAlign w:val="center"/>
          </w:tcPr>
          <w:p>
            <w:pPr>
              <w:widowControl/>
              <w:shd w:val="clear" w:color="auto" w:fill="auto"/>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QHSE</w:t>
            </w:r>
          </w:p>
        </w:tc>
        <w:tc>
          <w:tcPr>
            <w:tcW w:w="53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QHSE管理</w:t>
            </w:r>
          </w:p>
        </w:tc>
        <w:tc>
          <w:tcPr>
            <w:tcW w:w="3421" w:type="dxa"/>
            <w:gridSpan w:val="3"/>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按照合同要求，制定了优于合同规定或相关要求的QHSE管理机制并保证QHSE管理机制有效执行：5分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按照合同要求，制定了符合合同规定或相关要求的QHSE管理机制并保证QHSE管理机制有效执行：4分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QHSE管理机制存在一定漏洞，整改后符合项目QHSE管理要求：3分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QHSE管理机制存在一定漏洞，整改态度不积极：2分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QHSE管理机制存在较大漏洞或QHSE机制执行不到位，拒不改进：1分</w:t>
            </w:r>
          </w:p>
          <w:p>
            <w:pPr>
              <w:widowControl/>
              <w:shd w:val="clear" w:color="auto" w:fill="auto"/>
              <w:autoSpaceDE w:val="0"/>
              <w:autoSpaceDN w:val="0"/>
              <w:adjustRightInd w:val="0"/>
              <w:snapToGrid w:val="0"/>
              <w:jc w:val="left"/>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说明：QHSE管理包含质量管理、职业健康管理、安全管理、环境管理及风险管理等</w:t>
            </w:r>
          </w:p>
        </w:tc>
        <w:tc>
          <w:tcPr>
            <w:tcW w:w="555"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1分</w:t>
            </w:r>
          </w:p>
        </w:tc>
        <w:tc>
          <w:tcPr>
            <w:tcW w:w="556"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2分</w:t>
            </w:r>
          </w:p>
        </w:tc>
        <w:tc>
          <w:tcPr>
            <w:tcW w:w="58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3分</w:t>
            </w:r>
          </w:p>
        </w:tc>
        <w:tc>
          <w:tcPr>
            <w:tcW w:w="568"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4分</w:t>
            </w:r>
          </w:p>
        </w:tc>
        <w:tc>
          <w:tcPr>
            <w:tcW w:w="592"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5分</w:t>
            </w:r>
          </w:p>
        </w:tc>
        <w:tc>
          <w:tcPr>
            <w:tcW w:w="680" w:type="dxa"/>
            <w:noWrap/>
            <w:vAlign w:val="center"/>
          </w:tcPr>
          <w:p>
            <w:pPr>
              <w:widowControl/>
              <w:shd w:val="clear" w:color="auto" w:fill="auto"/>
              <w:jc w:val="right"/>
              <w:rPr>
                <w:rFonts w:ascii="宋体" w:hAnsi="宋体" w:eastAsia="宋体" w:cs="宋体"/>
                <w:sz w:val="15"/>
                <w:szCs w:val="15"/>
                <w:highlight w:val="none"/>
              </w:rPr>
            </w:pPr>
          </w:p>
        </w:tc>
        <w:tc>
          <w:tcPr>
            <w:tcW w:w="1272" w:type="dxa"/>
            <w:noWrap/>
            <w:vAlign w:val="center"/>
          </w:tcPr>
          <w:p>
            <w:pPr>
              <w:widowControl/>
              <w:shd w:val="clear" w:color="auto" w:fill="auto"/>
              <w:ind w:right="1907" w:rightChars="908"/>
              <w:jc w:val="right"/>
              <w:rPr>
                <w:rFonts w:ascii="宋体" w:hAnsi="宋体" w:eastAsia="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ign w:val="center"/>
          </w:tcPr>
          <w:p>
            <w:pPr>
              <w:widowControl/>
              <w:shd w:val="clear" w:color="auto" w:fill="auto"/>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2</w:t>
            </w:r>
          </w:p>
        </w:tc>
        <w:tc>
          <w:tcPr>
            <w:tcW w:w="729" w:type="dxa"/>
            <w:vMerge w:val="continue"/>
            <w:noWrap/>
            <w:vAlign w:val="center"/>
          </w:tcPr>
          <w:p>
            <w:pPr>
              <w:widowControl/>
              <w:shd w:val="clear" w:color="auto" w:fill="auto"/>
              <w:jc w:val="center"/>
              <w:rPr>
                <w:rFonts w:ascii="宋体" w:hAnsi="宋体" w:eastAsia="宋体" w:cs="宋体"/>
                <w:sz w:val="15"/>
                <w:szCs w:val="15"/>
                <w:highlight w:val="none"/>
              </w:rPr>
            </w:pPr>
          </w:p>
        </w:tc>
        <w:tc>
          <w:tcPr>
            <w:tcW w:w="53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QHSE执行</w:t>
            </w:r>
          </w:p>
        </w:tc>
        <w:tc>
          <w:tcPr>
            <w:tcW w:w="3421" w:type="dxa"/>
            <w:gridSpan w:val="3"/>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合同执行过程中未出现任何的QHSE事故和安全环保事件，且有协助我方提升QHSE执行、降低风险隐患等突出表现的：5分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合同执行过程中未出现任何的QHSE事故和安全环保事件：4分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合同执行过程中由于供应商主要过失，造成一次一般C级及以下事故/事件的发生：3分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合同执行过程中由于承包商主要过失，造成一般B级事故或两次及以上一般C级事故的发生：2分</w:t>
            </w:r>
          </w:p>
          <w:p>
            <w:pPr>
              <w:widowControl/>
              <w:shd w:val="clear" w:color="auto" w:fill="auto"/>
              <w:autoSpaceDE w:val="0"/>
              <w:autoSpaceDN w:val="0"/>
              <w:adjustRightInd w:val="0"/>
              <w:snapToGrid w:val="0"/>
              <w:jc w:val="left"/>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合同执行过程中由于承包商主要过失，造成一般A级及以上级别事故的发生：1分</w:t>
            </w:r>
          </w:p>
        </w:tc>
        <w:tc>
          <w:tcPr>
            <w:tcW w:w="555"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1分</w:t>
            </w:r>
          </w:p>
        </w:tc>
        <w:tc>
          <w:tcPr>
            <w:tcW w:w="556"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2分</w:t>
            </w:r>
          </w:p>
        </w:tc>
        <w:tc>
          <w:tcPr>
            <w:tcW w:w="58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3分</w:t>
            </w:r>
          </w:p>
        </w:tc>
        <w:tc>
          <w:tcPr>
            <w:tcW w:w="568"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4分</w:t>
            </w:r>
          </w:p>
        </w:tc>
        <w:tc>
          <w:tcPr>
            <w:tcW w:w="592"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5分</w:t>
            </w:r>
          </w:p>
        </w:tc>
        <w:tc>
          <w:tcPr>
            <w:tcW w:w="680" w:type="dxa"/>
            <w:noWrap/>
            <w:vAlign w:val="center"/>
          </w:tcPr>
          <w:p>
            <w:pPr>
              <w:widowControl/>
              <w:shd w:val="clear" w:color="auto" w:fill="auto"/>
              <w:jc w:val="right"/>
              <w:rPr>
                <w:rFonts w:ascii="宋体" w:hAnsi="宋体" w:eastAsia="宋体" w:cs="宋体"/>
                <w:sz w:val="15"/>
                <w:szCs w:val="15"/>
                <w:highlight w:val="none"/>
              </w:rPr>
            </w:pPr>
          </w:p>
        </w:tc>
        <w:tc>
          <w:tcPr>
            <w:tcW w:w="1272" w:type="dxa"/>
            <w:noWrap/>
            <w:vAlign w:val="center"/>
          </w:tcPr>
          <w:p>
            <w:pPr>
              <w:widowControl/>
              <w:shd w:val="clear" w:color="auto" w:fill="auto"/>
              <w:jc w:val="right"/>
              <w:rPr>
                <w:rFonts w:ascii="宋体" w:hAnsi="宋体" w:eastAsia="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ign w:val="center"/>
          </w:tcPr>
          <w:p>
            <w:pPr>
              <w:widowControl/>
              <w:shd w:val="clear" w:color="auto" w:fill="auto"/>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3</w:t>
            </w:r>
          </w:p>
        </w:tc>
        <w:tc>
          <w:tcPr>
            <w:tcW w:w="729" w:type="dxa"/>
            <w:noWrap/>
            <w:vAlign w:val="center"/>
          </w:tcPr>
          <w:p>
            <w:pPr>
              <w:widowControl/>
              <w:shd w:val="clear" w:color="auto" w:fill="auto"/>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交付</w:t>
            </w:r>
          </w:p>
        </w:tc>
        <w:tc>
          <w:tcPr>
            <w:tcW w:w="53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交付进度</w:t>
            </w:r>
          </w:p>
        </w:tc>
        <w:tc>
          <w:tcPr>
            <w:tcW w:w="3421" w:type="dxa"/>
            <w:gridSpan w:val="3"/>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制定了符合项目要求的进度计划，各里程碑节点优于合同工期约定的：5分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制定了符合项目要求的进度计划，项目实施过程中总体进度符合合同约定或滞后低于2%，最终能按期交付的：4分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制定了符合合同要求的进度计划，实施过程中总体进度滞后低于3%，最终能按期交付的：3分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制定了符合合同要求的进度计划，实施过程中总体进度滞后低于5%，最终能按期交付的：2分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进度计划不符合合同要求，或实施过程中总体进度滞后高于5%，或未按期交付的：1分</w:t>
            </w:r>
          </w:p>
          <w:p>
            <w:pPr>
              <w:widowControl/>
              <w:shd w:val="clear" w:color="auto" w:fill="auto"/>
              <w:autoSpaceDE w:val="0"/>
              <w:autoSpaceDN w:val="0"/>
              <w:adjustRightInd w:val="0"/>
              <w:snapToGrid w:val="0"/>
              <w:jc w:val="left"/>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说明：不含我方因素导致的进度问题</w:t>
            </w:r>
          </w:p>
        </w:tc>
        <w:tc>
          <w:tcPr>
            <w:tcW w:w="555"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1分</w:t>
            </w:r>
          </w:p>
        </w:tc>
        <w:tc>
          <w:tcPr>
            <w:tcW w:w="556"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2分</w:t>
            </w:r>
          </w:p>
        </w:tc>
        <w:tc>
          <w:tcPr>
            <w:tcW w:w="58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3分</w:t>
            </w:r>
          </w:p>
        </w:tc>
        <w:tc>
          <w:tcPr>
            <w:tcW w:w="568"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4分</w:t>
            </w:r>
          </w:p>
        </w:tc>
        <w:tc>
          <w:tcPr>
            <w:tcW w:w="592"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5分</w:t>
            </w:r>
          </w:p>
        </w:tc>
        <w:tc>
          <w:tcPr>
            <w:tcW w:w="680" w:type="dxa"/>
            <w:noWrap/>
            <w:vAlign w:val="center"/>
          </w:tcPr>
          <w:p>
            <w:pPr>
              <w:widowControl/>
              <w:shd w:val="clear" w:color="auto" w:fill="auto"/>
              <w:jc w:val="right"/>
              <w:rPr>
                <w:rFonts w:ascii="宋体" w:hAnsi="宋体" w:eastAsia="宋体" w:cs="宋体"/>
                <w:sz w:val="15"/>
                <w:szCs w:val="15"/>
                <w:highlight w:val="none"/>
              </w:rPr>
            </w:pPr>
          </w:p>
        </w:tc>
        <w:tc>
          <w:tcPr>
            <w:tcW w:w="1272" w:type="dxa"/>
            <w:noWrap/>
            <w:vAlign w:val="center"/>
          </w:tcPr>
          <w:p>
            <w:pPr>
              <w:widowControl/>
              <w:shd w:val="clear" w:color="auto" w:fill="auto"/>
              <w:jc w:val="right"/>
              <w:rPr>
                <w:rFonts w:ascii="宋体" w:hAnsi="宋体" w:eastAsia="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ign w:val="center"/>
          </w:tcPr>
          <w:p>
            <w:pPr>
              <w:widowControl/>
              <w:shd w:val="clear" w:color="auto" w:fill="auto"/>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4</w:t>
            </w:r>
          </w:p>
        </w:tc>
        <w:tc>
          <w:tcPr>
            <w:tcW w:w="729" w:type="dxa"/>
            <w:vMerge w:val="restart"/>
            <w:noWrap/>
            <w:vAlign w:val="center"/>
          </w:tcPr>
          <w:p>
            <w:pPr>
              <w:widowControl/>
              <w:shd w:val="clear" w:color="auto" w:fill="auto"/>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服务</w:t>
            </w:r>
          </w:p>
        </w:tc>
        <w:tc>
          <w:tcPr>
            <w:tcW w:w="53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资源配置</w:t>
            </w:r>
          </w:p>
        </w:tc>
        <w:tc>
          <w:tcPr>
            <w:tcW w:w="3421" w:type="dxa"/>
            <w:gridSpan w:val="3"/>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人力、设备、材料、机具、技术、资金等资源完全符合项目需求并进行了全过程的严格管理：5分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人力、设备、材料、机具、技术、资金等资源基本符合项目需求并进行了全过程的管理：4分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人力、设备、材料、机具、技术、资金等资源配备不足，在进行沟通后能进行有效改进，未对项目造成影响：3分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人力、设备、材料、机具、技术、资金等资源配备不足，对项目正常开展造成一定影响的：2分</w:t>
            </w:r>
          </w:p>
          <w:p>
            <w:pPr>
              <w:widowControl/>
              <w:shd w:val="clear" w:color="auto" w:fill="auto"/>
              <w:autoSpaceDE w:val="0"/>
              <w:autoSpaceDN w:val="0"/>
              <w:adjustRightInd w:val="0"/>
              <w:snapToGrid w:val="0"/>
              <w:jc w:val="left"/>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人力、设备、材料、机具、技术、资金等资源配备不足，影响项目正常开展造成重大影响的：1分</w:t>
            </w:r>
          </w:p>
        </w:tc>
        <w:tc>
          <w:tcPr>
            <w:tcW w:w="555"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1分</w:t>
            </w:r>
          </w:p>
        </w:tc>
        <w:tc>
          <w:tcPr>
            <w:tcW w:w="556"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2分</w:t>
            </w:r>
          </w:p>
        </w:tc>
        <w:tc>
          <w:tcPr>
            <w:tcW w:w="58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3分</w:t>
            </w:r>
          </w:p>
        </w:tc>
        <w:tc>
          <w:tcPr>
            <w:tcW w:w="568"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4分</w:t>
            </w:r>
          </w:p>
        </w:tc>
        <w:tc>
          <w:tcPr>
            <w:tcW w:w="592"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5分</w:t>
            </w:r>
          </w:p>
        </w:tc>
        <w:tc>
          <w:tcPr>
            <w:tcW w:w="680" w:type="dxa"/>
            <w:noWrap/>
            <w:vAlign w:val="center"/>
          </w:tcPr>
          <w:p>
            <w:pPr>
              <w:widowControl/>
              <w:shd w:val="clear" w:color="auto" w:fill="auto"/>
              <w:jc w:val="right"/>
              <w:rPr>
                <w:rFonts w:ascii="宋体" w:hAnsi="宋体" w:eastAsia="宋体" w:cs="宋体"/>
                <w:sz w:val="15"/>
                <w:szCs w:val="15"/>
                <w:highlight w:val="none"/>
              </w:rPr>
            </w:pPr>
          </w:p>
        </w:tc>
        <w:tc>
          <w:tcPr>
            <w:tcW w:w="1272" w:type="dxa"/>
            <w:noWrap/>
            <w:vAlign w:val="center"/>
          </w:tcPr>
          <w:p>
            <w:pPr>
              <w:widowControl/>
              <w:shd w:val="clear" w:color="auto" w:fill="auto"/>
              <w:jc w:val="right"/>
              <w:rPr>
                <w:rFonts w:ascii="宋体" w:hAnsi="宋体" w:eastAsia="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ign w:val="center"/>
          </w:tcPr>
          <w:p>
            <w:pPr>
              <w:widowControl/>
              <w:shd w:val="clear" w:color="auto" w:fill="auto"/>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5</w:t>
            </w:r>
          </w:p>
        </w:tc>
        <w:tc>
          <w:tcPr>
            <w:tcW w:w="729" w:type="dxa"/>
            <w:vMerge w:val="continue"/>
            <w:noWrap/>
            <w:vAlign w:val="center"/>
          </w:tcPr>
          <w:p>
            <w:pPr>
              <w:widowControl/>
              <w:shd w:val="clear" w:color="auto" w:fill="auto"/>
              <w:jc w:val="center"/>
              <w:rPr>
                <w:rFonts w:ascii="宋体" w:hAnsi="宋体" w:eastAsia="宋体" w:cs="宋体"/>
                <w:sz w:val="15"/>
                <w:szCs w:val="15"/>
                <w:highlight w:val="none"/>
              </w:rPr>
            </w:pPr>
          </w:p>
        </w:tc>
        <w:tc>
          <w:tcPr>
            <w:tcW w:w="53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服务配合</w:t>
            </w:r>
          </w:p>
        </w:tc>
        <w:tc>
          <w:tcPr>
            <w:tcW w:w="3421" w:type="dxa"/>
            <w:gridSpan w:val="3"/>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按时为我方提供合同约定的服务，服务态度积极，责任感强烈：5分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为我方提供服务时能保持良好的态度，大多数情况下配合度较好：4分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在履行我方规定的服务要求时服务态度一般，在进行沟通后能取得有效改进：3分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在履行我方规定的服务要求时服务态度较差，配合意愿低：2分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在履行我方规定的服务要求时服务态度差，出现拒不配合的行为：1分</w:t>
            </w:r>
          </w:p>
          <w:p>
            <w:pPr>
              <w:widowControl/>
              <w:shd w:val="clear" w:color="auto" w:fill="auto"/>
              <w:autoSpaceDE w:val="0"/>
              <w:autoSpaceDN w:val="0"/>
              <w:adjustRightInd w:val="0"/>
              <w:snapToGrid w:val="0"/>
              <w:jc w:val="left"/>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说明：按照合同约定进行定义的服务标准</w:t>
            </w:r>
          </w:p>
        </w:tc>
        <w:tc>
          <w:tcPr>
            <w:tcW w:w="555"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1分</w:t>
            </w:r>
          </w:p>
        </w:tc>
        <w:tc>
          <w:tcPr>
            <w:tcW w:w="556"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2分</w:t>
            </w:r>
          </w:p>
        </w:tc>
        <w:tc>
          <w:tcPr>
            <w:tcW w:w="58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3分</w:t>
            </w:r>
          </w:p>
        </w:tc>
        <w:tc>
          <w:tcPr>
            <w:tcW w:w="568"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4分</w:t>
            </w:r>
          </w:p>
        </w:tc>
        <w:tc>
          <w:tcPr>
            <w:tcW w:w="592"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5分</w:t>
            </w:r>
          </w:p>
        </w:tc>
        <w:tc>
          <w:tcPr>
            <w:tcW w:w="680" w:type="dxa"/>
            <w:noWrap/>
            <w:vAlign w:val="center"/>
          </w:tcPr>
          <w:p>
            <w:pPr>
              <w:widowControl/>
              <w:shd w:val="clear" w:color="auto" w:fill="auto"/>
              <w:jc w:val="right"/>
              <w:rPr>
                <w:rFonts w:ascii="宋体" w:hAnsi="宋体" w:eastAsia="宋体" w:cs="宋体"/>
                <w:sz w:val="15"/>
                <w:szCs w:val="15"/>
                <w:highlight w:val="none"/>
              </w:rPr>
            </w:pPr>
          </w:p>
        </w:tc>
        <w:tc>
          <w:tcPr>
            <w:tcW w:w="1272" w:type="dxa"/>
            <w:noWrap/>
            <w:vAlign w:val="center"/>
          </w:tcPr>
          <w:p>
            <w:pPr>
              <w:widowControl/>
              <w:shd w:val="clear" w:color="auto" w:fill="auto"/>
              <w:jc w:val="right"/>
              <w:rPr>
                <w:rFonts w:ascii="宋体" w:hAnsi="宋体" w:eastAsia="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ign w:val="center"/>
          </w:tcPr>
          <w:p>
            <w:pPr>
              <w:widowControl/>
              <w:shd w:val="clear" w:color="auto" w:fill="auto"/>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6</w:t>
            </w:r>
          </w:p>
        </w:tc>
        <w:tc>
          <w:tcPr>
            <w:tcW w:w="729" w:type="dxa"/>
            <w:noWrap/>
            <w:vAlign w:val="center"/>
          </w:tcPr>
          <w:p>
            <w:pPr>
              <w:widowControl/>
              <w:shd w:val="clear" w:color="auto" w:fill="auto"/>
              <w:jc w:val="left"/>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人员</w:t>
            </w:r>
          </w:p>
        </w:tc>
        <w:tc>
          <w:tcPr>
            <w:tcW w:w="53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人员技能</w:t>
            </w:r>
          </w:p>
        </w:tc>
        <w:tc>
          <w:tcPr>
            <w:tcW w:w="3421" w:type="dxa"/>
            <w:gridSpan w:val="3"/>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人员技术水平完全符合要求，工作质量高，创新性强，超出合同要求完成各项任务：5分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关键岗位人员水平基本符合要求，非关键岗位人员技术水平存在不足但对业务未造成影响，工作质量较高：4分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非关键岗位人员技术水平不能胜任，工作质量一般，经整改后才能够按要求完成任务，对业务影响较为轻微：3分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部分关键岗位人员技术水平不能胜任，工作质量差，对业务造成一定影响：2分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关键岗位人员技术水平完全不能胜任，工作质量差，对业务造成重大影响：1分</w:t>
            </w:r>
          </w:p>
          <w:p>
            <w:pPr>
              <w:widowControl/>
              <w:shd w:val="clear" w:color="auto" w:fill="auto"/>
              <w:autoSpaceDE w:val="0"/>
              <w:autoSpaceDN w:val="0"/>
              <w:adjustRightInd w:val="0"/>
              <w:snapToGrid w:val="0"/>
              <w:jc w:val="left"/>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说明：人员技术水平含人员素质和专业水平</w:t>
            </w:r>
          </w:p>
        </w:tc>
        <w:tc>
          <w:tcPr>
            <w:tcW w:w="555"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1分</w:t>
            </w:r>
          </w:p>
        </w:tc>
        <w:tc>
          <w:tcPr>
            <w:tcW w:w="556"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2分</w:t>
            </w:r>
          </w:p>
        </w:tc>
        <w:tc>
          <w:tcPr>
            <w:tcW w:w="581"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3分</w:t>
            </w:r>
          </w:p>
        </w:tc>
        <w:tc>
          <w:tcPr>
            <w:tcW w:w="568"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4分</w:t>
            </w:r>
          </w:p>
        </w:tc>
        <w:tc>
          <w:tcPr>
            <w:tcW w:w="592" w:type="dxa"/>
            <w:noWrap/>
            <w:vAlign w:val="center"/>
          </w:tcPr>
          <w:p>
            <w:pPr>
              <w:widowControl/>
              <w:shd w:val="clear" w:color="auto" w:fill="auto"/>
              <w:autoSpaceDE w:val="0"/>
              <w:autoSpaceDN w:val="0"/>
              <w:adjustRightInd w:val="0"/>
              <w:snapToGrid w:val="0"/>
              <w:jc w:val="center"/>
              <w:textAlignment w:val="center"/>
              <w:rPr>
                <w:rFonts w:ascii="宋体" w:hAnsi="宋体" w:eastAsia="宋体" w:cs="宋体"/>
                <w:sz w:val="15"/>
                <w:szCs w:val="15"/>
                <w:highlight w:val="none"/>
              </w:rPr>
            </w:pPr>
            <w:r>
              <w:rPr>
                <w:rFonts w:hint="eastAsia" w:ascii="宋体" w:hAnsi="宋体" w:eastAsia="宋体" w:cs="宋体"/>
                <w:kern w:val="0"/>
                <w:sz w:val="15"/>
                <w:szCs w:val="15"/>
                <w:highlight w:val="none"/>
                <w:lang w:bidi="ar"/>
              </w:rPr>
              <w:t>5分</w:t>
            </w:r>
          </w:p>
        </w:tc>
        <w:tc>
          <w:tcPr>
            <w:tcW w:w="680" w:type="dxa"/>
            <w:noWrap/>
            <w:vAlign w:val="center"/>
          </w:tcPr>
          <w:p>
            <w:pPr>
              <w:widowControl/>
              <w:shd w:val="clear" w:color="auto" w:fill="auto"/>
              <w:jc w:val="right"/>
              <w:rPr>
                <w:rFonts w:ascii="宋体" w:hAnsi="宋体" w:eastAsia="宋体" w:cs="宋体"/>
                <w:sz w:val="15"/>
                <w:szCs w:val="15"/>
                <w:highlight w:val="none"/>
              </w:rPr>
            </w:pPr>
          </w:p>
        </w:tc>
        <w:tc>
          <w:tcPr>
            <w:tcW w:w="1272" w:type="dxa"/>
            <w:noWrap/>
            <w:vAlign w:val="center"/>
          </w:tcPr>
          <w:p>
            <w:pPr>
              <w:widowControl/>
              <w:shd w:val="clear" w:color="auto" w:fill="auto"/>
              <w:jc w:val="right"/>
              <w:rPr>
                <w:rFonts w:ascii="宋体" w:hAnsi="宋体" w:eastAsia="宋体" w:cs="宋体"/>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65" w:type="dxa"/>
            <w:gridSpan w:val="13"/>
            <w:shd w:val="clear" w:color="auto" w:fill="C7DAF1"/>
            <w:noWrap/>
            <w:vAlign w:val="center"/>
          </w:tcPr>
          <w:p>
            <w:pPr>
              <w:widowControl/>
              <w:shd w:val="clear" w:color="auto" w:fill="auto"/>
              <w:tabs>
                <w:tab w:val="left" w:pos="5697"/>
              </w:tabs>
              <w:jc w:val="center"/>
              <w:rPr>
                <w:rFonts w:ascii="宋体" w:hAnsi="宋体" w:eastAsia="宋体" w:cs="宋体"/>
                <w:sz w:val="15"/>
                <w:szCs w:val="15"/>
                <w:highlight w:val="none"/>
              </w:rPr>
            </w:pPr>
            <w:r>
              <w:rPr>
                <w:rFonts w:hint="eastAsia" w:ascii="宋体" w:hAnsi="宋体" w:eastAsia="宋体" w:cs="宋体"/>
                <w:b/>
                <w:bCs/>
                <w:kern w:val="0"/>
                <w:sz w:val="15"/>
                <w:szCs w:val="15"/>
                <w:highlight w:val="none"/>
                <w:lang w:bidi="ar"/>
              </w:rPr>
              <w:t>违法违规表现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shd w:val="clear" w:color="auto" w:fill="C7DAF1"/>
            <w:noWrap/>
            <w:vAlign w:val="center"/>
          </w:tcPr>
          <w:p>
            <w:pPr>
              <w:widowControl/>
              <w:shd w:val="clear" w:color="auto" w:fill="auto"/>
              <w:jc w:val="center"/>
              <w:textAlignment w:val="center"/>
              <w:rPr>
                <w:rFonts w:ascii="宋体" w:hAnsi="宋体" w:eastAsia="宋体" w:cs="宋体"/>
                <w:kern w:val="0"/>
                <w:sz w:val="15"/>
                <w:szCs w:val="15"/>
                <w:highlight w:val="none"/>
                <w:lang w:bidi="ar"/>
              </w:rPr>
            </w:pPr>
            <w:r>
              <w:rPr>
                <w:rFonts w:hint="eastAsia" w:ascii="宋体" w:hAnsi="宋体" w:eastAsia="宋体" w:cs="宋体"/>
                <w:b/>
                <w:bCs/>
                <w:kern w:val="0"/>
                <w:sz w:val="15"/>
                <w:szCs w:val="15"/>
                <w:highlight w:val="none"/>
                <w:lang w:bidi="ar"/>
              </w:rPr>
              <w:t>序号</w:t>
            </w:r>
          </w:p>
        </w:tc>
        <w:tc>
          <w:tcPr>
            <w:tcW w:w="1260" w:type="dxa"/>
            <w:gridSpan w:val="2"/>
            <w:shd w:val="clear" w:color="auto" w:fill="C7DAF1"/>
            <w:noWrap/>
            <w:vAlign w:val="center"/>
          </w:tcPr>
          <w:p>
            <w:pPr>
              <w:widowControl/>
              <w:shd w:val="clear" w:color="auto" w:fill="auto"/>
              <w:jc w:val="center"/>
              <w:textAlignment w:val="center"/>
              <w:rPr>
                <w:rFonts w:ascii="宋体" w:hAnsi="宋体" w:eastAsia="宋体" w:cs="宋体"/>
                <w:kern w:val="0"/>
                <w:sz w:val="15"/>
                <w:szCs w:val="15"/>
                <w:highlight w:val="none"/>
                <w:lang w:bidi="ar"/>
              </w:rPr>
            </w:pPr>
            <w:r>
              <w:rPr>
                <w:rFonts w:hint="eastAsia" w:ascii="宋体" w:hAnsi="宋体" w:eastAsia="宋体" w:cs="宋体"/>
                <w:b/>
                <w:bCs/>
                <w:kern w:val="0"/>
                <w:sz w:val="15"/>
                <w:szCs w:val="15"/>
                <w:highlight w:val="none"/>
                <w:lang w:bidi="ar"/>
              </w:rPr>
              <w:t>违规项</w:t>
            </w:r>
          </w:p>
        </w:tc>
        <w:tc>
          <w:tcPr>
            <w:tcW w:w="5681" w:type="dxa"/>
            <w:gridSpan w:val="7"/>
            <w:shd w:val="clear" w:color="auto" w:fill="C7DAF1"/>
            <w:noWrap w:val="0"/>
            <w:vAlign w:val="center"/>
          </w:tcPr>
          <w:p>
            <w:pPr>
              <w:widowControl/>
              <w:shd w:val="clear" w:color="auto" w:fill="auto"/>
              <w:jc w:val="center"/>
              <w:textAlignment w:val="center"/>
              <w:rPr>
                <w:rFonts w:ascii="宋体" w:hAnsi="宋体" w:eastAsia="宋体" w:cs="宋体"/>
                <w:b/>
                <w:bCs/>
                <w:kern w:val="0"/>
                <w:sz w:val="15"/>
                <w:szCs w:val="15"/>
                <w:highlight w:val="none"/>
                <w:lang w:bidi="ar"/>
              </w:rPr>
            </w:pPr>
            <w:r>
              <w:rPr>
                <w:rFonts w:hint="eastAsia" w:ascii="宋体" w:hAnsi="宋体" w:eastAsia="宋体" w:cs="宋体"/>
                <w:b/>
                <w:bCs/>
                <w:kern w:val="0"/>
                <w:sz w:val="15"/>
                <w:szCs w:val="15"/>
                <w:highlight w:val="none"/>
                <w:lang w:bidi="ar"/>
              </w:rPr>
              <w:t>违规描述</w:t>
            </w:r>
          </w:p>
        </w:tc>
        <w:tc>
          <w:tcPr>
            <w:tcW w:w="2544" w:type="dxa"/>
            <w:gridSpan w:val="3"/>
            <w:shd w:val="clear" w:color="auto" w:fill="C7DAF1"/>
            <w:noWrap/>
            <w:vAlign w:val="center"/>
          </w:tcPr>
          <w:p>
            <w:pPr>
              <w:widowControl/>
              <w:shd w:val="clear" w:color="auto" w:fill="auto"/>
              <w:jc w:val="center"/>
              <w:rPr>
                <w:rFonts w:ascii="宋体" w:hAnsi="宋体" w:eastAsia="宋体" w:cs="宋体"/>
                <w:b/>
                <w:bCs/>
                <w:sz w:val="15"/>
                <w:szCs w:val="15"/>
                <w:highlight w:val="none"/>
              </w:rPr>
            </w:pPr>
            <w:r>
              <w:rPr>
                <w:rFonts w:hint="eastAsia" w:ascii="宋体" w:hAnsi="宋体" w:eastAsia="宋体" w:cs="宋体"/>
                <w:b/>
                <w:bCs/>
                <w:kern w:val="0"/>
                <w:sz w:val="15"/>
                <w:szCs w:val="15"/>
                <w:highlight w:val="none"/>
                <w:lang w:bidi="ar"/>
              </w:rPr>
              <w:t>是否存在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ign w:val="center"/>
          </w:tcPr>
          <w:p>
            <w:pPr>
              <w:widowControl/>
              <w:shd w:val="clear" w:color="auto" w:fill="auto"/>
              <w:spacing w:line="288" w:lineRule="auto"/>
              <w:jc w:val="center"/>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1</w:t>
            </w:r>
          </w:p>
        </w:tc>
        <w:tc>
          <w:tcPr>
            <w:tcW w:w="1260" w:type="dxa"/>
            <w:gridSpan w:val="2"/>
            <w:noWrap/>
            <w:vAlign w:val="center"/>
          </w:tcPr>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未履行合同规定或相关标准</w:t>
            </w:r>
          </w:p>
        </w:tc>
        <w:tc>
          <w:tcPr>
            <w:tcW w:w="5681" w:type="dxa"/>
            <w:gridSpan w:val="7"/>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擅自变更、不按照合同规定履行或者擅自终止合同；</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提供工程、货物和服务时，擅自降低原来规定的功能标准，改变功能结构，使原有的功能要求得不到保证；</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违反规定将合同转让、转包、分包；</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未经同意拖延完工、交货日期，延缓执行合同的期限；</w:t>
            </w:r>
          </w:p>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参与或承揽中国海油业务时，在已知晓或应当知晓的情况下，仍代理被中国海油禁用其他供应商的产品、服务，或将已获取的合同对其分包。</w:t>
            </w:r>
          </w:p>
        </w:tc>
        <w:tc>
          <w:tcPr>
            <w:tcW w:w="2544" w:type="dxa"/>
            <w:gridSpan w:val="3"/>
            <w:noWrap/>
            <w:vAlign w:val="center"/>
          </w:tcPr>
          <w:p>
            <w:pPr>
              <w:widowControl/>
              <w:shd w:val="clear" w:color="auto" w:fill="auto"/>
              <w:spacing w:line="288" w:lineRule="auto"/>
              <w:jc w:val="center"/>
              <w:rPr>
                <w:rFonts w:ascii="宋体" w:hAnsi="宋体" w:eastAsia="宋体" w:cs="宋体"/>
                <w:b/>
                <w:bCs/>
                <w:kern w:val="0"/>
                <w:sz w:val="15"/>
                <w:szCs w:val="15"/>
                <w:highlight w:val="none"/>
                <w:lang w:bidi="ar"/>
              </w:rPr>
            </w:pP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ign w:val="center"/>
          </w:tcPr>
          <w:p>
            <w:pPr>
              <w:widowControl/>
              <w:shd w:val="clear" w:color="auto" w:fill="auto"/>
              <w:spacing w:line="288" w:lineRule="auto"/>
              <w:jc w:val="center"/>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2</w:t>
            </w:r>
          </w:p>
        </w:tc>
        <w:tc>
          <w:tcPr>
            <w:tcW w:w="1260" w:type="dxa"/>
            <w:gridSpan w:val="2"/>
            <w:noWrap/>
            <w:vAlign w:val="center"/>
          </w:tcPr>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虚假欺骗行为</w:t>
            </w:r>
          </w:p>
        </w:tc>
        <w:tc>
          <w:tcPr>
            <w:tcW w:w="5681" w:type="dxa"/>
            <w:gridSpan w:val="7"/>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提供虚假材料（资质文件、进度报告、财务状况、书面承诺等）；</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假冒其他厂家品牌，提供伪劣商品、以假乱真弄虚作假；</w:t>
            </w:r>
          </w:p>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出现供给不足（即“短斤少两”行为）。</w:t>
            </w:r>
          </w:p>
        </w:tc>
        <w:tc>
          <w:tcPr>
            <w:tcW w:w="2544" w:type="dxa"/>
            <w:gridSpan w:val="3"/>
            <w:noWrap/>
            <w:vAlign w:val="center"/>
          </w:tcPr>
          <w:p>
            <w:pPr>
              <w:widowControl/>
              <w:shd w:val="clear" w:color="auto" w:fill="auto"/>
              <w:spacing w:line="288" w:lineRule="auto"/>
              <w:jc w:val="center"/>
              <w:rPr>
                <w:rFonts w:ascii="宋体" w:hAnsi="宋体" w:eastAsia="宋体" w:cs="宋体"/>
                <w:b/>
                <w:bCs/>
                <w:kern w:val="0"/>
                <w:sz w:val="15"/>
                <w:szCs w:val="15"/>
                <w:highlight w:val="none"/>
                <w:lang w:bidi="ar"/>
              </w:rPr>
            </w:pP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ign w:val="center"/>
          </w:tcPr>
          <w:p>
            <w:pPr>
              <w:widowControl/>
              <w:shd w:val="clear" w:color="auto" w:fill="auto"/>
              <w:spacing w:line="288" w:lineRule="auto"/>
              <w:jc w:val="center"/>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3</w:t>
            </w:r>
          </w:p>
        </w:tc>
        <w:tc>
          <w:tcPr>
            <w:tcW w:w="1260" w:type="dxa"/>
            <w:gridSpan w:val="2"/>
            <w:noWrap/>
            <w:vAlign w:val="center"/>
          </w:tcPr>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拒绝配合</w:t>
            </w:r>
          </w:p>
        </w:tc>
        <w:tc>
          <w:tcPr>
            <w:tcW w:w="5681" w:type="dxa"/>
            <w:gridSpan w:val="7"/>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拒绝履行售后服务义务并拒绝协商解决的情况，及其他因供应商的原因导致中国海油受损，并拒绝协商解决和赔偿责任的情况；</w:t>
            </w:r>
          </w:p>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拒绝中国海油管理部门的监督检查或不如实反映情况、提供材料。</w:t>
            </w:r>
          </w:p>
        </w:tc>
        <w:tc>
          <w:tcPr>
            <w:tcW w:w="2544" w:type="dxa"/>
            <w:gridSpan w:val="3"/>
            <w:noWrap/>
            <w:vAlign w:val="center"/>
          </w:tcPr>
          <w:p>
            <w:pPr>
              <w:widowControl/>
              <w:shd w:val="clear" w:color="auto" w:fill="auto"/>
              <w:spacing w:line="288" w:lineRule="auto"/>
              <w:jc w:val="center"/>
              <w:rPr>
                <w:rFonts w:ascii="宋体" w:hAnsi="宋体" w:eastAsia="宋体" w:cs="宋体"/>
                <w:b/>
                <w:bCs/>
                <w:kern w:val="0"/>
                <w:sz w:val="15"/>
                <w:szCs w:val="15"/>
                <w:highlight w:val="none"/>
                <w:lang w:bidi="ar"/>
              </w:rPr>
            </w:pP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ign w:val="center"/>
          </w:tcPr>
          <w:p>
            <w:pPr>
              <w:widowControl/>
              <w:shd w:val="clear" w:color="auto" w:fill="auto"/>
              <w:spacing w:line="288" w:lineRule="auto"/>
              <w:jc w:val="center"/>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4</w:t>
            </w:r>
          </w:p>
        </w:tc>
        <w:tc>
          <w:tcPr>
            <w:tcW w:w="1260" w:type="dxa"/>
            <w:gridSpan w:val="2"/>
            <w:noWrap/>
            <w:vAlign w:val="center"/>
          </w:tcPr>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存在质量或安全问题并造成影响</w:t>
            </w:r>
          </w:p>
        </w:tc>
        <w:tc>
          <w:tcPr>
            <w:tcW w:w="5681" w:type="dxa"/>
            <w:gridSpan w:val="7"/>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发生“一般A级”及以上安全事故且负主要责任的供应商；</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提供的产品、工程或服务存在严重质量问题，影响安全生产或对生产经营造成实质性影响；</w:t>
            </w:r>
          </w:p>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提供的产品、工程或服务出现安全隐患，且拒绝整改或整改不及时、不到位。</w:t>
            </w:r>
          </w:p>
        </w:tc>
        <w:tc>
          <w:tcPr>
            <w:tcW w:w="2544" w:type="dxa"/>
            <w:gridSpan w:val="3"/>
            <w:noWrap/>
            <w:vAlign w:val="center"/>
          </w:tcPr>
          <w:p>
            <w:pPr>
              <w:widowControl/>
              <w:shd w:val="clear" w:color="auto" w:fill="auto"/>
              <w:spacing w:line="288" w:lineRule="auto"/>
              <w:jc w:val="center"/>
              <w:rPr>
                <w:rFonts w:ascii="宋体" w:hAnsi="宋体" w:eastAsia="宋体" w:cs="宋体"/>
                <w:b/>
                <w:bCs/>
                <w:kern w:val="0"/>
                <w:sz w:val="15"/>
                <w:szCs w:val="15"/>
                <w:highlight w:val="none"/>
                <w:lang w:bidi="ar"/>
              </w:rPr>
            </w:pP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ign w:val="center"/>
          </w:tcPr>
          <w:p>
            <w:pPr>
              <w:widowControl/>
              <w:shd w:val="clear" w:color="auto" w:fill="auto"/>
              <w:spacing w:line="288" w:lineRule="auto"/>
              <w:jc w:val="center"/>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5</w:t>
            </w:r>
          </w:p>
        </w:tc>
        <w:tc>
          <w:tcPr>
            <w:tcW w:w="1260" w:type="dxa"/>
            <w:gridSpan w:val="2"/>
            <w:noWrap/>
            <w:vAlign w:val="center"/>
          </w:tcPr>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违反政策、法律或集团规章制度</w:t>
            </w:r>
          </w:p>
        </w:tc>
        <w:tc>
          <w:tcPr>
            <w:tcW w:w="5681" w:type="dxa"/>
            <w:gridSpan w:val="7"/>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未经许可，对外披露中国海油商业秘密信息；</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由于供应商的原因，与中国海油及所属单位产生法律诉讼；</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在承揽的中国海油业务中，存在拖欠农民工工资行为的；</w:t>
            </w:r>
          </w:p>
          <w:p>
            <w:pPr>
              <w:widowControl/>
              <w:shd w:val="clear" w:color="auto" w:fill="auto"/>
              <w:autoSpaceDE w:val="0"/>
              <w:autoSpaceDN w:val="0"/>
              <w:adjustRightInd w:val="0"/>
              <w:snapToGrid w:val="0"/>
              <w:jc w:val="left"/>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向合同所涉及的相关方或能产生实际影响的相关方行贿；</w:t>
            </w:r>
          </w:p>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其他违反国家法律法规及集团公司规章制度的行为，包括国家、审计、纪检监察、巡视等函件反映问题。</w:t>
            </w:r>
          </w:p>
        </w:tc>
        <w:tc>
          <w:tcPr>
            <w:tcW w:w="2544" w:type="dxa"/>
            <w:gridSpan w:val="3"/>
            <w:noWrap/>
            <w:vAlign w:val="center"/>
          </w:tcPr>
          <w:p>
            <w:pPr>
              <w:widowControl/>
              <w:shd w:val="clear" w:color="auto" w:fill="auto"/>
              <w:spacing w:line="288" w:lineRule="auto"/>
              <w:jc w:val="center"/>
              <w:rPr>
                <w:rFonts w:ascii="宋体" w:hAnsi="宋体" w:eastAsia="宋体" w:cs="宋体"/>
                <w:b/>
                <w:bCs/>
                <w:kern w:val="0"/>
                <w:sz w:val="15"/>
                <w:szCs w:val="15"/>
                <w:highlight w:val="none"/>
                <w:lang w:bidi="ar"/>
              </w:rPr>
            </w:pP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dxa"/>
            <w:noWrap/>
            <w:vAlign w:val="center"/>
          </w:tcPr>
          <w:p>
            <w:pPr>
              <w:widowControl/>
              <w:shd w:val="clear" w:color="auto" w:fill="auto"/>
              <w:spacing w:line="288" w:lineRule="auto"/>
              <w:jc w:val="center"/>
              <w:textAlignment w:val="center"/>
              <w:rPr>
                <w:rFonts w:ascii="宋体" w:hAnsi="宋体" w:eastAsia="宋体" w:cs="宋体"/>
                <w:kern w:val="0"/>
                <w:sz w:val="15"/>
                <w:szCs w:val="15"/>
                <w:highlight w:val="none"/>
                <w:lang w:bidi="ar"/>
              </w:rPr>
            </w:pPr>
            <w:r>
              <w:rPr>
                <w:rFonts w:hint="eastAsia" w:ascii="宋体" w:hAnsi="宋体" w:eastAsia="宋体" w:cs="宋体"/>
                <w:kern w:val="0"/>
                <w:sz w:val="15"/>
                <w:szCs w:val="15"/>
                <w:highlight w:val="none"/>
                <w:lang w:bidi="ar"/>
              </w:rPr>
              <w:t>6</w:t>
            </w:r>
          </w:p>
        </w:tc>
        <w:tc>
          <w:tcPr>
            <w:tcW w:w="1260" w:type="dxa"/>
            <w:gridSpan w:val="2"/>
            <w:noWrap/>
            <w:vAlign w:val="center"/>
          </w:tcPr>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经营异常或其他风险</w:t>
            </w:r>
          </w:p>
        </w:tc>
        <w:tc>
          <w:tcPr>
            <w:tcW w:w="5681" w:type="dxa"/>
            <w:gridSpan w:val="7"/>
            <w:noWrap w:val="0"/>
            <w:vAlign w:val="center"/>
          </w:tcPr>
          <w:p>
            <w:pPr>
              <w:widowControl/>
              <w:shd w:val="clear" w:color="auto" w:fill="auto"/>
              <w:autoSpaceDE w:val="0"/>
              <w:autoSpaceDN w:val="0"/>
              <w:adjustRightInd w:val="0"/>
              <w:snapToGrid w:val="0"/>
              <w:jc w:val="left"/>
              <w:textAlignment w:val="center"/>
              <w:rPr>
                <w:rFonts w:ascii="宋体" w:hAnsi="宋体" w:eastAsia="宋体" w:cs="宋体"/>
                <w:b/>
                <w:bCs/>
                <w:kern w:val="0"/>
                <w:sz w:val="15"/>
                <w:szCs w:val="15"/>
                <w:highlight w:val="none"/>
                <w:lang w:bidi="ar"/>
              </w:rPr>
            </w:pPr>
            <w:r>
              <w:rPr>
                <w:rFonts w:hint="eastAsia" w:ascii="宋体" w:hAnsi="宋体" w:eastAsia="宋体" w:cs="宋体"/>
                <w:kern w:val="0"/>
                <w:sz w:val="15"/>
                <w:szCs w:val="15"/>
                <w:highlight w:val="none"/>
                <w:lang w:bidi="ar"/>
              </w:rPr>
              <w:t>在履约过程中发现其经营状况异常或存在其他可能给中国海油带来风险的不当行为。</w:t>
            </w:r>
          </w:p>
        </w:tc>
        <w:tc>
          <w:tcPr>
            <w:tcW w:w="2544" w:type="dxa"/>
            <w:gridSpan w:val="3"/>
            <w:noWrap/>
            <w:vAlign w:val="center"/>
          </w:tcPr>
          <w:p>
            <w:pPr>
              <w:widowControl/>
              <w:shd w:val="clear" w:color="auto" w:fill="auto"/>
              <w:spacing w:line="288" w:lineRule="auto"/>
              <w:jc w:val="center"/>
              <w:rPr>
                <w:rFonts w:ascii="宋体" w:hAnsi="宋体" w:eastAsia="宋体" w:cs="宋体"/>
                <w:b/>
                <w:bCs/>
                <w:kern w:val="0"/>
                <w:sz w:val="15"/>
                <w:szCs w:val="15"/>
                <w:highlight w:val="none"/>
                <w:lang w:bidi="ar"/>
              </w:rPr>
            </w:pPr>
            <w:r>
              <w:rPr>
                <w:rFonts w:hint="eastAsia" w:ascii="宋体" w:hAnsi="宋体" w:eastAsia="宋体" w:cs="宋体"/>
                <w:szCs w:val="21"/>
                <w:highlight w:val="none"/>
              </w:rPr>
              <w:t>□</w:t>
            </w:r>
          </w:p>
        </w:tc>
      </w:tr>
    </w:tbl>
    <w:p>
      <w:pPr>
        <w:spacing w:line="360" w:lineRule="auto"/>
        <w:rPr>
          <w:rFonts w:ascii="Times New Roman" w:hAnsi="Times New Roman" w:eastAsia="宋体" w:cs="Times New Roman"/>
          <w:szCs w:val="20"/>
          <w:highlight w:val="none"/>
        </w:rPr>
      </w:pPr>
    </w:p>
    <w:p>
      <w:pPr>
        <w:widowControl w:val="0"/>
        <w:tabs>
          <w:tab w:val="left" w:pos="1175"/>
        </w:tabs>
        <w:autoSpaceDE w:val="0"/>
        <w:autoSpaceDN w:val="0"/>
        <w:adjustRightInd w:val="0"/>
        <w:spacing w:line="360" w:lineRule="auto"/>
        <w:ind w:firstLine="280" w:firstLineChars="100"/>
        <w:jc w:val="both"/>
        <w:rPr>
          <w:rFonts w:ascii="仿宋_GB2312" w:hAnsi="Times New Roman" w:eastAsia="仿宋_GB2312" w:cs="Times New Roman"/>
          <w:kern w:val="2"/>
          <w:sz w:val="28"/>
          <w:szCs w:val="24"/>
          <w:highlight w:val="none"/>
          <w:lang w:val="en-US" w:eastAsia="zh-CN" w:bidi="ar-SA"/>
        </w:rPr>
        <w:sectPr>
          <w:footerReference r:id="rId9" w:type="default"/>
          <w:pgSz w:w="11905" w:h="16838"/>
          <w:pgMar w:top="1440" w:right="1797" w:bottom="1440" w:left="1378" w:header="851" w:footer="992" w:gutter="0"/>
          <w:pgNumType w:fmt="decimal"/>
          <w:cols w:space="720" w:num="1"/>
          <w:rtlGutter w:val="0"/>
          <w:docGrid w:type="lines" w:linePitch="323" w:charSpace="0"/>
        </w:sectPr>
      </w:pPr>
    </w:p>
    <w:p>
      <w:pPr>
        <w:keepNext/>
        <w:keepLines/>
        <w:pageBreakBefore w:val="0"/>
        <w:widowControl/>
        <w:kinsoku/>
        <w:wordWrap/>
        <w:overflowPunct/>
        <w:topLinePunct w:val="0"/>
        <w:autoSpaceDE/>
        <w:autoSpaceDN/>
        <w:bidi w:val="0"/>
        <w:adjustRightInd w:val="0"/>
        <w:snapToGrid w:val="0"/>
        <w:spacing w:before="340" w:after="330" w:line="360" w:lineRule="auto"/>
        <w:jc w:val="left"/>
        <w:textAlignment w:val="auto"/>
        <w:outlineLvl w:val="0"/>
        <w:rPr>
          <w:rFonts w:hint="eastAsia" w:ascii="宋体" w:hAnsi="宋体" w:eastAsia="宋体" w:cs="宋体"/>
          <w:bCs/>
          <w:snapToGrid w:val="0"/>
          <w:kern w:val="0"/>
          <w:sz w:val="24"/>
          <w:lang w:val="zh-CN" w:eastAsia="zh-CN"/>
        </w:rPr>
      </w:pPr>
      <w:bookmarkStart w:id="377" w:name="_Toc31612"/>
      <w:bookmarkStart w:id="378" w:name="_Toc6116"/>
      <w:bookmarkStart w:id="379" w:name="_Toc30945"/>
      <w:bookmarkStart w:id="380" w:name="_Toc25680"/>
      <w:bookmarkStart w:id="381" w:name="_Toc8503"/>
      <w:r>
        <w:rPr>
          <w:rFonts w:hint="eastAsia" w:ascii="宋体" w:hAnsi="宋体" w:eastAsia="宋体" w:cs="宋体"/>
          <w:bCs/>
          <w:snapToGrid w:val="0"/>
          <w:kern w:val="0"/>
          <w:sz w:val="24"/>
          <w:lang w:val="zh-CN" w:eastAsia="zh-CN"/>
        </w:rPr>
        <w:t>附件</w:t>
      </w:r>
      <w:r>
        <w:rPr>
          <w:rFonts w:hint="eastAsia" w:ascii="宋体" w:hAnsi="宋体" w:eastAsia="宋体" w:cs="宋体"/>
          <w:bCs/>
          <w:snapToGrid w:val="0"/>
          <w:kern w:val="0"/>
          <w:sz w:val="24"/>
          <w:lang w:val="en-US" w:eastAsia="zh-CN"/>
        </w:rPr>
        <w:t>六</w:t>
      </w:r>
      <w:r>
        <w:rPr>
          <w:rFonts w:hint="eastAsia" w:ascii="宋体" w:hAnsi="宋体" w:eastAsia="宋体" w:cs="宋体"/>
          <w:bCs/>
          <w:snapToGrid w:val="0"/>
          <w:kern w:val="0"/>
          <w:sz w:val="24"/>
          <w:lang w:val="zh-CN" w:eastAsia="zh-CN"/>
        </w:rPr>
        <w:t>：分包申请审批表</w:t>
      </w:r>
      <w:bookmarkEnd w:id="377"/>
      <w:bookmarkEnd w:id="378"/>
      <w:bookmarkEnd w:id="379"/>
      <w:bookmarkEnd w:id="380"/>
      <w:bookmarkEnd w:id="381"/>
    </w:p>
    <w:p>
      <w:pPr>
        <w:spacing w:line="360" w:lineRule="auto"/>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分包申请审批表</w:t>
      </w:r>
    </w:p>
    <w:p>
      <w:pPr>
        <w:spacing w:line="360" w:lineRule="auto"/>
        <w:ind w:firstLine="122" w:firstLineChars="50"/>
        <w:rPr>
          <w:rFonts w:hint="eastAsia" w:ascii="宋体" w:hAnsi="宋体" w:eastAsia="宋体" w:cs="宋体"/>
          <w:sz w:val="24"/>
          <w:szCs w:val="20"/>
          <w:highlight w:val="none"/>
        </w:rPr>
      </w:pPr>
    </w:p>
    <w:tbl>
      <w:tblPr>
        <w:tblStyle w:val="46"/>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1900"/>
        <w:gridCol w:w="616"/>
        <w:gridCol w:w="811"/>
        <w:gridCol w:w="447"/>
        <w:gridCol w:w="1216"/>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781" w:type="dxa"/>
            <w:noWrap w:val="0"/>
            <w:vAlign w:val="center"/>
          </w:tcPr>
          <w:p>
            <w:pPr>
              <w:spacing w:line="360" w:lineRule="auto"/>
              <w:rPr>
                <w:rFonts w:hint="eastAsia" w:ascii="宋体" w:hAnsi="宋体" w:eastAsia="宋体" w:cs="宋体"/>
                <w:sz w:val="24"/>
                <w:szCs w:val="20"/>
                <w:highlight w:val="none"/>
                <w:lang w:val="zh-CN"/>
              </w:rPr>
            </w:pPr>
            <w:r>
              <w:rPr>
                <w:rFonts w:hint="eastAsia" w:ascii="宋体" w:hAnsi="宋体" w:eastAsia="宋体" w:cs="宋体"/>
                <w:sz w:val="24"/>
                <w:szCs w:val="20"/>
                <w:highlight w:val="none"/>
                <w:lang w:val="zh-CN"/>
              </w:rPr>
              <w:t>合同名称</w:t>
            </w:r>
          </w:p>
        </w:tc>
        <w:tc>
          <w:tcPr>
            <w:tcW w:w="2516" w:type="dxa"/>
            <w:gridSpan w:val="2"/>
            <w:noWrap w:val="0"/>
            <w:vAlign w:val="center"/>
          </w:tcPr>
          <w:p>
            <w:pPr>
              <w:spacing w:line="360" w:lineRule="auto"/>
              <w:jc w:val="center"/>
              <w:rPr>
                <w:rFonts w:hint="eastAsia" w:ascii="宋体" w:hAnsi="宋体" w:eastAsia="宋体" w:cs="宋体"/>
                <w:vanish/>
                <w:kern w:val="0"/>
                <w:sz w:val="24"/>
                <w:szCs w:val="20"/>
                <w:highlight w:val="none"/>
              </w:rPr>
            </w:pPr>
          </w:p>
        </w:tc>
        <w:tc>
          <w:tcPr>
            <w:tcW w:w="1258" w:type="dxa"/>
            <w:gridSpan w:val="2"/>
            <w:noWrap w:val="0"/>
            <w:vAlign w:val="center"/>
          </w:tcPr>
          <w:p>
            <w:pPr>
              <w:spacing w:line="360" w:lineRule="auto"/>
              <w:jc w:val="center"/>
              <w:rPr>
                <w:rFonts w:hint="eastAsia" w:ascii="宋体" w:hAnsi="宋体" w:eastAsia="宋体" w:cs="宋体"/>
                <w:vanish/>
                <w:kern w:val="0"/>
                <w:sz w:val="24"/>
                <w:szCs w:val="20"/>
                <w:highlight w:val="none"/>
              </w:rPr>
            </w:pPr>
            <w:r>
              <w:rPr>
                <w:rFonts w:hint="eastAsia" w:ascii="宋体" w:hAnsi="宋体" w:eastAsia="宋体" w:cs="宋体"/>
                <w:kern w:val="0"/>
                <w:sz w:val="24"/>
                <w:szCs w:val="20"/>
                <w:highlight w:val="none"/>
              </w:rPr>
              <w:t>合同编号</w:t>
            </w:r>
          </w:p>
        </w:tc>
        <w:tc>
          <w:tcPr>
            <w:tcW w:w="2880" w:type="dxa"/>
            <w:gridSpan w:val="2"/>
            <w:noWrap w:val="0"/>
            <w:vAlign w:val="center"/>
          </w:tcPr>
          <w:p>
            <w:pPr>
              <w:spacing w:line="360" w:lineRule="auto"/>
              <w:jc w:val="center"/>
              <w:rPr>
                <w:rFonts w:hint="eastAsia" w:ascii="宋体" w:hAnsi="宋体" w:eastAsia="宋体" w:cs="宋体"/>
                <w:vanish/>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781" w:type="dxa"/>
            <w:noWrap w:val="0"/>
            <w:vAlign w:val="center"/>
          </w:tcPr>
          <w:p>
            <w:pPr>
              <w:spacing w:line="360" w:lineRule="auto"/>
              <w:rPr>
                <w:rFonts w:hint="eastAsia" w:ascii="宋体" w:hAnsi="宋体" w:eastAsia="宋体" w:cs="宋体"/>
                <w:vanish/>
                <w:kern w:val="0"/>
                <w:sz w:val="24"/>
                <w:szCs w:val="20"/>
                <w:highlight w:val="none"/>
              </w:rPr>
            </w:pPr>
            <w:r>
              <w:rPr>
                <w:rFonts w:hint="eastAsia" w:ascii="宋体" w:hAnsi="宋体" w:eastAsia="宋体" w:cs="宋体"/>
                <w:sz w:val="24"/>
                <w:szCs w:val="20"/>
                <w:highlight w:val="none"/>
                <w:lang w:val="zh-CN"/>
              </w:rPr>
              <w:t>项目执行单位</w:t>
            </w:r>
          </w:p>
        </w:tc>
        <w:tc>
          <w:tcPr>
            <w:tcW w:w="6654" w:type="dxa"/>
            <w:gridSpan w:val="6"/>
            <w:noWrap w:val="0"/>
            <w:vAlign w:val="center"/>
          </w:tcPr>
          <w:p>
            <w:pPr>
              <w:spacing w:line="360" w:lineRule="auto"/>
              <w:jc w:val="center"/>
              <w:rPr>
                <w:rFonts w:hint="eastAsia" w:ascii="宋体" w:hAnsi="宋体" w:eastAsia="宋体" w:cs="宋体"/>
                <w:sz w:val="24"/>
                <w:szCs w:val="20"/>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781" w:type="dxa"/>
            <w:noWrap w:val="0"/>
            <w:vAlign w:val="center"/>
          </w:tcPr>
          <w:p>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拟分包单位</w:t>
            </w:r>
          </w:p>
        </w:tc>
        <w:tc>
          <w:tcPr>
            <w:tcW w:w="6654" w:type="dxa"/>
            <w:gridSpan w:val="6"/>
            <w:noWrap w:val="0"/>
            <w:vAlign w:val="center"/>
          </w:tcPr>
          <w:p>
            <w:pPr>
              <w:spacing w:line="360" w:lineRule="auto"/>
              <w:jc w:val="center"/>
              <w:rPr>
                <w:rFonts w:hint="eastAsia"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9" w:hRule="atLeast"/>
          <w:jc w:val="center"/>
        </w:trPr>
        <w:tc>
          <w:tcPr>
            <w:tcW w:w="1781" w:type="dxa"/>
            <w:noWrap w:val="0"/>
            <w:vAlign w:val="center"/>
          </w:tcPr>
          <w:p>
            <w:pPr>
              <w:spacing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分包工作简介</w:t>
            </w:r>
          </w:p>
        </w:tc>
        <w:tc>
          <w:tcPr>
            <w:tcW w:w="6654" w:type="dxa"/>
            <w:gridSpan w:val="6"/>
            <w:noWrap w:val="0"/>
            <w:vAlign w:val="center"/>
          </w:tcPr>
          <w:p>
            <w:pPr>
              <w:spacing w:line="360" w:lineRule="auto"/>
              <w:rPr>
                <w:rFonts w:hint="eastAsia" w:ascii="宋体" w:hAnsi="宋体" w:eastAsia="宋体" w:cs="宋体"/>
                <w:vanish/>
                <w:kern w:val="0"/>
                <w:sz w:val="24"/>
                <w:szCs w:val="20"/>
                <w:highlight w:val="none"/>
              </w:rPr>
            </w:pPr>
            <w:r>
              <w:rPr>
                <w:rFonts w:hint="eastAsia" w:ascii="宋体" w:hAnsi="宋体" w:eastAsia="宋体" w:cs="宋体"/>
                <w:color w:val="DDD9C4"/>
                <w:kern w:val="0"/>
                <w:szCs w:val="20"/>
                <w:highlight w:val="none"/>
              </w:rPr>
              <w:t>简述分包理由和工作内容。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781" w:type="dxa"/>
            <w:noWrap w:val="0"/>
            <w:vAlign w:val="center"/>
          </w:tcPr>
          <w:p>
            <w:pPr>
              <w:spacing w:line="360"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分包单位核查</w:t>
            </w:r>
          </w:p>
        </w:tc>
        <w:tc>
          <w:tcPr>
            <w:tcW w:w="1900" w:type="dxa"/>
            <w:noWrap w:val="0"/>
            <w:vAlign w:val="center"/>
          </w:tcPr>
          <w:p>
            <w:pPr>
              <w:spacing w:line="360" w:lineRule="auto"/>
              <w:jc w:val="center"/>
              <w:rPr>
                <w:rFonts w:hint="eastAsia" w:ascii="宋体" w:hAnsi="宋体" w:eastAsia="宋体" w:cs="宋体"/>
                <w:vanish/>
                <w:kern w:val="0"/>
                <w:szCs w:val="20"/>
                <w:highlight w:val="none"/>
              </w:rPr>
            </w:pPr>
            <w:r>
              <w:rPr>
                <w:rFonts w:hint="eastAsia" w:ascii="宋体" w:hAnsi="宋体" w:eastAsia="宋体" w:cs="宋体"/>
                <w:kern w:val="0"/>
                <w:szCs w:val="20"/>
                <w:highlight w:val="none"/>
              </w:rPr>
              <w:t>是否具备相应资质</w:t>
            </w:r>
          </w:p>
        </w:tc>
        <w:tc>
          <w:tcPr>
            <w:tcW w:w="1427" w:type="dxa"/>
            <w:gridSpan w:val="2"/>
            <w:noWrap w:val="0"/>
            <w:vAlign w:val="center"/>
          </w:tcPr>
          <w:p>
            <w:pPr>
              <w:spacing w:line="360" w:lineRule="auto"/>
              <w:jc w:val="center"/>
              <w:rPr>
                <w:rFonts w:hint="eastAsia" w:ascii="宋体" w:hAnsi="宋体" w:eastAsia="宋体" w:cs="宋体"/>
                <w:vanish/>
                <w:kern w:val="0"/>
                <w:szCs w:val="20"/>
                <w:highlight w:val="none"/>
              </w:rPr>
            </w:pPr>
          </w:p>
        </w:tc>
        <w:tc>
          <w:tcPr>
            <w:tcW w:w="1663" w:type="dxa"/>
            <w:gridSpan w:val="2"/>
            <w:noWrap w:val="0"/>
            <w:vAlign w:val="center"/>
          </w:tcPr>
          <w:p>
            <w:pPr>
              <w:spacing w:line="360" w:lineRule="auto"/>
              <w:jc w:val="center"/>
              <w:rPr>
                <w:rFonts w:hint="eastAsia" w:ascii="宋体" w:hAnsi="宋体" w:eastAsia="宋体" w:cs="宋体"/>
                <w:vanish/>
                <w:kern w:val="0"/>
                <w:szCs w:val="20"/>
                <w:highlight w:val="none"/>
              </w:rPr>
            </w:pPr>
            <w:r>
              <w:rPr>
                <w:rFonts w:hint="eastAsia" w:ascii="宋体" w:hAnsi="宋体" w:eastAsia="宋体" w:cs="宋体"/>
                <w:kern w:val="0"/>
                <w:szCs w:val="20"/>
                <w:highlight w:val="none"/>
              </w:rPr>
              <w:t>是否集团公司违禁承包商</w:t>
            </w:r>
          </w:p>
        </w:tc>
        <w:tc>
          <w:tcPr>
            <w:tcW w:w="1664" w:type="dxa"/>
            <w:noWrap w:val="0"/>
            <w:vAlign w:val="center"/>
          </w:tcPr>
          <w:p>
            <w:pPr>
              <w:spacing w:line="360" w:lineRule="auto"/>
              <w:rPr>
                <w:rFonts w:hint="eastAsia" w:ascii="宋体" w:hAnsi="宋体" w:eastAsia="宋体" w:cs="宋体"/>
                <w:vanish/>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81" w:type="dxa"/>
            <w:vMerge w:val="restart"/>
            <w:noWrap w:val="0"/>
            <w:vAlign w:val="center"/>
          </w:tcPr>
          <w:p>
            <w:pPr>
              <w:autoSpaceDE w:val="0"/>
              <w:autoSpaceDN w:val="0"/>
              <w:adjustRightInd w:val="0"/>
              <w:spacing w:line="360" w:lineRule="auto"/>
              <w:rPr>
                <w:rFonts w:hint="eastAsia" w:ascii="宋体" w:hAnsi="宋体" w:eastAsia="宋体" w:cs="宋体"/>
                <w:sz w:val="24"/>
                <w:szCs w:val="20"/>
                <w:highlight w:val="none"/>
                <w:lang w:val="zh-CN"/>
              </w:rPr>
            </w:pPr>
            <w:r>
              <w:rPr>
                <w:rFonts w:hint="eastAsia" w:ascii="宋体" w:hAnsi="宋体" w:eastAsia="宋体" w:cs="宋体"/>
                <w:sz w:val="24"/>
                <w:szCs w:val="20"/>
                <w:highlight w:val="none"/>
                <w:lang w:val="zh-CN"/>
              </w:rPr>
              <w:t>执行单位审批</w:t>
            </w:r>
          </w:p>
        </w:tc>
        <w:tc>
          <w:tcPr>
            <w:tcW w:w="1900" w:type="dxa"/>
            <w:tcBorders>
              <w:bottom w:val="single" w:color="auto" w:sz="4" w:space="0"/>
            </w:tcBorders>
            <w:noWrap w:val="0"/>
            <w:vAlign w:val="center"/>
          </w:tcPr>
          <w:p>
            <w:pPr>
              <w:spacing w:line="360" w:lineRule="auto"/>
              <w:rPr>
                <w:rFonts w:hint="eastAsia" w:ascii="宋体" w:hAnsi="宋体" w:eastAsia="宋体" w:cs="宋体"/>
                <w:vanish/>
                <w:kern w:val="0"/>
                <w:sz w:val="24"/>
                <w:szCs w:val="20"/>
                <w:highlight w:val="none"/>
              </w:rPr>
            </w:pPr>
            <w:r>
              <w:rPr>
                <w:rFonts w:hint="eastAsia" w:ascii="宋体" w:hAnsi="宋体" w:eastAsia="宋体" w:cs="宋体"/>
                <w:kern w:val="0"/>
                <w:sz w:val="24"/>
                <w:szCs w:val="20"/>
                <w:highlight w:val="none"/>
              </w:rPr>
              <w:t>项目负责人</w:t>
            </w:r>
          </w:p>
        </w:tc>
        <w:tc>
          <w:tcPr>
            <w:tcW w:w="4754" w:type="dxa"/>
            <w:gridSpan w:val="5"/>
            <w:tcBorders>
              <w:bottom w:val="single" w:color="auto" w:sz="4" w:space="0"/>
            </w:tcBorders>
            <w:noWrap w:val="0"/>
            <w:vAlign w:val="center"/>
          </w:tcPr>
          <w:p>
            <w:pPr>
              <w:spacing w:line="360" w:lineRule="auto"/>
              <w:ind w:firstLine="1342" w:firstLineChars="550"/>
              <w:rPr>
                <w:rFonts w:hint="eastAsia" w:ascii="宋体" w:hAnsi="宋体" w:eastAsia="宋体" w:cs="宋体"/>
                <w:vanish/>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81" w:type="dxa"/>
            <w:vMerge w:val="continue"/>
            <w:tcBorders>
              <w:bottom w:val="single" w:color="auto" w:sz="4" w:space="0"/>
            </w:tcBorders>
            <w:noWrap w:val="0"/>
            <w:vAlign w:val="center"/>
          </w:tcPr>
          <w:p>
            <w:pPr>
              <w:autoSpaceDE w:val="0"/>
              <w:autoSpaceDN w:val="0"/>
              <w:adjustRightInd w:val="0"/>
              <w:spacing w:line="360" w:lineRule="auto"/>
              <w:rPr>
                <w:rFonts w:hint="eastAsia" w:ascii="宋体" w:hAnsi="宋体" w:eastAsia="宋体" w:cs="宋体"/>
                <w:sz w:val="24"/>
                <w:szCs w:val="20"/>
                <w:highlight w:val="none"/>
                <w:lang w:val="zh-CN"/>
              </w:rPr>
            </w:pPr>
          </w:p>
        </w:tc>
        <w:tc>
          <w:tcPr>
            <w:tcW w:w="1900" w:type="dxa"/>
            <w:tcBorders>
              <w:bottom w:val="single" w:color="auto" w:sz="4" w:space="0"/>
            </w:tcBorders>
            <w:noWrap w:val="0"/>
            <w:vAlign w:val="center"/>
          </w:tcPr>
          <w:p>
            <w:pPr>
              <w:spacing w:line="360" w:lineRule="auto"/>
              <w:rPr>
                <w:rFonts w:hint="eastAsia" w:ascii="宋体" w:hAnsi="宋体" w:eastAsia="宋体" w:cs="宋体"/>
                <w:vanish/>
                <w:kern w:val="0"/>
                <w:sz w:val="24"/>
                <w:szCs w:val="20"/>
                <w:highlight w:val="none"/>
              </w:rPr>
            </w:pPr>
            <w:r>
              <w:rPr>
                <w:rFonts w:hint="eastAsia" w:ascii="宋体" w:hAnsi="宋体" w:eastAsia="宋体" w:cs="宋体"/>
                <w:kern w:val="0"/>
                <w:sz w:val="24"/>
                <w:szCs w:val="20"/>
                <w:highlight w:val="none"/>
              </w:rPr>
              <w:t>执行单位负责人</w:t>
            </w:r>
          </w:p>
        </w:tc>
        <w:tc>
          <w:tcPr>
            <w:tcW w:w="4754" w:type="dxa"/>
            <w:gridSpan w:val="5"/>
            <w:tcBorders>
              <w:bottom w:val="single" w:color="auto" w:sz="4" w:space="0"/>
            </w:tcBorders>
            <w:noWrap w:val="0"/>
            <w:vAlign w:val="center"/>
          </w:tcPr>
          <w:p>
            <w:pPr>
              <w:spacing w:line="360" w:lineRule="auto"/>
              <w:ind w:firstLine="1342" w:firstLineChars="550"/>
              <w:rPr>
                <w:rFonts w:hint="eastAsia" w:ascii="宋体" w:hAnsi="宋体" w:eastAsia="宋体" w:cs="宋体"/>
                <w:vanish/>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81" w:type="dxa"/>
            <w:vMerge w:val="restart"/>
            <w:noWrap w:val="0"/>
            <w:vAlign w:val="center"/>
          </w:tcPr>
          <w:p>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甲方单位审批</w:t>
            </w:r>
          </w:p>
        </w:tc>
        <w:tc>
          <w:tcPr>
            <w:tcW w:w="1900" w:type="dxa"/>
            <w:noWrap w:val="0"/>
            <w:vAlign w:val="center"/>
          </w:tcPr>
          <w:p>
            <w:pPr>
              <w:tabs>
                <w:tab w:val="left" w:pos="5580"/>
              </w:tabs>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项目负责人                    </w:t>
            </w:r>
          </w:p>
        </w:tc>
        <w:tc>
          <w:tcPr>
            <w:tcW w:w="4754" w:type="dxa"/>
            <w:gridSpan w:val="5"/>
            <w:noWrap w:val="0"/>
            <w:vAlign w:val="center"/>
          </w:tcPr>
          <w:p>
            <w:pPr>
              <w:tabs>
                <w:tab w:val="left" w:pos="5580"/>
              </w:tabs>
              <w:spacing w:line="360" w:lineRule="auto"/>
              <w:jc w:val="center"/>
              <w:rPr>
                <w:rFonts w:hint="eastAsia"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81" w:type="dxa"/>
            <w:vMerge w:val="continue"/>
            <w:noWrap w:val="0"/>
            <w:vAlign w:val="center"/>
          </w:tcPr>
          <w:p>
            <w:pPr>
              <w:spacing w:line="360" w:lineRule="auto"/>
              <w:rPr>
                <w:rFonts w:hint="eastAsia" w:ascii="宋体" w:hAnsi="宋体" w:eastAsia="宋体" w:cs="宋体"/>
                <w:sz w:val="24"/>
                <w:szCs w:val="20"/>
                <w:highlight w:val="none"/>
              </w:rPr>
            </w:pPr>
          </w:p>
        </w:tc>
        <w:tc>
          <w:tcPr>
            <w:tcW w:w="1900" w:type="dxa"/>
            <w:noWrap w:val="0"/>
            <w:vAlign w:val="center"/>
          </w:tcPr>
          <w:p>
            <w:pPr>
              <w:tabs>
                <w:tab w:val="left" w:pos="5580"/>
              </w:tabs>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业务部门经理</w:t>
            </w:r>
          </w:p>
        </w:tc>
        <w:tc>
          <w:tcPr>
            <w:tcW w:w="4754" w:type="dxa"/>
            <w:gridSpan w:val="5"/>
            <w:noWrap w:val="0"/>
            <w:vAlign w:val="center"/>
          </w:tcPr>
          <w:p>
            <w:pPr>
              <w:tabs>
                <w:tab w:val="left" w:pos="5580"/>
              </w:tabs>
              <w:spacing w:line="360" w:lineRule="auto"/>
              <w:jc w:val="center"/>
              <w:rPr>
                <w:rFonts w:hint="eastAsia" w:ascii="宋体" w:hAnsi="宋体" w:eastAsia="宋体" w:cs="宋体"/>
                <w:sz w:val="24"/>
                <w:szCs w:val="20"/>
                <w:highlight w:val="none"/>
              </w:rPr>
            </w:pPr>
          </w:p>
        </w:tc>
      </w:tr>
    </w:tbl>
    <w:p>
      <w:pPr>
        <w:spacing w:line="360" w:lineRule="auto"/>
        <w:ind w:firstLine="92" w:firstLineChars="50"/>
        <w:rPr>
          <w:rFonts w:hint="eastAsia" w:ascii="宋体" w:hAnsi="宋体" w:eastAsia="宋体" w:cs="宋体"/>
          <w:sz w:val="18"/>
          <w:szCs w:val="18"/>
          <w:highlight w:val="none"/>
        </w:rPr>
      </w:pPr>
      <w:r>
        <w:rPr>
          <w:rFonts w:hint="eastAsia" w:ascii="宋体" w:hAnsi="宋体" w:eastAsia="宋体" w:cs="宋体"/>
          <w:sz w:val="18"/>
          <w:szCs w:val="18"/>
          <w:highlight w:val="none"/>
        </w:rPr>
        <w:t>说明： 1、项目分包需经甲方单位同意后方可实施，项目分包不能免除执行单位应承担的履约职责；</w:t>
      </w:r>
    </w:p>
    <w:p>
      <w:pPr>
        <w:spacing w:line="360" w:lineRule="auto"/>
        <w:ind w:firstLine="736" w:firstLineChars="400"/>
        <w:rPr>
          <w:rFonts w:hint="eastAsia" w:ascii="宋体" w:hAnsi="宋体" w:eastAsia="宋体" w:cs="宋体"/>
          <w:sz w:val="18"/>
          <w:szCs w:val="18"/>
          <w:highlight w:val="none"/>
        </w:rPr>
      </w:pPr>
      <w:r>
        <w:rPr>
          <w:rFonts w:hint="eastAsia" w:ascii="宋体" w:hAnsi="宋体" w:eastAsia="宋体" w:cs="宋体"/>
          <w:sz w:val="18"/>
          <w:szCs w:val="18"/>
          <w:highlight w:val="none"/>
        </w:rPr>
        <w:t>2、项目主体工程、关键服务不得分包，分包单位不得进行二次分包；</w:t>
      </w:r>
    </w:p>
    <w:p>
      <w:pPr>
        <w:spacing w:line="360" w:lineRule="auto"/>
        <w:ind w:firstLine="736" w:firstLineChars="400"/>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 xml:space="preserve">3、 </w:t>
      </w:r>
      <w:r>
        <w:rPr>
          <w:rFonts w:hint="eastAsia" w:ascii="宋体" w:hAnsi="宋体" w:eastAsia="宋体" w:cs="宋体"/>
          <w:bCs/>
          <w:kern w:val="0"/>
          <w:sz w:val="18"/>
          <w:szCs w:val="18"/>
          <w:highlight w:val="none"/>
        </w:rPr>
        <w:t>分包单位需具备相应工作相关资质，另附分包单位营业执照和资质证书（如需要）；</w:t>
      </w:r>
    </w:p>
    <w:p>
      <w:pPr>
        <w:spacing w:line="360" w:lineRule="auto"/>
        <w:ind w:firstLine="745" w:firstLineChars="405"/>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4、</w:t>
      </w:r>
      <w:r>
        <w:rPr>
          <w:rFonts w:hint="eastAsia" w:ascii="宋体" w:hAnsi="宋体" w:eastAsia="宋体" w:cs="宋体"/>
          <w:bCs/>
          <w:kern w:val="0"/>
          <w:sz w:val="18"/>
          <w:szCs w:val="18"/>
          <w:highlight w:val="none"/>
        </w:rPr>
        <w:t>不得使用集团公司违禁承包商作为分包单位；</w:t>
      </w:r>
    </w:p>
    <w:p>
      <w:pPr>
        <w:spacing w:line="360" w:lineRule="auto"/>
        <w:ind w:firstLine="736" w:firstLineChars="400"/>
        <w:rPr>
          <w:rFonts w:hint="eastAsia" w:ascii="宋体" w:hAnsi="宋体" w:eastAsia="宋体" w:cs="宋体"/>
          <w:sz w:val="18"/>
          <w:szCs w:val="18"/>
          <w:highlight w:val="none"/>
        </w:rPr>
      </w:pPr>
      <w:r>
        <w:rPr>
          <w:rFonts w:hint="eastAsia" w:ascii="宋体" w:hAnsi="宋体" w:eastAsia="宋体" w:cs="宋体"/>
          <w:bCs/>
          <w:kern w:val="0"/>
          <w:sz w:val="18"/>
          <w:szCs w:val="18"/>
          <w:highlight w:val="none"/>
        </w:rPr>
        <w:t>5、</w:t>
      </w:r>
      <w:r>
        <w:rPr>
          <w:rFonts w:hint="eastAsia" w:ascii="宋体" w:hAnsi="宋体" w:eastAsia="宋体" w:cs="宋体"/>
          <w:sz w:val="18"/>
          <w:szCs w:val="18"/>
          <w:highlight w:val="none"/>
        </w:rPr>
        <w:t>本表完成审批后交商务合同部归档存查。</w:t>
      </w:r>
    </w:p>
    <w:p>
      <w:pPr>
        <w:spacing w:line="360" w:lineRule="auto"/>
        <w:rPr>
          <w:rFonts w:hint="eastAsia" w:ascii="宋体" w:hAnsi="宋体" w:eastAsia="宋体" w:cs="宋体"/>
          <w:sz w:val="24"/>
          <w:szCs w:val="24"/>
          <w:highlight w:val="none"/>
        </w:rPr>
      </w:pPr>
    </w:p>
    <w:p>
      <w:pPr>
        <w:keepNext/>
        <w:keepLines/>
        <w:pageBreakBefore w:val="0"/>
        <w:widowControl w:val="0"/>
        <w:kinsoku/>
        <w:wordWrap/>
        <w:overflowPunct/>
        <w:topLinePunct w:val="0"/>
        <w:autoSpaceDE/>
        <w:autoSpaceDN/>
        <w:bidi w:val="0"/>
        <w:adjustRightInd w:val="0"/>
        <w:snapToGrid w:val="0"/>
        <w:spacing w:before="100" w:after="90" w:line="360" w:lineRule="auto"/>
        <w:jc w:val="left"/>
        <w:textAlignment w:val="auto"/>
        <w:outlineLvl w:val="0"/>
        <w:rPr>
          <w:rFonts w:hint="default" w:ascii="宋体" w:hAnsi="宋体" w:eastAsia="宋体" w:cs="宋体"/>
          <w:bCs/>
          <w:snapToGrid w:val="0"/>
          <w:kern w:val="0"/>
          <w:sz w:val="24"/>
          <w:lang w:val="en-US" w:eastAsia="zh-CN"/>
        </w:rPr>
      </w:pPr>
      <w:bookmarkStart w:id="382" w:name="_Toc31174"/>
      <w:bookmarkStart w:id="383" w:name="_Toc22314"/>
      <w:bookmarkStart w:id="384" w:name="_Toc7196"/>
      <w:bookmarkStart w:id="385" w:name="_Toc16546"/>
      <w:bookmarkStart w:id="386" w:name="_Toc15297"/>
      <w:r>
        <w:rPr>
          <w:rFonts w:hint="default" w:ascii="宋体" w:hAnsi="宋体" w:eastAsia="宋体" w:cs="宋体"/>
          <w:bCs/>
          <w:snapToGrid w:val="0"/>
          <w:kern w:val="0"/>
          <w:sz w:val="24"/>
          <w:lang w:val="en-US" w:eastAsia="zh-CN"/>
        </w:rPr>
        <w:t>附件</w:t>
      </w:r>
      <w:r>
        <w:rPr>
          <w:rFonts w:hint="eastAsia" w:ascii="宋体" w:hAnsi="宋体" w:eastAsia="宋体" w:cs="宋体"/>
          <w:bCs/>
          <w:snapToGrid w:val="0"/>
          <w:kern w:val="0"/>
          <w:sz w:val="24"/>
          <w:lang w:val="en-US" w:eastAsia="zh-CN"/>
        </w:rPr>
        <w:t>七</w:t>
      </w:r>
      <w:r>
        <w:rPr>
          <w:rFonts w:hint="default" w:ascii="宋体" w:hAnsi="宋体" w:eastAsia="宋体" w:cs="宋体"/>
          <w:bCs/>
          <w:snapToGrid w:val="0"/>
          <w:kern w:val="0"/>
          <w:sz w:val="24"/>
          <w:lang w:val="en-US" w:eastAsia="zh-CN"/>
        </w:rPr>
        <w:t>：保密管理要求</w:t>
      </w:r>
      <w:bookmarkEnd w:id="382"/>
      <w:bookmarkEnd w:id="383"/>
      <w:bookmarkEnd w:id="384"/>
      <w:bookmarkEnd w:id="385"/>
      <w:bookmarkEnd w:id="386"/>
    </w:p>
    <w:p>
      <w:pPr>
        <w:widowControl/>
        <w:spacing w:after="156" w:afterLines="50" w:line="36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保密管理要求</w:t>
      </w:r>
    </w:p>
    <w:p>
      <w:pPr>
        <w:numPr>
          <w:ilvl w:val="0"/>
          <w:numId w:val="106"/>
        </w:numPr>
        <w:adjustRightInd w:val="0"/>
        <w:snapToGrid w:val="0"/>
        <w:spacing w:line="360" w:lineRule="auto"/>
        <w:ind w:left="214" w:leftChars="-202" w:hanging="646"/>
        <w:rPr>
          <w:rFonts w:hint="eastAsia" w:ascii="宋体" w:hAnsi="宋体" w:eastAsia="宋体" w:cs="宋体"/>
          <w:szCs w:val="21"/>
          <w:highlight w:val="none"/>
        </w:rPr>
      </w:pPr>
      <w:r>
        <w:rPr>
          <w:rFonts w:hint="eastAsia" w:ascii="宋体" w:hAnsi="宋体" w:eastAsia="宋体" w:cs="宋体"/>
          <w:szCs w:val="21"/>
          <w:highlight w:val="none"/>
        </w:rPr>
        <w:t xml:space="preserve"> 甲乙双方均应认真遵循国家保密法律、法规及合同约定的保密规定，严格履行保密义务。</w:t>
      </w:r>
    </w:p>
    <w:p>
      <w:pPr>
        <w:numPr>
          <w:ilvl w:val="0"/>
          <w:numId w:val="106"/>
        </w:numPr>
        <w:adjustRightInd w:val="0"/>
        <w:snapToGrid w:val="0"/>
        <w:spacing w:line="360" w:lineRule="auto"/>
        <w:ind w:left="0" w:hanging="426"/>
        <w:rPr>
          <w:rFonts w:hint="eastAsia" w:ascii="宋体" w:hAnsi="宋体" w:eastAsia="宋体" w:cs="宋体"/>
          <w:szCs w:val="21"/>
          <w:highlight w:val="none"/>
        </w:rPr>
      </w:pPr>
      <w:r>
        <w:rPr>
          <w:rFonts w:hint="eastAsia" w:ascii="宋体" w:hAnsi="宋体" w:eastAsia="宋体" w:cs="宋体"/>
          <w:szCs w:val="21"/>
          <w:highlight w:val="none"/>
        </w:rPr>
        <w:t xml:space="preserve"> 乙方及乙方人员不得违规记录、存储、传递、处理在合同签订及履行过程中获取的国家秘密及甲方公司商业秘密、敏感信息等（包括但不限于具体作业位置、油气田产量储量等原始数据和成果数据、东海油气田构造名称以及平台装置名称标识的图片、视频等）。</w:t>
      </w:r>
    </w:p>
    <w:p>
      <w:pPr>
        <w:numPr>
          <w:ilvl w:val="0"/>
          <w:numId w:val="106"/>
        </w:numPr>
        <w:adjustRightInd w:val="0"/>
        <w:snapToGrid w:val="0"/>
        <w:spacing w:line="360" w:lineRule="auto"/>
        <w:ind w:left="0" w:hanging="426"/>
        <w:rPr>
          <w:rFonts w:hint="eastAsia" w:ascii="宋体" w:hAnsi="宋体" w:eastAsia="宋体" w:cs="宋体"/>
          <w:szCs w:val="21"/>
          <w:highlight w:val="none"/>
        </w:rPr>
      </w:pPr>
      <w:r>
        <w:rPr>
          <w:rFonts w:hint="eastAsia" w:ascii="宋体" w:hAnsi="宋体" w:eastAsia="宋体" w:cs="宋体"/>
          <w:szCs w:val="21"/>
          <w:highlight w:val="none"/>
        </w:rPr>
        <w:t xml:space="preserve"> 对于尚未公开披露的相关信息、资料、照片，未经甲方书面批准程序，乙方及乙方人员不得以任何方式（包括网络发布、微信转发、稿件投递、接受采访等）泄露和透露。</w:t>
      </w:r>
    </w:p>
    <w:p>
      <w:pPr>
        <w:numPr>
          <w:ilvl w:val="0"/>
          <w:numId w:val="106"/>
        </w:numPr>
        <w:adjustRightInd w:val="0"/>
        <w:snapToGrid w:val="0"/>
        <w:spacing w:line="360" w:lineRule="auto"/>
        <w:ind w:left="0" w:hanging="426"/>
        <w:rPr>
          <w:rFonts w:hint="eastAsia" w:ascii="宋体" w:hAnsi="宋体" w:eastAsia="宋体" w:cs="宋体"/>
          <w:szCs w:val="21"/>
          <w:highlight w:val="none"/>
        </w:rPr>
      </w:pPr>
      <w:r>
        <w:rPr>
          <w:rFonts w:hint="eastAsia" w:ascii="宋体" w:hAnsi="宋体" w:eastAsia="宋体" w:cs="宋体"/>
          <w:szCs w:val="21"/>
          <w:highlight w:val="none"/>
        </w:rPr>
        <w:t xml:space="preserve"> 乙方不得在其家属、亲友、熟人和其他无关人员前谈论、透露国家秘密、甲方公司商业秘密和敏感信息。</w:t>
      </w:r>
    </w:p>
    <w:p>
      <w:pPr>
        <w:numPr>
          <w:ilvl w:val="0"/>
          <w:numId w:val="106"/>
        </w:numPr>
        <w:adjustRightInd w:val="0"/>
        <w:snapToGrid w:val="0"/>
        <w:spacing w:line="360" w:lineRule="auto"/>
        <w:ind w:left="0" w:hanging="426"/>
        <w:rPr>
          <w:rFonts w:hint="eastAsia" w:ascii="宋体" w:hAnsi="宋体" w:eastAsia="宋体" w:cs="宋体"/>
          <w:szCs w:val="21"/>
          <w:highlight w:val="none"/>
        </w:rPr>
      </w:pPr>
      <w:r>
        <w:rPr>
          <w:rFonts w:hint="eastAsia" w:ascii="宋体" w:hAnsi="宋体" w:eastAsia="宋体" w:cs="宋体"/>
          <w:szCs w:val="21"/>
          <w:highlight w:val="none"/>
        </w:rPr>
        <w:t xml:space="preserve"> 未经甲方科技信息化部批准并采取专业技术防护措施，乙方及乙方人员不得擅自将海油系统外的计算机接入中海油内部网络，不得私自架设无线网络设备和路由设备。</w:t>
      </w:r>
    </w:p>
    <w:p>
      <w:pPr>
        <w:numPr>
          <w:ilvl w:val="0"/>
          <w:numId w:val="106"/>
        </w:numPr>
        <w:adjustRightInd w:val="0"/>
        <w:snapToGrid w:val="0"/>
        <w:spacing w:line="360" w:lineRule="auto"/>
        <w:ind w:left="0" w:hanging="426"/>
        <w:rPr>
          <w:rFonts w:hint="eastAsia" w:ascii="宋体" w:hAnsi="宋体" w:eastAsia="宋体" w:cs="宋体"/>
          <w:szCs w:val="21"/>
          <w:highlight w:val="none"/>
        </w:rPr>
      </w:pPr>
      <w:r>
        <w:rPr>
          <w:rFonts w:hint="eastAsia" w:ascii="宋体" w:hAnsi="宋体" w:eastAsia="宋体" w:cs="宋体"/>
          <w:szCs w:val="21"/>
          <w:highlight w:val="none"/>
        </w:rPr>
        <w:t xml:space="preserve"> 严禁乙方及乙方人员在非涉密电脑、打印机、传真机等非涉密设备上处理在合同履行过程中获取的国密文件和甲方特别提出要求的商业秘密和敏感信息。双方交流资料应规范文件密级标注，不随意标注国密级标示。</w:t>
      </w:r>
    </w:p>
    <w:p>
      <w:pPr>
        <w:numPr>
          <w:ilvl w:val="0"/>
          <w:numId w:val="106"/>
        </w:numPr>
        <w:adjustRightInd w:val="0"/>
        <w:snapToGrid w:val="0"/>
        <w:spacing w:line="360" w:lineRule="auto"/>
        <w:ind w:left="0" w:hanging="426"/>
        <w:rPr>
          <w:rFonts w:hint="eastAsia" w:ascii="宋体" w:hAnsi="宋体" w:eastAsia="宋体" w:cs="宋体"/>
          <w:szCs w:val="21"/>
          <w:highlight w:val="none"/>
        </w:rPr>
      </w:pPr>
      <w:r>
        <w:rPr>
          <w:rFonts w:hint="eastAsia" w:ascii="宋体" w:hAnsi="宋体" w:eastAsia="宋体" w:cs="宋体"/>
          <w:szCs w:val="21"/>
          <w:highlight w:val="none"/>
        </w:rPr>
        <w:t xml:space="preserve"> 在合同履行过程中发现失泄密或保密违规事件，乙方应立即采取补救措施防止泄密范围扩大，减少损失，第一时间电话或邮件通知甲方，并于发现日起一周内补充正式情况说明函件。</w:t>
      </w:r>
    </w:p>
    <w:p>
      <w:pPr>
        <w:numPr>
          <w:ilvl w:val="0"/>
          <w:numId w:val="106"/>
        </w:numPr>
        <w:adjustRightInd w:val="0"/>
        <w:snapToGrid w:val="0"/>
        <w:spacing w:line="360" w:lineRule="auto"/>
        <w:ind w:left="0" w:hanging="426"/>
        <w:rPr>
          <w:rFonts w:hint="eastAsia" w:ascii="宋体" w:hAnsi="宋体" w:eastAsia="宋体" w:cs="宋体"/>
          <w:szCs w:val="21"/>
          <w:highlight w:val="none"/>
        </w:rPr>
      </w:pPr>
      <w:r>
        <w:rPr>
          <w:rFonts w:hint="eastAsia" w:ascii="宋体" w:hAnsi="宋体" w:eastAsia="宋体" w:cs="宋体"/>
          <w:szCs w:val="21"/>
          <w:highlight w:val="none"/>
        </w:rPr>
        <w:t xml:space="preserve"> 乙方应对己方参与合同要求相关工作的人员进行保密常识教育，并签署保密承诺书，明确保密责任。</w:t>
      </w:r>
    </w:p>
    <w:p>
      <w:pPr>
        <w:numPr>
          <w:ilvl w:val="0"/>
          <w:numId w:val="106"/>
        </w:numPr>
        <w:adjustRightInd w:val="0"/>
        <w:snapToGrid w:val="0"/>
        <w:spacing w:line="360" w:lineRule="auto"/>
        <w:ind w:left="0" w:hanging="426"/>
        <w:rPr>
          <w:rFonts w:hint="eastAsia" w:ascii="宋体" w:hAnsi="宋体" w:eastAsia="宋体" w:cs="宋体"/>
          <w:szCs w:val="21"/>
          <w:highlight w:val="none"/>
        </w:rPr>
      </w:pPr>
      <w:r>
        <w:rPr>
          <w:rFonts w:hint="eastAsia" w:ascii="宋体" w:hAnsi="宋体" w:eastAsia="宋体" w:cs="宋体"/>
          <w:szCs w:val="21"/>
          <w:highlight w:val="none"/>
        </w:rPr>
        <w:t xml:space="preserve"> 合同履行完毕或合同终止后时，乙方人员自愿接受保密检查。乙方仍需严格遵守此承诺书内容及合同规定的保密义务，直至相关信息对外公布。</w:t>
      </w:r>
    </w:p>
    <w:p>
      <w:pPr>
        <w:numPr>
          <w:ilvl w:val="0"/>
          <w:numId w:val="106"/>
        </w:numPr>
        <w:adjustRightInd w:val="0"/>
        <w:snapToGrid w:val="0"/>
        <w:spacing w:line="360" w:lineRule="auto"/>
        <w:ind w:left="0" w:hanging="426"/>
        <w:rPr>
          <w:rFonts w:hint="eastAsia" w:ascii="宋体" w:hAnsi="宋体" w:eastAsia="宋体" w:cs="宋体"/>
          <w:szCs w:val="21"/>
          <w:highlight w:val="none"/>
        </w:rPr>
      </w:pPr>
      <w:r>
        <w:rPr>
          <w:rFonts w:hint="eastAsia" w:ascii="宋体" w:hAnsi="宋体" w:eastAsia="宋体" w:cs="宋体"/>
          <w:szCs w:val="21"/>
          <w:highlight w:val="none"/>
        </w:rPr>
        <w:t xml:space="preserve"> 违约责任</w:t>
      </w:r>
    </w:p>
    <w:p>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无论合同是否另有约定，乙方违反保密义务，应向甲方支付合同</w:t>
      </w:r>
      <w:r>
        <w:rPr>
          <w:rFonts w:hint="eastAsia" w:ascii="Times New Roman" w:hAnsi="Times New Roman" w:eastAsia="宋体" w:cs="Times New Roman"/>
          <w:sz w:val="24"/>
          <w:szCs w:val="20"/>
          <w:highlight w:val="none"/>
          <w:lang w:val="en-US" w:eastAsia="zh-CN"/>
        </w:rPr>
        <w:t>结算价格</w:t>
      </w:r>
      <w:r>
        <w:rPr>
          <w:rFonts w:hint="eastAsia" w:ascii="宋体" w:hAnsi="宋体" w:eastAsia="宋体" w:cs="宋体"/>
          <w:szCs w:val="21"/>
          <w:highlight w:val="none"/>
        </w:rPr>
        <w:t>的【20%】，并赔偿甲方因此遭受的全部损失。</w:t>
      </w:r>
    </w:p>
    <w:p>
      <w:pPr>
        <w:spacing w:line="360" w:lineRule="auto"/>
        <w:rPr>
          <w:rFonts w:hint="eastAsia" w:ascii="宋体" w:hAnsi="宋体" w:eastAsia="宋体" w:cs="宋体"/>
          <w:szCs w:val="20"/>
          <w:highlight w:val="none"/>
        </w:rPr>
      </w:pPr>
    </w:p>
    <w:p>
      <w:pPr>
        <w:keepNext/>
        <w:keepLines/>
        <w:pageBreakBefore w:val="0"/>
        <w:widowControl w:val="0"/>
        <w:kinsoku/>
        <w:wordWrap/>
        <w:overflowPunct/>
        <w:topLinePunct w:val="0"/>
        <w:autoSpaceDE/>
        <w:autoSpaceDN/>
        <w:bidi w:val="0"/>
        <w:adjustRightInd w:val="0"/>
        <w:snapToGrid w:val="0"/>
        <w:spacing w:before="100" w:after="90" w:line="360" w:lineRule="auto"/>
        <w:jc w:val="left"/>
        <w:textAlignment w:val="auto"/>
        <w:outlineLvl w:val="0"/>
        <w:rPr>
          <w:rFonts w:hint="default" w:ascii="宋体" w:hAnsi="宋体" w:eastAsia="宋体" w:cs="宋体"/>
          <w:b w:val="0"/>
          <w:bCs/>
          <w:snapToGrid w:val="0"/>
          <w:kern w:val="0"/>
          <w:sz w:val="24"/>
          <w:szCs w:val="24"/>
          <w:lang w:val="en-US" w:eastAsia="zh-CN" w:bidi="ar-SA"/>
        </w:rPr>
      </w:pPr>
      <w:r>
        <w:br w:type="page"/>
      </w:r>
      <w:bookmarkStart w:id="387" w:name="_Toc11203"/>
      <w:bookmarkStart w:id="388" w:name="_Toc14355"/>
      <w:bookmarkStart w:id="389" w:name="_Toc27605"/>
      <w:bookmarkStart w:id="390" w:name="_Toc14416"/>
      <w:r>
        <w:rPr>
          <w:rFonts w:hint="default" w:ascii="宋体" w:hAnsi="宋体" w:eastAsia="宋体" w:cs="宋体"/>
          <w:b w:val="0"/>
          <w:bCs/>
          <w:snapToGrid w:val="0"/>
          <w:kern w:val="0"/>
          <w:sz w:val="24"/>
          <w:szCs w:val="24"/>
          <w:lang w:val="en-US" w:eastAsia="zh-CN" w:bidi="ar-SA"/>
        </w:rPr>
        <w:t>附件</w:t>
      </w:r>
      <w:r>
        <w:rPr>
          <w:rFonts w:hint="eastAsia" w:ascii="宋体" w:hAnsi="宋体" w:eastAsia="宋体" w:cs="宋体"/>
          <w:b w:val="0"/>
          <w:bCs/>
          <w:snapToGrid w:val="0"/>
          <w:kern w:val="0"/>
          <w:sz w:val="24"/>
          <w:szCs w:val="24"/>
          <w:lang w:val="en-US" w:eastAsia="zh-CN" w:bidi="ar-SA"/>
        </w:rPr>
        <w:t>八</w:t>
      </w:r>
      <w:r>
        <w:rPr>
          <w:rFonts w:hint="default" w:ascii="宋体" w:hAnsi="宋体" w:eastAsia="宋体" w:cs="宋体"/>
          <w:b w:val="0"/>
          <w:bCs/>
          <w:snapToGrid w:val="0"/>
          <w:kern w:val="0"/>
          <w:sz w:val="24"/>
          <w:szCs w:val="24"/>
          <w:lang w:val="en-US" w:eastAsia="zh-CN" w:bidi="ar-SA"/>
        </w:rPr>
        <w:t>：中小企业无分歧账款线索受理及联系方式</w:t>
      </w:r>
      <w:bookmarkEnd w:id="387"/>
    </w:p>
    <w:bookmarkEnd w:id="388"/>
    <w:bookmarkEnd w:id="389"/>
    <w:bookmarkEnd w:id="390"/>
    <w:p>
      <w:pPr>
        <w:bidi w:val="0"/>
        <w:rPr>
          <w:lang w:val="en-US" w:eastAsia="zh-CN"/>
        </w:rPr>
      </w:pPr>
    </w:p>
    <w:p>
      <w:pPr>
        <w:jc w:val="center"/>
        <w:rPr>
          <w:rFonts w:ascii="Times New Roman" w:hAnsi="Times New Roman" w:eastAsia="宋体" w:cs="Times New Roman"/>
          <w:b/>
          <w:sz w:val="30"/>
          <w:szCs w:val="30"/>
          <w:highlight w:val="none"/>
        </w:rPr>
      </w:pPr>
      <w:r>
        <w:rPr>
          <w:rFonts w:hint="eastAsia" w:ascii="Times New Roman" w:hAnsi="Times New Roman" w:eastAsia="宋体" w:cs="Times New Roman"/>
          <w:b/>
          <w:sz w:val="30"/>
          <w:szCs w:val="30"/>
          <w:highlight w:val="none"/>
        </w:rPr>
        <w:t>中小企业无分歧账款线索受理及联系方式</w:t>
      </w:r>
    </w:p>
    <w:p>
      <w:pPr>
        <w:rPr>
          <w:rFonts w:ascii="Times New Roman" w:hAnsi="Times New Roman" w:eastAsia="宋体" w:cs="Times New Roman"/>
          <w:szCs w:val="20"/>
          <w:highlight w:val="none"/>
        </w:rPr>
      </w:pPr>
    </w:p>
    <w:p>
      <w:pPr>
        <w:spacing w:line="360" w:lineRule="auto"/>
        <w:rPr>
          <w:rFonts w:ascii="Times New Roman" w:hAnsi="Times New Roman" w:eastAsia="宋体" w:cs="Times New Roman"/>
          <w:sz w:val="24"/>
          <w:szCs w:val="20"/>
          <w:highlight w:val="none"/>
        </w:rPr>
      </w:pPr>
      <w:r>
        <w:rPr>
          <w:rFonts w:hint="eastAsia" w:ascii="Times New Roman" w:hAnsi="Times New Roman" w:eastAsia="宋体" w:cs="Times New Roman"/>
          <w:szCs w:val="20"/>
          <w:highlight w:val="none"/>
        </w:rPr>
        <w:t xml:space="preserve">   </w:t>
      </w:r>
      <w:r>
        <w:rPr>
          <w:rFonts w:hint="eastAsia" w:ascii="Times New Roman" w:hAnsi="Times New Roman" w:eastAsia="宋体" w:cs="Times New Roman"/>
          <w:sz w:val="24"/>
          <w:szCs w:val="20"/>
          <w:highlight w:val="none"/>
        </w:rPr>
        <w:t>中海油集团按照《保障中小企业款项支付条例》精神，坚定维护中小企业合法权益，优化营商环境，促进供需双方高质量发展，特将</w:t>
      </w:r>
      <w:r>
        <w:rPr>
          <w:rFonts w:hint="eastAsia" w:ascii="Times New Roman" w:hAnsi="Times New Roman" w:eastAsia="宋体" w:cs="Times New Roman"/>
          <w:sz w:val="24"/>
          <w:szCs w:val="20"/>
          <w:highlight w:val="none"/>
          <w:lang w:eastAsia="zh-CN"/>
        </w:rPr>
        <w:t>中海石油（中国）有限公司上海分公司</w:t>
      </w:r>
      <w:r>
        <w:rPr>
          <w:rFonts w:hint="eastAsia" w:ascii="Times New Roman" w:hAnsi="Times New Roman" w:eastAsia="宋体" w:cs="Times New Roman"/>
          <w:sz w:val="24"/>
          <w:szCs w:val="20"/>
          <w:highlight w:val="none"/>
        </w:rPr>
        <w:t>拖欠中小企业无分歧账款线索受理及联系方式告知如下。受理人接受拖欠线索后将限期核实处理并将处理结果及时反馈投诉人。</w:t>
      </w:r>
    </w:p>
    <w:p>
      <w:pPr>
        <w:spacing w:line="360" w:lineRule="auto"/>
        <w:rPr>
          <w:rFonts w:ascii="Times New Roman" w:hAnsi="Times New Roman" w:eastAsia="宋体" w:cs="Times New Roman"/>
          <w:szCs w:val="20"/>
          <w:highlight w:val="none"/>
        </w:rPr>
      </w:pPr>
    </w:p>
    <w:p>
      <w:pPr>
        <w:spacing w:line="360" w:lineRule="auto"/>
        <w:rPr>
          <w:rFonts w:ascii="宋体" w:hAnsi="宋体" w:eastAsia="宋体" w:cs="Times New Roman"/>
          <w:szCs w:val="20"/>
          <w:highlight w:val="none"/>
        </w:rPr>
      </w:pPr>
      <w:r>
        <w:rPr>
          <w:rFonts w:hint="eastAsia" w:ascii="宋体" w:hAnsi="宋体" w:eastAsia="宋体" w:cs="Times New Roman"/>
          <w:szCs w:val="20"/>
          <w:highlight w:val="none"/>
          <w:lang w:eastAsia="zh-CN"/>
        </w:rPr>
        <w:t>中海石油（中国）有限公司上海分公司</w:t>
      </w:r>
      <w:r>
        <w:rPr>
          <w:rFonts w:hint="eastAsia" w:ascii="宋体" w:hAnsi="宋体" w:eastAsia="宋体" w:cs="Times New Roman"/>
          <w:szCs w:val="20"/>
          <w:highlight w:val="none"/>
        </w:rPr>
        <w:t>及所属单位拖欠中小企业无</w:t>
      </w:r>
      <w:r>
        <w:rPr>
          <w:rFonts w:hint="eastAsia" w:ascii="Times New Roman" w:hAnsi="宋体" w:eastAsia="宋体" w:cs="Times New Roman"/>
          <w:szCs w:val="21"/>
          <w:highlight w:val="none"/>
        </w:rPr>
        <w:t>分歧账款线索受理及联系方式</w:t>
      </w:r>
    </w:p>
    <w:tbl>
      <w:tblPr>
        <w:tblStyle w:val="47"/>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4"/>
        <w:gridCol w:w="1425"/>
        <w:gridCol w:w="2025"/>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4" w:type="dxa"/>
            <w:noWrap w:val="0"/>
            <w:vAlign w:val="center"/>
          </w:tcPr>
          <w:p>
            <w:pPr>
              <w:spacing w:line="360" w:lineRule="auto"/>
              <w:jc w:val="center"/>
              <w:rPr>
                <w:rFonts w:ascii="宋体" w:hAnsi="宋体" w:eastAsia="宋体" w:cs="Times New Roman"/>
                <w:szCs w:val="20"/>
                <w:highlight w:val="none"/>
              </w:rPr>
            </w:pPr>
            <w:r>
              <w:rPr>
                <w:rFonts w:hint="eastAsia" w:ascii="宋体" w:hAnsi="宋体" w:eastAsia="宋体" w:cs="Times New Roman"/>
                <w:szCs w:val="20"/>
                <w:highlight w:val="none"/>
              </w:rPr>
              <w:t>公司名称</w:t>
            </w:r>
          </w:p>
        </w:tc>
        <w:tc>
          <w:tcPr>
            <w:tcW w:w="1425" w:type="dxa"/>
            <w:noWrap w:val="0"/>
            <w:vAlign w:val="center"/>
          </w:tcPr>
          <w:p>
            <w:pPr>
              <w:spacing w:line="360" w:lineRule="auto"/>
              <w:jc w:val="center"/>
              <w:rPr>
                <w:rFonts w:ascii="宋体" w:hAnsi="宋体" w:eastAsia="宋体" w:cs="Times New Roman"/>
                <w:szCs w:val="20"/>
                <w:highlight w:val="none"/>
              </w:rPr>
            </w:pPr>
            <w:r>
              <w:rPr>
                <w:rFonts w:hint="eastAsia" w:ascii="宋体" w:hAnsi="宋体" w:eastAsia="宋体" w:cs="Times New Roman"/>
                <w:szCs w:val="20"/>
                <w:highlight w:val="none"/>
              </w:rPr>
              <w:t>线索受理人</w:t>
            </w:r>
          </w:p>
        </w:tc>
        <w:tc>
          <w:tcPr>
            <w:tcW w:w="2025" w:type="dxa"/>
            <w:noWrap w:val="0"/>
            <w:vAlign w:val="center"/>
          </w:tcPr>
          <w:p>
            <w:pPr>
              <w:spacing w:line="360" w:lineRule="auto"/>
              <w:jc w:val="center"/>
              <w:rPr>
                <w:rFonts w:ascii="宋体" w:hAnsi="宋体" w:eastAsia="宋体" w:cs="Times New Roman"/>
                <w:szCs w:val="20"/>
                <w:highlight w:val="none"/>
              </w:rPr>
            </w:pPr>
            <w:r>
              <w:rPr>
                <w:rFonts w:hint="eastAsia" w:ascii="宋体" w:hAnsi="宋体" w:eastAsia="宋体" w:cs="Times New Roman"/>
                <w:szCs w:val="20"/>
                <w:highlight w:val="none"/>
              </w:rPr>
              <w:t>电话</w:t>
            </w:r>
          </w:p>
        </w:tc>
        <w:tc>
          <w:tcPr>
            <w:tcW w:w="2702" w:type="dxa"/>
            <w:noWrap w:val="0"/>
            <w:vAlign w:val="center"/>
          </w:tcPr>
          <w:p>
            <w:pPr>
              <w:spacing w:line="360" w:lineRule="auto"/>
              <w:jc w:val="center"/>
              <w:rPr>
                <w:rFonts w:ascii="宋体" w:hAnsi="宋体" w:eastAsia="宋体" w:cs="Times New Roman"/>
                <w:szCs w:val="20"/>
                <w:highlight w:val="none"/>
              </w:rPr>
            </w:pPr>
            <w:r>
              <w:rPr>
                <w:rFonts w:hint="eastAsia" w:ascii="宋体" w:hAnsi="宋体" w:eastAsia="宋体" w:cs="Times New Roman"/>
                <w:szCs w:val="20"/>
                <w:highlight w:val="none"/>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4" w:type="dxa"/>
            <w:noWrap w:val="0"/>
            <w:vAlign w:val="center"/>
          </w:tcPr>
          <w:p>
            <w:pPr>
              <w:spacing w:line="360" w:lineRule="auto"/>
              <w:rPr>
                <w:rFonts w:ascii="宋体" w:hAnsi="宋体" w:eastAsia="宋体" w:cs="Times New Roman"/>
                <w:szCs w:val="20"/>
                <w:highlight w:val="none"/>
              </w:rPr>
            </w:pPr>
            <w:r>
              <w:rPr>
                <w:rFonts w:hint="eastAsia" w:ascii="宋体" w:hAnsi="宋体" w:eastAsia="宋体" w:cs="Times New Roman"/>
                <w:color w:val="auto"/>
                <w:highlight w:val="none"/>
                <w:lang w:val="en-US" w:eastAsia="zh-CN"/>
              </w:rPr>
              <w:t>中国海油石油东海有限公司</w:t>
            </w:r>
          </w:p>
        </w:tc>
        <w:tc>
          <w:tcPr>
            <w:tcW w:w="1425" w:type="dxa"/>
            <w:noWrap w:val="0"/>
            <w:vAlign w:val="center"/>
          </w:tcPr>
          <w:p>
            <w:pPr>
              <w:spacing w:line="360" w:lineRule="auto"/>
              <w:jc w:val="center"/>
              <w:rPr>
                <w:rFonts w:hint="eastAsia" w:ascii="宋体" w:hAnsi="宋体" w:eastAsia="宋体" w:cs="Times New Roman"/>
                <w:szCs w:val="20"/>
                <w:highlight w:val="none"/>
                <w:lang w:eastAsia="zh-CN"/>
              </w:rPr>
            </w:pPr>
            <w:r>
              <w:rPr>
                <w:rFonts w:hint="eastAsia" w:ascii="宋体" w:hAnsi="宋体" w:eastAsia="宋体" w:cs="Times New Roman"/>
                <w:szCs w:val="20"/>
                <w:highlight w:val="none"/>
                <w:lang w:val="en-US" w:eastAsia="zh-CN"/>
              </w:rPr>
              <w:t>杨洁</w:t>
            </w:r>
          </w:p>
        </w:tc>
        <w:tc>
          <w:tcPr>
            <w:tcW w:w="2025" w:type="dxa"/>
            <w:noWrap w:val="0"/>
            <w:vAlign w:val="center"/>
          </w:tcPr>
          <w:p>
            <w:pPr>
              <w:spacing w:line="360" w:lineRule="auto"/>
              <w:jc w:val="center"/>
              <w:rPr>
                <w:rFonts w:hint="default" w:ascii="宋体" w:hAnsi="宋体" w:eastAsia="宋体" w:cs="Times New Roman"/>
                <w:szCs w:val="20"/>
                <w:highlight w:val="none"/>
                <w:lang w:val="en-US" w:eastAsia="zh-CN"/>
              </w:rPr>
            </w:pPr>
            <w:r>
              <w:rPr>
                <w:rFonts w:hint="eastAsia" w:ascii="宋体" w:hAnsi="宋体" w:eastAsia="宋体" w:cs="Times New Roman"/>
                <w:szCs w:val="20"/>
                <w:highlight w:val="none"/>
              </w:rPr>
              <w:t>021-2283</w:t>
            </w:r>
            <w:r>
              <w:rPr>
                <w:rFonts w:hint="eastAsia" w:ascii="宋体" w:hAnsi="宋体" w:eastAsia="宋体" w:cs="Times New Roman"/>
                <w:szCs w:val="20"/>
                <w:highlight w:val="none"/>
                <w:lang w:val="en-US" w:eastAsia="zh-CN"/>
              </w:rPr>
              <w:t>0192</w:t>
            </w:r>
          </w:p>
        </w:tc>
        <w:tc>
          <w:tcPr>
            <w:tcW w:w="2702" w:type="dxa"/>
            <w:noWrap w:val="0"/>
            <w:vAlign w:val="center"/>
          </w:tcPr>
          <w:p>
            <w:pPr>
              <w:spacing w:line="360" w:lineRule="auto"/>
              <w:rPr>
                <w:rFonts w:ascii="宋体" w:hAnsi="宋体" w:eastAsia="宋体" w:cs="Times New Roman"/>
                <w:szCs w:val="20"/>
                <w:highlight w:val="none"/>
              </w:rPr>
            </w:pPr>
            <w:r>
              <w:rPr>
                <w:rFonts w:hint="eastAsia" w:ascii="宋体" w:hAnsi="宋体" w:eastAsia="宋体" w:cs="Times New Roman"/>
                <w:szCs w:val="20"/>
                <w:highlight w:val="none"/>
              </w:rPr>
              <w:t>yangjie10@cnooc.com.cn</w:t>
            </w:r>
          </w:p>
        </w:tc>
      </w:tr>
    </w:tbl>
    <w:p>
      <w:pPr>
        <w:bidi w:val="0"/>
      </w:pPr>
    </w:p>
    <w:p/>
    <w:p>
      <w:pPr>
        <w:spacing w:line="360" w:lineRule="auto"/>
        <w:ind w:firstLine="630" w:firstLineChars="295"/>
      </w:pPr>
    </w:p>
    <w:p>
      <w:pPr>
        <w:pStyle w:val="2"/>
      </w:pPr>
    </w:p>
    <w:p>
      <w:pPr>
        <w:pStyle w:val="2"/>
        <w:rPr>
          <w:rFonts w:hint="eastAsia" w:eastAsia="宋体"/>
          <w:lang w:eastAsia="zh-CN"/>
        </w:rPr>
      </w:pPr>
      <w:r>
        <w:rPr>
          <w:rFonts w:hint="eastAsia" w:eastAsia="宋体"/>
          <w:lang w:eastAsia="zh-CN"/>
        </w:rPr>
        <w:object>
          <v:shape id="_x0000_i1026" o:spt="75" type="#_x0000_t75" style="height:705.75pt;width:442.5pt;" o:ole="t" filled="f" o:preferrelative="t" stroked="f" coordsize="21600,21600">
            <v:path/>
            <v:fill on="f" focussize="0,0"/>
            <v:stroke on="f"/>
            <v:imagedata r:id="rId24" o:title=""/>
            <o:lock v:ext="edit" aspectratio="t"/>
            <w10:wrap type="none"/>
            <w10:anchorlock/>
          </v:shape>
          <o:OLEObject Type="Embed" ProgID="Word.Document.12" ShapeID="_x0000_i1026" DrawAspect="Content" ObjectID="_1468075726" r:id="rId23">
            <o:LockedField>false</o:LockedField>
          </o:OLEObject>
        </w:object>
      </w:r>
    </w:p>
    <w:sectPr>
      <w:footerReference r:id="rId10" w:type="default"/>
      <w:pgSz w:w="11905" w:h="16838"/>
      <w:pgMar w:top="1440" w:right="1440" w:bottom="1440" w:left="1440" w:header="851" w:footer="992" w:gutter="0"/>
      <w:cols w:space="0" w:num="1"/>
      <w:titlePg/>
      <w:docGrid w:type="linesAndChars" w:linePitch="322" w:charSpace="9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omic Sans MS">
    <w:panose1 w:val="030F0702030302020204"/>
    <w:charset w:val="00"/>
    <w:family w:val="script"/>
    <w:pitch w:val="default"/>
    <w:sig w:usb0="00000287" w:usb1="00000013"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Palatino">
    <w:altName w:val="Palatino Linotype"/>
    <w:panose1 w:val="00000000000000000000"/>
    <w:charset w:val="00"/>
    <w:family w:val="roman"/>
    <w:pitch w:val="default"/>
    <w:sig w:usb0="00000000" w:usb1="00000000" w:usb2="00000000" w:usb3="00000000" w:csb0="00000093" w:csb1="00000000"/>
  </w:font>
  <w:font w:name="Arial Unicode MS">
    <w:altName w:val="宋体"/>
    <w:panose1 w:val="020B0604020202020204"/>
    <w:charset w:val="86"/>
    <w:family w:val="swiss"/>
    <w:pitch w:val="default"/>
    <w:sig w:usb0="00000000" w:usb1="00000000" w:usb2="0000003F" w:usb3="00000000" w:csb0="603F01FF" w:csb1="FFFF0000"/>
  </w:font>
  <w:font w:name="Futura Bk BT">
    <w:altName w:val="Lucida Sans Unicode"/>
    <w:panose1 w:val="00000000000000000000"/>
    <w:charset w:val="00"/>
    <w:family w:val="swiss"/>
    <w:pitch w:val="default"/>
    <w:sig w:usb0="00000000" w:usb1="00000000" w:usb2="00000000" w:usb3="00000000" w:csb0="0000001B"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1"/>
                </w:pPr>
                <w:r>
                  <w:fldChar w:fldCharType="begin"/>
                </w:r>
                <w:r>
                  <w:instrText xml:space="preserve"> PAGE  \* MERGEFORMAT </w:instrText>
                </w:r>
                <w:r>
                  <w:fldChar w:fldCharType="separate"/>
                </w:r>
                <w:r>
                  <w:t>37</w:t>
                </w:r>
                <w:r>
                  <w:fldChar w:fldCharType="end"/>
                </w:r>
              </w:p>
            </w:txbxContent>
          </v:textbox>
        </v:shape>
      </w:pict>
    </w:r>
    <w:sdt>
      <w:sdtPr>
        <w:id w:val="-533423657"/>
      </w:sdtPr>
      <w:sdtContent>
        <w:sdt>
          <w:sdtPr>
            <w:id w:val="441194076"/>
          </w:sdtPr>
          <w:sdtContent/>
        </w:sdt>
      </w:sdtContent>
    </w:sdt>
  </w:p>
  <w:p>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0150717"/>
    </w:sdtPr>
    <w:sdtContent>
      <w:sdt>
        <w:sdtPr>
          <w:id w:val="-157077814"/>
        </w:sdtPr>
        <w:sdtContent>
          <w:p>
            <w:pPr>
              <w:pStyle w:val="31"/>
              <w:jc w:val="center"/>
            </w:pPr>
            <w:r>
              <w:rPr>
                <w:b/>
                <w:bCs/>
                <w:sz w:val="24"/>
                <w:szCs w:val="24"/>
              </w:rPr>
              <w:fldChar w:fldCharType="begin"/>
            </w:r>
            <w:r>
              <w:rPr>
                <w:b/>
                <w:bCs/>
              </w:rPr>
              <w:instrText xml:space="preserve">PAGE</w:instrText>
            </w:r>
            <w:r>
              <w:rPr>
                <w:b/>
                <w:bCs/>
                <w:sz w:val="24"/>
                <w:szCs w:val="24"/>
              </w:rPr>
              <w:fldChar w:fldCharType="separate"/>
            </w:r>
            <w:r>
              <w:rPr>
                <w:b/>
                <w:bCs/>
              </w:rPr>
              <w:t>51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61</w:t>
            </w:r>
            <w:r>
              <w:rPr>
                <w:b/>
                <w:bCs/>
                <w:sz w:val="24"/>
                <w:szCs w:val="24"/>
              </w:rPr>
              <w:fldChar w:fldCharType="end"/>
            </w:r>
          </w:p>
        </w:sdtContent>
      </w:sdt>
    </w:sdtContent>
  </w:sdt>
  <w:p>
    <w:pPr>
      <w:pStyle w:val="31"/>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sdt>
                <w:sdtPr>
                  <w:id w:val="-851874932"/>
                </w:sdtPr>
                <w:sdtContent>
                  <w:p>
                    <w:pPr>
                      <w:pStyle w:val="31"/>
                      <w:jc w:val="center"/>
                    </w:pPr>
                    <w:r>
                      <w:fldChar w:fldCharType="begin"/>
                    </w:r>
                    <w:r>
                      <w:instrText xml:space="preserve">PAGE   \* MERGEFORMAT</w:instrText>
                    </w:r>
                    <w:r>
                      <w:fldChar w:fldCharType="separate"/>
                    </w:r>
                    <w:r>
                      <w:t>55</w:t>
                    </w:r>
                    <w:r>
                      <w:fldChar w:fldCharType="end"/>
                    </w:r>
                  </w:p>
                </w:sdtContent>
              </w:sdt>
              <w:p/>
            </w:txbxContent>
          </v:textbox>
        </v:shape>
      </w:pict>
    </w:r>
  </w:p>
  <w:p>
    <w:pPr>
      <w:pStyle w:val="31"/>
      <w:ind w:firstLine="3780" w:firstLineChars="210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w:pict>
        <v:shape id="文本框 3" o:spid="_x0000_s410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p>
    <w:pPr>
      <w:pStyle w:val="31"/>
      <w:jc w:val="center"/>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sdt>
                <w:sdtPr>
                  <w:id w:val="-196462147"/>
                </w:sdtPr>
                <w:sdtContent>
                  <w:p>
                    <w:pPr>
                      <w:pStyle w:val="31"/>
                      <w:jc w:val="center"/>
                    </w:pPr>
                    <w:r>
                      <w:fldChar w:fldCharType="begin"/>
                    </w:r>
                    <w:r>
                      <w:instrText xml:space="preserve">PAGE   \* MERGEFORMAT</w:instrText>
                    </w:r>
                    <w:r>
                      <w:fldChar w:fldCharType="separate"/>
                    </w:r>
                    <w:r>
                      <w:t>58</w:t>
                    </w:r>
                    <w:r>
                      <w:fldChar w:fldCharType="end"/>
                    </w:r>
                  </w:p>
                </w:sdtContent>
              </w:sdt>
              <w:p/>
            </w:txbxContent>
          </v:textbox>
        </v:shape>
      </w:pict>
    </w:r>
  </w:p>
  <w:p>
    <w:pPr>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CB26C"/>
    <w:multiLevelType w:val="singleLevel"/>
    <w:tmpl w:val="81ACB26C"/>
    <w:lvl w:ilvl="0" w:tentative="0">
      <w:start w:val="1"/>
      <w:numFmt w:val="decimal"/>
      <w:suff w:val="space"/>
      <w:lvlText w:val="（%1）"/>
      <w:lvlJc w:val="left"/>
    </w:lvl>
  </w:abstractNum>
  <w:abstractNum w:abstractNumId="1">
    <w:nsid w:val="824B6530"/>
    <w:multiLevelType w:val="singleLevel"/>
    <w:tmpl w:val="824B6530"/>
    <w:lvl w:ilvl="0" w:tentative="0">
      <w:start w:val="1"/>
      <w:numFmt w:val="decimal"/>
      <w:suff w:val="nothing"/>
      <w:lvlText w:val="（%1）"/>
      <w:lvlJc w:val="left"/>
    </w:lvl>
  </w:abstractNum>
  <w:abstractNum w:abstractNumId="2">
    <w:nsid w:val="9212D019"/>
    <w:multiLevelType w:val="singleLevel"/>
    <w:tmpl w:val="9212D019"/>
    <w:lvl w:ilvl="0" w:tentative="0">
      <w:start w:val="1"/>
      <w:numFmt w:val="decimal"/>
      <w:suff w:val="nothing"/>
      <w:lvlText w:val="（%1）"/>
      <w:lvlJc w:val="left"/>
    </w:lvl>
  </w:abstractNum>
  <w:abstractNum w:abstractNumId="3">
    <w:nsid w:val="9639E556"/>
    <w:multiLevelType w:val="singleLevel"/>
    <w:tmpl w:val="9639E556"/>
    <w:lvl w:ilvl="0" w:tentative="0">
      <w:start w:val="1"/>
      <w:numFmt w:val="decimal"/>
      <w:lvlText w:val="%1."/>
      <w:lvlJc w:val="left"/>
      <w:pPr>
        <w:ind w:left="425" w:hanging="425"/>
      </w:pPr>
      <w:rPr>
        <w:rFonts w:hint="default"/>
      </w:rPr>
    </w:lvl>
  </w:abstractNum>
  <w:abstractNum w:abstractNumId="4">
    <w:nsid w:val="9FBE2F03"/>
    <w:multiLevelType w:val="singleLevel"/>
    <w:tmpl w:val="9FBE2F03"/>
    <w:lvl w:ilvl="0" w:tentative="0">
      <w:start w:val="1"/>
      <w:numFmt w:val="decimal"/>
      <w:suff w:val="nothing"/>
      <w:lvlText w:val="%1、"/>
      <w:lvlJc w:val="left"/>
    </w:lvl>
  </w:abstractNum>
  <w:abstractNum w:abstractNumId="5">
    <w:nsid w:val="AC0700EA"/>
    <w:multiLevelType w:val="singleLevel"/>
    <w:tmpl w:val="AC0700EA"/>
    <w:lvl w:ilvl="0" w:tentative="0">
      <w:start w:val="1"/>
      <w:numFmt w:val="decimal"/>
      <w:suff w:val="space"/>
      <w:lvlText w:val="（%1）"/>
      <w:lvlJc w:val="left"/>
    </w:lvl>
  </w:abstractNum>
  <w:abstractNum w:abstractNumId="6">
    <w:nsid w:val="B03DDA5B"/>
    <w:multiLevelType w:val="singleLevel"/>
    <w:tmpl w:val="B03DDA5B"/>
    <w:lvl w:ilvl="0" w:tentative="0">
      <w:start w:val="1"/>
      <w:numFmt w:val="decimal"/>
      <w:suff w:val="space"/>
      <w:lvlText w:val="（%1）"/>
      <w:lvlJc w:val="left"/>
    </w:lvl>
  </w:abstractNum>
  <w:abstractNum w:abstractNumId="7">
    <w:nsid w:val="BD461A83"/>
    <w:multiLevelType w:val="singleLevel"/>
    <w:tmpl w:val="BD461A83"/>
    <w:lvl w:ilvl="0" w:tentative="0">
      <w:start w:val="1"/>
      <w:numFmt w:val="decimal"/>
      <w:suff w:val="space"/>
      <w:lvlText w:val="（%1）"/>
      <w:lvlJc w:val="left"/>
    </w:lvl>
  </w:abstractNum>
  <w:abstractNum w:abstractNumId="8">
    <w:nsid w:val="DB413B7E"/>
    <w:multiLevelType w:val="singleLevel"/>
    <w:tmpl w:val="DB413B7E"/>
    <w:lvl w:ilvl="0" w:tentative="0">
      <w:start w:val="1"/>
      <w:numFmt w:val="decimal"/>
      <w:suff w:val="nothing"/>
      <w:lvlText w:val="（%1）"/>
      <w:lvlJc w:val="left"/>
    </w:lvl>
  </w:abstractNum>
  <w:abstractNum w:abstractNumId="9">
    <w:nsid w:val="E4BCD0AC"/>
    <w:multiLevelType w:val="singleLevel"/>
    <w:tmpl w:val="E4BCD0AC"/>
    <w:lvl w:ilvl="0" w:tentative="0">
      <w:start w:val="1"/>
      <w:numFmt w:val="decimal"/>
      <w:suff w:val="space"/>
      <w:lvlText w:val="（%1）"/>
      <w:lvlJc w:val="left"/>
    </w:lvl>
  </w:abstractNum>
  <w:abstractNum w:abstractNumId="10">
    <w:nsid w:val="F41A6347"/>
    <w:multiLevelType w:val="singleLevel"/>
    <w:tmpl w:val="F41A6347"/>
    <w:lvl w:ilvl="0" w:tentative="0">
      <w:start w:val="1"/>
      <w:numFmt w:val="decimal"/>
      <w:suff w:val="space"/>
      <w:lvlText w:val="（%1）"/>
      <w:lvlJc w:val="left"/>
    </w:lvl>
  </w:abstractNum>
  <w:abstractNum w:abstractNumId="11">
    <w:nsid w:val="F631B77E"/>
    <w:multiLevelType w:val="singleLevel"/>
    <w:tmpl w:val="F631B77E"/>
    <w:lvl w:ilvl="0" w:tentative="0">
      <w:start w:val="1"/>
      <w:numFmt w:val="decimal"/>
      <w:suff w:val="nothing"/>
      <w:lvlText w:val="（%1）"/>
      <w:lvlJc w:val="left"/>
    </w:lvl>
  </w:abstractNum>
  <w:abstractNum w:abstractNumId="12">
    <w:nsid w:val="01AB32F2"/>
    <w:multiLevelType w:val="multilevel"/>
    <w:tmpl w:val="01AB32F2"/>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03C260DC"/>
    <w:multiLevelType w:val="multilevel"/>
    <w:tmpl w:val="03C260DC"/>
    <w:lvl w:ilvl="0" w:tentative="0">
      <w:start w:val="1"/>
      <w:numFmt w:val="lowerLetter"/>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14">
    <w:nsid w:val="03EA7627"/>
    <w:multiLevelType w:val="singleLevel"/>
    <w:tmpl w:val="03EA7627"/>
    <w:lvl w:ilvl="0" w:tentative="0">
      <w:start w:val="1"/>
      <w:numFmt w:val="decimal"/>
      <w:lvlText w:val="(%1)"/>
      <w:lvlJc w:val="left"/>
      <w:pPr>
        <w:ind w:left="425" w:hanging="425"/>
      </w:pPr>
      <w:rPr>
        <w:rFonts w:hint="default"/>
      </w:rPr>
    </w:lvl>
  </w:abstractNum>
  <w:abstractNum w:abstractNumId="15">
    <w:nsid w:val="04DA521F"/>
    <w:multiLevelType w:val="multilevel"/>
    <w:tmpl w:val="04DA521F"/>
    <w:lvl w:ilvl="0" w:tentative="0">
      <w:start w:val="1"/>
      <w:numFmt w:val="bullet"/>
      <w:lvlText w:val=""/>
      <w:lvlJc w:val="left"/>
      <w:pPr>
        <w:tabs>
          <w:tab w:val="left" w:pos="1260"/>
        </w:tabs>
        <w:ind w:left="980" w:hanging="140"/>
      </w:pPr>
      <w:rPr>
        <w:rFonts w:hint="default" w:ascii="Wingdings" w:hAnsi="Wingdings"/>
      </w:rPr>
    </w:lvl>
    <w:lvl w:ilvl="1" w:tentative="0">
      <w:start w:val="1"/>
      <w:numFmt w:val="bullet"/>
      <w:pStyle w:val="306"/>
      <w:lvlText w:val=""/>
      <w:lvlJc w:val="left"/>
      <w:pPr>
        <w:tabs>
          <w:tab w:val="left" w:pos="1260"/>
        </w:tabs>
        <w:ind w:left="1260" w:hanging="420"/>
      </w:pPr>
      <w:rPr>
        <w:rFonts w:hint="default" w:ascii="Wingdings" w:hAnsi="Wingdings"/>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6">
    <w:nsid w:val="05B36696"/>
    <w:multiLevelType w:val="multilevel"/>
    <w:tmpl w:val="05B36696"/>
    <w:lvl w:ilvl="0" w:tentative="0">
      <w:start w:val="1"/>
      <w:numFmt w:val="bullet"/>
      <w:lvlText w:val=""/>
      <w:lvlJc w:val="left"/>
      <w:pPr>
        <w:tabs>
          <w:tab w:val="left" w:pos="284"/>
        </w:tabs>
        <w:ind w:left="284" w:hanging="28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7E046EA"/>
    <w:multiLevelType w:val="multilevel"/>
    <w:tmpl w:val="07E046EA"/>
    <w:lvl w:ilvl="0" w:tentative="0">
      <w:start w:val="1"/>
      <w:numFmt w:val="decimal"/>
      <w:suff w:val="space"/>
      <w:lvlText w:val="%1."/>
      <w:lvlJc w:val="left"/>
      <w:pPr>
        <w:ind w:left="1839" w:hanging="420"/>
      </w:pPr>
      <w:rPr>
        <w:rFonts w:hint="eastAsia"/>
      </w:rPr>
    </w:lvl>
    <w:lvl w:ilvl="1" w:tentative="0">
      <w:start w:val="1"/>
      <w:numFmt w:val="lowerLetter"/>
      <w:lvlText w:val="%2)"/>
      <w:lvlJc w:val="left"/>
      <w:pPr>
        <w:ind w:left="2259" w:hanging="420"/>
      </w:pPr>
    </w:lvl>
    <w:lvl w:ilvl="2" w:tentative="0">
      <w:start w:val="1"/>
      <w:numFmt w:val="lowerRoman"/>
      <w:lvlText w:val="%3."/>
      <w:lvlJc w:val="right"/>
      <w:pPr>
        <w:ind w:left="2679" w:hanging="420"/>
      </w:pPr>
    </w:lvl>
    <w:lvl w:ilvl="3" w:tentative="0">
      <w:start w:val="1"/>
      <w:numFmt w:val="decimal"/>
      <w:lvlText w:val="%4."/>
      <w:lvlJc w:val="left"/>
      <w:pPr>
        <w:ind w:left="3099" w:hanging="420"/>
      </w:pPr>
    </w:lvl>
    <w:lvl w:ilvl="4" w:tentative="0">
      <w:start w:val="1"/>
      <w:numFmt w:val="lowerLetter"/>
      <w:lvlText w:val="%5)"/>
      <w:lvlJc w:val="left"/>
      <w:pPr>
        <w:ind w:left="3519" w:hanging="420"/>
      </w:pPr>
    </w:lvl>
    <w:lvl w:ilvl="5" w:tentative="0">
      <w:start w:val="1"/>
      <w:numFmt w:val="lowerRoman"/>
      <w:lvlText w:val="%6."/>
      <w:lvlJc w:val="right"/>
      <w:pPr>
        <w:ind w:left="3939" w:hanging="420"/>
      </w:pPr>
    </w:lvl>
    <w:lvl w:ilvl="6" w:tentative="0">
      <w:start w:val="1"/>
      <w:numFmt w:val="decimal"/>
      <w:lvlText w:val="%7."/>
      <w:lvlJc w:val="left"/>
      <w:pPr>
        <w:ind w:left="4359" w:hanging="420"/>
      </w:pPr>
    </w:lvl>
    <w:lvl w:ilvl="7" w:tentative="0">
      <w:start w:val="1"/>
      <w:numFmt w:val="lowerLetter"/>
      <w:lvlText w:val="%8)"/>
      <w:lvlJc w:val="left"/>
      <w:pPr>
        <w:ind w:left="4779" w:hanging="420"/>
      </w:pPr>
    </w:lvl>
    <w:lvl w:ilvl="8" w:tentative="0">
      <w:start w:val="1"/>
      <w:numFmt w:val="lowerRoman"/>
      <w:lvlText w:val="%9."/>
      <w:lvlJc w:val="right"/>
      <w:pPr>
        <w:ind w:left="5199" w:hanging="420"/>
      </w:pPr>
    </w:lvl>
  </w:abstractNum>
  <w:abstractNum w:abstractNumId="18">
    <w:nsid w:val="0957E002"/>
    <w:multiLevelType w:val="singleLevel"/>
    <w:tmpl w:val="0957E002"/>
    <w:lvl w:ilvl="0" w:tentative="0">
      <w:start w:val="1"/>
      <w:numFmt w:val="decimal"/>
      <w:suff w:val="space"/>
      <w:lvlText w:val="（%1）"/>
      <w:lvlJc w:val="left"/>
    </w:lvl>
  </w:abstractNum>
  <w:abstractNum w:abstractNumId="19">
    <w:nsid w:val="09DA369B"/>
    <w:multiLevelType w:val="singleLevel"/>
    <w:tmpl w:val="09DA369B"/>
    <w:lvl w:ilvl="0" w:tentative="0">
      <w:start w:val="1"/>
      <w:numFmt w:val="decimal"/>
      <w:suff w:val="space"/>
      <w:lvlText w:val="（%1）"/>
      <w:lvlJc w:val="left"/>
    </w:lvl>
  </w:abstractNum>
  <w:abstractNum w:abstractNumId="20">
    <w:nsid w:val="0AE367E9"/>
    <w:multiLevelType w:val="multilevel"/>
    <w:tmpl w:val="0AE367E9"/>
    <w:lvl w:ilvl="0" w:tentative="0">
      <w:start w:val="1"/>
      <w:numFmt w:val="none"/>
      <w:pStyle w:val="190"/>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ECB3DC2"/>
    <w:multiLevelType w:val="multilevel"/>
    <w:tmpl w:val="0ECB3DC2"/>
    <w:lvl w:ilvl="0" w:tentative="0">
      <w:start w:val="1"/>
      <w:numFmt w:val="decimal"/>
      <w:lvlText w:val="11.%1"/>
      <w:lvlJc w:val="left"/>
      <w:pPr>
        <w:ind w:left="418" w:hanging="420"/>
      </w:pPr>
      <w:rPr>
        <w:rFonts w:hint="default" w:ascii="Times New Roman" w:hAnsi="Times New Roman" w:cs="Times New Roman"/>
        <w:b w:val="0"/>
        <w:i w:val="0"/>
        <w:color w:val="auto"/>
        <w:sz w:val="21"/>
        <w:szCs w:val="21"/>
      </w:rPr>
    </w:lvl>
    <w:lvl w:ilvl="1" w:tentative="0">
      <w:start w:val="1"/>
      <w:numFmt w:val="decimal"/>
      <w:lvlText w:val="(%2)"/>
      <w:lvlJc w:val="left"/>
      <w:pPr>
        <w:ind w:left="808" w:hanging="390"/>
      </w:pPr>
      <w:rPr>
        <w:rFonts w:hint="default" w:cs="Times New Roman"/>
      </w:rPr>
    </w:lvl>
    <w:lvl w:ilvl="2" w:tentative="0">
      <w:start w:val="1"/>
      <w:numFmt w:val="lowerRoman"/>
      <w:lvlText w:val="%3."/>
      <w:lvlJc w:val="right"/>
      <w:pPr>
        <w:ind w:left="1258" w:hanging="420"/>
      </w:pPr>
      <w:rPr>
        <w:rFonts w:cs="Times New Roman"/>
      </w:rPr>
    </w:lvl>
    <w:lvl w:ilvl="3" w:tentative="0">
      <w:start w:val="1"/>
      <w:numFmt w:val="decimal"/>
      <w:lvlText w:val="%4."/>
      <w:lvlJc w:val="left"/>
      <w:pPr>
        <w:ind w:left="1678" w:hanging="420"/>
      </w:pPr>
      <w:rPr>
        <w:rFonts w:cs="Times New Roman"/>
      </w:rPr>
    </w:lvl>
    <w:lvl w:ilvl="4" w:tentative="0">
      <w:start w:val="1"/>
      <w:numFmt w:val="lowerLetter"/>
      <w:lvlText w:val="%5)"/>
      <w:lvlJc w:val="left"/>
      <w:pPr>
        <w:ind w:left="2098" w:hanging="420"/>
      </w:pPr>
      <w:rPr>
        <w:rFonts w:cs="Times New Roman"/>
      </w:rPr>
    </w:lvl>
    <w:lvl w:ilvl="5" w:tentative="0">
      <w:start w:val="1"/>
      <w:numFmt w:val="lowerRoman"/>
      <w:lvlText w:val="%6."/>
      <w:lvlJc w:val="right"/>
      <w:pPr>
        <w:ind w:left="2518" w:hanging="420"/>
      </w:pPr>
      <w:rPr>
        <w:rFonts w:cs="Times New Roman"/>
      </w:rPr>
    </w:lvl>
    <w:lvl w:ilvl="6" w:tentative="0">
      <w:start w:val="1"/>
      <w:numFmt w:val="decimal"/>
      <w:lvlText w:val="%7."/>
      <w:lvlJc w:val="left"/>
      <w:pPr>
        <w:ind w:left="2938" w:hanging="420"/>
      </w:pPr>
      <w:rPr>
        <w:rFonts w:cs="Times New Roman"/>
      </w:rPr>
    </w:lvl>
    <w:lvl w:ilvl="7" w:tentative="0">
      <w:start w:val="1"/>
      <w:numFmt w:val="lowerLetter"/>
      <w:lvlText w:val="%8)"/>
      <w:lvlJc w:val="left"/>
      <w:pPr>
        <w:ind w:left="3358" w:hanging="420"/>
      </w:pPr>
      <w:rPr>
        <w:rFonts w:cs="Times New Roman"/>
      </w:rPr>
    </w:lvl>
    <w:lvl w:ilvl="8" w:tentative="0">
      <w:start w:val="1"/>
      <w:numFmt w:val="lowerRoman"/>
      <w:lvlText w:val="%9."/>
      <w:lvlJc w:val="right"/>
      <w:pPr>
        <w:ind w:left="3778" w:hanging="420"/>
      </w:pPr>
      <w:rPr>
        <w:rFonts w:cs="Times New Roman"/>
      </w:rPr>
    </w:lvl>
  </w:abstractNum>
  <w:abstractNum w:abstractNumId="22">
    <w:nsid w:val="0EDB1D4E"/>
    <w:multiLevelType w:val="multilevel"/>
    <w:tmpl w:val="0EDB1D4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2.%2"/>
      <w:lvlJc w:val="left"/>
      <w:pPr>
        <w:tabs>
          <w:tab w:val="left" w:pos="840"/>
        </w:tabs>
        <w:ind w:left="840" w:hanging="420"/>
      </w:pPr>
      <w:rPr>
        <w:rFonts w:hint="default" w:ascii="Times New Roman" w:hAnsi="Times New Roman" w:cs="Times New Roman"/>
        <w:b w:val="0"/>
        <w:i w:val="0"/>
        <w:color w:val="auto"/>
        <w:sz w:val="21"/>
        <w:szCs w:val="21"/>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0EDFB237"/>
    <w:multiLevelType w:val="singleLevel"/>
    <w:tmpl w:val="0EDFB237"/>
    <w:lvl w:ilvl="0" w:tentative="0">
      <w:start w:val="1"/>
      <w:numFmt w:val="decimal"/>
      <w:suff w:val="space"/>
      <w:lvlText w:val="（%1）"/>
      <w:lvlJc w:val="left"/>
    </w:lvl>
  </w:abstractNum>
  <w:abstractNum w:abstractNumId="24">
    <w:nsid w:val="1119287E"/>
    <w:multiLevelType w:val="multilevel"/>
    <w:tmpl w:val="1119287E"/>
    <w:lvl w:ilvl="0" w:tentative="0">
      <w:start w:val="1"/>
      <w:numFmt w:val="decimal"/>
      <w:lvlText w:val="9.%1"/>
      <w:lvlJc w:val="left"/>
      <w:pPr>
        <w:tabs>
          <w:tab w:val="left" w:pos="1260"/>
        </w:tabs>
        <w:ind w:left="1260" w:hanging="420"/>
      </w:pPr>
      <w:rPr>
        <w:rFonts w:hint="default" w:ascii="Times New Roman" w:hAnsi="Times New Roman" w:cs="Times New Roman"/>
        <w:b w:val="0"/>
        <w:i w:val="0"/>
        <w:color w:val="auto"/>
        <w:sz w:val="21"/>
        <w:szCs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11DC4E30"/>
    <w:multiLevelType w:val="multilevel"/>
    <w:tmpl w:val="11DC4E30"/>
    <w:lvl w:ilvl="0" w:tentative="0">
      <w:start w:val="5"/>
      <w:numFmt w:val="decimal"/>
      <w:lvlText w:val="%1"/>
      <w:lvlJc w:val="left"/>
      <w:pPr>
        <w:tabs>
          <w:tab w:val="left" w:pos="540"/>
        </w:tabs>
        <w:ind w:left="540" w:hanging="540"/>
      </w:pPr>
      <w:rPr>
        <w:rFonts w:hint="default"/>
        <w:color w:val="auto"/>
      </w:rPr>
    </w:lvl>
    <w:lvl w:ilvl="1" w:tentative="0">
      <w:start w:val="1"/>
      <w:numFmt w:val="decimal"/>
      <w:lvlText w:val="5.%2"/>
      <w:lvlJc w:val="left"/>
      <w:pPr>
        <w:tabs>
          <w:tab w:val="left" w:pos="540"/>
        </w:tabs>
        <w:ind w:left="540" w:hanging="540"/>
      </w:pPr>
      <w:rPr>
        <w:rFonts w:hint="default" w:ascii="Times New Roman" w:hAnsi="Times New Roman" w:cs="Times New Roman"/>
        <w:b w:val="0"/>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6">
    <w:nsid w:val="14606C9A"/>
    <w:multiLevelType w:val="multilevel"/>
    <w:tmpl w:val="14606C9A"/>
    <w:lvl w:ilvl="0" w:tentative="0">
      <w:start w:val="1"/>
      <w:numFmt w:val="decimal"/>
      <w:lvlText w:val="8.%1"/>
      <w:lvlJc w:val="left"/>
      <w:pPr>
        <w:ind w:left="420" w:hanging="420"/>
      </w:pPr>
      <w:rPr>
        <w:rFonts w:hint="default" w:ascii="Times New Roman" w:hAnsi="Times New Roman" w:cs="Times New Roman"/>
        <w:b w:val="0"/>
        <w:color w:val="auto"/>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160F63DD"/>
    <w:multiLevelType w:val="multilevel"/>
    <w:tmpl w:val="160F63DD"/>
    <w:lvl w:ilvl="0" w:tentative="0">
      <w:start w:val="1"/>
      <w:numFmt w:val="decimal"/>
      <w:lvlText w:val="16.%1"/>
      <w:lvlJc w:val="left"/>
      <w:pPr>
        <w:tabs>
          <w:tab w:val="left" w:pos="840"/>
        </w:tabs>
        <w:ind w:left="840" w:hanging="420"/>
      </w:pPr>
      <w:rPr>
        <w:rFonts w:hint="eastAsia" w:cs="Times New Roman"/>
      </w:rPr>
    </w:lvl>
    <w:lvl w:ilvl="1" w:tentative="0">
      <w:start w:val="1"/>
      <w:numFmt w:val="decimal"/>
      <w:lvlText w:val="17.%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280"/>
        </w:tabs>
        <w:ind w:left="1965" w:hanging="1125"/>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8">
    <w:nsid w:val="187E4373"/>
    <w:multiLevelType w:val="multilevel"/>
    <w:tmpl w:val="187E4373"/>
    <w:lvl w:ilvl="0" w:tentative="0">
      <w:start w:val="1"/>
      <w:numFmt w:val="decimal"/>
      <w:lvlText w:val="21.%1"/>
      <w:lvlJc w:val="left"/>
      <w:pPr>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18971251"/>
    <w:multiLevelType w:val="multilevel"/>
    <w:tmpl w:val="18971251"/>
    <w:lvl w:ilvl="0" w:tentative="0">
      <w:start w:val="1"/>
      <w:numFmt w:val="decimal"/>
      <w:suff w:val="space"/>
      <w:lvlText w:val="附件5-%1："/>
      <w:lvlJc w:val="left"/>
      <w:pPr>
        <w:ind w:left="568" w:firstLine="0"/>
      </w:pPr>
      <w:rPr>
        <w:rFonts w:hint="eastAsia"/>
        <w:sz w:val="21"/>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198E1900"/>
    <w:multiLevelType w:val="multilevel"/>
    <w:tmpl w:val="198E1900"/>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31">
    <w:nsid w:val="19EE02D0"/>
    <w:multiLevelType w:val="multilevel"/>
    <w:tmpl w:val="19EE02D0"/>
    <w:lvl w:ilvl="0" w:tentative="0">
      <w:start w:val="1"/>
      <w:numFmt w:val="chineseCountingThousand"/>
      <w:pStyle w:val="240"/>
      <w:lvlText w:val="第%1条"/>
      <w:lvlJc w:val="left"/>
      <w:pPr>
        <w:tabs>
          <w:tab w:val="left" w:pos="1260"/>
        </w:tabs>
        <w:ind w:left="972" w:hanging="432"/>
      </w:pPr>
      <w:rPr>
        <w:b/>
      </w:rPr>
    </w:lvl>
    <w:lvl w:ilvl="1" w:tentative="0">
      <w:start w:val="1"/>
      <w:numFmt w:val="decimal"/>
      <w:lvlText w:val="4.%2"/>
      <w:lvlJc w:val="left"/>
      <w:pPr>
        <w:tabs>
          <w:tab w:val="left" w:pos="1140"/>
        </w:tabs>
        <w:ind w:left="1140" w:hanging="420"/>
      </w:pPr>
      <w:rPr>
        <w:rFonts w:hint="default" w:ascii="Times New Roman" w:hAnsi="Times New Roman" w:cs="Times New Roman"/>
        <w:b w:val="0"/>
        <w:color w:val="auto"/>
      </w:rPr>
    </w:lvl>
    <w:lvl w:ilvl="2" w:tentative="0">
      <w:start w:val="1"/>
      <w:numFmt w:val="decimal"/>
      <w:isLgl/>
      <w:lvlText w:val="%1.%2.%3"/>
      <w:lvlJc w:val="left"/>
      <w:pPr>
        <w:tabs>
          <w:tab w:val="left" w:pos="900"/>
        </w:tabs>
        <w:ind w:left="900" w:hanging="720"/>
      </w:pPr>
      <w:rPr>
        <w:rFonts w:hint="eastAsia"/>
      </w:rPr>
    </w:lvl>
    <w:lvl w:ilvl="3" w:tentative="0">
      <w:start w:val="1"/>
      <w:numFmt w:val="decimal"/>
      <w:isLgl/>
      <w:lvlText w:val="%1.%2.%3.%4"/>
      <w:lvlJc w:val="left"/>
      <w:pPr>
        <w:tabs>
          <w:tab w:val="left" w:pos="1044"/>
        </w:tabs>
        <w:ind w:left="1044" w:hanging="864"/>
      </w:pPr>
      <w:rPr>
        <w:rFonts w:hint="eastAsia"/>
      </w:rPr>
    </w:lvl>
    <w:lvl w:ilvl="4" w:tentative="0">
      <w:start w:val="1"/>
      <w:numFmt w:val="decimal"/>
      <w:isLgl/>
      <w:lvlText w:val="%1.%2.%3.%4.%5"/>
      <w:lvlJc w:val="left"/>
      <w:pPr>
        <w:tabs>
          <w:tab w:val="left" w:pos="1188"/>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32">
    <w:nsid w:val="1B0668AC"/>
    <w:multiLevelType w:val="multilevel"/>
    <w:tmpl w:val="1B0668AC"/>
    <w:lvl w:ilvl="0" w:tentative="0">
      <w:start w:val="1"/>
      <w:numFmt w:val="decimal"/>
      <w:lvlText w:val="(%1)"/>
      <w:lvlJc w:val="left"/>
      <w:pPr>
        <w:tabs>
          <w:tab w:val="left" w:pos="420"/>
        </w:tabs>
        <w:ind w:left="420" w:hanging="420"/>
      </w:pPr>
      <w:rPr>
        <w:rFonts w:hint="default" w:ascii="Times New Roman" w:hAnsi="Times New Roman" w:cs="Times New Roman"/>
        <w:sz w:val="24"/>
        <w:szCs w:val="24"/>
      </w:rPr>
    </w:lvl>
    <w:lvl w:ilvl="1" w:tentative="0">
      <w:start w:val="1"/>
      <w:numFmt w:val="decimal"/>
      <w:lvlText w:val="12.%2"/>
      <w:lvlJc w:val="left"/>
      <w:pPr>
        <w:tabs>
          <w:tab w:val="left" w:pos="840"/>
        </w:tabs>
        <w:ind w:left="840" w:hanging="420"/>
      </w:pPr>
      <w:rPr>
        <w:rFonts w:hint="eastAsia" w:cs="Times New Roman"/>
        <w:b w:val="0"/>
        <w:color w:val="auto"/>
        <w:sz w:val="24"/>
        <w:szCs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3">
    <w:nsid w:val="1BD027CB"/>
    <w:multiLevelType w:val="multilevel"/>
    <w:tmpl w:val="1BD027CB"/>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34">
    <w:nsid w:val="1F21696E"/>
    <w:multiLevelType w:val="multilevel"/>
    <w:tmpl w:val="1F21696E"/>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35">
    <w:nsid w:val="20883D23"/>
    <w:multiLevelType w:val="multilevel"/>
    <w:tmpl w:val="20883D23"/>
    <w:lvl w:ilvl="0" w:tentative="0">
      <w:start w:val="1"/>
      <w:numFmt w:val="lowerLetter"/>
      <w:lvlText w:val="%1)"/>
      <w:lvlJc w:val="left"/>
      <w:pPr>
        <w:ind w:left="487" w:hanging="420"/>
      </w:p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36">
    <w:nsid w:val="209C26D6"/>
    <w:multiLevelType w:val="multilevel"/>
    <w:tmpl w:val="209C26D6"/>
    <w:lvl w:ilvl="0" w:tentative="0">
      <w:start w:val="8"/>
      <w:numFmt w:val="decimal"/>
      <w:lvlText w:val="%1"/>
      <w:lvlJc w:val="left"/>
      <w:pPr>
        <w:tabs>
          <w:tab w:val="left" w:pos="540"/>
        </w:tabs>
        <w:ind w:left="540" w:hanging="540"/>
      </w:pPr>
      <w:rPr>
        <w:rFonts w:hint="default" w:cs="Times New Roman"/>
        <w:color w:val="auto"/>
      </w:rPr>
    </w:lvl>
    <w:lvl w:ilvl="1" w:tentative="0">
      <w:start w:val="1"/>
      <w:numFmt w:val="decimal"/>
      <w:lvlText w:val="10.%2"/>
      <w:lvlJc w:val="left"/>
      <w:pPr>
        <w:tabs>
          <w:tab w:val="left" w:pos="540"/>
        </w:tabs>
        <w:ind w:left="540" w:hanging="540"/>
      </w:pPr>
      <w:rPr>
        <w:rFonts w:hint="default" w:ascii="Times New Roman" w:hAnsi="Times New Roman" w:cs="Times New Roman"/>
        <w:b w:val="0"/>
        <w:i w:val="0"/>
        <w:color w:val="auto"/>
        <w:sz w:val="21"/>
        <w:szCs w:val="21"/>
      </w:rPr>
    </w:lvl>
    <w:lvl w:ilvl="2" w:tentative="0">
      <w:start w:val="1"/>
      <w:numFmt w:val="decimal"/>
      <w:lvlText w:val="%2.%3"/>
      <w:lvlJc w:val="left"/>
      <w:pPr>
        <w:tabs>
          <w:tab w:val="left" w:pos="720"/>
        </w:tabs>
        <w:ind w:left="720" w:hanging="720"/>
      </w:pPr>
      <w:rPr>
        <w:rFonts w:hint="default" w:cs="Times New Roman"/>
        <w:color w:val="auto"/>
      </w:rPr>
    </w:lvl>
    <w:lvl w:ilvl="3" w:tentative="0">
      <w:start w:val="1"/>
      <w:numFmt w:val="decimal"/>
      <w:lvlText w:val="%1.%2.%3.%4"/>
      <w:lvlJc w:val="left"/>
      <w:pPr>
        <w:tabs>
          <w:tab w:val="left" w:pos="720"/>
        </w:tabs>
        <w:ind w:left="720" w:hanging="720"/>
      </w:pPr>
      <w:rPr>
        <w:rFonts w:hint="default" w:cs="Times New Roman"/>
        <w:color w:val="auto"/>
      </w:rPr>
    </w:lvl>
    <w:lvl w:ilvl="4" w:tentative="0">
      <w:start w:val="1"/>
      <w:numFmt w:val="decimal"/>
      <w:lvlText w:val="%1.%2.%3.%4.%5"/>
      <w:lvlJc w:val="left"/>
      <w:pPr>
        <w:tabs>
          <w:tab w:val="left" w:pos="1080"/>
        </w:tabs>
        <w:ind w:left="1080" w:hanging="1080"/>
      </w:pPr>
      <w:rPr>
        <w:rFonts w:hint="default" w:cs="Times New Roman"/>
        <w:color w:val="auto"/>
      </w:rPr>
    </w:lvl>
    <w:lvl w:ilvl="5" w:tentative="0">
      <w:start w:val="1"/>
      <w:numFmt w:val="decimal"/>
      <w:lvlText w:val="%1.%2.%3.%4.%5.%6"/>
      <w:lvlJc w:val="left"/>
      <w:pPr>
        <w:tabs>
          <w:tab w:val="left" w:pos="1080"/>
        </w:tabs>
        <w:ind w:left="1080" w:hanging="1080"/>
      </w:pPr>
      <w:rPr>
        <w:rFonts w:hint="default" w:cs="Times New Roman"/>
        <w:color w:val="auto"/>
      </w:rPr>
    </w:lvl>
    <w:lvl w:ilvl="6" w:tentative="0">
      <w:start w:val="1"/>
      <w:numFmt w:val="decimal"/>
      <w:lvlText w:val="%1.%2.%3.%4.%5.%6.%7"/>
      <w:lvlJc w:val="left"/>
      <w:pPr>
        <w:tabs>
          <w:tab w:val="left" w:pos="1440"/>
        </w:tabs>
        <w:ind w:left="1440" w:hanging="1440"/>
      </w:pPr>
      <w:rPr>
        <w:rFonts w:hint="default" w:cs="Times New Roman"/>
        <w:color w:val="auto"/>
      </w:rPr>
    </w:lvl>
    <w:lvl w:ilvl="7" w:tentative="0">
      <w:start w:val="1"/>
      <w:numFmt w:val="decimal"/>
      <w:lvlText w:val="%1.%2.%3.%4.%5.%6.%7.%8"/>
      <w:lvlJc w:val="left"/>
      <w:pPr>
        <w:tabs>
          <w:tab w:val="left" w:pos="1440"/>
        </w:tabs>
        <w:ind w:left="1440" w:hanging="1440"/>
      </w:pPr>
      <w:rPr>
        <w:rFonts w:hint="default" w:cs="Times New Roman"/>
        <w:color w:val="auto"/>
      </w:rPr>
    </w:lvl>
    <w:lvl w:ilvl="8" w:tentative="0">
      <w:start w:val="1"/>
      <w:numFmt w:val="decimal"/>
      <w:lvlText w:val="%1.%2.%3.%4.%5.%6.%7.%8.%9"/>
      <w:lvlJc w:val="left"/>
      <w:pPr>
        <w:tabs>
          <w:tab w:val="left" w:pos="1800"/>
        </w:tabs>
        <w:ind w:left="1800" w:hanging="1800"/>
      </w:pPr>
      <w:rPr>
        <w:rFonts w:hint="default" w:cs="Times New Roman"/>
        <w:color w:val="auto"/>
      </w:rPr>
    </w:lvl>
  </w:abstractNum>
  <w:abstractNum w:abstractNumId="37">
    <w:nsid w:val="22BA7DD4"/>
    <w:multiLevelType w:val="multilevel"/>
    <w:tmpl w:val="22BA7DD4"/>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14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8">
    <w:nsid w:val="250D29F4"/>
    <w:multiLevelType w:val="multilevel"/>
    <w:tmpl w:val="250D29F4"/>
    <w:lvl w:ilvl="0" w:tentative="0">
      <w:start w:val="1"/>
      <w:numFmt w:val="decimal"/>
      <w:lvlText w:val="8.%1"/>
      <w:lvlJc w:val="left"/>
      <w:pPr>
        <w:ind w:left="420" w:hanging="420"/>
      </w:pPr>
      <w:rPr>
        <w:rFonts w:hint="eastAsia" w:cs="Times New Roman"/>
      </w:rPr>
    </w:lvl>
    <w:lvl w:ilvl="1" w:tentative="0">
      <w:start w:val="1"/>
      <w:numFmt w:val="decimal"/>
      <w:lvlText w:val="7.%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9">
    <w:nsid w:val="2A4432F0"/>
    <w:multiLevelType w:val="multilevel"/>
    <w:tmpl w:val="2A4432F0"/>
    <w:lvl w:ilvl="0" w:tentative="0">
      <w:start w:val="1"/>
      <w:numFmt w:val="decimal"/>
      <w:lvlText w:val="(%1)"/>
      <w:lvlJc w:val="left"/>
      <w:pPr>
        <w:ind w:left="1129" w:hanging="420"/>
      </w:pPr>
      <w:rPr>
        <w:rFonts w:hint="default" w:ascii="Times New Roman" w:hAnsi="Times New Roman" w:cs="Times New Roman"/>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40">
    <w:nsid w:val="2DF54DF2"/>
    <w:multiLevelType w:val="multilevel"/>
    <w:tmpl w:val="2DF54DF2"/>
    <w:lvl w:ilvl="0" w:tentative="0">
      <w:start w:val="1"/>
      <w:numFmt w:val="decimal"/>
      <w:lvlText w:val="(%1)"/>
      <w:lvlJc w:val="left"/>
      <w:pPr>
        <w:ind w:left="1129" w:hanging="420"/>
      </w:pPr>
      <w:rPr>
        <w:rFonts w:hint="eastAsia" w:cs="Times New Roman"/>
      </w:rPr>
    </w:lvl>
    <w:lvl w:ilvl="1" w:tentative="0">
      <w:start w:val="1"/>
      <w:numFmt w:val="lowerLetter"/>
      <w:lvlText w:val="%2)"/>
      <w:lvlJc w:val="left"/>
      <w:pPr>
        <w:ind w:left="1549" w:hanging="420"/>
      </w:pPr>
      <w:rPr>
        <w:rFonts w:cs="Times New Roman"/>
      </w:rPr>
    </w:lvl>
    <w:lvl w:ilvl="2" w:tentative="0">
      <w:start w:val="1"/>
      <w:numFmt w:val="decimal"/>
      <w:lvlText w:val="(%3)"/>
      <w:lvlJc w:val="left"/>
      <w:pPr>
        <w:ind w:left="1969" w:hanging="420"/>
      </w:pPr>
      <w:rPr>
        <w:rFonts w:hint="eastAsia"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abstractNum w:abstractNumId="41">
    <w:nsid w:val="2FAC0DC2"/>
    <w:multiLevelType w:val="multilevel"/>
    <w:tmpl w:val="2FAC0DC2"/>
    <w:lvl w:ilvl="0" w:tentative="0">
      <w:start w:val="8"/>
      <w:numFmt w:val="decimal"/>
      <w:pStyle w:val="198"/>
      <w:lvlText w:val="%1"/>
      <w:lvlJc w:val="left"/>
      <w:pPr>
        <w:tabs>
          <w:tab w:val="left" w:pos="360"/>
        </w:tabs>
        <w:ind w:left="360" w:hanging="360"/>
      </w:pPr>
      <w:rPr>
        <w:rFonts w:hint="default"/>
      </w:rPr>
    </w:lvl>
    <w:lvl w:ilvl="1" w:tentative="0">
      <w:start w:val="3"/>
      <w:numFmt w:val="decimal"/>
      <w:lvlText w:val="%1.%2"/>
      <w:lvlJc w:val="left"/>
      <w:pPr>
        <w:tabs>
          <w:tab w:val="left" w:pos="360"/>
        </w:tabs>
        <w:ind w:left="360" w:hanging="360"/>
      </w:pPr>
      <w:rPr>
        <w:rFonts w:hint="default"/>
      </w:rPr>
    </w:lvl>
    <w:lvl w:ilvl="2" w:tentative="0">
      <w:start w:val="1"/>
      <w:numFmt w:val="decimal"/>
      <w:lvlText w:val="18.3.%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2">
    <w:nsid w:val="30271514"/>
    <w:multiLevelType w:val="multilevel"/>
    <w:tmpl w:val="30271514"/>
    <w:lvl w:ilvl="0" w:tentative="0">
      <w:start w:val="1"/>
      <w:numFmt w:val="lowerLetter"/>
      <w:lvlText w:val="%1)"/>
      <w:lvlJc w:val="left"/>
      <w:pPr>
        <w:ind w:left="487" w:hanging="420"/>
      </w:p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43">
    <w:nsid w:val="305728CA"/>
    <w:multiLevelType w:val="multilevel"/>
    <w:tmpl w:val="305728CA"/>
    <w:lvl w:ilvl="0" w:tentative="0">
      <w:start w:val="4"/>
      <w:numFmt w:val="decimal"/>
      <w:lvlText w:val="%1"/>
      <w:lvlJc w:val="left"/>
      <w:pPr>
        <w:tabs>
          <w:tab w:val="left" w:pos="540"/>
        </w:tabs>
        <w:ind w:left="540" w:hanging="540"/>
      </w:pPr>
      <w:rPr>
        <w:rFonts w:hint="default" w:cs="Times New Roman"/>
        <w:color w:val="auto"/>
      </w:rPr>
    </w:lvl>
    <w:lvl w:ilvl="1" w:tentative="0">
      <w:start w:val="1"/>
      <w:numFmt w:val="decimal"/>
      <w:lvlText w:val="4.%2"/>
      <w:lvlJc w:val="left"/>
      <w:pPr>
        <w:tabs>
          <w:tab w:val="left" w:pos="540"/>
        </w:tabs>
        <w:ind w:left="540" w:hanging="540"/>
      </w:pPr>
      <w:rPr>
        <w:rFonts w:hint="eastAsia" w:cs="Times New Roman"/>
        <w:b w:val="0"/>
        <w:color w:val="000000"/>
        <w:sz w:val="21"/>
        <w:szCs w:val="21"/>
      </w:rPr>
    </w:lvl>
    <w:lvl w:ilvl="2" w:tentative="0">
      <w:start w:val="1"/>
      <w:numFmt w:val="decimal"/>
      <w:lvlText w:val="%2.%3"/>
      <w:lvlJc w:val="left"/>
      <w:pPr>
        <w:tabs>
          <w:tab w:val="left" w:pos="720"/>
        </w:tabs>
        <w:ind w:left="720" w:hanging="720"/>
      </w:pPr>
      <w:rPr>
        <w:rFonts w:hint="default" w:cs="Times New Roman"/>
        <w:color w:val="auto"/>
      </w:rPr>
    </w:lvl>
    <w:lvl w:ilvl="3" w:tentative="0">
      <w:start w:val="1"/>
      <w:numFmt w:val="decimal"/>
      <w:lvlText w:val="%1.%2.%3.%4"/>
      <w:lvlJc w:val="left"/>
      <w:pPr>
        <w:tabs>
          <w:tab w:val="left" w:pos="720"/>
        </w:tabs>
        <w:ind w:left="720" w:hanging="720"/>
      </w:pPr>
      <w:rPr>
        <w:rFonts w:hint="default" w:cs="Times New Roman"/>
        <w:color w:val="auto"/>
      </w:rPr>
    </w:lvl>
    <w:lvl w:ilvl="4" w:tentative="0">
      <w:start w:val="1"/>
      <w:numFmt w:val="decimal"/>
      <w:lvlText w:val="%1.%2.%3.%4.%5"/>
      <w:lvlJc w:val="left"/>
      <w:pPr>
        <w:tabs>
          <w:tab w:val="left" w:pos="1080"/>
        </w:tabs>
        <w:ind w:left="1080" w:hanging="1080"/>
      </w:pPr>
      <w:rPr>
        <w:rFonts w:hint="default" w:cs="Times New Roman"/>
        <w:color w:val="auto"/>
      </w:rPr>
    </w:lvl>
    <w:lvl w:ilvl="5" w:tentative="0">
      <w:start w:val="1"/>
      <w:numFmt w:val="decimal"/>
      <w:lvlText w:val="%1.%2.%3.%4.%5.%6"/>
      <w:lvlJc w:val="left"/>
      <w:pPr>
        <w:tabs>
          <w:tab w:val="left" w:pos="1080"/>
        </w:tabs>
        <w:ind w:left="1080" w:hanging="1080"/>
      </w:pPr>
      <w:rPr>
        <w:rFonts w:hint="default" w:cs="Times New Roman"/>
        <w:color w:val="auto"/>
      </w:rPr>
    </w:lvl>
    <w:lvl w:ilvl="6" w:tentative="0">
      <w:start w:val="1"/>
      <w:numFmt w:val="decimal"/>
      <w:lvlText w:val="%1.%2.%3.%4.%5.%6.%7"/>
      <w:lvlJc w:val="left"/>
      <w:pPr>
        <w:tabs>
          <w:tab w:val="left" w:pos="1440"/>
        </w:tabs>
        <w:ind w:left="1440" w:hanging="1440"/>
      </w:pPr>
      <w:rPr>
        <w:rFonts w:hint="default" w:cs="Times New Roman"/>
        <w:color w:val="auto"/>
      </w:rPr>
    </w:lvl>
    <w:lvl w:ilvl="7" w:tentative="0">
      <w:start w:val="1"/>
      <w:numFmt w:val="decimal"/>
      <w:lvlText w:val="%1.%2.%3.%4.%5.%6.%7.%8"/>
      <w:lvlJc w:val="left"/>
      <w:pPr>
        <w:tabs>
          <w:tab w:val="left" w:pos="1440"/>
        </w:tabs>
        <w:ind w:left="1440" w:hanging="1440"/>
      </w:pPr>
      <w:rPr>
        <w:rFonts w:hint="default" w:cs="Times New Roman"/>
        <w:color w:val="auto"/>
      </w:rPr>
    </w:lvl>
    <w:lvl w:ilvl="8" w:tentative="0">
      <w:start w:val="1"/>
      <w:numFmt w:val="decimal"/>
      <w:lvlText w:val="%1.%2.%3.%4.%5.%6.%7.%8.%9"/>
      <w:lvlJc w:val="left"/>
      <w:pPr>
        <w:tabs>
          <w:tab w:val="left" w:pos="1800"/>
        </w:tabs>
        <w:ind w:left="1800" w:hanging="1800"/>
      </w:pPr>
      <w:rPr>
        <w:rFonts w:hint="default" w:cs="Times New Roman"/>
        <w:color w:val="auto"/>
      </w:rPr>
    </w:lvl>
  </w:abstractNum>
  <w:abstractNum w:abstractNumId="44">
    <w:nsid w:val="31447675"/>
    <w:multiLevelType w:val="singleLevel"/>
    <w:tmpl w:val="31447675"/>
    <w:lvl w:ilvl="0" w:tentative="0">
      <w:start w:val="1"/>
      <w:numFmt w:val="decimal"/>
      <w:suff w:val="space"/>
      <w:lvlText w:val="（%1）"/>
      <w:lvlJc w:val="left"/>
    </w:lvl>
  </w:abstractNum>
  <w:abstractNum w:abstractNumId="45">
    <w:nsid w:val="32425AE8"/>
    <w:multiLevelType w:val="multilevel"/>
    <w:tmpl w:val="32425AE8"/>
    <w:lvl w:ilvl="0" w:tentative="0">
      <w:start w:val="1"/>
      <w:numFmt w:val="lowerLetter"/>
      <w:lvlText w:val="%1)"/>
      <w:lvlJc w:val="left"/>
      <w:pPr>
        <w:tabs>
          <w:tab w:val="left" w:pos="1134"/>
        </w:tabs>
        <w:ind w:left="1134"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194"/>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325F36FB"/>
    <w:multiLevelType w:val="multilevel"/>
    <w:tmpl w:val="325F36FB"/>
    <w:lvl w:ilvl="0" w:tentative="0">
      <w:start w:val="1"/>
      <w:numFmt w:val="decimal"/>
      <w:lvlText w:val="2.%1"/>
      <w:lvlJc w:val="left"/>
      <w:pPr>
        <w:ind w:left="420" w:hanging="420"/>
      </w:pPr>
      <w:rPr>
        <w:rFonts w:hint="eastAsia" w:cs="Times New Roman"/>
      </w:rPr>
    </w:lvl>
    <w:lvl w:ilvl="1" w:tentative="0">
      <w:start w:val="1"/>
      <w:numFmt w:val="decimal"/>
      <w:lvlText w:val="2.%2"/>
      <w:lvlJc w:val="left"/>
      <w:pPr>
        <w:ind w:left="840" w:hanging="420"/>
      </w:pPr>
      <w:rPr>
        <w:rFonts w:hint="eastAsia" w:cs="Times New Roman"/>
        <w:b w:val="0"/>
        <w:sz w:val="21"/>
        <w:szCs w:val="21"/>
      </w:rPr>
    </w:lvl>
    <w:lvl w:ilvl="2" w:tentative="0">
      <w:start w:val="1"/>
      <w:numFmt w:val="decimal"/>
      <w:lvlText w:val="（%3）"/>
      <w:lvlJc w:val="left"/>
      <w:pPr>
        <w:ind w:left="1560" w:hanging="720"/>
      </w:pPr>
      <w:rPr>
        <w:rFonts w:hint="default"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7">
    <w:nsid w:val="353D1D5C"/>
    <w:multiLevelType w:val="multilevel"/>
    <w:tmpl w:val="353D1D5C"/>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decimal"/>
      <w:lvlText w:val="(%5)"/>
      <w:lvlJc w:val="left"/>
      <w:pPr>
        <w:ind w:left="2100" w:hanging="420"/>
      </w:pPr>
      <w:rPr>
        <w:rFonts w:hint="default" w:ascii="Times New Roman" w:hAnsi="Times New Roman" w:eastAsia="宋体"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8">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rPr>
        <w:rFonts w:cs="Times New Roman"/>
      </w:rPr>
    </w:lvl>
    <w:lvl w:ilvl="3" w:tentative="0">
      <w:start w:val="1"/>
      <w:numFmt w:val="decimal"/>
      <w:lvlText w:val="%4."/>
      <w:lvlJc w:val="left"/>
      <w:pPr>
        <w:ind w:left="2328" w:hanging="420"/>
      </w:pPr>
      <w:rPr>
        <w:rFonts w:cs="Times New Roman"/>
      </w:rPr>
    </w:lvl>
    <w:lvl w:ilvl="4" w:tentative="0">
      <w:start w:val="1"/>
      <w:numFmt w:val="lowerLetter"/>
      <w:lvlText w:val="%5)"/>
      <w:lvlJc w:val="left"/>
      <w:pPr>
        <w:ind w:left="2748" w:hanging="420"/>
      </w:pPr>
      <w:rPr>
        <w:rFonts w:cs="Times New Roman"/>
      </w:rPr>
    </w:lvl>
    <w:lvl w:ilvl="5" w:tentative="0">
      <w:start w:val="1"/>
      <w:numFmt w:val="lowerRoman"/>
      <w:lvlText w:val="%6."/>
      <w:lvlJc w:val="right"/>
      <w:pPr>
        <w:ind w:left="3168" w:hanging="420"/>
      </w:pPr>
      <w:rPr>
        <w:rFonts w:cs="Times New Roman"/>
      </w:rPr>
    </w:lvl>
    <w:lvl w:ilvl="6" w:tentative="0">
      <w:start w:val="1"/>
      <w:numFmt w:val="decimal"/>
      <w:lvlText w:val="%7."/>
      <w:lvlJc w:val="left"/>
      <w:pPr>
        <w:ind w:left="3588" w:hanging="420"/>
      </w:pPr>
      <w:rPr>
        <w:rFonts w:cs="Times New Roman"/>
      </w:rPr>
    </w:lvl>
    <w:lvl w:ilvl="7" w:tentative="0">
      <w:start w:val="1"/>
      <w:numFmt w:val="lowerLetter"/>
      <w:lvlText w:val="%8)"/>
      <w:lvlJc w:val="left"/>
      <w:pPr>
        <w:ind w:left="4008" w:hanging="420"/>
      </w:pPr>
      <w:rPr>
        <w:rFonts w:cs="Times New Roman"/>
      </w:rPr>
    </w:lvl>
    <w:lvl w:ilvl="8" w:tentative="0">
      <w:start w:val="1"/>
      <w:numFmt w:val="lowerRoman"/>
      <w:lvlText w:val="%9."/>
      <w:lvlJc w:val="right"/>
      <w:pPr>
        <w:ind w:left="4428" w:hanging="420"/>
      </w:pPr>
      <w:rPr>
        <w:rFonts w:cs="Times New Roman"/>
      </w:rPr>
    </w:lvl>
  </w:abstractNum>
  <w:abstractNum w:abstractNumId="49">
    <w:nsid w:val="3B2C3E48"/>
    <w:multiLevelType w:val="multilevel"/>
    <w:tmpl w:val="3B2C3E48"/>
    <w:lvl w:ilvl="0" w:tentative="0">
      <w:start w:val="1"/>
      <w:numFmt w:val="chineseCountingThousand"/>
      <w:lvlText w:val="第%1条"/>
      <w:lvlJc w:val="left"/>
      <w:pPr>
        <w:tabs>
          <w:tab w:val="left" w:pos="5115"/>
        </w:tabs>
        <w:ind w:left="5115" w:hanging="720"/>
      </w:pPr>
      <w:rPr>
        <w:rFonts w:hint="eastAsia" w:cs="Times New Roman"/>
        <w:b w:val="0"/>
        <w:bCs w:val="0"/>
        <w:i w:val="0"/>
        <w:iCs w:val="0"/>
        <w:caps w:val="0"/>
        <w:smallCaps w:val="0"/>
        <w:strike w:val="0"/>
        <w:dstrike w:val="0"/>
        <w:vanish w:val="0"/>
        <w:color w:val="000000"/>
        <w:spacing w:val="0"/>
        <w:position w:val="0"/>
        <w:u w:val="none"/>
        <w:vertAlign w:val="baseline"/>
        <w:lang w:val="en-US"/>
      </w:rPr>
    </w:lvl>
    <w:lvl w:ilvl="1" w:tentative="0">
      <w:start w:val="1"/>
      <w:numFmt w:val="lowerLetter"/>
      <w:pStyle w:val="246"/>
      <w:lvlText w:val="%2)"/>
      <w:lvlJc w:val="left"/>
      <w:pPr>
        <w:tabs>
          <w:tab w:val="left" w:pos="5235"/>
        </w:tabs>
        <w:ind w:left="5235" w:hanging="420"/>
      </w:pPr>
    </w:lvl>
    <w:lvl w:ilvl="2" w:tentative="0">
      <w:start w:val="1"/>
      <w:numFmt w:val="lowerRoman"/>
      <w:lvlText w:val="%3."/>
      <w:lvlJc w:val="right"/>
      <w:pPr>
        <w:tabs>
          <w:tab w:val="left" w:pos="5655"/>
        </w:tabs>
        <w:ind w:left="5655" w:hanging="420"/>
      </w:pPr>
    </w:lvl>
    <w:lvl w:ilvl="3" w:tentative="0">
      <w:start w:val="1"/>
      <w:numFmt w:val="decimal"/>
      <w:lvlText w:val="%4."/>
      <w:lvlJc w:val="left"/>
      <w:pPr>
        <w:tabs>
          <w:tab w:val="left" w:pos="6075"/>
        </w:tabs>
        <w:ind w:left="6075" w:hanging="420"/>
      </w:pPr>
    </w:lvl>
    <w:lvl w:ilvl="4" w:tentative="0">
      <w:start w:val="1"/>
      <w:numFmt w:val="lowerLetter"/>
      <w:lvlText w:val="%5)"/>
      <w:lvlJc w:val="left"/>
      <w:pPr>
        <w:tabs>
          <w:tab w:val="left" w:pos="6495"/>
        </w:tabs>
        <w:ind w:left="6495" w:hanging="420"/>
      </w:pPr>
    </w:lvl>
    <w:lvl w:ilvl="5" w:tentative="0">
      <w:start w:val="1"/>
      <w:numFmt w:val="lowerRoman"/>
      <w:lvlText w:val="%6."/>
      <w:lvlJc w:val="right"/>
      <w:pPr>
        <w:tabs>
          <w:tab w:val="left" w:pos="6915"/>
        </w:tabs>
        <w:ind w:left="6915" w:hanging="420"/>
      </w:pPr>
    </w:lvl>
    <w:lvl w:ilvl="6" w:tentative="0">
      <w:start w:val="1"/>
      <w:numFmt w:val="decimal"/>
      <w:lvlText w:val="%7."/>
      <w:lvlJc w:val="left"/>
      <w:pPr>
        <w:tabs>
          <w:tab w:val="left" w:pos="7335"/>
        </w:tabs>
        <w:ind w:left="7335" w:hanging="420"/>
      </w:pPr>
    </w:lvl>
    <w:lvl w:ilvl="7" w:tentative="0">
      <w:start w:val="1"/>
      <w:numFmt w:val="lowerLetter"/>
      <w:lvlText w:val="%8)"/>
      <w:lvlJc w:val="left"/>
      <w:pPr>
        <w:tabs>
          <w:tab w:val="left" w:pos="7755"/>
        </w:tabs>
        <w:ind w:left="7755" w:hanging="420"/>
      </w:pPr>
    </w:lvl>
    <w:lvl w:ilvl="8" w:tentative="0">
      <w:start w:val="1"/>
      <w:numFmt w:val="lowerRoman"/>
      <w:lvlText w:val="%9."/>
      <w:lvlJc w:val="right"/>
      <w:pPr>
        <w:tabs>
          <w:tab w:val="left" w:pos="8175"/>
        </w:tabs>
        <w:ind w:left="8175" w:hanging="420"/>
      </w:pPr>
    </w:lvl>
  </w:abstractNum>
  <w:abstractNum w:abstractNumId="50">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sz w:val="21"/>
        <w:szCs w:val="21"/>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1">
    <w:nsid w:val="3E0798F9"/>
    <w:multiLevelType w:val="singleLevel"/>
    <w:tmpl w:val="3E0798F9"/>
    <w:lvl w:ilvl="0" w:tentative="0">
      <w:start w:val="1"/>
      <w:numFmt w:val="decimal"/>
      <w:suff w:val="space"/>
      <w:lvlText w:val="（%1）"/>
      <w:lvlJc w:val="left"/>
    </w:lvl>
  </w:abstractNum>
  <w:abstractNum w:abstractNumId="52">
    <w:nsid w:val="3F5726EE"/>
    <w:multiLevelType w:val="multilevel"/>
    <w:tmpl w:val="3F5726E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rPr>
        <w:rFonts w:cs="Times New Roman"/>
      </w:rPr>
    </w:lvl>
    <w:lvl w:ilvl="2" w:tentative="0">
      <w:start w:val="1"/>
      <w:numFmt w:val="decimal"/>
      <w:lvlText w:val="(%3)"/>
      <w:lvlJc w:val="left"/>
      <w:pPr>
        <w:ind w:left="1260" w:hanging="420"/>
      </w:pPr>
      <w:rPr>
        <w:rFonts w:hint="default" w:ascii="Times New Roman" w:hAnsi="Times New Roman" w:eastAsia="宋体"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3FE20C88"/>
    <w:multiLevelType w:val="multilevel"/>
    <w:tmpl w:val="3FE20C88"/>
    <w:lvl w:ilvl="0" w:tentative="0">
      <w:start w:val="10"/>
      <w:numFmt w:val="decimal"/>
      <w:lvlText w:val="%1"/>
      <w:lvlJc w:val="left"/>
      <w:pPr>
        <w:tabs>
          <w:tab w:val="left" w:pos="420"/>
        </w:tabs>
        <w:ind w:left="420" w:hanging="420"/>
      </w:pPr>
      <w:rPr>
        <w:rFonts w:hint="default"/>
      </w:rPr>
    </w:lvl>
    <w:lvl w:ilvl="1" w:tentative="0">
      <w:start w:val="1"/>
      <w:numFmt w:val="decimal"/>
      <w:lvlText w:val="19.%2"/>
      <w:lvlJc w:val="left"/>
      <w:pPr>
        <w:tabs>
          <w:tab w:val="left" w:pos="420"/>
        </w:tabs>
        <w:ind w:left="420" w:hanging="420"/>
      </w:pPr>
      <w:rPr>
        <w:rFonts w:hint="default" w:ascii="Times New Roman" w:hAnsi="Times New Roman" w:cs="Times New Roman"/>
        <w:b w:val="0"/>
        <w:i w:val="0"/>
        <w:color w:val="auto"/>
        <w:sz w:val="24"/>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4">
    <w:nsid w:val="40025E9F"/>
    <w:multiLevelType w:val="multilevel"/>
    <w:tmpl w:val="40025E9F"/>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55">
    <w:nsid w:val="4060754E"/>
    <w:multiLevelType w:val="multilevel"/>
    <w:tmpl w:val="4060754E"/>
    <w:lvl w:ilvl="0" w:tentative="0">
      <w:start w:val="1"/>
      <w:numFmt w:val="decimal"/>
      <w:lvlText w:val="13.%1"/>
      <w:lvlJc w:val="left"/>
      <w:pPr>
        <w:tabs>
          <w:tab w:val="left" w:pos="1260"/>
        </w:tabs>
        <w:ind w:left="1260" w:hanging="420"/>
      </w:pPr>
      <w:rPr>
        <w:rFonts w:hint="default" w:ascii="Times New Roman" w:hAnsi="Times New Roman" w:cs="Times New Roman"/>
        <w:b w:val="0"/>
        <w:i w:val="0"/>
        <w:color w:val="auto"/>
        <w:sz w:val="21"/>
        <w:szCs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6">
    <w:nsid w:val="41C55CAA"/>
    <w:multiLevelType w:val="multilevel"/>
    <w:tmpl w:val="41C55CAA"/>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57">
    <w:nsid w:val="440077F7"/>
    <w:multiLevelType w:val="multilevel"/>
    <w:tmpl w:val="440077F7"/>
    <w:lvl w:ilvl="0" w:tentative="0">
      <w:start w:val="1"/>
      <w:numFmt w:val="japaneseCounting"/>
      <w:lvlText w:val="%1、"/>
      <w:lvlJc w:val="left"/>
      <w:pPr>
        <w:ind w:left="720" w:hanging="72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458A0B0B"/>
    <w:multiLevelType w:val="multilevel"/>
    <w:tmpl w:val="458A0B0B"/>
    <w:lvl w:ilvl="0" w:tentative="0">
      <w:start w:val="3"/>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46806F7D"/>
    <w:multiLevelType w:val="multilevel"/>
    <w:tmpl w:val="46806F7D"/>
    <w:lvl w:ilvl="0" w:tentative="0">
      <w:start w:val="1"/>
      <w:numFmt w:val="none"/>
      <w:pStyle w:val="176"/>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46D22D8F"/>
    <w:multiLevelType w:val="multilevel"/>
    <w:tmpl w:val="46D22D8F"/>
    <w:lvl w:ilvl="0" w:tentative="0">
      <w:start w:val="1"/>
      <w:numFmt w:val="none"/>
      <w:pStyle w:val="200"/>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475F5AFA"/>
    <w:multiLevelType w:val="multilevel"/>
    <w:tmpl w:val="475F5AF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2">
    <w:nsid w:val="48163569"/>
    <w:multiLevelType w:val="multilevel"/>
    <w:tmpl w:val="48163569"/>
    <w:lvl w:ilvl="0" w:tentative="0">
      <w:start w:val="1"/>
      <w:numFmt w:val="lowerLetter"/>
      <w:lvlText w:val="%1)"/>
      <w:lvlJc w:val="left"/>
      <w:pPr>
        <w:tabs>
          <w:tab w:val="left" w:pos="1100"/>
        </w:tabs>
        <w:ind w:left="1100" w:hanging="420"/>
      </w:pPr>
      <w:rPr>
        <w:rFonts w:hint="eastAsia"/>
      </w:rPr>
    </w:lvl>
    <w:lvl w:ilvl="1" w:tentative="0">
      <w:start w:val="1"/>
      <w:numFmt w:val="lowerLetter"/>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177"/>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4">
    <w:nsid w:val="49E06C7D"/>
    <w:multiLevelType w:val="multilevel"/>
    <w:tmpl w:val="49E06C7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4F2A4C79"/>
    <w:multiLevelType w:val="multilevel"/>
    <w:tmpl w:val="4F2A4C79"/>
    <w:lvl w:ilvl="0" w:tentative="0">
      <w:start w:val="1"/>
      <w:numFmt w:val="decimal"/>
      <w:lvlText w:val="18.%1"/>
      <w:lvlJc w:val="left"/>
      <w:pPr>
        <w:ind w:left="1126" w:hanging="420"/>
      </w:pPr>
      <w:rPr>
        <w:rFonts w:hint="eastAsia" w:cs="Times New Roman"/>
        <w:color w:val="auto"/>
        <w:sz w:val="21"/>
        <w:szCs w:val="21"/>
      </w:rPr>
    </w:lvl>
    <w:lvl w:ilvl="1" w:tentative="0">
      <w:start w:val="1"/>
      <w:numFmt w:val="lowerLetter"/>
      <w:lvlText w:val="%2)"/>
      <w:lvlJc w:val="left"/>
      <w:pPr>
        <w:ind w:left="1546" w:hanging="420"/>
      </w:pPr>
      <w:rPr>
        <w:rFonts w:cs="Times New Roman"/>
      </w:rPr>
    </w:lvl>
    <w:lvl w:ilvl="2" w:tentative="0">
      <w:start w:val="1"/>
      <w:numFmt w:val="lowerRoman"/>
      <w:lvlText w:val="%3."/>
      <w:lvlJc w:val="right"/>
      <w:pPr>
        <w:ind w:left="1966" w:hanging="420"/>
      </w:pPr>
      <w:rPr>
        <w:rFonts w:cs="Times New Roman"/>
      </w:rPr>
    </w:lvl>
    <w:lvl w:ilvl="3" w:tentative="0">
      <w:start w:val="1"/>
      <w:numFmt w:val="decimal"/>
      <w:lvlText w:val="%4."/>
      <w:lvlJc w:val="left"/>
      <w:pPr>
        <w:ind w:left="2386" w:hanging="420"/>
      </w:pPr>
      <w:rPr>
        <w:rFonts w:cs="Times New Roman"/>
      </w:rPr>
    </w:lvl>
    <w:lvl w:ilvl="4" w:tentative="0">
      <w:start w:val="1"/>
      <w:numFmt w:val="lowerLetter"/>
      <w:lvlText w:val="%5)"/>
      <w:lvlJc w:val="left"/>
      <w:pPr>
        <w:ind w:left="2806" w:hanging="420"/>
      </w:pPr>
      <w:rPr>
        <w:rFonts w:cs="Times New Roman"/>
      </w:rPr>
    </w:lvl>
    <w:lvl w:ilvl="5" w:tentative="0">
      <w:start w:val="1"/>
      <w:numFmt w:val="lowerRoman"/>
      <w:lvlText w:val="%6."/>
      <w:lvlJc w:val="right"/>
      <w:pPr>
        <w:ind w:left="3226" w:hanging="420"/>
      </w:pPr>
      <w:rPr>
        <w:rFonts w:cs="Times New Roman"/>
      </w:rPr>
    </w:lvl>
    <w:lvl w:ilvl="6" w:tentative="0">
      <w:start w:val="1"/>
      <w:numFmt w:val="decimal"/>
      <w:lvlText w:val="%7."/>
      <w:lvlJc w:val="left"/>
      <w:pPr>
        <w:ind w:left="3646" w:hanging="420"/>
      </w:pPr>
      <w:rPr>
        <w:rFonts w:cs="Times New Roman"/>
      </w:rPr>
    </w:lvl>
    <w:lvl w:ilvl="7" w:tentative="0">
      <w:start w:val="1"/>
      <w:numFmt w:val="lowerLetter"/>
      <w:lvlText w:val="%8)"/>
      <w:lvlJc w:val="left"/>
      <w:pPr>
        <w:ind w:left="4066" w:hanging="420"/>
      </w:pPr>
      <w:rPr>
        <w:rFonts w:cs="Times New Roman"/>
      </w:rPr>
    </w:lvl>
    <w:lvl w:ilvl="8" w:tentative="0">
      <w:start w:val="1"/>
      <w:numFmt w:val="lowerRoman"/>
      <w:lvlText w:val="%9."/>
      <w:lvlJc w:val="right"/>
      <w:pPr>
        <w:ind w:left="4486" w:hanging="420"/>
      </w:pPr>
      <w:rPr>
        <w:rFonts w:cs="Times New Roman"/>
      </w:rPr>
    </w:lvl>
  </w:abstractNum>
  <w:abstractNum w:abstractNumId="66">
    <w:nsid w:val="4F302902"/>
    <w:multiLevelType w:val="multilevel"/>
    <w:tmpl w:val="4F302902"/>
    <w:lvl w:ilvl="0" w:tentative="0">
      <w:start w:val="1"/>
      <w:numFmt w:val="none"/>
      <w:pStyle w:val="170"/>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503715E9"/>
    <w:multiLevelType w:val="multilevel"/>
    <w:tmpl w:val="503715E9"/>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68">
    <w:nsid w:val="5124085E"/>
    <w:multiLevelType w:val="multilevel"/>
    <w:tmpl w:val="5124085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9">
    <w:nsid w:val="55630266"/>
    <w:multiLevelType w:val="singleLevel"/>
    <w:tmpl w:val="55630266"/>
    <w:lvl w:ilvl="0" w:tentative="0">
      <w:start w:val="1"/>
      <w:numFmt w:val="decimal"/>
      <w:suff w:val="nothing"/>
      <w:lvlText w:val="（%1）"/>
      <w:lvlJc w:val="left"/>
    </w:lvl>
  </w:abstractNum>
  <w:abstractNum w:abstractNumId="70">
    <w:nsid w:val="56607AFC"/>
    <w:multiLevelType w:val="multilevel"/>
    <w:tmpl w:val="56607AFC"/>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71">
    <w:nsid w:val="56DE59D5"/>
    <w:multiLevelType w:val="multilevel"/>
    <w:tmpl w:val="56DE59D5"/>
    <w:lvl w:ilvl="0" w:tentative="0">
      <w:start w:val="1"/>
      <w:numFmt w:val="decimal"/>
      <w:lvlText w:val="(%1)"/>
      <w:lvlJc w:val="left"/>
      <w:pPr>
        <w:ind w:left="420" w:hanging="420"/>
      </w:pPr>
      <w:rPr>
        <w:rFonts w:hint="eastAsia" w:cs="Times New Roman"/>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2">
    <w:nsid w:val="57496048"/>
    <w:multiLevelType w:val="multilevel"/>
    <w:tmpl w:val="57496048"/>
    <w:lvl w:ilvl="0" w:tentative="0">
      <w:start w:val="8"/>
      <w:numFmt w:val="decimal"/>
      <w:pStyle w:val="197"/>
      <w:lvlText w:val="%1"/>
      <w:lvlJc w:val="left"/>
      <w:pPr>
        <w:tabs>
          <w:tab w:val="left" w:pos="360"/>
        </w:tabs>
        <w:ind w:left="360" w:hanging="360"/>
      </w:pPr>
      <w:rPr>
        <w:rFonts w:hint="default"/>
      </w:rPr>
    </w:lvl>
    <w:lvl w:ilvl="1" w:tentative="0">
      <w:start w:val="3"/>
      <w:numFmt w:val="decimal"/>
      <w:lvlText w:val="%1.%2"/>
      <w:lvlJc w:val="left"/>
      <w:pPr>
        <w:tabs>
          <w:tab w:val="left" w:pos="360"/>
        </w:tabs>
        <w:ind w:left="360" w:hanging="360"/>
      </w:pPr>
      <w:rPr>
        <w:rFonts w:hint="default"/>
      </w:rPr>
    </w:lvl>
    <w:lvl w:ilvl="2" w:tentative="0">
      <w:start w:val="1"/>
      <w:numFmt w:val="decimal"/>
      <w:lvlText w:val="18.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3">
    <w:nsid w:val="57B20D51"/>
    <w:multiLevelType w:val="multilevel"/>
    <w:tmpl w:val="57B20D51"/>
    <w:lvl w:ilvl="0" w:tentative="0">
      <w:start w:val="6"/>
      <w:numFmt w:val="decimal"/>
      <w:lvlText w:val="%1"/>
      <w:lvlJc w:val="left"/>
      <w:pPr>
        <w:tabs>
          <w:tab w:val="left" w:pos="540"/>
        </w:tabs>
        <w:ind w:left="540" w:hanging="540"/>
      </w:pPr>
      <w:rPr>
        <w:rFonts w:hint="default" w:cs="Times New Roman"/>
        <w:color w:val="auto"/>
      </w:rPr>
    </w:lvl>
    <w:lvl w:ilvl="1" w:tentative="0">
      <w:start w:val="1"/>
      <w:numFmt w:val="decimal"/>
      <w:lvlText w:val="6.%2"/>
      <w:lvlJc w:val="left"/>
      <w:pPr>
        <w:tabs>
          <w:tab w:val="left" w:pos="540"/>
        </w:tabs>
        <w:ind w:left="540" w:hanging="540"/>
      </w:pPr>
      <w:rPr>
        <w:rFonts w:hint="eastAsia" w:cs="Times New Roman"/>
        <w:color w:val="auto"/>
        <w:sz w:val="21"/>
        <w:szCs w:val="21"/>
      </w:rPr>
    </w:lvl>
    <w:lvl w:ilvl="2" w:tentative="0">
      <w:start w:val="1"/>
      <w:numFmt w:val="decimal"/>
      <w:lvlText w:val="%2.%3"/>
      <w:lvlJc w:val="left"/>
      <w:pPr>
        <w:tabs>
          <w:tab w:val="left" w:pos="720"/>
        </w:tabs>
        <w:ind w:left="720" w:hanging="720"/>
      </w:pPr>
      <w:rPr>
        <w:rFonts w:hint="default" w:cs="Times New Roman"/>
        <w:color w:val="auto"/>
      </w:rPr>
    </w:lvl>
    <w:lvl w:ilvl="3" w:tentative="0">
      <w:start w:val="1"/>
      <w:numFmt w:val="decimal"/>
      <w:lvlText w:val="%1.%2.%3.%4"/>
      <w:lvlJc w:val="left"/>
      <w:pPr>
        <w:tabs>
          <w:tab w:val="left" w:pos="720"/>
        </w:tabs>
        <w:ind w:left="720" w:hanging="720"/>
      </w:pPr>
      <w:rPr>
        <w:rFonts w:hint="default" w:cs="Times New Roman"/>
        <w:color w:val="auto"/>
      </w:rPr>
    </w:lvl>
    <w:lvl w:ilvl="4" w:tentative="0">
      <w:start w:val="1"/>
      <w:numFmt w:val="decimal"/>
      <w:lvlText w:val="%1.%2.%3.%4.%5"/>
      <w:lvlJc w:val="left"/>
      <w:pPr>
        <w:tabs>
          <w:tab w:val="left" w:pos="1080"/>
        </w:tabs>
        <w:ind w:left="1080" w:hanging="1080"/>
      </w:pPr>
      <w:rPr>
        <w:rFonts w:hint="default" w:cs="Times New Roman"/>
        <w:color w:val="auto"/>
      </w:rPr>
    </w:lvl>
    <w:lvl w:ilvl="5" w:tentative="0">
      <w:start w:val="1"/>
      <w:numFmt w:val="decimal"/>
      <w:lvlText w:val="%1.%2.%3.%4.%5.%6"/>
      <w:lvlJc w:val="left"/>
      <w:pPr>
        <w:tabs>
          <w:tab w:val="left" w:pos="1080"/>
        </w:tabs>
        <w:ind w:left="1080" w:hanging="1080"/>
      </w:pPr>
      <w:rPr>
        <w:rFonts w:hint="default" w:cs="Times New Roman"/>
        <w:color w:val="auto"/>
      </w:rPr>
    </w:lvl>
    <w:lvl w:ilvl="6" w:tentative="0">
      <w:start w:val="1"/>
      <w:numFmt w:val="decimal"/>
      <w:lvlText w:val="%1.%2.%3.%4.%5.%6.%7"/>
      <w:lvlJc w:val="left"/>
      <w:pPr>
        <w:tabs>
          <w:tab w:val="left" w:pos="1440"/>
        </w:tabs>
        <w:ind w:left="1440" w:hanging="1440"/>
      </w:pPr>
      <w:rPr>
        <w:rFonts w:hint="default" w:cs="Times New Roman"/>
        <w:color w:val="auto"/>
      </w:rPr>
    </w:lvl>
    <w:lvl w:ilvl="7" w:tentative="0">
      <w:start w:val="1"/>
      <w:numFmt w:val="decimal"/>
      <w:lvlText w:val="%1.%2.%3.%4.%5.%6.%7.%8"/>
      <w:lvlJc w:val="left"/>
      <w:pPr>
        <w:tabs>
          <w:tab w:val="left" w:pos="1440"/>
        </w:tabs>
        <w:ind w:left="1440" w:hanging="1440"/>
      </w:pPr>
      <w:rPr>
        <w:rFonts w:hint="default" w:cs="Times New Roman"/>
        <w:color w:val="auto"/>
      </w:rPr>
    </w:lvl>
    <w:lvl w:ilvl="8" w:tentative="0">
      <w:start w:val="1"/>
      <w:numFmt w:val="decimal"/>
      <w:lvlText w:val="%1.%2.%3.%4.%5.%6.%7.%8.%9"/>
      <w:lvlJc w:val="left"/>
      <w:pPr>
        <w:tabs>
          <w:tab w:val="left" w:pos="1800"/>
        </w:tabs>
        <w:ind w:left="1800" w:hanging="1800"/>
      </w:pPr>
      <w:rPr>
        <w:rFonts w:hint="default" w:cs="Times New Roman"/>
        <w:color w:val="auto"/>
      </w:rPr>
    </w:lvl>
  </w:abstractNum>
  <w:abstractNum w:abstractNumId="74">
    <w:nsid w:val="58905F03"/>
    <w:multiLevelType w:val="multilevel"/>
    <w:tmpl w:val="58905F03"/>
    <w:lvl w:ilvl="0" w:tentative="0">
      <w:start w:val="3"/>
      <w:numFmt w:val="decimal"/>
      <w:lvlText w:val="%1"/>
      <w:lvlJc w:val="left"/>
      <w:pPr>
        <w:ind w:left="360" w:hanging="36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5">
    <w:nsid w:val="5C3F2D8F"/>
    <w:multiLevelType w:val="multilevel"/>
    <w:tmpl w:val="5C3F2D8F"/>
    <w:lvl w:ilvl="0" w:tentative="0">
      <w:start w:val="1"/>
      <w:numFmt w:val="decimal"/>
      <w:pStyle w:val="188"/>
      <w:lvlText w:val="第 %1 条"/>
      <w:lvlJc w:val="left"/>
      <w:pPr>
        <w:tabs>
          <w:tab w:val="left" w:pos="425"/>
        </w:tabs>
        <w:ind w:left="425" w:hanging="425"/>
      </w:pPr>
      <w:rPr>
        <w:rFonts w:hint="default" w:ascii="Arial" w:hAnsi="Arial"/>
        <w:b/>
        <w:i w:val="0"/>
        <w:lang w:val="en-US"/>
      </w:rPr>
    </w:lvl>
    <w:lvl w:ilvl="1" w:tentative="0">
      <w:start w:val="1"/>
      <w:numFmt w:val="decimal"/>
      <w:lvlText w:val="%1.%2"/>
      <w:lvlJc w:val="left"/>
      <w:pPr>
        <w:tabs>
          <w:tab w:val="left" w:pos="992"/>
        </w:tabs>
        <w:ind w:left="992" w:hanging="567"/>
      </w:pPr>
      <w:rPr>
        <w:rFonts w:hint="eastAsia"/>
        <w:b w:val="0"/>
        <w:sz w:val="24"/>
        <w:szCs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76">
    <w:nsid w:val="5EAE7184"/>
    <w:multiLevelType w:val="singleLevel"/>
    <w:tmpl w:val="5EAE7184"/>
    <w:lvl w:ilvl="0" w:tentative="0">
      <w:start w:val="1"/>
      <w:numFmt w:val="decimal"/>
      <w:suff w:val="nothing"/>
      <w:lvlText w:val="（%1）"/>
      <w:lvlJc w:val="left"/>
    </w:lvl>
  </w:abstractNum>
  <w:abstractNum w:abstractNumId="77">
    <w:nsid w:val="603F1DE4"/>
    <w:multiLevelType w:val="multilevel"/>
    <w:tmpl w:val="603F1DE4"/>
    <w:lvl w:ilvl="0" w:tentative="0">
      <w:start w:val="1"/>
      <w:numFmt w:val="decimal"/>
      <w:lvlText w:val="%1)"/>
      <w:lvlJc w:val="left"/>
      <w:pPr>
        <w:tabs>
          <w:tab w:val="left" w:pos="960"/>
        </w:tabs>
        <w:ind w:left="96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78">
    <w:nsid w:val="612E6536"/>
    <w:multiLevelType w:val="multilevel"/>
    <w:tmpl w:val="612E6536"/>
    <w:lvl w:ilvl="0" w:tentative="0">
      <w:start w:val="1"/>
      <w:numFmt w:val="decimal"/>
      <w:lvlText w:val="14.%1"/>
      <w:lvlJc w:val="left"/>
      <w:pPr>
        <w:tabs>
          <w:tab w:val="left" w:pos="0"/>
        </w:tabs>
        <w:ind w:left="420" w:hanging="420"/>
      </w:pPr>
      <w:rPr>
        <w:rFonts w:hint="eastAsia" w:cs="Times New Roman"/>
        <w:b w:val="0"/>
        <w:i w:val="0"/>
        <w:color w:val="auto"/>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9">
    <w:nsid w:val="615537E7"/>
    <w:multiLevelType w:val="multilevel"/>
    <w:tmpl w:val="615537E7"/>
    <w:lvl w:ilvl="0" w:tentative="0">
      <w:start w:val="1"/>
      <w:numFmt w:val="chineseCountingThousand"/>
      <w:pStyle w:val="3"/>
      <w:lvlText w:val="第%1条"/>
      <w:lvlJc w:val="left"/>
      <w:pPr>
        <w:tabs>
          <w:tab w:val="left" w:pos="3403"/>
        </w:tabs>
        <w:ind w:left="3403" w:hanging="567"/>
      </w:pPr>
      <w:rPr>
        <w:rFonts w:hint="eastAsia" w:ascii="Times New Roman" w:hAnsi="Times New Roman" w:cs="Times New Roman"/>
        <w:b/>
        <w:i w:val="0"/>
        <w:iCs w:val="0"/>
        <w:caps w:val="0"/>
        <w:smallCaps w:val="0"/>
        <w:strike w:val="0"/>
        <w:dstrike w:val="0"/>
        <w:outline w:val="0"/>
        <w:shadow w:val="0"/>
        <w:emboss w:val="0"/>
        <w:imprint w:val="0"/>
        <w:vanish w:val="0"/>
        <w:spacing w:val="0"/>
        <w:position w:val="0"/>
        <w:u w:val="none"/>
        <w:vertAlign w:val="baseline"/>
      </w:rPr>
    </w:lvl>
    <w:lvl w:ilvl="1" w:tentative="0">
      <w:start w:val="1"/>
      <w:numFmt w:val="none"/>
      <w:pStyle w:val="4"/>
      <w:isLgl/>
      <w:lvlText w:val="3.1"/>
      <w:lvlJc w:val="left"/>
      <w:pPr>
        <w:tabs>
          <w:tab w:val="left" w:pos="851"/>
        </w:tabs>
        <w:ind w:left="0" w:firstLine="284"/>
      </w:pPr>
      <w:rPr>
        <w:rFonts w:hint="default" w:ascii="Times New Roman" w:hAnsi="Times New Roman" w:cs="Times New Roman"/>
        <w:b w:val="0"/>
        <w:i w:val="0"/>
      </w:rPr>
    </w:lvl>
    <w:lvl w:ilvl="2" w:tentative="0">
      <w:start w:val="1"/>
      <w:numFmt w:val="decimal"/>
      <w:pStyle w:val="5"/>
      <w:lvlText w:val="(%3)"/>
      <w:lvlJc w:val="left"/>
      <w:pPr>
        <w:tabs>
          <w:tab w:val="left" w:pos="1134"/>
        </w:tabs>
        <w:ind w:left="1134" w:hanging="567"/>
      </w:pPr>
      <w:rPr>
        <w:rFonts w:hint="eastAsia"/>
        <w:b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0">
    <w:nsid w:val="62FA4B93"/>
    <w:multiLevelType w:val="multilevel"/>
    <w:tmpl w:val="62FA4B93"/>
    <w:lvl w:ilvl="0" w:tentative="0">
      <w:start w:val="1"/>
      <w:numFmt w:val="chineseCountingThousand"/>
      <w:pStyle w:val="253"/>
      <w:suff w:val="space"/>
      <w:lvlText w:val="第%1章"/>
      <w:lvlJc w:val="left"/>
      <w:pPr>
        <w:ind w:left="425" w:hanging="425"/>
      </w:pPr>
      <w:rPr>
        <w:rFonts w:hint="eastAsia"/>
        <w:sz w:val="30"/>
        <w:szCs w:val="30"/>
      </w:rPr>
    </w:lvl>
    <w:lvl w:ilvl="1" w:tentative="0">
      <w:start w:val="1"/>
      <w:numFmt w:val="decimal"/>
      <w:pStyle w:val="254"/>
      <w:isLgl/>
      <w:suff w:val="space"/>
      <w:lvlText w:val="%1.%2"/>
      <w:lvlJc w:val="left"/>
      <w:pPr>
        <w:ind w:left="567" w:hanging="567"/>
      </w:pPr>
      <w:rPr>
        <w:rFonts w:hint="eastAsia"/>
      </w:rPr>
    </w:lvl>
    <w:lvl w:ilvl="2" w:tentative="0">
      <w:start w:val="1"/>
      <w:numFmt w:val="decimal"/>
      <w:pStyle w:val="255"/>
      <w:isLgl/>
      <w:suff w:val="space"/>
      <w:lvlText w:val="%1.%2.%3"/>
      <w:lvlJc w:val="left"/>
      <w:pPr>
        <w:ind w:left="70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1">
    <w:nsid w:val="6350366A"/>
    <w:multiLevelType w:val="multilevel"/>
    <w:tmpl w:val="6350366A"/>
    <w:lvl w:ilvl="0" w:tentative="0">
      <w:start w:val="1"/>
      <w:numFmt w:val="none"/>
      <w:pStyle w:val="181"/>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2">
    <w:nsid w:val="64D75358"/>
    <w:multiLevelType w:val="multilevel"/>
    <w:tmpl w:val="64D75358"/>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83">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3"/>
      <w:suff w:val="nothing"/>
      <w:lvlText w:val="%1.%2.%3　"/>
      <w:lvlJc w:val="left"/>
      <w:pPr>
        <w:ind w:left="0" w:firstLine="0"/>
      </w:pPr>
      <w:rPr>
        <w:rFonts w:hint="eastAsia" w:ascii="黑体" w:hAnsi="Times New Roman" w:eastAsia="黑体"/>
        <w:b w:val="0"/>
        <w:i w:val="0"/>
        <w:sz w:val="21"/>
      </w:rPr>
    </w:lvl>
    <w:lvl w:ilvl="3" w:tentative="0">
      <w:start w:val="1"/>
      <w:numFmt w:val="decimal"/>
      <w:pStyle w:val="174"/>
      <w:suff w:val="nothing"/>
      <w:lvlText w:val="%1.%2.%3.%4　"/>
      <w:lvlJc w:val="left"/>
      <w:pPr>
        <w:ind w:left="0" w:firstLine="0"/>
      </w:pPr>
      <w:rPr>
        <w:rFonts w:hint="eastAsia" w:ascii="黑体" w:hAnsi="Times New Roman" w:eastAsia="黑体"/>
        <w:b w:val="0"/>
        <w:i w:val="0"/>
        <w:sz w:val="21"/>
      </w:rPr>
    </w:lvl>
    <w:lvl w:ilvl="4" w:tentative="0">
      <w:start w:val="1"/>
      <w:numFmt w:val="decimal"/>
      <w:pStyle w:val="17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4">
    <w:nsid w:val="65CE644A"/>
    <w:multiLevelType w:val="multilevel"/>
    <w:tmpl w:val="65CE644A"/>
    <w:lvl w:ilvl="0" w:tentative="0">
      <w:start w:val="1"/>
      <w:numFmt w:val="decimal"/>
      <w:lvlText w:val="20.%1"/>
      <w:lvlJc w:val="left"/>
      <w:pPr>
        <w:tabs>
          <w:tab w:val="left" w:pos="0"/>
        </w:tabs>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5">
    <w:nsid w:val="66A87766"/>
    <w:multiLevelType w:val="multilevel"/>
    <w:tmpl w:val="66A87766"/>
    <w:lvl w:ilvl="0" w:tentative="0">
      <w:start w:val="1"/>
      <w:numFmt w:val="decimal"/>
      <w:lvlText w:val="%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67795370"/>
    <w:multiLevelType w:val="multilevel"/>
    <w:tmpl w:val="67795370"/>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japaneseCounting"/>
      <w:lvlText w:val="%3、"/>
      <w:lvlJc w:val="left"/>
      <w:pPr>
        <w:ind w:left="1507" w:hanging="600"/>
      </w:pPr>
      <w:rPr>
        <w:rFonts w:hint="default"/>
      </w:rPr>
    </w:lvl>
    <w:lvl w:ilvl="3" w:tentative="0">
      <w:start w:val="1"/>
      <w:numFmt w:val="decimal"/>
      <w:lvlText w:val="%4、"/>
      <w:lvlJc w:val="left"/>
      <w:pPr>
        <w:ind w:left="1807" w:hanging="480"/>
      </w:pPr>
      <w:rPr>
        <w:rFonts w:hint="default"/>
      </w:r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87">
    <w:nsid w:val="6B1A016B"/>
    <w:multiLevelType w:val="multilevel"/>
    <w:tmpl w:val="6B1A016B"/>
    <w:lvl w:ilvl="0" w:tentative="0">
      <w:start w:val="1"/>
      <w:numFmt w:val="lowerLetter"/>
      <w:lvlText w:val="%1)"/>
      <w:lvlJc w:val="left"/>
      <w:pPr>
        <w:tabs>
          <w:tab w:val="left" w:pos="987"/>
        </w:tabs>
        <w:ind w:left="987" w:hanging="420"/>
      </w:pPr>
      <w:rPr>
        <w:rFonts w:hint="eastAsia"/>
      </w:rPr>
    </w:lvl>
    <w:lvl w:ilvl="1" w:tentative="0">
      <w:start w:val="1"/>
      <w:numFmt w:val="lowerLetter"/>
      <w:pStyle w:val="17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8">
    <w:nsid w:val="6CB3700D"/>
    <w:multiLevelType w:val="multilevel"/>
    <w:tmpl w:val="6CB3700D"/>
    <w:lvl w:ilvl="0" w:tentative="0">
      <w:start w:val="1"/>
      <w:numFmt w:val="decimal"/>
      <w:lvlText w:val="%1、"/>
      <w:lvlJc w:val="left"/>
      <w:pPr>
        <w:ind w:left="425" w:hanging="425"/>
      </w:pPr>
      <w:rPr>
        <w:rFonts w:hint="eastAsia"/>
        <w:color w:val="auto"/>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9">
    <w:nsid w:val="6CB93CF0"/>
    <w:multiLevelType w:val="multilevel"/>
    <w:tmpl w:val="6CB93CF0"/>
    <w:lvl w:ilvl="0" w:tentative="0">
      <w:start w:val="3"/>
      <w:numFmt w:val="none"/>
      <w:lvlText w:val="6"/>
      <w:lvlJc w:val="left"/>
      <w:pPr>
        <w:tabs>
          <w:tab w:val="left" w:pos="420"/>
        </w:tabs>
        <w:ind w:left="420" w:hanging="420"/>
      </w:pPr>
      <w:rPr>
        <w:rFonts w:hint="eastAsia" w:cs="Times New Roman"/>
      </w:rPr>
    </w:lvl>
    <w:lvl w:ilvl="1" w:tentative="0">
      <w:start w:val="1"/>
      <w:numFmt w:val="decimal"/>
      <w:lvlText w:val="22.%2"/>
      <w:lvlJc w:val="left"/>
      <w:pPr>
        <w:tabs>
          <w:tab w:val="left" w:pos="720"/>
        </w:tabs>
        <w:ind w:left="720" w:hanging="720"/>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440"/>
        </w:tabs>
        <w:ind w:left="1440" w:hanging="1440"/>
      </w:pPr>
      <w:rPr>
        <w:rFonts w:hint="eastAsia" w:cs="Times New Roman"/>
      </w:rPr>
    </w:lvl>
    <w:lvl w:ilvl="5" w:tentative="0">
      <w:start w:val="1"/>
      <w:numFmt w:val="decimal"/>
      <w:lvlText w:val="%1.%2.%3.%4.%5.%6"/>
      <w:lvlJc w:val="left"/>
      <w:pPr>
        <w:tabs>
          <w:tab w:val="left" w:pos="1800"/>
        </w:tabs>
        <w:ind w:left="1800" w:hanging="1800"/>
      </w:pPr>
      <w:rPr>
        <w:rFonts w:hint="eastAsia" w:cs="Times New Roman"/>
      </w:rPr>
    </w:lvl>
    <w:lvl w:ilvl="6" w:tentative="0">
      <w:start w:val="1"/>
      <w:numFmt w:val="decimal"/>
      <w:lvlText w:val="%1.%2.%3.%4.%5.%6.%7"/>
      <w:lvlJc w:val="left"/>
      <w:pPr>
        <w:tabs>
          <w:tab w:val="left" w:pos="2160"/>
        </w:tabs>
        <w:ind w:left="2160" w:hanging="2160"/>
      </w:pPr>
      <w:rPr>
        <w:rFonts w:hint="eastAsia" w:cs="Times New Roman"/>
      </w:rPr>
    </w:lvl>
    <w:lvl w:ilvl="7" w:tentative="0">
      <w:start w:val="1"/>
      <w:numFmt w:val="decimal"/>
      <w:lvlText w:val="%1.%2.%3.%4.%5.%6.%7.%8"/>
      <w:lvlJc w:val="left"/>
      <w:pPr>
        <w:tabs>
          <w:tab w:val="left" w:pos="2160"/>
        </w:tabs>
        <w:ind w:left="2160" w:hanging="2160"/>
      </w:pPr>
      <w:rPr>
        <w:rFonts w:hint="eastAsia" w:cs="Times New Roman"/>
      </w:rPr>
    </w:lvl>
    <w:lvl w:ilvl="8" w:tentative="0">
      <w:start w:val="1"/>
      <w:numFmt w:val="decimal"/>
      <w:lvlText w:val="%1.%2.%3.%4.%5.%6.%7.%8.%9"/>
      <w:lvlJc w:val="left"/>
      <w:pPr>
        <w:tabs>
          <w:tab w:val="left" w:pos="2520"/>
        </w:tabs>
        <w:ind w:left="2520" w:hanging="2520"/>
      </w:pPr>
      <w:rPr>
        <w:rFonts w:hint="eastAsia" w:cs="Times New Roman"/>
      </w:rPr>
    </w:lvl>
  </w:abstractNum>
  <w:abstractNum w:abstractNumId="90">
    <w:nsid w:val="6D24B6E0"/>
    <w:multiLevelType w:val="singleLevel"/>
    <w:tmpl w:val="6D24B6E0"/>
    <w:lvl w:ilvl="0" w:tentative="0">
      <w:start w:val="1"/>
      <w:numFmt w:val="decimal"/>
      <w:suff w:val="space"/>
      <w:lvlText w:val="（%1）"/>
      <w:lvlJc w:val="left"/>
    </w:lvl>
  </w:abstractNum>
  <w:abstractNum w:abstractNumId="91">
    <w:nsid w:val="6DBF04F4"/>
    <w:multiLevelType w:val="multilevel"/>
    <w:tmpl w:val="6DBF04F4"/>
    <w:lvl w:ilvl="0" w:tentative="0">
      <w:start w:val="1"/>
      <w:numFmt w:val="none"/>
      <w:pStyle w:val="20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2">
    <w:nsid w:val="6EEC15B6"/>
    <w:multiLevelType w:val="multilevel"/>
    <w:tmpl w:val="6EEC15B6"/>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93">
    <w:nsid w:val="6FE72E98"/>
    <w:multiLevelType w:val="multilevel"/>
    <w:tmpl w:val="6FE72E98"/>
    <w:lvl w:ilvl="0" w:tentative="0">
      <w:start w:val="8"/>
      <w:numFmt w:val="decimal"/>
      <w:pStyle w:val="196"/>
      <w:lvlText w:val="%1"/>
      <w:lvlJc w:val="left"/>
      <w:pPr>
        <w:tabs>
          <w:tab w:val="left" w:pos="360"/>
        </w:tabs>
        <w:ind w:left="360" w:hanging="360"/>
      </w:pPr>
      <w:rPr>
        <w:rFonts w:hint="default"/>
      </w:rPr>
    </w:lvl>
    <w:lvl w:ilvl="1" w:tentative="0">
      <w:start w:val="3"/>
      <w:numFmt w:val="decimal"/>
      <w:lvlText w:val="%1.%2"/>
      <w:lvlJc w:val="left"/>
      <w:pPr>
        <w:tabs>
          <w:tab w:val="left" w:pos="360"/>
        </w:tabs>
        <w:ind w:left="360" w:hanging="360"/>
      </w:pPr>
      <w:rPr>
        <w:rFonts w:hint="default"/>
      </w:rPr>
    </w:lvl>
    <w:lvl w:ilvl="2" w:tentative="0">
      <w:start w:val="1"/>
      <w:numFmt w:val="decimal"/>
      <w:lvlText w:val="17.1.%3"/>
      <w:lvlJc w:val="left"/>
      <w:pPr>
        <w:tabs>
          <w:tab w:val="left" w:pos="720"/>
        </w:tabs>
        <w:ind w:left="720" w:hanging="720"/>
      </w:pPr>
      <w:rPr>
        <w:rFonts w:hint="default" w:ascii="Times New Roman" w:hAnsi="Times New Roman" w:eastAsia="仿宋_GB2312" w:cs="Times New Roman"/>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4">
    <w:nsid w:val="715C2348"/>
    <w:multiLevelType w:val="multilevel"/>
    <w:tmpl w:val="715C2348"/>
    <w:lvl w:ilvl="0" w:tentative="0">
      <w:start w:val="1"/>
      <w:numFmt w:val="decimal"/>
      <w:lvlText w:val="1.%1"/>
      <w:lvlJc w:val="left"/>
      <w:pPr>
        <w:tabs>
          <w:tab w:val="left" w:pos="420"/>
        </w:tabs>
        <w:ind w:left="420" w:hanging="420"/>
      </w:pPr>
      <w:rPr>
        <w:rFonts w:hint="eastAsia"/>
      </w:rPr>
    </w:lvl>
    <w:lvl w:ilvl="1" w:tentative="0">
      <w:start w:val="1"/>
      <w:numFmt w:val="decimal"/>
      <w:lvlText w:val="1.%2"/>
      <w:lvlJc w:val="left"/>
      <w:pPr>
        <w:tabs>
          <w:tab w:val="left" w:pos="840"/>
        </w:tabs>
        <w:ind w:left="84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lowerLetter"/>
      <w:lvlText w:val="%4)"/>
      <w:lvlJc w:val="left"/>
      <w:pPr>
        <w:tabs>
          <w:tab w:val="left" w:pos="2040"/>
        </w:tabs>
        <w:ind w:left="2040" w:hanging="780"/>
      </w:pPr>
      <w:rPr>
        <w:rFonts w:hint="default"/>
      </w:rPr>
    </w:lvl>
    <w:lvl w:ilvl="4" w:tentative="0">
      <w:start w:val="1"/>
      <w:numFmt w:val="lowerLetter"/>
      <w:pStyle w:val="18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5">
    <w:nsid w:val="7197085D"/>
    <w:multiLevelType w:val="singleLevel"/>
    <w:tmpl w:val="7197085D"/>
    <w:lvl w:ilvl="0" w:tentative="0">
      <w:start w:val="1"/>
      <w:numFmt w:val="bullet"/>
      <w:pStyle w:val="134"/>
      <w:lvlText w:val=""/>
      <w:lvlJc w:val="left"/>
      <w:pPr>
        <w:tabs>
          <w:tab w:val="left" w:pos="1760"/>
        </w:tabs>
        <w:ind w:left="1760" w:hanging="360"/>
      </w:pPr>
      <w:rPr>
        <w:rFonts w:hint="default" w:ascii="Symbol" w:hAnsi="Symbol"/>
      </w:rPr>
    </w:lvl>
  </w:abstractNum>
  <w:abstractNum w:abstractNumId="96">
    <w:nsid w:val="738F07F8"/>
    <w:multiLevelType w:val="multilevel"/>
    <w:tmpl w:val="738F07F8"/>
    <w:lvl w:ilvl="0" w:tentative="0">
      <w:start w:val="1"/>
      <w:numFmt w:val="decimal"/>
      <w:lvlText w:val="17.%1"/>
      <w:lvlJc w:val="left"/>
      <w:pPr>
        <w:ind w:left="840" w:hanging="420"/>
      </w:pPr>
      <w:rPr>
        <w:rFonts w:hint="default" w:ascii="Times New Roman" w:hAnsi="Times New Roman" w:cs="Times New Roman"/>
        <w:sz w:val="21"/>
        <w:szCs w:val="21"/>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97">
    <w:nsid w:val="74D97D76"/>
    <w:multiLevelType w:val="multilevel"/>
    <w:tmpl w:val="74D97D76"/>
    <w:lvl w:ilvl="0" w:tentative="0">
      <w:start w:val="1"/>
      <w:numFmt w:val="lowerLetter"/>
      <w:pStyle w:val="195"/>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8">
    <w:nsid w:val="75A16CED"/>
    <w:multiLevelType w:val="multilevel"/>
    <w:tmpl w:val="75A16CED"/>
    <w:lvl w:ilvl="0" w:tentative="0">
      <w:start w:val="1"/>
      <w:numFmt w:val="decimal"/>
      <w:lvlText w:val="%1"/>
      <w:lvlJc w:val="left"/>
      <w:pPr>
        <w:tabs>
          <w:tab w:val="left" w:pos="540"/>
        </w:tabs>
        <w:ind w:left="540" w:hanging="540"/>
      </w:pPr>
      <w:rPr>
        <w:rFonts w:hint="default" w:cs="Times New Roman"/>
        <w:color w:val="auto"/>
      </w:rPr>
    </w:lvl>
    <w:lvl w:ilvl="1" w:tentative="0">
      <w:start w:val="1"/>
      <w:numFmt w:val="decimal"/>
      <w:lvlText w:val="%1.%2"/>
      <w:lvlJc w:val="left"/>
      <w:pPr>
        <w:tabs>
          <w:tab w:val="left" w:pos="540"/>
        </w:tabs>
        <w:ind w:left="540" w:hanging="540"/>
      </w:pPr>
      <w:rPr>
        <w:rFonts w:hint="default" w:cs="Times New Roman"/>
        <w:color w:val="auto"/>
      </w:rPr>
    </w:lvl>
    <w:lvl w:ilvl="2" w:tentative="0">
      <w:start w:val="1"/>
      <w:numFmt w:val="decimal"/>
      <w:lvlText w:val="%2.%3"/>
      <w:lvlJc w:val="left"/>
      <w:pPr>
        <w:tabs>
          <w:tab w:val="left" w:pos="720"/>
        </w:tabs>
        <w:ind w:left="720" w:hanging="720"/>
      </w:pPr>
      <w:rPr>
        <w:rFonts w:hint="default" w:cs="Times New Roman"/>
        <w:color w:val="auto"/>
      </w:rPr>
    </w:lvl>
    <w:lvl w:ilvl="3" w:tentative="0">
      <w:start w:val="1"/>
      <w:numFmt w:val="decimal"/>
      <w:lvlText w:val="%1.%2.%3.%4"/>
      <w:lvlJc w:val="left"/>
      <w:pPr>
        <w:tabs>
          <w:tab w:val="left" w:pos="720"/>
        </w:tabs>
        <w:ind w:left="720" w:hanging="720"/>
      </w:pPr>
      <w:rPr>
        <w:rFonts w:hint="default" w:cs="Times New Roman"/>
        <w:color w:val="auto"/>
      </w:rPr>
    </w:lvl>
    <w:lvl w:ilvl="4" w:tentative="0">
      <w:start w:val="1"/>
      <w:numFmt w:val="decimal"/>
      <w:lvlText w:val="%1.%2.%3.%4.%5"/>
      <w:lvlJc w:val="left"/>
      <w:pPr>
        <w:tabs>
          <w:tab w:val="left" w:pos="1080"/>
        </w:tabs>
        <w:ind w:left="1080" w:hanging="1080"/>
      </w:pPr>
      <w:rPr>
        <w:rFonts w:hint="default" w:cs="Times New Roman"/>
        <w:color w:val="auto"/>
      </w:rPr>
    </w:lvl>
    <w:lvl w:ilvl="5" w:tentative="0">
      <w:start w:val="1"/>
      <w:numFmt w:val="decimal"/>
      <w:lvlText w:val="%1.%2.%3.%4.%5.%6"/>
      <w:lvlJc w:val="left"/>
      <w:pPr>
        <w:tabs>
          <w:tab w:val="left" w:pos="1080"/>
        </w:tabs>
        <w:ind w:left="1080" w:hanging="1080"/>
      </w:pPr>
      <w:rPr>
        <w:rFonts w:hint="default" w:cs="Times New Roman"/>
        <w:color w:val="auto"/>
      </w:rPr>
    </w:lvl>
    <w:lvl w:ilvl="6" w:tentative="0">
      <w:start w:val="1"/>
      <w:numFmt w:val="decimal"/>
      <w:lvlText w:val="%1.%2.%3.%4.%5.%6.%7"/>
      <w:lvlJc w:val="left"/>
      <w:pPr>
        <w:tabs>
          <w:tab w:val="left" w:pos="1440"/>
        </w:tabs>
        <w:ind w:left="1440" w:hanging="1440"/>
      </w:pPr>
      <w:rPr>
        <w:rFonts w:hint="default" w:cs="Times New Roman"/>
        <w:color w:val="auto"/>
      </w:rPr>
    </w:lvl>
    <w:lvl w:ilvl="7" w:tentative="0">
      <w:start w:val="1"/>
      <w:numFmt w:val="decimal"/>
      <w:lvlText w:val="%1.%2.%3.%4.%5.%6.%7.%8"/>
      <w:lvlJc w:val="left"/>
      <w:pPr>
        <w:tabs>
          <w:tab w:val="left" w:pos="1440"/>
        </w:tabs>
        <w:ind w:left="1440" w:hanging="1440"/>
      </w:pPr>
      <w:rPr>
        <w:rFonts w:hint="default" w:cs="Times New Roman"/>
        <w:color w:val="auto"/>
      </w:rPr>
    </w:lvl>
    <w:lvl w:ilvl="8" w:tentative="0">
      <w:start w:val="1"/>
      <w:numFmt w:val="decimal"/>
      <w:lvlText w:val="%1.%2.%3.%4.%5.%6.%7.%8.%9"/>
      <w:lvlJc w:val="left"/>
      <w:pPr>
        <w:tabs>
          <w:tab w:val="left" w:pos="1800"/>
        </w:tabs>
        <w:ind w:left="1800" w:hanging="1800"/>
      </w:pPr>
      <w:rPr>
        <w:rFonts w:hint="default" w:cs="Times New Roman"/>
        <w:color w:val="auto"/>
      </w:rPr>
    </w:lvl>
  </w:abstractNum>
  <w:abstractNum w:abstractNumId="99">
    <w:nsid w:val="76933334"/>
    <w:multiLevelType w:val="multilevel"/>
    <w:tmpl w:val="76933334"/>
    <w:lvl w:ilvl="0" w:tentative="0">
      <w:start w:val="1"/>
      <w:numFmt w:val="none"/>
      <w:pStyle w:val="180"/>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0">
    <w:nsid w:val="771E02DF"/>
    <w:multiLevelType w:val="multilevel"/>
    <w:tmpl w:val="771E02DF"/>
    <w:lvl w:ilvl="0" w:tentative="0">
      <w:start w:val="1"/>
      <w:numFmt w:val="chineseCountingThousand"/>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1">
    <w:nsid w:val="78AB0270"/>
    <w:multiLevelType w:val="multilevel"/>
    <w:tmpl w:val="78AB0270"/>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2">
    <w:nsid w:val="78E83899"/>
    <w:multiLevelType w:val="multilevel"/>
    <w:tmpl w:val="78E83899"/>
    <w:lvl w:ilvl="0" w:tentative="0">
      <w:start w:val="14"/>
      <w:numFmt w:val="decimal"/>
      <w:lvlText w:val="%1."/>
      <w:lvlJc w:val="left"/>
      <w:pPr>
        <w:tabs>
          <w:tab w:val="left" w:pos="0"/>
        </w:tabs>
        <w:ind w:left="810" w:hanging="810"/>
      </w:pPr>
      <w:rPr>
        <w:rFonts w:hint="default" w:cs="Times New Roman"/>
      </w:rPr>
    </w:lvl>
    <w:lvl w:ilvl="1" w:tentative="0">
      <w:start w:val="1"/>
      <w:numFmt w:val="decimal"/>
      <w:lvlText w:val="23.%2"/>
      <w:lvlJc w:val="left"/>
      <w:pPr>
        <w:tabs>
          <w:tab w:val="left" w:pos="0"/>
        </w:tabs>
        <w:ind w:left="810" w:hanging="810"/>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0"/>
        </w:tabs>
        <w:ind w:left="1080" w:hanging="1080"/>
      </w:pPr>
      <w:rPr>
        <w:rFonts w:hint="default" w:cs="Times New Roman"/>
      </w:rPr>
    </w:lvl>
    <w:lvl w:ilvl="3" w:tentative="0">
      <w:start w:val="1"/>
      <w:numFmt w:val="decimal"/>
      <w:lvlText w:val="%1.%2、%3.%4."/>
      <w:lvlJc w:val="left"/>
      <w:pPr>
        <w:tabs>
          <w:tab w:val="left" w:pos="0"/>
        </w:tabs>
        <w:ind w:left="1080" w:hanging="1080"/>
      </w:pPr>
      <w:rPr>
        <w:rFonts w:hint="default" w:cs="Times New Roman"/>
      </w:rPr>
    </w:lvl>
    <w:lvl w:ilvl="4" w:tentative="0">
      <w:start w:val="1"/>
      <w:numFmt w:val="decimal"/>
      <w:lvlText w:val="%1.%2、%3.%4.%5."/>
      <w:lvlJc w:val="left"/>
      <w:pPr>
        <w:tabs>
          <w:tab w:val="left" w:pos="0"/>
        </w:tabs>
        <w:ind w:left="1440" w:hanging="1440"/>
      </w:pPr>
      <w:rPr>
        <w:rFonts w:hint="default" w:cs="Times New Roman"/>
      </w:rPr>
    </w:lvl>
    <w:lvl w:ilvl="5" w:tentative="0">
      <w:start w:val="1"/>
      <w:numFmt w:val="decimal"/>
      <w:lvlText w:val="%1.%2、%3.%4.%5.%6."/>
      <w:lvlJc w:val="left"/>
      <w:pPr>
        <w:tabs>
          <w:tab w:val="left" w:pos="0"/>
        </w:tabs>
        <w:ind w:left="1800" w:hanging="1800"/>
      </w:pPr>
      <w:rPr>
        <w:rFonts w:hint="default" w:cs="Times New Roman"/>
      </w:rPr>
    </w:lvl>
    <w:lvl w:ilvl="6" w:tentative="0">
      <w:start w:val="1"/>
      <w:numFmt w:val="decimal"/>
      <w:lvlText w:val="%1.%2、%3.%4.%5.%6.%7."/>
      <w:lvlJc w:val="left"/>
      <w:pPr>
        <w:tabs>
          <w:tab w:val="left" w:pos="0"/>
        </w:tabs>
        <w:ind w:left="1800" w:hanging="1800"/>
      </w:pPr>
      <w:rPr>
        <w:rFonts w:hint="default" w:cs="Times New Roman"/>
      </w:rPr>
    </w:lvl>
    <w:lvl w:ilvl="7" w:tentative="0">
      <w:start w:val="1"/>
      <w:numFmt w:val="decimal"/>
      <w:lvlText w:val="%1.%2、%3.%4.%5.%6.%7.%8."/>
      <w:lvlJc w:val="left"/>
      <w:pPr>
        <w:tabs>
          <w:tab w:val="left" w:pos="0"/>
        </w:tabs>
        <w:ind w:left="2160" w:hanging="2160"/>
      </w:pPr>
      <w:rPr>
        <w:rFonts w:hint="default" w:cs="Times New Roman"/>
      </w:rPr>
    </w:lvl>
    <w:lvl w:ilvl="8" w:tentative="0">
      <w:start w:val="1"/>
      <w:numFmt w:val="decimal"/>
      <w:lvlText w:val="%1.%2、%3.%4.%5.%6.%7.%8.%9."/>
      <w:lvlJc w:val="left"/>
      <w:pPr>
        <w:tabs>
          <w:tab w:val="left" w:pos="0"/>
        </w:tabs>
        <w:ind w:left="2160" w:hanging="2160"/>
      </w:pPr>
      <w:rPr>
        <w:rFonts w:hint="default" w:cs="Times New Roman"/>
      </w:rPr>
    </w:lvl>
  </w:abstractNum>
  <w:abstractNum w:abstractNumId="103">
    <w:nsid w:val="796737DE"/>
    <w:multiLevelType w:val="singleLevel"/>
    <w:tmpl w:val="796737DE"/>
    <w:lvl w:ilvl="0" w:tentative="0">
      <w:start w:val="1"/>
      <w:numFmt w:val="decimal"/>
      <w:suff w:val="nothing"/>
      <w:lvlText w:val="（%1）"/>
      <w:lvlJc w:val="left"/>
    </w:lvl>
  </w:abstractNum>
  <w:abstractNum w:abstractNumId="104">
    <w:nsid w:val="7981242F"/>
    <w:multiLevelType w:val="multilevel"/>
    <w:tmpl w:val="7981242F"/>
    <w:lvl w:ilvl="0" w:tentative="0">
      <w:start w:val="1"/>
      <w:numFmt w:val="decimal"/>
      <w:lvlText w:val="3.%1"/>
      <w:lvlJc w:val="left"/>
      <w:pPr>
        <w:ind w:left="114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1560" w:hanging="420"/>
      </w:pPr>
      <w:rPr>
        <w:rFonts w:cs="Times New Roman"/>
      </w:rPr>
    </w:lvl>
    <w:lvl w:ilvl="2" w:tentative="0">
      <w:start w:val="1"/>
      <w:numFmt w:val="lowerRoman"/>
      <w:lvlText w:val="%3."/>
      <w:lvlJc w:val="right"/>
      <w:pPr>
        <w:ind w:left="1980" w:hanging="420"/>
      </w:pPr>
      <w:rPr>
        <w:rFonts w:cs="Times New Roman"/>
      </w:rPr>
    </w:lvl>
    <w:lvl w:ilvl="3" w:tentative="0">
      <w:start w:val="1"/>
      <w:numFmt w:val="decimal"/>
      <w:lvlText w:val="%4."/>
      <w:lvlJc w:val="left"/>
      <w:pPr>
        <w:ind w:left="2400" w:hanging="420"/>
      </w:pPr>
      <w:rPr>
        <w:rFonts w:cs="Times New Roman"/>
      </w:rPr>
    </w:lvl>
    <w:lvl w:ilvl="4" w:tentative="0">
      <w:start w:val="1"/>
      <w:numFmt w:val="lowerLetter"/>
      <w:lvlText w:val="%5)"/>
      <w:lvlJc w:val="left"/>
      <w:pPr>
        <w:ind w:left="2820" w:hanging="420"/>
      </w:pPr>
      <w:rPr>
        <w:rFonts w:cs="Times New Roman"/>
      </w:rPr>
    </w:lvl>
    <w:lvl w:ilvl="5" w:tentative="0">
      <w:start w:val="1"/>
      <w:numFmt w:val="lowerRoman"/>
      <w:lvlText w:val="%6."/>
      <w:lvlJc w:val="right"/>
      <w:pPr>
        <w:ind w:left="3240" w:hanging="420"/>
      </w:pPr>
      <w:rPr>
        <w:rFonts w:cs="Times New Roman"/>
      </w:rPr>
    </w:lvl>
    <w:lvl w:ilvl="6" w:tentative="0">
      <w:start w:val="1"/>
      <w:numFmt w:val="decimal"/>
      <w:lvlText w:val="%7."/>
      <w:lvlJc w:val="left"/>
      <w:pPr>
        <w:ind w:left="3660" w:hanging="420"/>
      </w:pPr>
      <w:rPr>
        <w:rFonts w:cs="Times New Roman"/>
      </w:rPr>
    </w:lvl>
    <w:lvl w:ilvl="7" w:tentative="0">
      <w:start w:val="1"/>
      <w:numFmt w:val="lowerLetter"/>
      <w:lvlText w:val="%8)"/>
      <w:lvlJc w:val="left"/>
      <w:pPr>
        <w:ind w:left="4080" w:hanging="420"/>
      </w:pPr>
      <w:rPr>
        <w:rFonts w:cs="Times New Roman"/>
      </w:rPr>
    </w:lvl>
    <w:lvl w:ilvl="8" w:tentative="0">
      <w:start w:val="1"/>
      <w:numFmt w:val="lowerRoman"/>
      <w:lvlText w:val="%9."/>
      <w:lvlJc w:val="right"/>
      <w:pPr>
        <w:ind w:left="4500" w:hanging="420"/>
      </w:pPr>
      <w:rPr>
        <w:rFonts w:cs="Times New Roman"/>
      </w:rPr>
    </w:lvl>
  </w:abstractNum>
  <w:abstractNum w:abstractNumId="105">
    <w:nsid w:val="7D420F81"/>
    <w:multiLevelType w:val="multilevel"/>
    <w:tmpl w:val="7D420F81"/>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num w:numId="1">
    <w:abstractNumId w:val="79"/>
  </w:num>
  <w:num w:numId="2">
    <w:abstractNumId w:val="95"/>
  </w:num>
  <w:num w:numId="3">
    <w:abstractNumId w:val="37"/>
  </w:num>
  <w:num w:numId="4">
    <w:abstractNumId w:val="66"/>
  </w:num>
  <w:num w:numId="5">
    <w:abstractNumId w:val="87"/>
  </w:num>
  <w:num w:numId="6">
    <w:abstractNumId w:val="83"/>
  </w:num>
  <w:num w:numId="7">
    <w:abstractNumId w:val="59"/>
  </w:num>
  <w:num w:numId="8">
    <w:abstractNumId w:val="62"/>
  </w:num>
  <w:num w:numId="9">
    <w:abstractNumId w:val="99"/>
  </w:num>
  <w:num w:numId="10">
    <w:abstractNumId w:val="81"/>
  </w:num>
  <w:num w:numId="11">
    <w:abstractNumId w:val="94"/>
  </w:num>
  <w:num w:numId="12">
    <w:abstractNumId w:val="75"/>
  </w:num>
  <w:num w:numId="13">
    <w:abstractNumId w:val="20"/>
  </w:num>
  <w:num w:numId="14">
    <w:abstractNumId w:val="45"/>
  </w:num>
  <w:num w:numId="15">
    <w:abstractNumId w:val="97"/>
  </w:num>
  <w:num w:numId="16">
    <w:abstractNumId w:val="93"/>
  </w:num>
  <w:num w:numId="17">
    <w:abstractNumId w:val="72"/>
  </w:num>
  <w:num w:numId="18">
    <w:abstractNumId w:val="41"/>
  </w:num>
  <w:num w:numId="19">
    <w:abstractNumId w:val="60"/>
  </w:num>
  <w:num w:numId="20">
    <w:abstractNumId w:val="91"/>
  </w:num>
  <w:num w:numId="21">
    <w:abstractNumId w:val="31"/>
  </w:num>
  <w:num w:numId="22">
    <w:abstractNumId w:val="49"/>
  </w:num>
  <w:num w:numId="23">
    <w:abstractNumId w:val="80"/>
  </w:num>
  <w:num w:numId="24">
    <w:abstractNumId w:val="15"/>
  </w:num>
  <w:num w:numId="25">
    <w:abstractNumId w:val="3"/>
  </w:num>
  <w:num w:numId="26">
    <w:abstractNumId w:val="2"/>
  </w:num>
  <w:num w:numId="27">
    <w:abstractNumId w:val="69"/>
  </w:num>
  <w:num w:numId="28">
    <w:abstractNumId w:val="85"/>
  </w:num>
  <w:num w:numId="29">
    <w:abstractNumId w:val="14"/>
  </w:num>
  <w:num w:numId="30">
    <w:abstractNumId w:val="67"/>
  </w:num>
  <w:num w:numId="31">
    <w:abstractNumId w:val="54"/>
  </w:num>
  <w:num w:numId="32">
    <w:abstractNumId w:val="92"/>
  </w:num>
  <w:num w:numId="33">
    <w:abstractNumId w:val="34"/>
  </w:num>
  <w:num w:numId="34">
    <w:abstractNumId w:val="70"/>
  </w:num>
  <w:num w:numId="35">
    <w:abstractNumId w:val="13"/>
  </w:num>
  <w:num w:numId="36">
    <w:abstractNumId w:val="33"/>
  </w:num>
  <w:num w:numId="37">
    <w:abstractNumId w:val="56"/>
  </w:num>
  <w:num w:numId="38">
    <w:abstractNumId w:val="82"/>
  </w:num>
  <w:num w:numId="39">
    <w:abstractNumId w:val="35"/>
  </w:num>
  <w:num w:numId="40">
    <w:abstractNumId w:val="42"/>
  </w:num>
  <w:num w:numId="41">
    <w:abstractNumId w:val="4"/>
  </w:num>
  <w:num w:numId="42">
    <w:abstractNumId w:val="64"/>
  </w:num>
  <w:num w:numId="43">
    <w:abstractNumId w:val="11"/>
  </w:num>
  <w:num w:numId="44">
    <w:abstractNumId w:val="1"/>
  </w:num>
  <w:num w:numId="45">
    <w:abstractNumId w:val="103"/>
  </w:num>
  <w:num w:numId="46">
    <w:abstractNumId w:val="19"/>
  </w:num>
  <w:num w:numId="47">
    <w:abstractNumId w:val="8"/>
  </w:num>
  <w:num w:numId="48">
    <w:abstractNumId w:val="51"/>
  </w:num>
  <w:num w:numId="49">
    <w:abstractNumId w:val="90"/>
  </w:num>
  <w:num w:numId="50">
    <w:abstractNumId w:val="23"/>
  </w:num>
  <w:num w:numId="51">
    <w:abstractNumId w:val="44"/>
  </w:num>
  <w:num w:numId="52">
    <w:abstractNumId w:val="7"/>
  </w:num>
  <w:num w:numId="53">
    <w:abstractNumId w:val="5"/>
  </w:num>
  <w:num w:numId="54">
    <w:abstractNumId w:val="9"/>
  </w:num>
  <w:num w:numId="55">
    <w:abstractNumId w:val="76"/>
  </w:num>
  <w:num w:numId="56">
    <w:abstractNumId w:val="10"/>
  </w:num>
  <w:num w:numId="57">
    <w:abstractNumId w:val="18"/>
  </w:num>
  <w:num w:numId="58">
    <w:abstractNumId w:val="6"/>
  </w:num>
  <w:num w:numId="59">
    <w:abstractNumId w:val="0"/>
  </w:num>
  <w:num w:numId="60">
    <w:abstractNumId w:val="58"/>
  </w:num>
  <w:num w:numId="61">
    <w:abstractNumId w:val="105"/>
  </w:num>
  <w:num w:numId="62">
    <w:abstractNumId w:val="86"/>
  </w:num>
  <w:num w:numId="63">
    <w:abstractNumId w:val="30"/>
  </w:num>
  <w:num w:numId="64">
    <w:abstractNumId w:val="29"/>
  </w:num>
  <w:num w:numId="65">
    <w:abstractNumId w:val="16"/>
  </w:num>
  <w:num w:numId="66">
    <w:abstractNumId w:val="88"/>
  </w:num>
  <w:num w:numId="6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0"/>
  </w:num>
  <w:num w:numId="69">
    <w:abstractNumId w:val="98"/>
  </w:num>
  <w:num w:numId="70">
    <w:abstractNumId w:val="46"/>
  </w:num>
  <w:num w:numId="71">
    <w:abstractNumId w:val="47"/>
  </w:num>
  <w:num w:numId="72">
    <w:abstractNumId w:val="104"/>
  </w:num>
  <w:num w:numId="73">
    <w:abstractNumId w:val="43"/>
  </w:num>
  <w:num w:numId="74">
    <w:abstractNumId w:val="68"/>
  </w:num>
  <w:num w:numId="75">
    <w:abstractNumId w:val="101"/>
  </w:num>
  <w:num w:numId="76">
    <w:abstractNumId w:val="52"/>
  </w:num>
  <w:num w:numId="77">
    <w:abstractNumId w:val="25"/>
  </w:num>
  <w:num w:numId="78">
    <w:abstractNumId w:val="73"/>
  </w:num>
  <w:num w:numId="79">
    <w:abstractNumId w:val="38"/>
  </w:num>
  <w:num w:numId="80">
    <w:abstractNumId w:val="26"/>
  </w:num>
  <w:num w:numId="81">
    <w:abstractNumId w:val="24"/>
  </w:num>
  <w:num w:numId="82">
    <w:abstractNumId w:val="27"/>
  </w:num>
  <w:num w:numId="83">
    <w:abstractNumId w:val="36"/>
  </w:num>
  <w:num w:numId="84">
    <w:abstractNumId w:val="32"/>
  </w:num>
  <w:num w:numId="85">
    <w:abstractNumId w:val="21"/>
  </w:num>
  <w:num w:numId="86">
    <w:abstractNumId w:val="22"/>
  </w:num>
  <w:num w:numId="87">
    <w:abstractNumId w:val="40"/>
  </w:num>
  <w:num w:numId="88">
    <w:abstractNumId w:val="55"/>
  </w:num>
  <w:num w:numId="89">
    <w:abstractNumId w:val="61"/>
  </w:num>
  <w:num w:numId="90">
    <w:abstractNumId w:val="78"/>
  </w:num>
  <w:num w:numId="91">
    <w:abstractNumId w:val="71"/>
  </w:num>
  <w:num w:numId="92">
    <w:abstractNumId w:val="63"/>
  </w:num>
  <w:num w:numId="93">
    <w:abstractNumId w:val="50"/>
  </w:num>
  <w:num w:numId="94">
    <w:abstractNumId w:val="96"/>
  </w:num>
  <w:num w:numId="95">
    <w:abstractNumId w:val="65"/>
  </w:num>
  <w:num w:numId="96">
    <w:abstractNumId w:val="53"/>
  </w:num>
  <w:num w:numId="97">
    <w:abstractNumId w:val="39"/>
  </w:num>
  <w:num w:numId="98">
    <w:abstractNumId w:val="84"/>
  </w:num>
  <w:num w:numId="99">
    <w:abstractNumId w:val="28"/>
  </w:num>
  <w:num w:numId="100">
    <w:abstractNumId w:val="48"/>
  </w:num>
  <w:num w:numId="101">
    <w:abstractNumId w:val="89"/>
  </w:num>
  <w:num w:numId="102">
    <w:abstractNumId w:val="102"/>
  </w:num>
  <w:num w:numId="103">
    <w:abstractNumId w:val="74"/>
  </w:num>
  <w:num w:numId="104">
    <w:abstractNumId w:val="57"/>
  </w:num>
  <w:num w:numId="105">
    <w:abstractNumId w:val="12"/>
  </w:num>
  <w:num w:numId="106">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鲁燕">
    <w15:presenceInfo w15:providerId="None" w15:userId="张鲁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trackRevisions w:val="1"/>
  <w:documentProtection w:enforcement="0"/>
  <w:defaultTabStop w:val="420"/>
  <w:drawingGridHorizontalSpacing w:val="107"/>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764A5"/>
    <w:rsid w:val="00000FBD"/>
    <w:rsid w:val="00001AA2"/>
    <w:rsid w:val="00003218"/>
    <w:rsid w:val="000047D0"/>
    <w:rsid w:val="00005EE9"/>
    <w:rsid w:val="00006B0C"/>
    <w:rsid w:val="0001035E"/>
    <w:rsid w:val="00013503"/>
    <w:rsid w:val="00013E23"/>
    <w:rsid w:val="000140A0"/>
    <w:rsid w:val="0001435D"/>
    <w:rsid w:val="0001523D"/>
    <w:rsid w:val="0001668C"/>
    <w:rsid w:val="00020781"/>
    <w:rsid w:val="0002639B"/>
    <w:rsid w:val="00033924"/>
    <w:rsid w:val="00035C84"/>
    <w:rsid w:val="000360D9"/>
    <w:rsid w:val="0004344D"/>
    <w:rsid w:val="0004408E"/>
    <w:rsid w:val="000456C2"/>
    <w:rsid w:val="000464FE"/>
    <w:rsid w:val="000467E9"/>
    <w:rsid w:val="00047C58"/>
    <w:rsid w:val="00051871"/>
    <w:rsid w:val="0005201D"/>
    <w:rsid w:val="000524E2"/>
    <w:rsid w:val="00057779"/>
    <w:rsid w:val="00066E39"/>
    <w:rsid w:val="00070DDB"/>
    <w:rsid w:val="00071253"/>
    <w:rsid w:val="0007174C"/>
    <w:rsid w:val="000764A5"/>
    <w:rsid w:val="00080289"/>
    <w:rsid w:val="0008507F"/>
    <w:rsid w:val="00085660"/>
    <w:rsid w:val="00086FB6"/>
    <w:rsid w:val="0008720E"/>
    <w:rsid w:val="00091E74"/>
    <w:rsid w:val="0009563B"/>
    <w:rsid w:val="00097901"/>
    <w:rsid w:val="000A1C1A"/>
    <w:rsid w:val="000A4ABD"/>
    <w:rsid w:val="000B1059"/>
    <w:rsid w:val="000B3B3F"/>
    <w:rsid w:val="000B6BFF"/>
    <w:rsid w:val="000C2692"/>
    <w:rsid w:val="000C5134"/>
    <w:rsid w:val="000D084C"/>
    <w:rsid w:val="000D3773"/>
    <w:rsid w:val="000E2917"/>
    <w:rsid w:val="000E4507"/>
    <w:rsid w:val="000E4E14"/>
    <w:rsid w:val="000F2471"/>
    <w:rsid w:val="000F739A"/>
    <w:rsid w:val="00100284"/>
    <w:rsid w:val="00100B54"/>
    <w:rsid w:val="0010140C"/>
    <w:rsid w:val="0010220A"/>
    <w:rsid w:val="00103B9B"/>
    <w:rsid w:val="001050B4"/>
    <w:rsid w:val="001144F3"/>
    <w:rsid w:val="00114F4E"/>
    <w:rsid w:val="00115412"/>
    <w:rsid w:val="0011657F"/>
    <w:rsid w:val="001166F8"/>
    <w:rsid w:val="001225EA"/>
    <w:rsid w:val="00124B4D"/>
    <w:rsid w:val="001257F1"/>
    <w:rsid w:val="0013025C"/>
    <w:rsid w:val="001311BE"/>
    <w:rsid w:val="001333C6"/>
    <w:rsid w:val="00133CA4"/>
    <w:rsid w:val="00143705"/>
    <w:rsid w:val="001449C0"/>
    <w:rsid w:val="001460AB"/>
    <w:rsid w:val="00147664"/>
    <w:rsid w:val="0015541B"/>
    <w:rsid w:val="00155F6A"/>
    <w:rsid w:val="001606F8"/>
    <w:rsid w:val="00163E40"/>
    <w:rsid w:val="00164335"/>
    <w:rsid w:val="00164483"/>
    <w:rsid w:val="001651CE"/>
    <w:rsid w:val="001665FB"/>
    <w:rsid w:val="00166EBF"/>
    <w:rsid w:val="001738B1"/>
    <w:rsid w:val="00176311"/>
    <w:rsid w:val="00176AA3"/>
    <w:rsid w:val="00180029"/>
    <w:rsid w:val="001826E9"/>
    <w:rsid w:val="00187423"/>
    <w:rsid w:val="001909AD"/>
    <w:rsid w:val="00193517"/>
    <w:rsid w:val="00196DE7"/>
    <w:rsid w:val="00197430"/>
    <w:rsid w:val="001A2D62"/>
    <w:rsid w:val="001A3338"/>
    <w:rsid w:val="001A4A6C"/>
    <w:rsid w:val="001A54B0"/>
    <w:rsid w:val="001B125D"/>
    <w:rsid w:val="001B36FA"/>
    <w:rsid w:val="001B5625"/>
    <w:rsid w:val="001B5A83"/>
    <w:rsid w:val="001C0BE2"/>
    <w:rsid w:val="001C4F41"/>
    <w:rsid w:val="001C6AA7"/>
    <w:rsid w:val="001C7344"/>
    <w:rsid w:val="001E071D"/>
    <w:rsid w:val="001E6A1F"/>
    <w:rsid w:val="001F120A"/>
    <w:rsid w:val="001F4459"/>
    <w:rsid w:val="001F5152"/>
    <w:rsid w:val="001F5A7A"/>
    <w:rsid w:val="001F6D34"/>
    <w:rsid w:val="001F709F"/>
    <w:rsid w:val="001F753B"/>
    <w:rsid w:val="00202BEF"/>
    <w:rsid w:val="00203237"/>
    <w:rsid w:val="00203B19"/>
    <w:rsid w:val="00204242"/>
    <w:rsid w:val="002069EB"/>
    <w:rsid w:val="00207B51"/>
    <w:rsid w:val="002108AC"/>
    <w:rsid w:val="00211BC9"/>
    <w:rsid w:val="00217CAB"/>
    <w:rsid w:val="00222CE1"/>
    <w:rsid w:val="00224931"/>
    <w:rsid w:val="00231D4E"/>
    <w:rsid w:val="00235079"/>
    <w:rsid w:val="00236172"/>
    <w:rsid w:val="00236F85"/>
    <w:rsid w:val="00242060"/>
    <w:rsid w:val="00243D31"/>
    <w:rsid w:val="00247671"/>
    <w:rsid w:val="00247D57"/>
    <w:rsid w:val="00250E0A"/>
    <w:rsid w:val="0025125D"/>
    <w:rsid w:val="00254369"/>
    <w:rsid w:val="00264EFF"/>
    <w:rsid w:val="00266ACD"/>
    <w:rsid w:val="0027055E"/>
    <w:rsid w:val="00272453"/>
    <w:rsid w:val="002730DF"/>
    <w:rsid w:val="002738F7"/>
    <w:rsid w:val="002750B1"/>
    <w:rsid w:val="002872A1"/>
    <w:rsid w:val="00295BA7"/>
    <w:rsid w:val="00297281"/>
    <w:rsid w:val="002A4767"/>
    <w:rsid w:val="002A5A86"/>
    <w:rsid w:val="002A624E"/>
    <w:rsid w:val="002A6672"/>
    <w:rsid w:val="002A6705"/>
    <w:rsid w:val="002B29C6"/>
    <w:rsid w:val="002B2ADE"/>
    <w:rsid w:val="002B3E77"/>
    <w:rsid w:val="002B464F"/>
    <w:rsid w:val="002B6B91"/>
    <w:rsid w:val="002B74CA"/>
    <w:rsid w:val="002D0DD2"/>
    <w:rsid w:val="002D1CE9"/>
    <w:rsid w:val="002D259E"/>
    <w:rsid w:val="002D34EF"/>
    <w:rsid w:val="002D4BB5"/>
    <w:rsid w:val="002D4E76"/>
    <w:rsid w:val="002D6692"/>
    <w:rsid w:val="002D7A2B"/>
    <w:rsid w:val="002E011C"/>
    <w:rsid w:val="002E3E50"/>
    <w:rsid w:val="002E6958"/>
    <w:rsid w:val="002F1B4B"/>
    <w:rsid w:val="002F1BAD"/>
    <w:rsid w:val="002F3A27"/>
    <w:rsid w:val="002F4EA2"/>
    <w:rsid w:val="002F574E"/>
    <w:rsid w:val="003001F5"/>
    <w:rsid w:val="00300787"/>
    <w:rsid w:val="00300DD1"/>
    <w:rsid w:val="00310229"/>
    <w:rsid w:val="00317A07"/>
    <w:rsid w:val="00325337"/>
    <w:rsid w:val="003254E5"/>
    <w:rsid w:val="003272DB"/>
    <w:rsid w:val="00327453"/>
    <w:rsid w:val="0032791B"/>
    <w:rsid w:val="0033254B"/>
    <w:rsid w:val="00341228"/>
    <w:rsid w:val="00344781"/>
    <w:rsid w:val="003475DE"/>
    <w:rsid w:val="00351199"/>
    <w:rsid w:val="00351BE8"/>
    <w:rsid w:val="0035429A"/>
    <w:rsid w:val="00361D0E"/>
    <w:rsid w:val="003645F2"/>
    <w:rsid w:val="003649A0"/>
    <w:rsid w:val="003658DF"/>
    <w:rsid w:val="00370A4D"/>
    <w:rsid w:val="00381351"/>
    <w:rsid w:val="0038342A"/>
    <w:rsid w:val="0038368F"/>
    <w:rsid w:val="003855F8"/>
    <w:rsid w:val="00387B50"/>
    <w:rsid w:val="0039528A"/>
    <w:rsid w:val="003955A6"/>
    <w:rsid w:val="00396182"/>
    <w:rsid w:val="003A17FF"/>
    <w:rsid w:val="003A1DB0"/>
    <w:rsid w:val="003A252E"/>
    <w:rsid w:val="003A3352"/>
    <w:rsid w:val="003A7561"/>
    <w:rsid w:val="003B2383"/>
    <w:rsid w:val="003B56C0"/>
    <w:rsid w:val="003C134C"/>
    <w:rsid w:val="003C20E0"/>
    <w:rsid w:val="003C4291"/>
    <w:rsid w:val="003C52FB"/>
    <w:rsid w:val="003C6B31"/>
    <w:rsid w:val="003D08FF"/>
    <w:rsid w:val="003D552C"/>
    <w:rsid w:val="003D5B0B"/>
    <w:rsid w:val="003D5E37"/>
    <w:rsid w:val="003D68FD"/>
    <w:rsid w:val="003E2BE4"/>
    <w:rsid w:val="003E329C"/>
    <w:rsid w:val="003E3DE0"/>
    <w:rsid w:val="003E753B"/>
    <w:rsid w:val="003F016B"/>
    <w:rsid w:val="003F2F60"/>
    <w:rsid w:val="003F5EA5"/>
    <w:rsid w:val="00405195"/>
    <w:rsid w:val="00406A73"/>
    <w:rsid w:val="00407685"/>
    <w:rsid w:val="00407FF7"/>
    <w:rsid w:val="00412AC0"/>
    <w:rsid w:val="00415626"/>
    <w:rsid w:val="0042201F"/>
    <w:rsid w:val="00422469"/>
    <w:rsid w:val="004225F2"/>
    <w:rsid w:val="004240FB"/>
    <w:rsid w:val="00425228"/>
    <w:rsid w:val="00430449"/>
    <w:rsid w:val="004372C5"/>
    <w:rsid w:val="004407E8"/>
    <w:rsid w:val="00441629"/>
    <w:rsid w:val="00443819"/>
    <w:rsid w:val="004444DC"/>
    <w:rsid w:val="00446C1E"/>
    <w:rsid w:val="004513ED"/>
    <w:rsid w:val="00455778"/>
    <w:rsid w:val="00456367"/>
    <w:rsid w:val="004616CB"/>
    <w:rsid w:val="004622E9"/>
    <w:rsid w:val="00463D1F"/>
    <w:rsid w:val="004713DC"/>
    <w:rsid w:val="0047539A"/>
    <w:rsid w:val="00480689"/>
    <w:rsid w:val="00482949"/>
    <w:rsid w:val="00482C13"/>
    <w:rsid w:val="00483D92"/>
    <w:rsid w:val="00485D58"/>
    <w:rsid w:val="004904AD"/>
    <w:rsid w:val="00492F34"/>
    <w:rsid w:val="00495202"/>
    <w:rsid w:val="004953DA"/>
    <w:rsid w:val="004971DF"/>
    <w:rsid w:val="00497BF7"/>
    <w:rsid w:val="004A044E"/>
    <w:rsid w:val="004A09F4"/>
    <w:rsid w:val="004A40FE"/>
    <w:rsid w:val="004A413C"/>
    <w:rsid w:val="004A708C"/>
    <w:rsid w:val="004A72C8"/>
    <w:rsid w:val="004B4EFE"/>
    <w:rsid w:val="004B7E88"/>
    <w:rsid w:val="004C1A6D"/>
    <w:rsid w:val="004C26E6"/>
    <w:rsid w:val="004C363C"/>
    <w:rsid w:val="004C6BBD"/>
    <w:rsid w:val="004D1A81"/>
    <w:rsid w:val="004D4A9D"/>
    <w:rsid w:val="004D5DB2"/>
    <w:rsid w:val="004D5FE4"/>
    <w:rsid w:val="004D67D5"/>
    <w:rsid w:val="004E1F6D"/>
    <w:rsid w:val="004E2653"/>
    <w:rsid w:val="004E31BF"/>
    <w:rsid w:val="004E41A5"/>
    <w:rsid w:val="004E63D2"/>
    <w:rsid w:val="004F2B9D"/>
    <w:rsid w:val="004F2DD5"/>
    <w:rsid w:val="004F4CBD"/>
    <w:rsid w:val="004F5B87"/>
    <w:rsid w:val="004F6EB6"/>
    <w:rsid w:val="005012E0"/>
    <w:rsid w:val="0050188C"/>
    <w:rsid w:val="00501D2A"/>
    <w:rsid w:val="005028B9"/>
    <w:rsid w:val="0050511B"/>
    <w:rsid w:val="00510C73"/>
    <w:rsid w:val="00513560"/>
    <w:rsid w:val="00513E12"/>
    <w:rsid w:val="005173F9"/>
    <w:rsid w:val="00520654"/>
    <w:rsid w:val="00520AD5"/>
    <w:rsid w:val="005211A0"/>
    <w:rsid w:val="0052343A"/>
    <w:rsid w:val="00523B8A"/>
    <w:rsid w:val="00524ABA"/>
    <w:rsid w:val="00526C4B"/>
    <w:rsid w:val="00527310"/>
    <w:rsid w:val="00527CA5"/>
    <w:rsid w:val="00540547"/>
    <w:rsid w:val="00544786"/>
    <w:rsid w:val="005475AB"/>
    <w:rsid w:val="0055620B"/>
    <w:rsid w:val="00557506"/>
    <w:rsid w:val="00560F3C"/>
    <w:rsid w:val="0056221C"/>
    <w:rsid w:val="0056320E"/>
    <w:rsid w:val="005632F7"/>
    <w:rsid w:val="0057017C"/>
    <w:rsid w:val="0057430A"/>
    <w:rsid w:val="0057668B"/>
    <w:rsid w:val="00577116"/>
    <w:rsid w:val="0057739B"/>
    <w:rsid w:val="00577919"/>
    <w:rsid w:val="0058239B"/>
    <w:rsid w:val="005827C7"/>
    <w:rsid w:val="005849EC"/>
    <w:rsid w:val="00585140"/>
    <w:rsid w:val="005869FE"/>
    <w:rsid w:val="00586B0B"/>
    <w:rsid w:val="00592AE9"/>
    <w:rsid w:val="00595DF6"/>
    <w:rsid w:val="00596C26"/>
    <w:rsid w:val="005A06B8"/>
    <w:rsid w:val="005A34D9"/>
    <w:rsid w:val="005A6D99"/>
    <w:rsid w:val="005A7EF1"/>
    <w:rsid w:val="005B1052"/>
    <w:rsid w:val="005B5CE3"/>
    <w:rsid w:val="005C0EBE"/>
    <w:rsid w:val="005C207F"/>
    <w:rsid w:val="005C3D10"/>
    <w:rsid w:val="005C7F5F"/>
    <w:rsid w:val="005D13B5"/>
    <w:rsid w:val="005D1C6F"/>
    <w:rsid w:val="005D32DF"/>
    <w:rsid w:val="005D385B"/>
    <w:rsid w:val="005D5236"/>
    <w:rsid w:val="005D6C58"/>
    <w:rsid w:val="005E2B13"/>
    <w:rsid w:val="005E47AE"/>
    <w:rsid w:val="005E539A"/>
    <w:rsid w:val="005E68C0"/>
    <w:rsid w:val="005F2FCE"/>
    <w:rsid w:val="005F4A3C"/>
    <w:rsid w:val="005F56C4"/>
    <w:rsid w:val="0060563D"/>
    <w:rsid w:val="006058A7"/>
    <w:rsid w:val="00606DAF"/>
    <w:rsid w:val="00614AB6"/>
    <w:rsid w:val="006151CF"/>
    <w:rsid w:val="00622377"/>
    <w:rsid w:val="00624065"/>
    <w:rsid w:val="006300B4"/>
    <w:rsid w:val="0063626F"/>
    <w:rsid w:val="0063789F"/>
    <w:rsid w:val="006431F1"/>
    <w:rsid w:val="00646670"/>
    <w:rsid w:val="0064714A"/>
    <w:rsid w:val="00650431"/>
    <w:rsid w:val="00652234"/>
    <w:rsid w:val="00653502"/>
    <w:rsid w:val="006535AC"/>
    <w:rsid w:val="0065469A"/>
    <w:rsid w:val="00660D13"/>
    <w:rsid w:val="00665B8C"/>
    <w:rsid w:val="006718E0"/>
    <w:rsid w:val="0067241B"/>
    <w:rsid w:val="00675736"/>
    <w:rsid w:val="00675FA5"/>
    <w:rsid w:val="006762F5"/>
    <w:rsid w:val="006773FD"/>
    <w:rsid w:val="00677EAA"/>
    <w:rsid w:val="00677EE5"/>
    <w:rsid w:val="00682D73"/>
    <w:rsid w:val="006868B3"/>
    <w:rsid w:val="00686ECE"/>
    <w:rsid w:val="0069295E"/>
    <w:rsid w:val="006972BC"/>
    <w:rsid w:val="006A1AB2"/>
    <w:rsid w:val="006A20AF"/>
    <w:rsid w:val="006A2654"/>
    <w:rsid w:val="006A358A"/>
    <w:rsid w:val="006A5495"/>
    <w:rsid w:val="006A5E5F"/>
    <w:rsid w:val="006A68F5"/>
    <w:rsid w:val="006A7EE0"/>
    <w:rsid w:val="006B0143"/>
    <w:rsid w:val="006B2ED9"/>
    <w:rsid w:val="006B7A5A"/>
    <w:rsid w:val="006C0BF6"/>
    <w:rsid w:val="006C149F"/>
    <w:rsid w:val="006C1F97"/>
    <w:rsid w:val="006C433F"/>
    <w:rsid w:val="006D02DB"/>
    <w:rsid w:val="006D42FB"/>
    <w:rsid w:val="006D5B43"/>
    <w:rsid w:val="006E17FA"/>
    <w:rsid w:val="006E21AD"/>
    <w:rsid w:val="006E2E8C"/>
    <w:rsid w:val="006E35FB"/>
    <w:rsid w:val="006E411E"/>
    <w:rsid w:val="006E7FD6"/>
    <w:rsid w:val="006F1044"/>
    <w:rsid w:val="006F1D4B"/>
    <w:rsid w:val="006F2802"/>
    <w:rsid w:val="006F7BBF"/>
    <w:rsid w:val="00702A4C"/>
    <w:rsid w:val="00710126"/>
    <w:rsid w:val="00710BF3"/>
    <w:rsid w:val="007116A9"/>
    <w:rsid w:val="007172E0"/>
    <w:rsid w:val="00720B3B"/>
    <w:rsid w:val="00723849"/>
    <w:rsid w:val="00724ACF"/>
    <w:rsid w:val="007337CC"/>
    <w:rsid w:val="00734852"/>
    <w:rsid w:val="00736F33"/>
    <w:rsid w:val="0074040B"/>
    <w:rsid w:val="007407DF"/>
    <w:rsid w:val="00740876"/>
    <w:rsid w:val="00744E5C"/>
    <w:rsid w:val="007516AE"/>
    <w:rsid w:val="007517B9"/>
    <w:rsid w:val="0075461E"/>
    <w:rsid w:val="007605C2"/>
    <w:rsid w:val="0076084F"/>
    <w:rsid w:val="007608C7"/>
    <w:rsid w:val="00761D9E"/>
    <w:rsid w:val="00766090"/>
    <w:rsid w:val="00773481"/>
    <w:rsid w:val="007751F7"/>
    <w:rsid w:val="00776725"/>
    <w:rsid w:val="00780636"/>
    <w:rsid w:val="00780898"/>
    <w:rsid w:val="00781967"/>
    <w:rsid w:val="00782C28"/>
    <w:rsid w:val="00786AC9"/>
    <w:rsid w:val="007902C9"/>
    <w:rsid w:val="00791325"/>
    <w:rsid w:val="0079265E"/>
    <w:rsid w:val="0079363F"/>
    <w:rsid w:val="00793D7C"/>
    <w:rsid w:val="007956BE"/>
    <w:rsid w:val="007A12A5"/>
    <w:rsid w:val="007A263C"/>
    <w:rsid w:val="007A39FA"/>
    <w:rsid w:val="007A464A"/>
    <w:rsid w:val="007A71C5"/>
    <w:rsid w:val="007B030C"/>
    <w:rsid w:val="007B07A6"/>
    <w:rsid w:val="007B30D5"/>
    <w:rsid w:val="007B41F0"/>
    <w:rsid w:val="007B49C7"/>
    <w:rsid w:val="007C11FA"/>
    <w:rsid w:val="007D17DE"/>
    <w:rsid w:val="007D7890"/>
    <w:rsid w:val="007E316A"/>
    <w:rsid w:val="007E3CB7"/>
    <w:rsid w:val="007E607D"/>
    <w:rsid w:val="007F3FAE"/>
    <w:rsid w:val="007F4D84"/>
    <w:rsid w:val="007F5C09"/>
    <w:rsid w:val="007F65E6"/>
    <w:rsid w:val="00800A3D"/>
    <w:rsid w:val="00802F89"/>
    <w:rsid w:val="0080391E"/>
    <w:rsid w:val="00806116"/>
    <w:rsid w:val="008074A1"/>
    <w:rsid w:val="00807697"/>
    <w:rsid w:val="00807BDC"/>
    <w:rsid w:val="00807EBA"/>
    <w:rsid w:val="00822B90"/>
    <w:rsid w:val="008241B3"/>
    <w:rsid w:val="00826C13"/>
    <w:rsid w:val="00831424"/>
    <w:rsid w:val="00831D18"/>
    <w:rsid w:val="00836E2F"/>
    <w:rsid w:val="00837CFE"/>
    <w:rsid w:val="008403DD"/>
    <w:rsid w:val="00843AA8"/>
    <w:rsid w:val="00843D1B"/>
    <w:rsid w:val="00850BA1"/>
    <w:rsid w:val="00852897"/>
    <w:rsid w:val="00852D9F"/>
    <w:rsid w:val="0085323F"/>
    <w:rsid w:val="00853B92"/>
    <w:rsid w:val="0087229E"/>
    <w:rsid w:val="00872A48"/>
    <w:rsid w:val="00872D96"/>
    <w:rsid w:val="008760FA"/>
    <w:rsid w:val="00876FFB"/>
    <w:rsid w:val="00877803"/>
    <w:rsid w:val="00883F3D"/>
    <w:rsid w:val="008866DF"/>
    <w:rsid w:val="00891F0B"/>
    <w:rsid w:val="00893392"/>
    <w:rsid w:val="00894928"/>
    <w:rsid w:val="008969AA"/>
    <w:rsid w:val="008974F4"/>
    <w:rsid w:val="008A0740"/>
    <w:rsid w:val="008A1BA8"/>
    <w:rsid w:val="008A542A"/>
    <w:rsid w:val="008C0C22"/>
    <w:rsid w:val="008C194A"/>
    <w:rsid w:val="008C7CCD"/>
    <w:rsid w:val="008D428F"/>
    <w:rsid w:val="008D42B0"/>
    <w:rsid w:val="008D4A95"/>
    <w:rsid w:val="008D4C4C"/>
    <w:rsid w:val="008D59F5"/>
    <w:rsid w:val="008D78AE"/>
    <w:rsid w:val="008D7B57"/>
    <w:rsid w:val="008E0544"/>
    <w:rsid w:val="008E137B"/>
    <w:rsid w:val="008E1A29"/>
    <w:rsid w:val="008E3BE9"/>
    <w:rsid w:val="008E4E54"/>
    <w:rsid w:val="008E579F"/>
    <w:rsid w:val="008F5D7A"/>
    <w:rsid w:val="009002A5"/>
    <w:rsid w:val="00900E9B"/>
    <w:rsid w:val="009015A3"/>
    <w:rsid w:val="009029B0"/>
    <w:rsid w:val="0090301F"/>
    <w:rsid w:val="00911281"/>
    <w:rsid w:val="00911318"/>
    <w:rsid w:val="00912ECA"/>
    <w:rsid w:val="009168E0"/>
    <w:rsid w:val="00924B23"/>
    <w:rsid w:val="00924C86"/>
    <w:rsid w:val="00930730"/>
    <w:rsid w:val="00935A3B"/>
    <w:rsid w:val="009367C8"/>
    <w:rsid w:val="0093691A"/>
    <w:rsid w:val="00940064"/>
    <w:rsid w:val="00940782"/>
    <w:rsid w:val="00942BB6"/>
    <w:rsid w:val="00943CCF"/>
    <w:rsid w:val="00943D8F"/>
    <w:rsid w:val="00943FBC"/>
    <w:rsid w:val="0094713F"/>
    <w:rsid w:val="00952356"/>
    <w:rsid w:val="0095320D"/>
    <w:rsid w:val="00954870"/>
    <w:rsid w:val="00954F8B"/>
    <w:rsid w:val="00955848"/>
    <w:rsid w:val="009678EC"/>
    <w:rsid w:val="009719A2"/>
    <w:rsid w:val="00972487"/>
    <w:rsid w:val="00972A1E"/>
    <w:rsid w:val="00973C5F"/>
    <w:rsid w:val="00976EA2"/>
    <w:rsid w:val="00977227"/>
    <w:rsid w:val="00980477"/>
    <w:rsid w:val="009812EE"/>
    <w:rsid w:val="00982CB2"/>
    <w:rsid w:val="00984279"/>
    <w:rsid w:val="00985A93"/>
    <w:rsid w:val="0099730E"/>
    <w:rsid w:val="009B212E"/>
    <w:rsid w:val="009B6900"/>
    <w:rsid w:val="009C262C"/>
    <w:rsid w:val="009C2933"/>
    <w:rsid w:val="009C4D14"/>
    <w:rsid w:val="009C4F2C"/>
    <w:rsid w:val="009C6907"/>
    <w:rsid w:val="009D6541"/>
    <w:rsid w:val="009D783F"/>
    <w:rsid w:val="009E0BF2"/>
    <w:rsid w:val="009E0E87"/>
    <w:rsid w:val="009E4D48"/>
    <w:rsid w:val="009E6FA1"/>
    <w:rsid w:val="009E7497"/>
    <w:rsid w:val="009F04BB"/>
    <w:rsid w:val="009F1EDB"/>
    <w:rsid w:val="009F2D99"/>
    <w:rsid w:val="009F375E"/>
    <w:rsid w:val="009F3BEF"/>
    <w:rsid w:val="009F4422"/>
    <w:rsid w:val="009F4441"/>
    <w:rsid w:val="009F5B3D"/>
    <w:rsid w:val="009F7209"/>
    <w:rsid w:val="00A00B24"/>
    <w:rsid w:val="00A00E1B"/>
    <w:rsid w:val="00A031D0"/>
    <w:rsid w:val="00A070C3"/>
    <w:rsid w:val="00A076BE"/>
    <w:rsid w:val="00A11D00"/>
    <w:rsid w:val="00A123A5"/>
    <w:rsid w:val="00A129D2"/>
    <w:rsid w:val="00A16005"/>
    <w:rsid w:val="00A163DF"/>
    <w:rsid w:val="00A17264"/>
    <w:rsid w:val="00A17F97"/>
    <w:rsid w:val="00A3468F"/>
    <w:rsid w:val="00A34C35"/>
    <w:rsid w:val="00A37B56"/>
    <w:rsid w:val="00A41209"/>
    <w:rsid w:val="00A41B83"/>
    <w:rsid w:val="00A44B67"/>
    <w:rsid w:val="00A457EB"/>
    <w:rsid w:val="00A46702"/>
    <w:rsid w:val="00A478E5"/>
    <w:rsid w:val="00A528F1"/>
    <w:rsid w:val="00A54145"/>
    <w:rsid w:val="00A60A99"/>
    <w:rsid w:val="00A61AFA"/>
    <w:rsid w:val="00A6224C"/>
    <w:rsid w:val="00A64F1A"/>
    <w:rsid w:val="00A658D1"/>
    <w:rsid w:val="00A6610C"/>
    <w:rsid w:val="00A71C02"/>
    <w:rsid w:val="00A738C8"/>
    <w:rsid w:val="00A80B75"/>
    <w:rsid w:val="00A81148"/>
    <w:rsid w:val="00A83971"/>
    <w:rsid w:val="00A86C61"/>
    <w:rsid w:val="00A91831"/>
    <w:rsid w:val="00A9473E"/>
    <w:rsid w:val="00A94E91"/>
    <w:rsid w:val="00A97ED5"/>
    <w:rsid w:val="00AA1697"/>
    <w:rsid w:val="00AA3222"/>
    <w:rsid w:val="00AA4833"/>
    <w:rsid w:val="00AA5C03"/>
    <w:rsid w:val="00AB07EC"/>
    <w:rsid w:val="00AB240F"/>
    <w:rsid w:val="00AB3AC6"/>
    <w:rsid w:val="00AB558C"/>
    <w:rsid w:val="00AC0711"/>
    <w:rsid w:val="00AC213A"/>
    <w:rsid w:val="00AC365C"/>
    <w:rsid w:val="00AC3957"/>
    <w:rsid w:val="00AC4EE4"/>
    <w:rsid w:val="00AD6FA2"/>
    <w:rsid w:val="00AE2680"/>
    <w:rsid w:val="00AE2F39"/>
    <w:rsid w:val="00AE2F6C"/>
    <w:rsid w:val="00AE330D"/>
    <w:rsid w:val="00AE551F"/>
    <w:rsid w:val="00AF2355"/>
    <w:rsid w:val="00AF45CC"/>
    <w:rsid w:val="00AF521F"/>
    <w:rsid w:val="00AF7A70"/>
    <w:rsid w:val="00B01967"/>
    <w:rsid w:val="00B02FF6"/>
    <w:rsid w:val="00B05BBA"/>
    <w:rsid w:val="00B07F68"/>
    <w:rsid w:val="00B1234A"/>
    <w:rsid w:val="00B154FF"/>
    <w:rsid w:val="00B1559A"/>
    <w:rsid w:val="00B163BC"/>
    <w:rsid w:val="00B1776E"/>
    <w:rsid w:val="00B23691"/>
    <w:rsid w:val="00B24801"/>
    <w:rsid w:val="00B25DEC"/>
    <w:rsid w:val="00B4073C"/>
    <w:rsid w:val="00B4244C"/>
    <w:rsid w:val="00B42617"/>
    <w:rsid w:val="00B4786C"/>
    <w:rsid w:val="00B5037F"/>
    <w:rsid w:val="00B5194F"/>
    <w:rsid w:val="00B51A12"/>
    <w:rsid w:val="00B52A40"/>
    <w:rsid w:val="00B53915"/>
    <w:rsid w:val="00B56255"/>
    <w:rsid w:val="00B616ED"/>
    <w:rsid w:val="00B666A6"/>
    <w:rsid w:val="00B66855"/>
    <w:rsid w:val="00B6767A"/>
    <w:rsid w:val="00B70733"/>
    <w:rsid w:val="00B71020"/>
    <w:rsid w:val="00B75A49"/>
    <w:rsid w:val="00B76BD1"/>
    <w:rsid w:val="00B808CE"/>
    <w:rsid w:val="00B8136F"/>
    <w:rsid w:val="00B82C5B"/>
    <w:rsid w:val="00B84427"/>
    <w:rsid w:val="00B85DF0"/>
    <w:rsid w:val="00B866C8"/>
    <w:rsid w:val="00B87589"/>
    <w:rsid w:val="00B876DA"/>
    <w:rsid w:val="00B87D2F"/>
    <w:rsid w:val="00B912E7"/>
    <w:rsid w:val="00B91881"/>
    <w:rsid w:val="00B94A4B"/>
    <w:rsid w:val="00B9625D"/>
    <w:rsid w:val="00B96CB3"/>
    <w:rsid w:val="00BA1E97"/>
    <w:rsid w:val="00BA3D25"/>
    <w:rsid w:val="00BA4E9D"/>
    <w:rsid w:val="00BA5799"/>
    <w:rsid w:val="00BA6B1F"/>
    <w:rsid w:val="00BB066A"/>
    <w:rsid w:val="00BB088E"/>
    <w:rsid w:val="00BB2094"/>
    <w:rsid w:val="00BB351A"/>
    <w:rsid w:val="00BB3AA0"/>
    <w:rsid w:val="00BB6FF7"/>
    <w:rsid w:val="00BC0E4B"/>
    <w:rsid w:val="00BD2334"/>
    <w:rsid w:val="00BD28A7"/>
    <w:rsid w:val="00BD2E71"/>
    <w:rsid w:val="00BD33E7"/>
    <w:rsid w:val="00BD39E8"/>
    <w:rsid w:val="00BD43A1"/>
    <w:rsid w:val="00BD786A"/>
    <w:rsid w:val="00BD78B3"/>
    <w:rsid w:val="00BE58EC"/>
    <w:rsid w:val="00BE6B58"/>
    <w:rsid w:val="00BF23B2"/>
    <w:rsid w:val="00BF349D"/>
    <w:rsid w:val="00BF624C"/>
    <w:rsid w:val="00C03BB3"/>
    <w:rsid w:val="00C0492D"/>
    <w:rsid w:val="00C06121"/>
    <w:rsid w:val="00C07752"/>
    <w:rsid w:val="00C10A82"/>
    <w:rsid w:val="00C10A8D"/>
    <w:rsid w:val="00C1474C"/>
    <w:rsid w:val="00C14A40"/>
    <w:rsid w:val="00C20685"/>
    <w:rsid w:val="00C20837"/>
    <w:rsid w:val="00C20AA7"/>
    <w:rsid w:val="00C233A3"/>
    <w:rsid w:val="00C237FC"/>
    <w:rsid w:val="00C23B3D"/>
    <w:rsid w:val="00C2454F"/>
    <w:rsid w:val="00C24F09"/>
    <w:rsid w:val="00C31651"/>
    <w:rsid w:val="00C31E1C"/>
    <w:rsid w:val="00C34B41"/>
    <w:rsid w:val="00C35477"/>
    <w:rsid w:val="00C37DC4"/>
    <w:rsid w:val="00C40EA6"/>
    <w:rsid w:val="00C413F6"/>
    <w:rsid w:val="00C41B96"/>
    <w:rsid w:val="00C424EC"/>
    <w:rsid w:val="00C45F70"/>
    <w:rsid w:val="00C51C77"/>
    <w:rsid w:val="00C5243F"/>
    <w:rsid w:val="00C536EE"/>
    <w:rsid w:val="00C53818"/>
    <w:rsid w:val="00C569F5"/>
    <w:rsid w:val="00C6079C"/>
    <w:rsid w:val="00C61A94"/>
    <w:rsid w:val="00C62055"/>
    <w:rsid w:val="00C65AB8"/>
    <w:rsid w:val="00C77284"/>
    <w:rsid w:val="00C862CA"/>
    <w:rsid w:val="00C90AB4"/>
    <w:rsid w:val="00C90B36"/>
    <w:rsid w:val="00C92560"/>
    <w:rsid w:val="00C9524B"/>
    <w:rsid w:val="00C956B3"/>
    <w:rsid w:val="00CA1E5C"/>
    <w:rsid w:val="00CA5D0D"/>
    <w:rsid w:val="00CB04C2"/>
    <w:rsid w:val="00CB4971"/>
    <w:rsid w:val="00CB7407"/>
    <w:rsid w:val="00CC240E"/>
    <w:rsid w:val="00CC67D8"/>
    <w:rsid w:val="00CD7509"/>
    <w:rsid w:val="00CE1E40"/>
    <w:rsid w:val="00CE3F74"/>
    <w:rsid w:val="00CE4B31"/>
    <w:rsid w:val="00CE4D00"/>
    <w:rsid w:val="00CE549C"/>
    <w:rsid w:val="00CE623B"/>
    <w:rsid w:val="00CE6DA8"/>
    <w:rsid w:val="00CF03B5"/>
    <w:rsid w:val="00CF1087"/>
    <w:rsid w:val="00CF69C3"/>
    <w:rsid w:val="00CF7D43"/>
    <w:rsid w:val="00D00004"/>
    <w:rsid w:val="00D0019A"/>
    <w:rsid w:val="00D04123"/>
    <w:rsid w:val="00D06600"/>
    <w:rsid w:val="00D0752D"/>
    <w:rsid w:val="00D1234C"/>
    <w:rsid w:val="00D1440A"/>
    <w:rsid w:val="00D224E7"/>
    <w:rsid w:val="00D22653"/>
    <w:rsid w:val="00D32883"/>
    <w:rsid w:val="00D343A5"/>
    <w:rsid w:val="00D3756E"/>
    <w:rsid w:val="00D4037E"/>
    <w:rsid w:val="00D40D20"/>
    <w:rsid w:val="00D42EAD"/>
    <w:rsid w:val="00D44050"/>
    <w:rsid w:val="00D45D93"/>
    <w:rsid w:val="00D52B89"/>
    <w:rsid w:val="00D530E1"/>
    <w:rsid w:val="00D539A0"/>
    <w:rsid w:val="00D54975"/>
    <w:rsid w:val="00D626CF"/>
    <w:rsid w:val="00D63F54"/>
    <w:rsid w:val="00D64472"/>
    <w:rsid w:val="00D705E9"/>
    <w:rsid w:val="00D728DB"/>
    <w:rsid w:val="00D74DE2"/>
    <w:rsid w:val="00D76A4A"/>
    <w:rsid w:val="00D773CC"/>
    <w:rsid w:val="00D825EF"/>
    <w:rsid w:val="00D84F3F"/>
    <w:rsid w:val="00D92BB0"/>
    <w:rsid w:val="00D9495E"/>
    <w:rsid w:val="00DA0882"/>
    <w:rsid w:val="00DA0AD6"/>
    <w:rsid w:val="00DA1A98"/>
    <w:rsid w:val="00DA1CEF"/>
    <w:rsid w:val="00DA1E73"/>
    <w:rsid w:val="00DA27AA"/>
    <w:rsid w:val="00DA54B8"/>
    <w:rsid w:val="00DA60EC"/>
    <w:rsid w:val="00DB41CF"/>
    <w:rsid w:val="00DB6D42"/>
    <w:rsid w:val="00DC234D"/>
    <w:rsid w:val="00DC2C5E"/>
    <w:rsid w:val="00DC376F"/>
    <w:rsid w:val="00DC4254"/>
    <w:rsid w:val="00DC481A"/>
    <w:rsid w:val="00DC5C53"/>
    <w:rsid w:val="00DD09DB"/>
    <w:rsid w:val="00DD0BA8"/>
    <w:rsid w:val="00DD0C9B"/>
    <w:rsid w:val="00DD1F08"/>
    <w:rsid w:val="00DD4012"/>
    <w:rsid w:val="00DD4754"/>
    <w:rsid w:val="00DD53AA"/>
    <w:rsid w:val="00DD6F6C"/>
    <w:rsid w:val="00DE0454"/>
    <w:rsid w:val="00DE0EB7"/>
    <w:rsid w:val="00DE1C8B"/>
    <w:rsid w:val="00DE24B2"/>
    <w:rsid w:val="00DE27B7"/>
    <w:rsid w:val="00DE2849"/>
    <w:rsid w:val="00DE43C0"/>
    <w:rsid w:val="00DE6C19"/>
    <w:rsid w:val="00DE7A0F"/>
    <w:rsid w:val="00DF2017"/>
    <w:rsid w:val="00DF2B17"/>
    <w:rsid w:val="00DF43F1"/>
    <w:rsid w:val="00DF7B27"/>
    <w:rsid w:val="00E0347D"/>
    <w:rsid w:val="00E075F4"/>
    <w:rsid w:val="00E110D3"/>
    <w:rsid w:val="00E1140D"/>
    <w:rsid w:val="00E126F9"/>
    <w:rsid w:val="00E12A77"/>
    <w:rsid w:val="00E235EF"/>
    <w:rsid w:val="00E30032"/>
    <w:rsid w:val="00E3485C"/>
    <w:rsid w:val="00E35303"/>
    <w:rsid w:val="00E37135"/>
    <w:rsid w:val="00E40B34"/>
    <w:rsid w:val="00E433DD"/>
    <w:rsid w:val="00E6086D"/>
    <w:rsid w:val="00E7024A"/>
    <w:rsid w:val="00E7152F"/>
    <w:rsid w:val="00E809A4"/>
    <w:rsid w:val="00E80DE0"/>
    <w:rsid w:val="00E81067"/>
    <w:rsid w:val="00E813E0"/>
    <w:rsid w:val="00E814B6"/>
    <w:rsid w:val="00E82995"/>
    <w:rsid w:val="00E83431"/>
    <w:rsid w:val="00E86391"/>
    <w:rsid w:val="00E86F94"/>
    <w:rsid w:val="00E94F27"/>
    <w:rsid w:val="00E958FC"/>
    <w:rsid w:val="00E96A84"/>
    <w:rsid w:val="00E97F69"/>
    <w:rsid w:val="00EA1C5D"/>
    <w:rsid w:val="00EA6510"/>
    <w:rsid w:val="00EB24FD"/>
    <w:rsid w:val="00EB5C05"/>
    <w:rsid w:val="00EC132F"/>
    <w:rsid w:val="00EC2EF3"/>
    <w:rsid w:val="00EC53C1"/>
    <w:rsid w:val="00EC76D4"/>
    <w:rsid w:val="00ED6ACE"/>
    <w:rsid w:val="00ED7B51"/>
    <w:rsid w:val="00EE6C42"/>
    <w:rsid w:val="00EE7E50"/>
    <w:rsid w:val="00EF10D5"/>
    <w:rsid w:val="00EF215B"/>
    <w:rsid w:val="00EF220A"/>
    <w:rsid w:val="00EF56D3"/>
    <w:rsid w:val="00EF78BB"/>
    <w:rsid w:val="00F052F4"/>
    <w:rsid w:val="00F11D4E"/>
    <w:rsid w:val="00F12F70"/>
    <w:rsid w:val="00F15D35"/>
    <w:rsid w:val="00F2327C"/>
    <w:rsid w:val="00F25A8D"/>
    <w:rsid w:val="00F2617A"/>
    <w:rsid w:val="00F327E6"/>
    <w:rsid w:val="00F32AEA"/>
    <w:rsid w:val="00F34BAD"/>
    <w:rsid w:val="00F354F7"/>
    <w:rsid w:val="00F355BA"/>
    <w:rsid w:val="00F3739D"/>
    <w:rsid w:val="00F435BD"/>
    <w:rsid w:val="00F43F59"/>
    <w:rsid w:val="00F47A53"/>
    <w:rsid w:val="00F51972"/>
    <w:rsid w:val="00F51E5D"/>
    <w:rsid w:val="00F65300"/>
    <w:rsid w:val="00F71552"/>
    <w:rsid w:val="00F72A00"/>
    <w:rsid w:val="00F777E2"/>
    <w:rsid w:val="00F77D87"/>
    <w:rsid w:val="00F839EA"/>
    <w:rsid w:val="00F84F30"/>
    <w:rsid w:val="00F9043E"/>
    <w:rsid w:val="00F909E0"/>
    <w:rsid w:val="00F95517"/>
    <w:rsid w:val="00F96835"/>
    <w:rsid w:val="00FA15AE"/>
    <w:rsid w:val="00FA7377"/>
    <w:rsid w:val="00FB02B1"/>
    <w:rsid w:val="00FB02ED"/>
    <w:rsid w:val="00FB048D"/>
    <w:rsid w:val="00FB144B"/>
    <w:rsid w:val="00FB3B5C"/>
    <w:rsid w:val="00FC1BED"/>
    <w:rsid w:val="00FC399D"/>
    <w:rsid w:val="00FC4A07"/>
    <w:rsid w:val="00FC6DE6"/>
    <w:rsid w:val="00FD170D"/>
    <w:rsid w:val="00FD1D91"/>
    <w:rsid w:val="00FE0987"/>
    <w:rsid w:val="00FE2241"/>
    <w:rsid w:val="00FE2E5F"/>
    <w:rsid w:val="00FE699C"/>
    <w:rsid w:val="00FF0156"/>
    <w:rsid w:val="00FF2BC7"/>
    <w:rsid w:val="00FF326E"/>
    <w:rsid w:val="00FF50B2"/>
    <w:rsid w:val="00FF5DDF"/>
    <w:rsid w:val="01B61395"/>
    <w:rsid w:val="01CC420F"/>
    <w:rsid w:val="030D6CB3"/>
    <w:rsid w:val="03467D9F"/>
    <w:rsid w:val="03975670"/>
    <w:rsid w:val="039A5AD8"/>
    <w:rsid w:val="03E9547A"/>
    <w:rsid w:val="04253313"/>
    <w:rsid w:val="044C0FA9"/>
    <w:rsid w:val="04913B57"/>
    <w:rsid w:val="04A4119D"/>
    <w:rsid w:val="04D3374C"/>
    <w:rsid w:val="04EC5F26"/>
    <w:rsid w:val="05665C6B"/>
    <w:rsid w:val="059045F5"/>
    <w:rsid w:val="05AA61E9"/>
    <w:rsid w:val="05B31EC1"/>
    <w:rsid w:val="05DA0749"/>
    <w:rsid w:val="061A3190"/>
    <w:rsid w:val="062D43AF"/>
    <w:rsid w:val="065126CD"/>
    <w:rsid w:val="065B0DFF"/>
    <w:rsid w:val="06631006"/>
    <w:rsid w:val="067A7358"/>
    <w:rsid w:val="06822C3B"/>
    <w:rsid w:val="068F0BD1"/>
    <w:rsid w:val="06985A37"/>
    <w:rsid w:val="069F6A40"/>
    <w:rsid w:val="06B70F6A"/>
    <w:rsid w:val="06BC10BC"/>
    <w:rsid w:val="070F4707"/>
    <w:rsid w:val="07312A0B"/>
    <w:rsid w:val="074148F3"/>
    <w:rsid w:val="078D160B"/>
    <w:rsid w:val="0824673D"/>
    <w:rsid w:val="08BA7814"/>
    <w:rsid w:val="08CA4265"/>
    <w:rsid w:val="092653CC"/>
    <w:rsid w:val="0960323B"/>
    <w:rsid w:val="0A2E498F"/>
    <w:rsid w:val="0A384E90"/>
    <w:rsid w:val="0B287FDA"/>
    <w:rsid w:val="0B295A5C"/>
    <w:rsid w:val="0BCC1611"/>
    <w:rsid w:val="0BEC2B35"/>
    <w:rsid w:val="0C675F6A"/>
    <w:rsid w:val="0C803E0F"/>
    <w:rsid w:val="0CDB18FA"/>
    <w:rsid w:val="0CF5429B"/>
    <w:rsid w:val="0D037EAE"/>
    <w:rsid w:val="0D0C0EF9"/>
    <w:rsid w:val="0D250CF9"/>
    <w:rsid w:val="0D520585"/>
    <w:rsid w:val="0D5F5984"/>
    <w:rsid w:val="0DA557B0"/>
    <w:rsid w:val="0DBB217D"/>
    <w:rsid w:val="0E000C55"/>
    <w:rsid w:val="0E7E2314"/>
    <w:rsid w:val="0E87150D"/>
    <w:rsid w:val="0E9A3877"/>
    <w:rsid w:val="0EEA4666"/>
    <w:rsid w:val="0F581039"/>
    <w:rsid w:val="0F607B6B"/>
    <w:rsid w:val="0F64080A"/>
    <w:rsid w:val="0FC16472"/>
    <w:rsid w:val="0FFB6990"/>
    <w:rsid w:val="10A5689B"/>
    <w:rsid w:val="10C143B1"/>
    <w:rsid w:val="10D15E0E"/>
    <w:rsid w:val="10DE515C"/>
    <w:rsid w:val="110E3E23"/>
    <w:rsid w:val="11450B9A"/>
    <w:rsid w:val="11D413CD"/>
    <w:rsid w:val="11E22A2E"/>
    <w:rsid w:val="12CF6473"/>
    <w:rsid w:val="12DF3980"/>
    <w:rsid w:val="13092AEE"/>
    <w:rsid w:val="13C354E3"/>
    <w:rsid w:val="13D3085E"/>
    <w:rsid w:val="14622176"/>
    <w:rsid w:val="146D1628"/>
    <w:rsid w:val="14A654B0"/>
    <w:rsid w:val="150D396A"/>
    <w:rsid w:val="15947734"/>
    <w:rsid w:val="15CB0005"/>
    <w:rsid w:val="16946E70"/>
    <w:rsid w:val="16CC711C"/>
    <w:rsid w:val="170E28DF"/>
    <w:rsid w:val="17631273"/>
    <w:rsid w:val="17ED4935"/>
    <w:rsid w:val="182746B0"/>
    <w:rsid w:val="183E5AD0"/>
    <w:rsid w:val="18732F6E"/>
    <w:rsid w:val="187666D8"/>
    <w:rsid w:val="188E134B"/>
    <w:rsid w:val="18AD6B08"/>
    <w:rsid w:val="18D83919"/>
    <w:rsid w:val="1951037C"/>
    <w:rsid w:val="19F64E16"/>
    <w:rsid w:val="1A247921"/>
    <w:rsid w:val="1A881F19"/>
    <w:rsid w:val="1A8B185D"/>
    <w:rsid w:val="1A9D4621"/>
    <w:rsid w:val="1BD069E7"/>
    <w:rsid w:val="1BDE79CC"/>
    <w:rsid w:val="1BFD1DE6"/>
    <w:rsid w:val="1C2B0219"/>
    <w:rsid w:val="1C6531FA"/>
    <w:rsid w:val="1C870231"/>
    <w:rsid w:val="1C9A4E49"/>
    <w:rsid w:val="1CBD289F"/>
    <w:rsid w:val="1D2B0D8D"/>
    <w:rsid w:val="1D9308F1"/>
    <w:rsid w:val="1D9D2B73"/>
    <w:rsid w:val="1DBD1F68"/>
    <w:rsid w:val="1EAF6B6E"/>
    <w:rsid w:val="1EED4FF0"/>
    <w:rsid w:val="1FE71C13"/>
    <w:rsid w:val="206C28F7"/>
    <w:rsid w:val="208A6031"/>
    <w:rsid w:val="20C977A5"/>
    <w:rsid w:val="20FC29AC"/>
    <w:rsid w:val="212E032D"/>
    <w:rsid w:val="214443F7"/>
    <w:rsid w:val="217D7C00"/>
    <w:rsid w:val="21AA77CB"/>
    <w:rsid w:val="21E60146"/>
    <w:rsid w:val="21F40C07"/>
    <w:rsid w:val="224C30F7"/>
    <w:rsid w:val="22A144DF"/>
    <w:rsid w:val="233B2B3D"/>
    <w:rsid w:val="235E3DC7"/>
    <w:rsid w:val="239010D6"/>
    <w:rsid w:val="23B36DF4"/>
    <w:rsid w:val="23E56E80"/>
    <w:rsid w:val="24B31941"/>
    <w:rsid w:val="25666E65"/>
    <w:rsid w:val="257C3306"/>
    <w:rsid w:val="258C1AC8"/>
    <w:rsid w:val="258D3D1A"/>
    <w:rsid w:val="25925F5B"/>
    <w:rsid w:val="259F1949"/>
    <w:rsid w:val="26056F07"/>
    <w:rsid w:val="260F1851"/>
    <w:rsid w:val="26522620"/>
    <w:rsid w:val="265C7447"/>
    <w:rsid w:val="26962499"/>
    <w:rsid w:val="269F36C7"/>
    <w:rsid w:val="26B13CC7"/>
    <w:rsid w:val="271E65BE"/>
    <w:rsid w:val="272251D5"/>
    <w:rsid w:val="27E55173"/>
    <w:rsid w:val="28105ECB"/>
    <w:rsid w:val="282C7C11"/>
    <w:rsid w:val="28493AA6"/>
    <w:rsid w:val="28C4041B"/>
    <w:rsid w:val="28F26572"/>
    <w:rsid w:val="29C71D19"/>
    <w:rsid w:val="2A5A14A1"/>
    <w:rsid w:val="2AE84A4C"/>
    <w:rsid w:val="2B1C64E1"/>
    <w:rsid w:val="2B7D297C"/>
    <w:rsid w:val="2BD93A02"/>
    <w:rsid w:val="2CA60A61"/>
    <w:rsid w:val="2CC13760"/>
    <w:rsid w:val="2CC16756"/>
    <w:rsid w:val="2CCC042B"/>
    <w:rsid w:val="2CF84E62"/>
    <w:rsid w:val="2D4246F9"/>
    <w:rsid w:val="2D925BB5"/>
    <w:rsid w:val="2DEA4A15"/>
    <w:rsid w:val="2E8915CF"/>
    <w:rsid w:val="2EE13C42"/>
    <w:rsid w:val="2F047569"/>
    <w:rsid w:val="2F320AAB"/>
    <w:rsid w:val="2F464012"/>
    <w:rsid w:val="2FF95E79"/>
    <w:rsid w:val="303B0102"/>
    <w:rsid w:val="305C681E"/>
    <w:rsid w:val="305F3029"/>
    <w:rsid w:val="30AC1D1E"/>
    <w:rsid w:val="30AE0DB5"/>
    <w:rsid w:val="31243861"/>
    <w:rsid w:val="314A06F5"/>
    <w:rsid w:val="3180396E"/>
    <w:rsid w:val="323F10FE"/>
    <w:rsid w:val="32CB0CCF"/>
    <w:rsid w:val="342602B0"/>
    <w:rsid w:val="34424E25"/>
    <w:rsid w:val="34DE4DA3"/>
    <w:rsid w:val="357D33FE"/>
    <w:rsid w:val="360E6398"/>
    <w:rsid w:val="36936068"/>
    <w:rsid w:val="37164864"/>
    <w:rsid w:val="37343C97"/>
    <w:rsid w:val="37DF4D49"/>
    <w:rsid w:val="38315548"/>
    <w:rsid w:val="38AE328E"/>
    <w:rsid w:val="38AE77EE"/>
    <w:rsid w:val="39203A88"/>
    <w:rsid w:val="3930274A"/>
    <w:rsid w:val="39347420"/>
    <w:rsid w:val="398447F8"/>
    <w:rsid w:val="39934EFF"/>
    <w:rsid w:val="39AE0030"/>
    <w:rsid w:val="39F21A1E"/>
    <w:rsid w:val="3A09389B"/>
    <w:rsid w:val="3B002948"/>
    <w:rsid w:val="3B63749B"/>
    <w:rsid w:val="3B845131"/>
    <w:rsid w:val="3C6E4331"/>
    <w:rsid w:val="3D257AEB"/>
    <w:rsid w:val="3D842ED3"/>
    <w:rsid w:val="3DCE7AEC"/>
    <w:rsid w:val="3DCF53AB"/>
    <w:rsid w:val="3EAB65A9"/>
    <w:rsid w:val="3ED32757"/>
    <w:rsid w:val="3F112386"/>
    <w:rsid w:val="3F197792"/>
    <w:rsid w:val="3F5B0A21"/>
    <w:rsid w:val="3FE033B8"/>
    <w:rsid w:val="3FF053F7"/>
    <w:rsid w:val="403B083D"/>
    <w:rsid w:val="404143AC"/>
    <w:rsid w:val="40740A9B"/>
    <w:rsid w:val="41A13C2B"/>
    <w:rsid w:val="41FD25D9"/>
    <w:rsid w:val="422B001A"/>
    <w:rsid w:val="423844E1"/>
    <w:rsid w:val="42FE1E18"/>
    <w:rsid w:val="43004B7A"/>
    <w:rsid w:val="43631D30"/>
    <w:rsid w:val="438766E1"/>
    <w:rsid w:val="44760C03"/>
    <w:rsid w:val="44C16515"/>
    <w:rsid w:val="44E1728E"/>
    <w:rsid w:val="44F66E7A"/>
    <w:rsid w:val="450270EF"/>
    <w:rsid w:val="45354A56"/>
    <w:rsid w:val="454F78C2"/>
    <w:rsid w:val="459019B0"/>
    <w:rsid w:val="45FB59DC"/>
    <w:rsid w:val="464A30AD"/>
    <w:rsid w:val="465E3921"/>
    <w:rsid w:val="46816D3A"/>
    <w:rsid w:val="46982B61"/>
    <w:rsid w:val="46F65676"/>
    <w:rsid w:val="47082AA0"/>
    <w:rsid w:val="470F4721"/>
    <w:rsid w:val="471D340A"/>
    <w:rsid w:val="4745583D"/>
    <w:rsid w:val="47902469"/>
    <w:rsid w:val="47A57DBF"/>
    <w:rsid w:val="47C076C6"/>
    <w:rsid w:val="47F56FE2"/>
    <w:rsid w:val="483F391B"/>
    <w:rsid w:val="484F6E79"/>
    <w:rsid w:val="488927A0"/>
    <w:rsid w:val="48A22BB4"/>
    <w:rsid w:val="48B223F3"/>
    <w:rsid w:val="48CE77DB"/>
    <w:rsid w:val="49063DB7"/>
    <w:rsid w:val="493A68E9"/>
    <w:rsid w:val="494A59C5"/>
    <w:rsid w:val="49610C6B"/>
    <w:rsid w:val="4A3164CE"/>
    <w:rsid w:val="4AA14A15"/>
    <w:rsid w:val="4B447480"/>
    <w:rsid w:val="4BA94F2F"/>
    <w:rsid w:val="4BB1681C"/>
    <w:rsid w:val="4BC74ED2"/>
    <w:rsid w:val="4C123375"/>
    <w:rsid w:val="4C435D6D"/>
    <w:rsid w:val="4D1A4990"/>
    <w:rsid w:val="4D2F582F"/>
    <w:rsid w:val="4D6636C4"/>
    <w:rsid w:val="4DAD40CC"/>
    <w:rsid w:val="4DF55974"/>
    <w:rsid w:val="4E0C2A7A"/>
    <w:rsid w:val="4E294E69"/>
    <w:rsid w:val="4E656E97"/>
    <w:rsid w:val="4EA742B3"/>
    <w:rsid w:val="4ECC4419"/>
    <w:rsid w:val="4ECF74D9"/>
    <w:rsid w:val="4F167C4E"/>
    <w:rsid w:val="4FC469FC"/>
    <w:rsid w:val="4FE22680"/>
    <w:rsid w:val="4FF471A8"/>
    <w:rsid w:val="509E4251"/>
    <w:rsid w:val="50CA5F6F"/>
    <w:rsid w:val="511D3D53"/>
    <w:rsid w:val="519218AA"/>
    <w:rsid w:val="51A47CF6"/>
    <w:rsid w:val="52F95F32"/>
    <w:rsid w:val="536234F5"/>
    <w:rsid w:val="538A0198"/>
    <w:rsid w:val="53BA0486"/>
    <w:rsid w:val="53CE36FE"/>
    <w:rsid w:val="53DE67C2"/>
    <w:rsid w:val="53F528DA"/>
    <w:rsid w:val="5434489C"/>
    <w:rsid w:val="5448046D"/>
    <w:rsid w:val="545C0475"/>
    <w:rsid w:val="54A15A76"/>
    <w:rsid w:val="54A371B1"/>
    <w:rsid w:val="553D5A9A"/>
    <w:rsid w:val="55696613"/>
    <w:rsid w:val="55F81415"/>
    <w:rsid w:val="56F47A4B"/>
    <w:rsid w:val="57EE34EA"/>
    <w:rsid w:val="580E6D4D"/>
    <w:rsid w:val="58A50B4B"/>
    <w:rsid w:val="59180E7E"/>
    <w:rsid w:val="59912D97"/>
    <w:rsid w:val="5996114E"/>
    <w:rsid w:val="59EA6E92"/>
    <w:rsid w:val="5A570600"/>
    <w:rsid w:val="5A571A44"/>
    <w:rsid w:val="5B1D5A37"/>
    <w:rsid w:val="5B2C038B"/>
    <w:rsid w:val="5BB6132C"/>
    <w:rsid w:val="5BF82CD7"/>
    <w:rsid w:val="5CA80583"/>
    <w:rsid w:val="5CCE71CF"/>
    <w:rsid w:val="5CF70DED"/>
    <w:rsid w:val="5D193146"/>
    <w:rsid w:val="5DC437AD"/>
    <w:rsid w:val="5DFA0822"/>
    <w:rsid w:val="5E51556C"/>
    <w:rsid w:val="5E851B27"/>
    <w:rsid w:val="5F09181D"/>
    <w:rsid w:val="5F213768"/>
    <w:rsid w:val="5F555D52"/>
    <w:rsid w:val="5F997400"/>
    <w:rsid w:val="5FDC131C"/>
    <w:rsid w:val="5FF51CE4"/>
    <w:rsid w:val="5FF66EFD"/>
    <w:rsid w:val="600958E3"/>
    <w:rsid w:val="60AD7EF2"/>
    <w:rsid w:val="60CC6384"/>
    <w:rsid w:val="617443F0"/>
    <w:rsid w:val="61A54C60"/>
    <w:rsid w:val="61BC1DDE"/>
    <w:rsid w:val="61D331F6"/>
    <w:rsid w:val="61EB71C4"/>
    <w:rsid w:val="61EC4AC3"/>
    <w:rsid w:val="62910658"/>
    <w:rsid w:val="62C4345A"/>
    <w:rsid w:val="62C974EF"/>
    <w:rsid w:val="62D41677"/>
    <w:rsid w:val="630A5D73"/>
    <w:rsid w:val="632C6B29"/>
    <w:rsid w:val="63340526"/>
    <w:rsid w:val="63625E45"/>
    <w:rsid w:val="63857653"/>
    <w:rsid w:val="6412761B"/>
    <w:rsid w:val="64331652"/>
    <w:rsid w:val="64761852"/>
    <w:rsid w:val="650417B4"/>
    <w:rsid w:val="650D2C1F"/>
    <w:rsid w:val="65102DE0"/>
    <w:rsid w:val="65A45257"/>
    <w:rsid w:val="65CF1796"/>
    <w:rsid w:val="66A06234"/>
    <w:rsid w:val="66D37D3F"/>
    <w:rsid w:val="67012BB4"/>
    <w:rsid w:val="673F31AD"/>
    <w:rsid w:val="67AC76BB"/>
    <w:rsid w:val="67B406B2"/>
    <w:rsid w:val="67BE5AB5"/>
    <w:rsid w:val="67E05FF3"/>
    <w:rsid w:val="685E3F02"/>
    <w:rsid w:val="688D3E2F"/>
    <w:rsid w:val="68E35521"/>
    <w:rsid w:val="692F44B7"/>
    <w:rsid w:val="694019BC"/>
    <w:rsid w:val="69593F1C"/>
    <w:rsid w:val="698E3265"/>
    <w:rsid w:val="6A3711C6"/>
    <w:rsid w:val="6A3B0142"/>
    <w:rsid w:val="6A855DC0"/>
    <w:rsid w:val="6AEC2D48"/>
    <w:rsid w:val="6AF94B72"/>
    <w:rsid w:val="6B2E2EE7"/>
    <w:rsid w:val="6BAB24B1"/>
    <w:rsid w:val="6C6A66DE"/>
    <w:rsid w:val="6C945511"/>
    <w:rsid w:val="6CC04803"/>
    <w:rsid w:val="6DAD3E4C"/>
    <w:rsid w:val="6DC920CA"/>
    <w:rsid w:val="6DC960AE"/>
    <w:rsid w:val="6DCB495A"/>
    <w:rsid w:val="6EDE2B23"/>
    <w:rsid w:val="6F356DF8"/>
    <w:rsid w:val="6F6F3AD8"/>
    <w:rsid w:val="6F75680C"/>
    <w:rsid w:val="6F76223E"/>
    <w:rsid w:val="6F981BFB"/>
    <w:rsid w:val="6FA9534A"/>
    <w:rsid w:val="6FE4056F"/>
    <w:rsid w:val="6FF61027"/>
    <w:rsid w:val="703D2AC3"/>
    <w:rsid w:val="70AE12EA"/>
    <w:rsid w:val="70B45694"/>
    <w:rsid w:val="70CB5275"/>
    <w:rsid w:val="718D5C69"/>
    <w:rsid w:val="72073B87"/>
    <w:rsid w:val="722C105F"/>
    <w:rsid w:val="728C40A8"/>
    <w:rsid w:val="72BF5373"/>
    <w:rsid w:val="737C1DCE"/>
    <w:rsid w:val="73BD45E6"/>
    <w:rsid w:val="74224CEE"/>
    <w:rsid w:val="7432542B"/>
    <w:rsid w:val="74397754"/>
    <w:rsid w:val="74972B70"/>
    <w:rsid w:val="74B01E63"/>
    <w:rsid w:val="74D457BF"/>
    <w:rsid w:val="75084492"/>
    <w:rsid w:val="753352D6"/>
    <w:rsid w:val="7630040E"/>
    <w:rsid w:val="76F73CBD"/>
    <w:rsid w:val="775D1067"/>
    <w:rsid w:val="77DA64AE"/>
    <w:rsid w:val="77F642F2"/>
    <w:rsid w:val="77F83CF8"/>
    <w:rsid w:val="78806AF7"/>
    <w:rsid w:val="78851A96"/>
    <w:rsid w:val="78BC4612"/>
    <w:rsid w:val="790726D4"/>
    <w:rsid w:val="79507314"/>
    <w:rsid w:val="798161C2"/>
    <w:rsid w:val="79C70256"/>
    <w:rsid w:val="79E302A5"/>
    <w:rsid w:val="7A8A161B"/>
    <w:rsid w:val="7A937F54"/>
    <w:rsid w:val="7B0E3DF2"/>
    <w:rsid w:val="7B1A0497"/>
    <w:rsid w:val="7B4C7A03"/>
    <w:rsid w:val="7C4F7C82"/>
    <w:rsid w:val="7CB7092B"/>
    <w:rsid w:val="7CFD4F05"/>
    <w:rsid w:val="7D233BA3"/>
    <w:rsid w:val="7D473E85"/>
    <w:rsid w:val="7D5F58C0"/>
    <w:rsid w:val="7E37297D"/>
    <w:rsid w:val="7E853D15"/>
    <w:rsid w:val="7E8758DD"/>
    <w:rsid w:val="7EC70160"/>
    <w:rsid w:val="7ED408AB"/>
    <w:rsid w:val="7FE138C7"/>
    <w:rsid w:val="7FF93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5"/>
    <w:qFormat/>
    <w:uiPriority w:val="0"/>
    <w:pPr>
      <w:keepNext/>
      <w:widowControl/>
      <w:numPr>
        <w:ilvl w:val="0"/>
        <w:numId w:val="1"/>
      </w:numPr>
      <w:tabs>
        <w:tab w:val="left" w:pos="993"/>
        <w:tab w:val="clear" w:pos="3403"/>
      </w:tabs>
      <w:overflowPunct w:val="0"/>
      <w:autoSpaceDE w:val="0"/>
      <w:autoSpaceDN w:val="0"/>
      <w:adjustRightInd w:val="0"/>
      <w:spacing w:before="240" w:after="60"/>
      <w:ind w:left="993"/>
      <w:jc w:val="left"/>
      <w:textAlignment w:val="baseline"/>
      <w:outlineLvl w:val="0"/>
    </w:pPr>
    <w:rPr>
      <w:rFonts w:ascii="Arial" w:hAnsi="Arial" w:eastAsia="宋体" w:cs="Times New Roman"/>
      <w:b/>
      <w:kern w:val="28"/>
      <w:sz w:val="28"/>
      <w:szCs w:val="20"/>
      <w:lang w:eastAsia="en-US"/>
    </w:rPr>
  </w:style>
  <w:style w:type="paragraph" w:styleId="4">
    <w:name w:val="heading 2"/>
    <w:basedOn w:val="1"/>
    <w:next w:val="1"/>
    <w:link w:val="66"/>
    <w:qFormat/>
    <w:uiPriority w:val="0"/>
    <w:pPr>
      <w:keepNext/>
      <w:widowControl/>
      <w:numPr>
        <w:ilvl w:val="1"/>
        <w:numId w:val="1"/>
      </w:numPr>
      <w:overflowPunct w:val="0"/>
      <w:autoSpaceDE w:val="0"/>
      <w:autoSpaceDN w:val="0"/>
      <w:adjustRightInd w:val="0"/>
      <w:spacing w:before="240" w:after="60"/>
      <w:jc w:val="left"/>
      <w:textAlignment w:val="baseline"/>
      <w:outlineLvl w:val="1"/>
    </w:pPr>
    <w:rPr>
      <w:rFonts w:ascii="Arial" w:hAnsi="Arial" w:eastAsia="宋体" w:cs="Times New Roman"/>
      <w:b/>
      <w:i/>
      <w:kern w:val="0"/>
      <w:sz w:val="24"/>
      <w:szCs w:val="20"/>
      <w:lang w:eastAsia="en-US"/>
    </w:rPr>
  </w:style>
  <w:style w:type="paragraph" w:styleId="5">
    <w:name w:val="heading 3"/>
    <w:basedOn w:val="1"/>
    <w:next w:val="1"/>
    <w:link w:val="67"/>
    <w:qFormat/>
    <w:uiPriority w:val="0"/>
    <w:pPr>
      <w:keepNext/>
      <w:widowControl/>
      <w:numPr>
        <w:ilvl w:val="2"/>
        <w:numId w:val="1"/>
      </w:numPr>
      <w:overflowPunct w:val="0"/>
      <w:autoSpaceDE w:val="0"/>
      <w:autoSpaceDN w:val="0"/>
      <w:adjustRightInd w:val="0"/>
      <w:spacing w:before="240" w:after="60"/>
      <w:jc w:val="left"/>
      <w:textAlignment w:val="baseline"/>
      <w:outlineLvl w:val="2"/>
    </w:pPr>
    <w:rPr>
      <w:rFonts w:ascii="Times New Roman" w:hAnsi="Times New Roman" w:eastAsia="宋体" w:cs="Times New Roman"/>
      <w:b/>
      <w:kern w:val="0"/>
      <w:sz w:val="24"/>
      <w:szCs w:val="20"/>
      <w:lang w:eastAsia="en-US"/>
    </w:rPr>
  </w:style>
  <w:style w:type="paragraph" w:styleId="6">
    <w:name w:val="heading 4"/>
    <w:basedOn w:val="1"/>
    <w:next w:val="1"/>
    <w:link w:val="68"/>
    <w:qFormat/>
    <w:uiPriority w:val="99"/>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paragraph" w:styleId="7">
    <w:name w:val="heading 5"/>
    <w:basedOn w:val="1"/>
    <w:next w:val="1"/>
    <w:link w:val="69"/>
    <w:qFormat/>
    <w:uiPriority w:val="0"/>
    <w:pPr>
      <w:keepNext/>
      <w:keepLines/>
      <w:widowControl/>
      <w:overflowPunct w:val="0"/>
      <w:autoSpaceDE w:val="0"/>
      <w:autoSpaceDN w:val="0"/>
      <w:adjustRightInd w:val="0"/>
      <w:spacing w:before="280" w:after="290" w:line="372" w:lineRule="auto"/>
      <w:jc w:val="left"/>
      <w:textAlignment w:val="baseline"/>
      <w:outlineLvl w:val="4"/>
    </w:pPr>
    <w:rPr>
      <w:rFonts w:ascii="Times New Roman" w:hAnsi="Times New Roman" w:eastAsia="宋体" w:cs="Times New Roman"/>
      <w:b/>
      <w:bCs/>
      <w:kern w:val="0"/>
      <w:sz w:val="28"/>
      <w:szCs w:val="28"/>
      <w:lang w:eastAsia="en-US"/>
    </w:rPr>
  </w:style>
  <w:style w:type="paragraph" w:styleId="8">
    <w:name w:val="heading 6"/>
    <w:basedOn w:val="1"/>
    <w:next w:val="1"/>
    <w:link w:val="70"/>
    <w:qFormat/>
    <w:uiPriority w:val="99"/>
    <w:pPr>
      <w:keepNext/>
      <w:keepLines/>
      <w:widowControl/>
      <w:overflowPunct w:val="0"/>
      <w:autoSpaceDE w:val="0"/>
      <w:autoSpaceDN w:val="0"/>
      <w:adjustRightInd w:val="0"/>
      <w:spacing w:before="240" w:after="64" w:line="317" w:lineRule="auto"/>
      <w:jc w:val="left"/>
      <w:textAlignment w:val="baseline"/>
      <w:outlineLvl w:val="5"/>
    </w:pPr>
    <w:rPr>
      <w:rFonts w:ascii="Arial" w:hAnsi="Arial" w:eastAsia="黑体" w:cs="Times New Roman"/>
      <w:b/>
      <w:bCs/>
      <w:kern w:val="0"/>
      <w:sz w:val="24"/>
      <w:szCs w:val="24"/>
      <w:lang w:eastAsia="en-US"/>
    </w:rPr>
  </w:style>
  <w:style w:type="paragraph" w:styleId="9">
    <w:name w:val="heading 7"/>
    <w:basedOn w:val="1"/>
    <w:next w:val="1"/>
    <w:link w:val="71"/>
    <w:qFormat/>
    <w:uiPriority w:val="99"/>
    <w:pPr>
      <w:keepNext/>
      <w:keepLines/>
      <w:adjustRightInd w:val="0"/>
      <w:spacing w:before="240" w:after="64" w:line="320" w:lineRule="atLeast"/>
      <w:textAlignment w:val="baseline"/>
      <w:outlineLvl w:val="6"/>
    </w:pPr>
    <w:rPr>
      <w:rFonts w:ascii="Times New Roman" w:hAnsi="Times New Roman" w:eastAsia="宋体" w:cs="Times New Roman"/>
      <w:b/>
      <w:bCs/>
      <w:kern w:val="0"/>
      <w:sz w:val="24"/>
      <w:szCs w:val="24"/>
    </w:rPr>
  </w:style>
  <w:style w:type="paragraph" w:styleId="10">
    <w:name w:val="heading 8"/>
    <w:basedOn w:val="1"/>
    <w:next w:val="1"/>
    <w:link w:val="72"/>
    <w:qFormat/>
    <w:uiPriority w:val="99"/>
    <w:pPr>
      <w:keepNext/>
      <w:keepLines/>
      <w:widowControl/>
      <w:overflowPunct w:val="0"/>
      <w:autoSpaceDE w:val="0"/>
      <w:autoSpaceDN w:val="0"/>
      <w:adjustRightInd w:val="0"/>
      <w:spacing w:before="240" w:after="64" w:line="317" w:lineRule="auto"/>
      <w:jc w:val="left"/>
      <w:textAlignment w:val="baseline"/>
      <w:outlineLvl w:val="7"/>
    </w:pPr>
    <w:rPr>
      <w:rFonts w:ascii="Arial" w:hAnsi="Arial" w:eastAsia="黑体" w:cs="Times New Roman"/>
      <w:kern w:val="0"/>
      <w:sz w:val="24"/>
      <w:szCs w:val="24"/>
      <w:lang w:eastAsia="en-US"/>
    </w:rPr>
  </w:style>
  <w:style w:type="paragraph" w:styleId="11">
    <w:name w:val="heading 9"/>
    <w:basedOn w:val="1"/>
    <w:next w:val="1"/>
    <w:link w:val="73"/>
    <w:qFormat/>
    <w:uiPriority w:val="99"/>
    <w:pPr>
      <w:widowControl/>
      <w:tabs>
        <w:tab w:val="left" w:pos="1584"/>
      </w:tabs>
      <w:spacing w:before="240" w:after="60"/>
      <w:ind w:left="1584" w:hanging="1584"/>
      <w:jc w:val="left"/>
      <w:outlineLvl w:val="8"/>
    </w:pPr>
    <w:rPr>
      <w:rFonts w:ascii="Arial" w:hAnsi="Arial" w:eastAsia="华文宋体" w:cs="Times New Roman"/>
      <w:kern w:val="0"/>
      <w:sz w:val="22"/>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38"/>
    <w:qFormat/>
    <w:uiPriority w:val="0"/>
    <w:pPr>
      <w:adjustRightInd w:val="0"/>
      <w:spacing w:line="360" w:lineRule="atLeast"/>
      <w:textAlignment w:val="baseline"/>
    </w:pPr>
    <w:rPr>
      <w:rFonts w:ascii="Times New Roman" w:hAnsi="Times New Roman" w:eastAsia="宋体" w:cs="Times New Roman"/>
      <w:kern w:val="0"/>
      <w:sz w:val="24"/>
      <w:szCs w:val="20"/>
    </w:rPr>
  </w:style>
  <w:style w:type="paragraph" w:styleId="12">
    <w:name w:val="toc 7"/>
    <w:basedOn w:val="1"/>
    <w:next w:val="1"/>
    <w:qFormat/>
    <w:uiPriority w:val="0"/>
    <w:pPr>
      <w:widowControl/>
      <w:overflowPunct w:val="0"/>
      <w:autoSpaceDE w:val="0"/>
      <w:autoSpaceDN w:val="0"/>
      <w:adjustRightInd w:val="0"/>
      <w:ind w:left="1200"/>
      <w:jc w:val="left"/>
      <w:textAlignment w:val="baseline"/>
    </w:pPr>
    <w:rPr>
      <w:rFonts w:ascii="Times New Roman" w:hAnsi="Times New Roman" w:eastAsia="宋体" w:cs="Times New Roman"/>
      <w:kern w:val="0"/>
      <w:sz w:val="18"/>
      <w:szCs w:val="20"/>
      <w:lang w:eastAsia="en-US"/>
    </w:rPr>
  </w:style>
  <w:style w:type="paragraph" w:styleId="13">
    <w:name w:val="Document Map"/>
    <w:basedOn w:val="1"/>
    <w:link w:val="232"/>
    <w:semiHidden/>
    <w:qFormat/>
    <w:uiPriority w:val="0"/>
    <w:pPr>
      <w:shd w:val="clear" w:color="auto" w:fill="000080"/>
    </w:pPr>
    <w:rPr>
      <w:rFonts w:ascii="Times New Roman" w:hAnsi="Times New Roman" w:eastAsia="宋体" w:cs="Times New Roman"/>
      <w:szCs w:val="24"/>
    </w:rPr>
  </w:style>
  <w:style w:type="paragraph" w:styleId="14">
    <w:name w:val="annotation text"/>
    <w:basedOn w:val="1"/>
    <w:link w:val="122"/>
    <w:qFormat/>
    <w:uiPriority w:val="99"/>
    <w:pPr>
      <w:widowControl/>
      <w:overflowPunct w:val="0"/>
      <w:autoSpaceDE w:val="0"/>
      <w:autoSpaceDN w:val="0"/>
      <w:adjustRightInd w:val="0"/>
      <w:jc w:val="left"/>
      <w:textAlignment w:val="baseline"/>
    </w:pPr>
    <w:rPr>
      <w:rFonts w:ascii="Times New Roman" w:hAnsi="Times New Roman" w:eastAsia="宋体" w:cs="Times New Roman"/>
      <w:kern w:val="0"/>
      <w:sz w:val="20"/>
      <w:szCs w:val="20"/>
      <w:lang w:eastAsia="en-US"/>
    </w:rPr>
  </w:style>
  <w:style w:type="paragraph" w:styleId="15">
    <w:name w:val="Salutation"/>
    <w:basedOn w:val="1"/>
    <w:next w:val="1"/>
    <w:link w:val="113"/>
    <w:qFormat/>
    <w:uiPriority w:val="0"/>
    <w:pPr>
      <w:widowControl/>
      <w:overflowPunct w:val="0"/>
      <w:autoSpaceDE w:val="0"/>
      <w:autoSpaceDN w:val="0"/>
      <w:adjustRightInd w:val="0"/>
      <w:jc w:val="left"/>
      <w:textAlignment w:val="baseline"/>
    </w:pPr>
    <w:rPr>
      <w:rFonts w:ascii="宋体" w:hAnsi="宋体" w:eastAsia="宋体" w:cs="Times New Roman"/>
      <w:kern w:val="0"/>
      <w:szCs w:val="21"/>
    </w:rPr>
  </w:style>
  <w:style w:type="paragraph" w:styleId="16">
    <w:name w:val="Body Text 3"/>
    <w:basedOn w:val="1"/>
    <w:link w:val="106"/>
    <w:qFormat/>
    <w:uiPriority w:val="99"/>
    <w:pPr>
      <w:widowControl/>
      <w:overflowPunct w:val="0"/>
      <w:autoSpaceDE w:val="0"/>
      <w:autoSpaceDN w:val="0"/>
      <w:adjustRightInd w:val="0"/>
      <w:spacing w:after="120"/>
      <w:jc w:val="left"/>
      <w:textAlignment w:val="baseline"/>
    </w:pPr>
    <w:rPr>
      <w:rFonts w:ascii="Times New Roman" w:hAnsi="Times New Roman" w:eastAsia="宋体" w:cs="Times New Roman"/>
      <w:kern w:val="0"/>
      <w:sz w:val="16"/>
      <w:szCs w:val="16"/>
      <w:lang w:eastAsia="en-US"/>
    </w:rPr>
  </w:style>
  <w:style w:type="paragraph" w:styleId="17">
    <w:name w:val="Closing"/>
    <w:basedOn w:val="1"/>
    <w:link w:val="114"/>
    <w:qFormat/>
    <w:uiPriority w:val="0"/>
    <w:pPr>
      <w:widowControl/>
      <w:overflowPunct w:val="0"/>
      <w:autoSpaceDE w:val="0"/>
      <w:autoSpaceDN w:val="0"/>
      <w:adjustRightInd w:val="0"/>
      <w:ind w:left="100" w:leftChars="2100"/>
      <w:jc w:val="left"/>
      <w:textAlignment w:val="baseline"/>
    </w:pPr>
    <w:rPr>
      <w:rFonts w:ascii="宋体" w:hAnsi="宋体" w:eastAsia="宋体" w:cs="Times New Roman"/>
      <w:kern w:val="0"/>
      <w:szCs w:val="21"/>
    </w:rPr>
  </w:style>
  <w:style w:type="paragraph" w:styleId="18">
    <w:name w:val="Body Text"/>
    <w:basedOn w:val="1"/>
    <w:link w:val="79"/>
    <w:qFormat/>
    <w:uiPriority w:val="0"/>
    <w:pPr>
      <w:widowControl/>
      <w:overflowPunct w:val="0"/>
      <w:autoSpaceDE w:val="0"/>
      <w:autoSpaceDN w:val="0"/>
      <w:adjustRightInd w:val="0"/>
      <w:jc w:val="left"/>
      <w:textAlignment w:val="baseline"/>
    </w:pPr>
    <w:rPr>
      <w:rFonts w:ascii="楷体" w:hAnsi="Times New Roman" w:eastAsia="楷体" w:cs="Times New Roman"/>
      <w:i/>
      <w:iCs/>
      <w:kern w:val="0"/>
      <w:sz w:val="20"/>
      <w:szCs w:val="20"/>
    </w:rPr>
  </w:style>
  <w:style w:type="paragraph" w:styleId="19">
    <w:name w:val="Body Text Indent"/>
    <w:basedOn w:val="1"/>
    <w:link w:val="107"/>
    <w:qFormat/>
    <w:uiPriority w:val="0"/>
    <w:pPr>
      <w:spacing w:line="312" w:lineRule="atLeast"/>
      <w:ind w:firstLine="540"/>
    </w:pPr>
    <w:rPr>
      <w:rFonts w:ascii="Times New Roman" w:hAnsi="Times New Roman" w:eastAsia="楷体" w:cs="Times New Roman"/>
      <w:snapToGrid w:val="0"/>
      <w:kern w:val="0"/>
      <w:szCs w:val="20"/>
    </w:rPr>
  </w:style>
  <w:style w:type="paragraph" w:styleId="20">
    <w:name w:val="List 2"/>
    <w:basedOn w:val="1"/>
    <w:qFormat/>
    <w:uiPriority w:val="0"/>
    <w:pPr>
      <w:ind w:left="840" w:hanging="420"/>
    </w:pPr>
    <w:rPr>
      <w:rFonts w:ascii="Times New Roman" w:hAnsi="Times New Roman" w:eastAsia="宋体" w:cs="Times New Roman"/>
      <w:szCs w:val="20"/>
    </w:rPr>
  </w:style>
  <w:style w:type="paragraph" w:styleId="21">
    <w:name w:val="Block Text"/>
    <w:basedOn w:val="1"/>
    <w:qFormat/>
    <w:uiPriority w:val="0"/>
    <w:pPr>
      <w:widowControl/>
      <w:ind w:left="180" w:right="108"/>
    </w:pPr>
    <w:rPr>
      <w:rFonts w:ascii="Comic Sans MS" w:hAnsi="Comic Sans MS" w:eastAsia="宋体" w:cs="Arial"/>
      <w:b/>
      <w:bCs/>
      <w:i/>
      <w:iCs/>
      <w:kern w:val="0"/>
      <w:sz w:val="16"/>
      <w:szCs w:val="24"/>
      <w:lang w:eastAsia="en-US"/>
    </w:rPr>
  </w:style>
  <w:style w:type="paragraph" w:styleId="22">
    <w:name w:val="HTML Address"/>
    <w:basedOn w:val="1"/>
    <w:link w:val="144"/>
    <w:qFormat/>
    <w:uiPriority w:val="0"/>
    <w:rPr>
      <w:rFonts w:ascii="Times New Roman" w:hAnsi="Times New Roman" w:eastAsia="宋体" w:cs="Times New Roman"/>
      <w:i/>
      <w:iCs/>
      <w:szCs w:val="24"/>
    </w:rPr>
  </w:style>
  <w:style w:type="paragraph" w:styleId="23">
    <w:name w:val="toc 5"/>
    <w:basedOn w:val="1"/>
    <w:next w:val="1"/>
    <w:qFormat/>
    <w:uiPriority w:val="0"/>
    <w:pPr>
      <w:widowControl/>
      <w:overflowPunct w:val="0"/>
      <w:autoSpaceDE w:val="0"/>
      <w:autoSpaceDN w:val="0"/>
      <w:adjustRightInd w:val="0"/>
      <w:ind w:left="800"/>
      <w:jc w:val="left"/>
      <w:textAlignment w:val="baseline"/>
    </w:pPr>
    <w:rPr>
      <w:rFonts w:ascii="Times New Roman" w:hAnsi="Times New Roman" w:eastAsia="宋体" w:cs="Times New Roman"/>
      <w:kern w:val="0"/>
      <w:sz w:val="18"/>
      <w:szCs w:val="20"/>
      <w:lang w:eastAsia="en-US"/>
    </w:rPr>
  </w:style>
  <w:style w:type="paragraph" w:styleId="24">
    <w:name w:val="toc 3"/>
    <w:basedOn w:val="1"/>
    <w:next w:val="1"/>
    <w:qFormat/>
    <w:uiPriority w:val="0"/>
    <w:pPr>
      <w:widowControl/>
      <w:overflowPunct w:val="0"/>
      <w:autoSpaceDE w:val="0"/>
      <w:autoSpaceDN w:val="0"/>
      <w:adjustRightInd w:val="0"/>
      <w:ind w:left="400"/>
      <w:jc w:val="left"/>
      <w:textAlignment w:val="baseline"/>
    </w:pPr>
    <w:rPr>
      <w:rFonts w:ascii="Times New Roman" w:hAnsi="Times New Roman" w:eastAsia="宋体" w:cs="Times New Roman"/>
      <w:i/>
      <w:kern w:val="0"/>
      <w:sz w:val="20"/>
      <w:szCs w:val="20"/>
      <w:lang w:eastAsia="en-US"/>
    </w:rPr>
  </w:style>
  <w:style w:type="paragraph" w:styleId="25">
    <w:name w:val="Plain Text"/>
    <w:basedOn w:val="1"/>
    <w:link w:val="80"/>
    <w:qFormat/>
    <w:uiPriority w:val="0"/>
    <w:rPr>
      <w:rFonts w:ascii="宋体" w:hAnsi="Courier New" w:eastAsia="宋体" w:cs="Times New Roman"/>
      <w:sz w:val="28"/>
      <w:szCs w:val="20"/>
    </w:rPr>
  </w:style>
  <w:style w:type="paragraph" w:styleId="26">
    <w:name w:val="toc 8"/>
    <w:basedOn w:val="1"/>
    <w:next w:val="1"/>
    <w:qFormat/>
    <w:uiPriority w:val="0"/>
    <w:pPr>
      <w:widowControl/>
      <w:overflowPunct w:val="0"/>
      <w:autoSpaceDE w:val="0"/>
      <w:autoSpaceDN w:val="0"/>
      <w:adjustRightInd w:val="0"/>
      <w:ind w:left="1400"/>
      <w:jc w:val="left"/>
      <w:textAlignment w:val="baseline"/>
    </w:pPr>
    <w:rPr>
      <w:rFonts w:ascii="Times New Roman" w:hAnsi="Times New Roman" w:eastAsia="宋体" w:cs="Times New Roman"/>
      <w:kern w:val="0"/>
      <w:sz w:val="18"/>
      <w:szCs w:val="20"/>
      <w:lang w:eastAsia="en-US"/>
    </w:rPr>
  </w:style>
  <w:style w:type="paragraph" w:styleId="27">
    <w:name w:val="Date"/>
    <w:basedOn w:val="1"/>
    <w:next w:val="1"/>
    <w:link w:val="108"/>
    <w:qFormat/>
    <w:uiPriority w:val="0"/>
    <w:pPr>
      <w:widowControl/>
      <w:overflowPunct w:val="0"/>
      <w:autoSpaceDE w:val="0"/>
      <w:autoSpaceDN w:val="0"/>
      <w:adjustRightInd w:val="0"/>
      <w:textAlignment w:val="baseline"/>
    </w:pPr>
    <w:rPr>
      <w:rFonts w:ascii="楷体" w:hAnsi="Times New Roman" w:eastAsia="楷体" w:cs="Times New Roman"/>
      <w:kern w:val="0"/>
      <w:sz w:val="24"/>
      <w:szCs w:val="20"/>
      <w:lang w:eastAsia="en-US"/>
    </w:rPr>
  </w:style>
  <w:style w:type="paragraph" w:styleId="28">
    <w:name w:val="Body Text Indent 2"/>
    <w:basedOn w:val="1"/>
    <w:link w:val="110"/>
    <w:qFormat/>
    <w:uiPriority w:val="0"/>
    <w:pPr>
      <w:spacing w:line="320" w:lineRule="atLeast"/>
      <w:ind w:firstLine="540"/>
      <w:jc w:val="left"/>
    </w:pPr>
    <w:rPr>
      <w:rFonts w:ascii="楷体" w:hAnsi="Times New Roman" w:eastAsia="楷体" w:cs="Times New Roman"/>
      <w:i/>
      <w:snapToGrid w:val="0"/>
      <w:kern w:val="0"/>
      <w:sz w:val="22"/>
      <w:szCs w:val="20"/>
    </w:rPr>
  </w:style>
  <w:style w:type="paragraph" w:styleId="29">
    <w:name w:val="endnote text"/>
    <w:basedOn w:val="1"/>
    <w:link w:val="112"/>
    <w:qFormat/>
    <w:uiPriority w:val="0"/>
    <w:pPr>
      <w:widowControl/>
      <w:overflowPunct w:val="0"/>
      <w:autoSpaceDE w:val="0"/>
      <w:autoSpaceDN w:val="0"/>
      <w:adjustRightInd w:val="0"/>
      <w:snapToGrid w:val="0"/>
      <w:jc w:val="left"/>
      <w:textAlignment w:val="baseline"/>
    </w:pPr>
    <w:rPr>
      <w:rFonts w:ascii="Times New Roman" w:hAnsi="Times New Roman" w:eastAsia="宋体" w:cs="Times New Roman"/>
      <w:kern w:val="0"/>
      <w:sz w:val="20"/>
      <w:szCs w:val="20"/>
      <w:lang w:eastAsia="en-US"/>
    </w:rPr>
  </w:style>
  <w:style w:type="paragraph" w:styleId="30">
    <w:name w:val="Balloon Text"/>
    <w:basedOn w:val="1"/>
    <w:link w:val="105"/>
    <w:qFormat/>
    <w:uiPriority w:val="99"/>
    <w:rPr>
      <w:rFonts w:ascii="Times New Roman" w:hAnsi="Times New Roman" w:eastAsia="宋体" w:cs="Times New Roman"/>
      <w:sz w:val="18"/>
      <w:szCs w:val="18"/>
    </w:rPr>
  </w:style>
  <w:style w:type="paragraph" w:styleId="31">
    <w:name w:val="footer"/>
    <w:basedOn w:val="1"/>
    <w:link w:val="75"/>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2">
    <w:name w:val="header"/>
    <w:basedOn w:val="1"/>
    <w:link w:val="7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3">
    <w:name w:val="toc 1"/>
    <w:basedOn w:val="1"/>
    <w:next w:val="1"/>
    <w:qFormat/>
    <w:uiPriority w:val="39"/>
    <w:pPr>
      <w:widowControl/>
      <w:overflowPunct w:val="0"/>
      <w:autoSpaceDE w:val="0"/>
      <w:autoSpaceDN w:val="0"/>
      <w:adjustRightInd w:val="0"/>
      <w:spacing w:before="120" w:after="120"/>
      <w:jc w:val="left"/>
      <w:textAlignment w:val="baseline"/>
    </w:pPr>
    <w:rPr>
      <w:rFonts w:ascii="Times New Roman" w:hAnsi="Times New Roman" w:eastAsia="宋体" w:cs="Times New Roman"/>
      <w:b/>
      <w:caps/>
      <w:kern w:val="0"/>
      <w:sz w:val="20"/>
      <w:szCs w:val="20"/>
      <w:lang w:eastAsia="en-US"/>
    </w:rPr>
  </w:style>
  <w:style w:type="paragraph" w:styleId="34">
    <w:name w:val="toc 4"/>
    <w:basedOn w:val="1"/>
    <w:next w:val="1"/>
    <w:qFormat/>
    <w:uiPriority w:val="0"/>
    <w:pPr>
      <w:widowControl/>
      <w:overflowPunct w:val="0"/>
      <w:autoSpaceDE w:val="0"/>
      <w:autoSpaceDN w:val="0"/>
      <w:adjustRightInd w:val="0"/>
      <w:ind w:left="600"/>
      <w:jc w:val="left"/>
      <w:textAlignment w:val="baseline"/>
    </w:pPr>
    <w:rPr>
      <w:rFonts w:ascii="Times New Roman" w:hAnsi="Times New Roman" w:eastAsia="宋体" w:cs="Times New Roman"/>
      <w:kern w:val="0"/>
      <w:sz w:val="18"/>
      <w:szCs w:val="20"/>
      <w:lang w:eastAsia="en-US"/>
    </w:rPr>
  </w:style>
  <w:style w:type="paragraph" w:styleId="35">
    <w:name w:val="footnote text"/>
    <w:basedOn w:val="1"/>
    <w:link w:val="104"/>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0"/>
      <w:szCs w:val="20"/>
      <w:lang w:eastAsia="en-US"/>
    </w:rPr>
  </w:style>
  <w:style w:type="paragraph" w:styleId="36">
    <w:name w:val="toc 6"/>
    <w:basedOn w:val="1"/>
    <w:next w:val="1"/>
    <w:qFormat/>
    <w:uiPriority w:val="0"/>
    <w:pPr>
      <w:widowControl/>
      <w:overflowPunct w:val="0"/>
      <w:autoSpaceDE w:val="0"/>
      <w:autoSpaceDN w:val="0"/>
      <w:adjustRightInd w:val="0"/>
      <w:ind w:left="1000"/>
      <w:jc w:val="left"/>
      <w:textAlignment w:val="baseline"/>
    </w:pPr>
    <w:rPr>
      <w:rFonts w:ascii="Times New Roman" w:hAnsi="Times New Roman" w:eastAsia="宋体" w:cs="Times New Roman"/>
      <w:kern w:val="0"/>
      <w:sz w:val="18"/>
      <w:szCs w:val="20"/>
      <w:lang w:eastAsia="en-US"/>
    </w:rPr>
  </w:style>
  <w:style w:type="paragraph" w:styleId="37">
    <w:name w:val="Body Text Indent 3"/>
    <w:basedOn w:val="1"/>
    <w:link w:val="124"/>
    <w:qFormat/>
    <w:uiPriority w:val="0"/>
    <w:pPr>
      <w:ind w:left="540" w:hanging="540"/>
    </w:pPr>
    <w:rPr>
      <w:rFonts w:ascii="宋体" w:hAnsi="Times New Roman" w:eastAsia="宋体" w:cs="Times New Roman"/>
      <w:sz w:val="28"/>
      <w:szCs w:val="20"/>
    </w:rPr>
  </w:style>
  <w:style w:type="paragraph" w:styleId="38">
    <w:name w:val="toc 2"/>
    <w:basedOn w:val="1"/>
    <w:next w:val="1"/>
    <w:qFormat/>
    <w:uiPriority w:val="39"/>
    <w:pPr>
      <w:widowControl/>
      <w:overflowPunct w:val="0"/>
      <w:autoSpaceDE w:val="0"/>
      <w:autoSpaceDN w:val="0"/>
      <w:adjustRightInd w:val="0"/>
      <w:ind w:left="200"/>
      <w:jc w:val="left"/>
      <w:textAlignment w:val="baseline"/>
    </w:pPr>
    <w:rPr>
      <w:rFonts w:ascii="Times New Roman" w:hAnsi="Times New Roman" w:eastAsia="宋体" w:cs="Times New Roman"/>
      <w:smallCaps/>
      <w:kern w:val="0"/>
      <w:sz w:val="20"/>
      <w:szCs w:val="20"/>
      <w:lang w:eastAsia="en-US"/>
    </w:rPr>
  </w:style>
  <w:style w:type="paragraph" w:styleId="39">
    <w:name w:val="toc 9"/>
    <w:basedOn w:val="1"/>
    <w:next w:val="1"/>
    <w:qFormat/>
    <w:uiPriority w:val="0"/>
    <w:pPr>
      <w:widowControl/>
      <w:overflowPunct w:val="0"/>
      <w:autoSpaceDE w:val="0"/>
      <w:autoSpaceDN w:val="0"/>
      <w:adjustRightInd w:val="0"/>
      <w:ind w:left="1600"/>
      <w:jc w:val="left"/>
      <w:textAlignment w:val="baseline"/>
    </w:pPr>
    <w:rPr>
      <w:rFonts w:ascii="Times New Roman" w:hAnsi="Times New Roman" w:eastAsia="宋体" w:cs="Times New Roman"/>
      <w:kern w:val="0"/>
      <w:sz w:val="18"/>
      <w:szCs w:val="20"/>
      <w:lang w:eastAsia="en-US"/>
    </w:rPr>
  </w:style>
  <w:style w:type="paragraph" w:styleId="40">
    <w:name w:val="Body Text 2"/>
    <w:basedOn w:val="1"/>
    <w:link w:val="109"/>
    <w:qFormat/>
    <w:uiPriority w:val="0"/>
    <w:pPr>
      <w:widowControl/>
      <w:overflowPunct w:val="0"/>
      <w:autoSpaceDE w:val="0"/>
      <w:autoSpaceDN w:val="0"/>
      <w:adjustRightInd w:val="0"/>
      <w:spacing w:after="120" w:line="480" w:lineRule="auto"/>
      <w:jc w:val="left"/>
      <w:textAlignment w:val="baseline"/>
    </w:pPr>
    <w:rPr>
      <w:rFonts w:ascii="Times New Roman" w:hAnsi="Times New Roman" w:eastAsia="宋体" w:cs="Times New Roman"/>
      <w:kern w:val="0"/>
      <w:sz w:val="20"/>
      <w:szCs w:val="20"/>
      <w:lang w:eastAsia="en-US"/>
    </w:rPr>
  </w:style>
  <w:style w:type="paragraph" w:styleId="41">
    <w:name w:val="HTML Preformatted"/>
    <w:basedOn w:val="1"/>
    <w:link w:val="1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2">
    <w:name w:val="Normal (Web)"/>
    <w:basedOn w:val="1"/>
    <w:link w:val="77"/>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3">
    <w:name w:val="index 1"/>
    <w:basedOn w:val="1"/>
    <w:next w:val="1"/>
    <w:semiHidden/>
    <w:qFormat/>
    <w:uiPriority w:val="0"/>
    <w:pPr>
      <w:spacing w:line="220" w:lineRule="exact"/>
      <w:jc w:val="center"/>
    </w:pPr>
    <w:rPr>
      <w:rFonts w:ascii="仿宋_GB2312" w:hAnsi="Times New Roman" w:eastAsia="仿宋_GB2312" w:cs="Times New Roman"/>
      <w:szCs w:val="21"/>
    </w:rPr>
  </w:style>
  <w:style w:type="paragraph" w:styleId="44">
    <w:name w:val="Title"/>
    <w:basedOn w:val="1"/>
    <w:next w:val="1"/>
    <w:link w:val="121"/>
    <w:qFormat/>
    <w:uiPriority w:val="0"/>
    <w:pPr>
      <w:spacing w:before="240" w:after="60"/>
      <w:jc w:val="center"/>
      <w:outlineLvl w:val="0"/>
    </w:pPr>
    <w:rPr>
      <w:rFonts w:ascii="Cambria" w:hAnsi="Cambria" w:eastAsia="宋体" w:cs="Times New Roman"/>
      <w:b/>
      <w:bCs/>
      <w:sz w:val="32"/>
      <w:szCs w:val="32"/>
    </w:rPr>
  </w:style>
  <w:style w:type="paragraph" w:styleId="45">
    <w:name w:val="annotation subject"/>
    <w:basedOn w:val="14"/>
    <w:next w:val="14"/>
    <w:link w:val="115"/>
    <w:qFormat/>
    <w:uiPriority w:val="0"/>
    <w:rPr>
      <w:b/>
      <w:bCs/>
    </w:r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99"/>
    <w:rPr>
      <w:color w:val="800080"/>
      <w:u w:val="single"/>
    </w:rPr>
  </w:style>
  <w:style w:type="character" w:styleId="53">
    <w:name w:val="Emphasis"/>
    <w:qFormat/>
    <w:uiPriority w:val="20"/>
    <w:rPr>
      <w:color w:val="CC0033"/>
    </w:rPr>
  </w:style>
  <w:style w:type="character" w:styleId="54">
    <w:name w:val="HTML Definition"/>
    <w:qFormat/>
    <w:uiPriority w:val="0"/>
    <w:rPr>
      <w:i/>
      <w:iCs/>
    </w:rPr>
  </w:style>
  <w:style w:type="character" w:styleId="55">
    <w:name w:val="HTML Typewriter"/>
    <w:basedOn w:val="48"/>
    <w:qFormat/>
    <w:uiPriority w:val="0"/>
    <w:rPr>
      <w:rFonts w:hint="default" w:ascii="monospace" w:hAnsi="monospace" w:eastAsia="monospace" w:cs="monospace"/>
      <w:sz w:val="20"/>
      <w:szCs w:val="20"/>
    </w:rPr>
  </w:style>
  <w:style w:type="character" w:styleId="56">
    <w:name w:val="HTML Acronym"/>
    <w:basedOn w:val="48"/>
    <w:qFormat/>
    <w:uiPriority w:val="0"/>
  </w:style>
  <w:style w:type="character" w:styleId="57">
    <w:name w:val="HTML Variable"/>
    <w:qFormat/>
    <w:uiPriority w:val="0"/>
    <w:rPr>
      <w:i/>
      <w:iCs/>
    </w:rPr>
  </w:style>
  <w:style w:type="character" w:styleId="58">
    <w:name w:val="Hyperlink"/>
    <w:qFormat/>
    <w:uiPriority w:val="99"/>
    <w:rPr>
      <w:color w:val="0000FF"/>
      <w:u w:val="single"/>
    </w:rPr>
  </w:style>
  <w:style w:type="character" w:styleId="59">
    <w:name w:val="HTML Code"/>
    <w:basedOn w:val="48"/>
    <w:qFormat/>
    <w:uiPriority w:val="0"/>
    <w:rPr>
      <w:rFonts w:hint="default" w:ascii="monospace" w:hAnsi="monospace" w:eastAsia="monospace" w:cs="monospace"/>
      <w:sz w:val="20"/>
      <w:szCs w:val="20"/>
    </w:rPr>
  </w:style>
  <w:style w:type="character" w:styleId="60">
    <w:name w:val="annotation reference"/>
    <w:qFormat/>
    <w:uiPriority w:val="0"/>
    <w:rPr>
      <w:sz w:val="21"/>
      <w:szCs w:val="21"/>
    </w:rPr>
  </w:style>
  <w:style w:type="character" w:styleId="61">
    <w:name w:val="HTML Cite"/>
    <w:qFormat/>
    <w:uiPriority w:val="0"/>
    <w:rPr>
      <w:i/>
      <w:iCs/>
    </w:rPr>
  </w:style>
  <w:style w:type="character" w:styleId="62">
    <w:name w:val="footnote reference"/>
    <w:qFormat/>
    <w:uiPriority w:val="0"/>
    <w:rPr>
      <w:vertAlign w:val="superscript"/>
    </w:rPr>
  </w:style>
  <w:style w:type="character" w:styleId="63">
    <w:name w:val="HTML Keyboard"/>
    <w:basedOn w:val="48"/>
    <w:qFormat/>
    <w:uiPriority w:val="0"/>
    <w:rPr>
      <w:rFonts w:hint="default" w:ascii="monospace" w:hAnsi="monospace" w:eastAsia="monospace" w:cs="monospace"/>
      <w:sz w:val="20"/>
      <w:szCs w:val="20"/>
    </w:rPr>
  </w:style>
  <w:style w:type="character" w:styleId="64">
    <w:name w:val="HTML Sample"/>
    <w:basedOn w:val="48"/>
    <w:qFormat/>
    <w:uiPriority w:val="0"/>
    <w:rPr>
      <w:rFonts w:ascii="monospace" w:hAnsi="monospace" w:eastAsia="monospace" w:cs="monospace"/>
    </w:rPr>
  </w:style>
  <w:style w:type="character" w:customStyle="1" w:styleId="65">
    <w:name w:val="标题 1 Char"/>
    <w:basedOn w:val="48"/>
    <w:link w:val="3"/>
    <w:qFormat/>
    <w:uiPriority w:val="0"/>
    <w:rPr>
      <w:rFonts w:ascii="Arial" w:hAnsi="Arial" w:eastAsia="宋体" w:cs="Times New Roman"/>
      <w:b/>
      <w:kern w:val="28"/>
      <w:sz w:val="28"/>
      <w:szCs w:val="20"/>
      <w:lang w:eastAsia="en-US"/>
    </w:rPr>
  </w:style>
  <w:style w:type="character" w:customStyle="1" w:styleId="66">
    <w:name w:val="标题 2 Char"/>
    <w:basedOn w:val="48"/>
    <w:link w:val="4"/>
    <w:qFormat/>
    <w:uiPriority w:val="9"/>
    <w:rPr>
      <w:rFonts w:ascii="Arial" w:hAnsi="Arial" w:eastAsia="宋体" w:cs="Times New Roman"/>
      <w:b/>
      <w:i/>
      <w:kern w:val="0"/>
      <w:sz w:val="24"/>
      <w:szCs w:val="20"/>
      <w:lang w:eastAsia="en-US"/>
    </w:rPr>
  </w:style>
  <w:style w:type="character" w:customStyle="1" w:styleId="67">
    <w:name w:val="标题 3 Char"/>
    <w:basedOn w:val="48"/>
    <w:link w:val="5"/>
    <w:qFormat/>
    <w:uiPriority w:val="9"/>
    <w:rPr>
      <w:rFonts w:ascii="Times New Roman" w:hAnsi="Times New Roman" w:eastAsia="宋体" w:cs="Times New Roman"/>
      <w:b/>
      <w:kern w:val="0"/>
      <w:sz w:val="24"/>
      <w:szCs w:val="20"/>
      <w:lang w:eastAsia="en-US"/>
    </w:rPr>
  </w:style>
  <w:style w:type="character" w:customStyle="1" w:styleId="68">
    <w:name w:val="标题 4 Char"/>
    <w:basedOn w:val="48"/>
    <w:link w:val="6"/>
    <w:qFormat/>
    <w:uiPriority w:val="99"/>
    <w:rPr>
      <w:rFonts w:ascii="Arial" w:hAnsi="Arial" w:eastAsia="黑体" w:cs="Times New Roman"/>
      <w:b/>
      <w:bCs/>
      <w:kern w:val="0"/>
      <w:sz w:val="28"/>
      <w:szCs w:val="28"/>
    </w:rPr>
  </w:style>
  <w:style w:type="character" w:customStyle="1" w:styleId="69">
    <w:name w:val="标题 5 Char"/>
    <w:basedOn w:val="48"/>
    <w:link w:val="7"/>
    <w:qFormat/>
    <w:uiPriority w:val="0"/>
    <w:rPr>
      <w:rFonts w:ascii="Times New Roman" w:hAnsi="Times New Roman" w:eastAsia="宋体" w:cs="Times New Roman"/>
      <w:b/>
      <w:bCs/>
      <w:kern w:val="0"/>
      <w:sz w:val="28"/>
      <w:szCs w:val="28"/>
      <w:lang w:eastAsia="en-US"/>
    </w:rPr>
  </w:style>
  <w:style w:type="character" w:customStyle="1" w:styleId="70">
    <w:name w:val="标题 6 Char"/>
    <w:basedOn w:val="48"/>
    <w:link w:val="8"/>
    <w:qFormat/>
    <w:uiPriority w:val="99"/>
    <w:rPr>
      <w:rFonts w:ascii="Arial" w:hAnsi="Arial" w:eastAsia="黑体" w:cs="Times New Roman"/>
      <w:b/>
      <w:bCs/>
      <w:kern w:val="0"/>
      <w:sz w:val="24"/>
      <w:szCs w:val="24"/>
      <w:lang w:eastAsia="en-US"/>
    </w:rPr>
  </w:style>
  <w:style w:type="character" w:customStyle="1" w:styleId="71">
    <w:name w:val="标题 7 Char"/>
    <w:basedOn w:val="48"/>
    <w:link w:val="9"/>
    <w:qFormat/>
    <w:uiPriority w:val="99"/>
    <w:rPr>
      <w:rFonts w:ascii="Times New Roman" w:hAnsi="Times New Roman" w:eastAsia="宋体" w:cs="Times New Roman"/>
      <w:b/>
      <w:bCs/>
      <w:kern w:val="0"/>
      <w:sz w:val="24"/>
      <w:szCs w:val="24"/>
    </w:rPr>
  </w:style>
  <w:style w:type="character" w:customStyle="1" w:styleId="72">
    <w:name w:val="标题 8 Char"/>
    <w:basedOn w:val="48"/>
    <w:link w:val="10"/>
    <w:qFormat/>
    <w:uiPriority w:val="99"/>
    <w:rPr>
      <w:rFonts w:ascii="Arial" w:hAnsi="Arial" w:eastAsia="黑体" w:cs="Times New Roman"/>
      <w:kern w:val="0"/>
      <w:sz w:val="24"/>
      <w:szCs w:val="24"/>
      <w:lang w:eastAsia="en-US"/>
    </w:rPr>
  </w:style>
  <w:style w:type="character" w:customStyle="1" w:styleId="73">
    <w:name w:val="标题 9 Char"/>
    <w:basedOn w:val="48"/>
    <w:link w:val="11"/>
    <w:qFormat/>
    <w:uiPriority w:val="99"/>
    <w:rPr>
      <w:rFonts w:ascii="Arial" w:hAnsi="Arial" w:eastAsia="华文宋体" w:cs="Times New Roman"/>
      <w:kern w:val="0"/>
      <w:sz w:val="22"/>
      <w:szCs w:val="20"/>
    </w:rPr>
  </w:style>
  <w:style w:type="character" w:customStyle="1" w:styleId="74">
    <w:name w:val="页眉 Char"/>
    <w:basedOn w:val="48"/>
    <w:link w:val="32"/>
    <w:qFormat/>
    <w:uiPriority w:val="99"/>
    <w:rPr>
      <w:rFonts w:ascii="Times New Roman" w:hAnsi="Times New Roman" w:eastAsia="宋体" w:cs="Times New Roman"/>
      <w:sz w:val="18"/>
      <w:szCs w:val="18"/>
    </w:rPr>
  </w:style>
  <w:style w:type="character" w:customStyle="1" w:styleId="75">
    <w:name w:val="页脚 Char"/>
    <w:basedOn w:val="48"/>
    <w:link w:val="31"/>
    <w:qFormat/>
    <w:uiPriority w:val="99"/>
    <w:rPr>
      <w:rFonts w:ascii="Times New Roman" w:hAnsi="Times New Roman" w:eastAsia="宋体" w:cs="Times New Roman"/>
      <w:sz w:val="18"/>
      <w:szCs w:val="18"/>
    </w:rPr>
  </w:style>
  <w:style w:type="paragraph" w:customStyle="1" w:styleId="76">
    <w:name w:val="Char Char"/>
    <w:basedOn w:val="1"/>
    <w:qFormat/>
    <w:uiPriority w:val="0"/>
    <w:rPr>
      <w:rFonts w:ascii="Times New Roman" w:hAnsi="Times New Roman" w:eastAsia="宋体" w:cs="Times New Roman"/>
      <w:szCs w:val="24"/>
    </w:rPr>
  </w:style>
  <w:style w:type="character" w:customStyle="1" w:styleId="77">
    <w:name w:val="普通(网站) Char"/>
    <w:link w:val="42"/>
    <w:qFormat/>
    <w:locked/>
    <w:uiPriority w:val="0"/>
    <w:rPr>
      <w:rFonts w:ascii="宋体" w:hAnsi="宋体" w:eastAsia="宋体" w:cs="Times New Roman"/>
      <w:kern w:val="0"/>
      <w:sz w:val="24"/>
      <w:szCs w:val="24"/>
    </w:rPr>
  </w:style>
  <w:style w:type="character" w:customStyle="1" w:styleId="78">
    <w:name w:val="Table"/>
    <w:qFormat/>
    <w:uiPriority w:val="99"/>
    <w:rPr>
      <w:rFonts w:ascii="Arial" w:hAnsi="Arial"/>
      <w:sz w:val="20"/>
    </w:rPr>
  </w:style>
  <w:style w:type="character" w:customStyle="1" w:styleId="79">
    <w:name w:val="正文文本 Char"/>
    <w:basedOn w:val="48"/>
    <w:link w:val="18"/>
    <w:qFormat/>
    <w:uiPriority w:val="99"/>
    <w:rPr>
      <w:rFonts w:ascii="楷体" w:hAnsi="Times New Roman" w:eastAsia="楷体" w:cs="Times New Roman"/>
      <w:i/>
      <w:iCs/>
      <w:kern w:val="0"/>
      <w:sz w:val="20"/>
      <w:szCs w:val="20"/>
    </w:rPr>
  </w:style>
  <w:style w:type="character" w:customStyle="1" w:styleId="80">
    <w:name w:val="纯文本 Char"/>
    <w:basedOn w:val="48"/>
    <w:link w:val="25"/>
    <w:qFormat/>
    <w:uiPriority w:val="0"/>
    <w:rPr>
      <w:rFonts w:ascii="宋体" w:hAnsi="Courier New" w:eastAsia="宋体" w:cs="Times New Roman"/>
      <w:sz w:val="28"/>
      <w:szCs w:val="20"/>
    </w:rPr>
  </w:style>
  <w:style w:type="paragraph" w:customStyle="1" w:styleId="81">
    <w:name w:val="titulo"/>
    <w:basedOn w:val="7"/>
    <w:qFormat/>
    <w:uiPriority w:val="0"/>
    <w:pPr>
      <w:keepNext w:val="0"/>
      <w:keepLines w:val="0"/>
      <w:overflowPunct/>
      <w:autoSpaceDE/>
      <w:autoSpaceDN/>
      <w:adjustRightInd/>
      <w:spacing w:before="0" w:after="240" w:line="240" w:lineRule="auto"/>
      <w:jc w:val="center"/>
      <w:textAlignment w:val="auto"/>
    </w:pPr>
    <w:rPr>
      <w:rFonts w:ascii="Times New Roman Bold" w:hAnsi="Times New Roman Bold"/>
      <w:bCs w:val="0"/>
      <w:sz w:val="24"/>
      <w:szCs w:val="20"/>
    </w:rPr>
  </w:style>
  <w:style w:type="paragraph" w:customStyle="1" w:styleId="82">
    <w:name w:val="BankNormal"/>
    <w:basedOn w:val="1"/>
    <w:qFormat/>
    <w:uiPriority w:val="0"/>
    <w:pPr>
      <w:widowControl/>
      <w:spacing w:after="240"/>
      <w:jc w:val="left"/>
    </w:pPr>
    <w:rPr>
      <w:rFonts w:ascii="Arial" w:hAnsi="Arial" w:eastAsia="宋体" w:cs="Times New Roman"/>
      <w:kern w:val="0"/>
      <w:sz w:val="20"/>
      <w:szCs w:val="20"/>
      <w:lang w:eastAsia="en-US"/>
    </w:rPr>
  </w:style>
  <w:style w:type="paragraph" w:customStyle="1" w:styleId="83">
    <w:name w:val="Style 6"/>
    <w:basedOn w:val="1"/>
    <w:qFormat/>
    <w:uiPriority w:val="0"/>
    <w:pPr>
      <w:autoSpaceDE w:val="0"/>
      <w:autoSpaceDN w:val="0"/>
      <w:spacing w:after="216" w:line="576" w:lineRule="exact"/>
      <w:jc w:val="center"/>
    </w:pPr>
    <w:rPr>
      <w:rFonts w:ascii="Times New Roman" w:hAnsi="Times New Roman" w:eastAsia="宋体" w:cs="Times New Roman"/>
      <w:kern w:val="0"/>
      <w:sz w:val="24"/>
      <w:szCs w:val="24"/>
      <w:lang w:eastAsia="en-US"/>
    </w:rPr>
  </w:style>
  <w:style w:type="paragraph" w:customStyle="1" w:styleId="84">
    <w:name w:val="批注框文本1"/>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18"/>
      <w:szCs w:val="18"/>
      <w:lang w:eastAsia="en-US"/>
    </w:rPr>
  </w:style>
  <w:style w:type="paragraph" w:customStyle="1" w:styleId="85">
    <w:name w:val="Comment Subject"/>
    <w:basedOn w:val="14"/>
    <w:next w:val="14"/>
    <w:qFormat/>
    <w:uiPriority w:val="0"/>
    <w:rPr>
      <w:b/>
      <w:bCs/>
    </w:rPr>
  </w:style>
  <w:style w:type="paragraph" w:customStyle="1" w:styleId="86">
    <w:name w:val="默认段落字体 Para Char Char Char Char"/>
    <w:basedOn w:val="1"/>
    <w:qFormat/>
    <w:uiPriority w:val="0"/>
    <w:rPr>
      <w:rFonts w:ascii="Times New Roman" w:hAnsi="Times New Roman" w:eastAsia="宋体" w:cs="Times New Roman"/>
      <w:szCs w:val="24"/>
    </w:rPr>
  </w:style>
  <w:style w:type="paragraph" w:customStyle="1" w:styleId="87">
    <w:name w:val="标题8"/>
    <w:basedOn w:val="9"/>
    <w:qFormat/>
    <w:uiPriority w:val="0"/>
  </w:style>
  <w:style w:type="paragraph" w:customStyle="1" w:styleId="88">
    <w:name w:val="标题7"/>
    <w:basedOn w:val="87"/>
    <w:qFormat/>
    <w:uiPriority w:val="0"/>
    <w:rPr>
      <w:sz w:val="21"/>
      <w:szCs w:val="21"/>
    </w:rPr>
  </w:style>
  <w:style w:type="paragraph" w:customStyle="1" w:styleId="89">
    <w:name w:val="Char"/>
    <w:basedOn w:val="1"/>
    <w:qFormat/>
    <w:uiPriority w:val="0"/>
    <w:rPr>
      <w:rFonts w:ascii="Times New Roman" w:hAnsi="Times New Roman" w:eastAsia="宋体" w:cs="Times New Roman"/>
      <w:szCs w:val="24"/>
    </w:rPr>
  </w:style>
  <w:style w:type="paragraph" w:customStyle="1" w:styleId="90">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91">
    <w:name w:val="Char Char Char Char Char Char Char"/>
    <w:basedOn w:val="1"/>
    <w:qFormat/>
    <w:uiPriority w:val="0"/>
    <w:rPr>
      <w:rFonts w:ascii="Tahoma" w:hAnsi="Tahoma" w:eastAsia="宋体" w:cs="Times New Roman"/>
      <w:sz w:val="24"/>
      <w:szCs w:val="20"/>
    </w:rPr>
  </w:style>
  <w:style w:type="paragraph" w:customStyle="1" w:styleId="92">
    <w:name w:val="Char11"/>
    <w:basedOn w:val="1"/>
    <w:qFormat/>
    <w:uiPriority w:val="99"/>
    <w:pPr>
      <w:widowControl/>
      <w:spacing w:after="160" w:line="240" w:lineRule="exact"/>
      <w:jc w:val="left"/>
    </w:pPr>
    <w:rPr>
      <w:rFonts w:ascii="Verdana" w:hAnsi="Verdana" w:eastAsia="宋体" w:cs="Times New Roman"/>
      <w:kern w:val="0"/>
      <w:sz w:val="20"/>
      <w:szCs w:val="20"/>
      <w:lang w:eastAsia="en-US"/>
    </w:rPr>
  </w:style>
  <w:style w:type="paragraph" w:customStyle="1" w:styleId="93">
    <w:name w:val="Technical 4"/>
    <w:qFormat/>
    <w:uiPriority w:val="0"/>
    <w:pPr>
      <w:tabs>
        <w:tab w:val="left" w:pos="-720"/>
      </w:tabs>
      <w:suppressAutoHyphens/>
    </w:pPr>
    <w:rPr>
      <w:rFonts w:ascii="Times" w:hAnsi="Times" w:eastAsia="宋体" w:cs="Times New Roman"/>
      <w:b/>
      <w:sz w:val="24"/>
      <w:lang w:val="en-US" w:eastAsia="en-US" w:bidi="ar-SA"/>
    </w:rPr>
  </w:style>
  <w:style w:type="paragraph" w:customStyle="1" w:styleId="94">
    <w:name w:val="Plain Text1"/>
    <w:basedOn w:val="1"/>
    <w:qFormat/>
    <w:uiPriority w:val="0"/>
    <w:pPr>
      <w:adjustRightInd w:val="0"/>
      <w:textAlignment w:val="baseline"/>
    </w:pPr>
    <w:rPr>
      <w:rFonts w:ascii="宋体" w:hAnsi="Courier New" w:eastAsia="宋体" w:cs="Times New Roman"/>
      <w:szCs w:val="20"/>
    </w:rPr>
  </w:style>
  <w:style w:type="paragraph" w:customStyle="1" w:styleId="95">
    <w:name w:val="tt"/>
    <w:basedOn w:val="1"/>
    <w:qFormat/>
    <w:uiPriority w:val="99"/>
    <w:pPr>
      <w:spacing w:line="400" w:lineRule="atLeast"/>
      <w:jc w:val="center"/>
      <w:outlineLvl w:val="0"/>
    </w:pPr>
    <w:rPr>
      <w:rFonts w:ascii="Times New Roman" w:hAnsi="Times New Roman" w:eastAsia="楷体_GB2312" w:cs="Times New Roman"/>
      <w:b/>
      <w:sz w:val="32"/>
      <w:szCs w:val="20"/>
    </w:rPr>
  </w:style>
  <w:style w:type="paragraph" w:customStyle="1" w:styleId="96">
    <w:name w:val="(i)"/>
    <w:basedOn w:val="1"/>
    <w:qFormat/>
    <w:uiPriority w:val="0"/>
    <w:pPr>
      <w:widowControl/>
      <w:suppressAutoHyphens/>
    </w:pPr>
    <w:rPr>
      <w:rFonts w:ascii="Tms Rmn" w:hAnsi="Tms Rmn" w:eastAsia="宋体" w:cs="Times New Roman"/>
      <w:kern w:val="0"/>
      <w:sz w:val="20"/>
      <w:szCs w:val="20"/>
      <w:lang w:eastAsia="en-US"/>
    </w:rPr>
  </w:style>
  <w:style w:type="paragraph" w:customStyle="1" w:styleId="97">
    <w:name w:val="Section VII Header2"/>
    <w:basedOn w:val="3"/>
    <w:qFormat/>
    <w:uiPriority w:val="0"/>
    <w:pPr>
      <w:keepNext w:val="0"/>
      <w:tabs>
        <w:tab w:val="right" w:pos="9000"/>
      </w:tabs>
      <w:overflowPunct/>
      <w:autoSpaceDE/>
      <w:autoSpaceDN/>
      <w:adjustRightInd/>
      <w:spacing w:before="120" w:after="120" w:line="260" w:lineRule="exact"/>
      <w:ind w:right="12"/>
      <w:jc w:val="center"/>
      <w:textAlignment w:val="auto"/>
      <w:outlineLvl w:val="9"/>
    </w:pPr>
    <w:rPr>
      <w:rFonts w:ascii="宋体" w:hAnsi="宋体" w:cs="Arial"/>
      <w:bCs/>
      <w:kern w:val="0"/>
      <w:sz w:val="24"/>
      <w:lang w:eastAsia="zh-CN"/>
    </w:rPr>
  </w:style>
  <w:style w:type="paragraph" w:customStyle="1" w:styleId="98">
    <w:name w:val="样式2"/>
    <w:basedOn w:val="25"/>
    <w:qFormat/>
    <w:uiPriority w:val="0"/>
    <w:pPr>
      <w:jc w:val="center"/>
    </w:pPr>
    <w:rPr>
      <w:rFonts w:ascii="仿宋_GB2312" w:eastAsia="仿宋_GB2312"/>
      <w:b/>
      <w:sz w:val="48"/>
    </w:rPr>
  </w:style>
  <w:style w:type="paragraph" w:customStyle="1" w:styleId="99">
    <w:name w:val="ti"/>
    <w:basedOn w:val="1"/>
    <w:qFormat/>
    <w:uiPriority w:val="0"/>
    <w:pPr>
      <w:widowControl/>
      <w:overflowPunct w:val="0"/>
      <w:autoSpaceDE w:val="0"/>
      <w:autoSpaceDN w:val="0"/>
      <w:adjustRightInd w:val="0"/>
      <w:spacing w:beforeLines="50" w:afterLines="50" w:line="240" w:lineRule="atLeast"/>
      <w:textAlignment w:val="baseline"/>
    </w:pPr>
    <w:rPr>
      <w:rFonts w:ascii="宋体" w:hAnsi="宋体" w:eastAsia="宋体" w:cs="Times New Roman"/>
      <w:spacing w:val="20"/>
      <w:kern w:val="0"/>
      <w:szCs w:val="21"/>
    </w:rPr>
  </w:style>
  <w:style w:type="paragraph" w:customStyle="1" w:styleId="10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1">
    <w:name w:val="Subtitle 2"/>
    <w:basedOn w:val="31"/>
    <w:qFormat/>
    <w:uiPriority w:val="0"/>
    <w:pPr>
      <w:widowControl/>
      <w:tabs>
        <w:tab w:val="clear" w:pos="4153"/>
        <w:tab w:val="clear" w:pos="8306"/>
      </w:tabs>
      <w:snapToGrid/>
      <w:ind w:left="281" w:right="288" w:hanging="281"/>
      <w:jc w:val="center"/>
      <w:outlineLvl w:val="1"/>
    </w:pPr>
    <w:rPr>
      <w:rFonts w:ascii="仿宋_GB2312" w:hAnsi="Arial" w:eastAsia="仿宋_GB2312" w:cs="Arial"/>
      <w:b/>
      <w:kern w:val="0"/>
      <w:sz w:val="32"/>
      <w:szCs w:val="20"/>
    </w:rPr>
  </w:style>
  <w:style w:type="paragraph" w:customStyle="1" w:styleId="102">
    <w:name w:val="Section V. Header"/>
    <w:basedOn w:val="1"/>
    <w:qFormat/>
    <w:uiPriority w:val="99"/>
    <w:pPr>
      <w:widowControl/>
      <w:jc w:val="center"/>
    </w:pPr>
    <w:rPr>
      <w:rFonts w:ascii="Arial" w:hAnsi="Arial" w:eastAsia="宋体" w:cs="Times New Roman"/>
      <w:b/>
      <w:kern w:val="0"/>
      <w:sz w:val="36"/>
      <w:szCs w:val="20"/>
      <w:lang w:eastAsia="en-US"/>
    </w:rPr>
  </w:style>
  <w:style w:type="paragraph" w:customStyle="1" w:styleId="103">
    <w:name w:val="Normal1"/>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character" w:customStyle="1" w:styleId="104">
    <w:name w:val="脚注文本 Char"/>
    <w:basedOn w:val="48"/>
    <w:link w:val="35"/>
    <w:qFormat/>
    <w:uiPriority w:val="0"/>
    <w:rPr>
      <w:rFonts w:ascii="Times New Roman" w:hAnsi="Times New Roman" w:eastAsia="宋体" w:cs="Times New Roman"/>
      <w:kern w:val="0"/>
      <w:sz w:val="20"/>
      <w:szCs w:val="20"/>
      <w:lang w:eastAsia="en-US"/>
    </w:rPr>
  </w:style>
  <w:style w:type="character" w:customStyle="1" w:styleId="105">
    <w:name w:val="批注框文本 Char"/>
    <w:basedOn w:val="48"/>
    <w:link w:val="30"/>
    <w:qFormat/>
    <w:uiPriority w:val="99"/>
    <w:rPr>
      <w:rFonts w:ascii="Times New Roman" w:hAnsi="Times New Roman" w:eastAsia="宋体" w:cs="Times New Roman"/>
      <w:sz w:val="18"/>
      <w:szCs w:val="18"/>
    </w:rPr>
  </w:style>
  <w:style w:type="character" w:customStyle="1" w:styleId="106">
    <w:name w:val="正文文本 3 Char"/>
    <w:basedOn w:val="48"/>
    <w:link w:val="16"/>
    <w:qFormat/>
    <w:uiPriority w:val="99"/>
    <w:rPr>
      <w:rFonts w:ascii="Times New Roman" w:hAnsi="Times New Roman" w:eastAsia="宋体" w:cs="Times New Roman"/>
      <w:kern w:val="0"/>
      <w:sz w:val="16"/>
      <w:szCs w:val="16"/>
      <w:lang w:eastAsia="en-US"/>
    </w:rPr>
  </w:style>
  <w:style w:type="character" w:customStyle="1" w:styleId="107">
    <w:name w:val="正文文本缩进 Char"/>
    <w:basedOn w:val="48"/>
    <w:link w:val="19"/>
    <w:qFormat/>
    <w:uiPriority w:val="0"/>
    <w:rPr>
      <w:rFonts w:ascii="Times New Roman" w:hAnsi="Times New Roman" w:eastAsia="楷体" w:cs="Times New Roman"/>
      <w:snapToGrid w:val="0"/>
      <w:kern w:val="0"/>
      <w:szCs w:val="20"/>
    </w:rPr>
  </w:style>
  <w:style w:type="character" w:customStyle="1" w:styleId="108">
    <w:name w:val="日期 Char"/>
    <w:basedOn w:val="48"/>
    <w:link w:val="27"/>
    <w:qFormat/>
    <w:uiPriority w:val="99"/>
    <w:rPr>
      <w:rFonts w:ascii="楷体" w:hAnsi="Times New Roman" w:eastAsia="楷体" w:cs="Times New Roman"/>
      <w:kern w:val="0"/>
      <w:sz w:val="24"/>
      <w:szCs w:val="20"/>
      <w:lang w:eastAsia="en-US"/>
    </w:rPr>
  </w:style>
  <w:style w:type="character" w:customStyle="1" w:styleId="109">
    <w:name w:val="正文文本 2 Char"/>
    <w:basedOn w:val="48"/>
    <w:link w:val="40"/>
    <w:qFormat/>
    <w:uiPriority w:val="0"/>
    <w:rPr>
      <w:rFonts w:ascii="Times New Roman" w:hAnsi="Times New Roman" w:eastAsia="宋体" w:cs="Times New Roman"/>
      <w:kern w:val="0"/>
      <w:sz w:val="20"/>
      <w:szCs w:val="20"/>
      <w:lang w:eastAsia="en-US"/>
    </w:rPr>
  </w:style>
  <w:style w:type="character" w:customStyle="1" w:styleId="110">
    <w:name w:val="正文文本缩进 2 Char"/>
    <w:basedOn w:val="48"/>
    <w:link w:val="28"/>
    <w:qFormat/>
    <w:uiPriority w:val="0"/>
    <w:rPr>
      <w:rFonts w:ascii="楷体" w:hAnsi="Times New Roman" w:eastAsia="楷体" w:cs="Times New Roman"/>
      <w:i/>
      <w:snapToGrid w:val="0"/>
      <w:kern w:val="0"/>
      <w:sz w:val="22"/>
      <w:szCs w:val="20"/>
    </w:rPr>
  </w:style>
  <w:style w:type="character" w:customStyle="1" w:styleId="111">
    <w:name w:val="批注文字 Char"/>
    <w:basedOn w:val="48"/>
    <w:qFormat/>
    <w:uiPriority w:val="99"/>
  </w:style>
  <w:style w:type="character" w:customStyle="1" w:styleId="112">
    <w:name w:val="尾注文本 Char"/>
    <w:basedOn w:val="48"/>
    <w:link w:val="29"/>
    <w:qFormat/>
    <w:uiPriority w:val="0"/>
    <w:rPr>
      <w:rFonts w:ascii="Times New Roman" w:hAnsi="Times New Roman" w:eastAsia="宋体" w:cs="Times New Roman"/>
      <w:kern w:val="0"/>
      <w:sz w:val="20"/>
      <w:szCs w:val="20"/>
      <w:lang w:eastAsia="en-US"/>
    </w:rPr>
  </w:style>
  <w:style w:type="character" w:customStyle="1" w:styleId="113">
    <w:name w:val="称呼 Char"/>
    <w:basedOn w:val="48"/>
    <w:link w:val="15"/>
    <w:qFormat/>
    <w:uiPriority w:val="0"/>
    <w:rPr>
      <w:rFonts w:ascii="宋体" w:hAnsi="宋体" w:eastAsia="宋体" w:cs="Times New Roman"/>
      <w:kern w:val="0"/>
      <w:szCs w:val="21"/>
    </w:rPr>
  </w:style>
  <w:style w:type="character" w:customStyle="1" w:styleId="114">
    <w:name w:val="结束语 Char"/>
    <w:basedOn w:val="48"/>
    <w:link w:val="17"/>
    <w:qFormat/>
    <w:uiPriority w:val="0"/>
    <w:rPr>
      <w:rFonts w:ascii="宋体" w:hAnsi="宋体" w:eastAsia="宋体" w:cs="Times New Roman"/>
      <w:kern w:val="0"/>
      <w:szCs w:val="21"/>
    </w:rPr>
  </w:style>
  <w:style w:type="character" w:customStyle="1" w:styleId="115">
    <w:name w:val="批注主题 Char"/>
    <w:basedOn w:val="111"/>
    <w:link w:val="45"/>
    <w:qFormat/>
    <w:uiPriority w:val="99"/>
    <w:rPr>
      <w:rFonts w:ascii="Times New Roman" w:hAnsi="Times New Roman" w:eastAsia="宋体" w:cs="Times New Roman"/>
      <w:b/>
      <w:bCs/>
      <w:kern w:val="0"/>
      <w:sz w:val="20"/>
      <w:szCs w:val="20"/>
      <w:lang w:eastAsia="en-US"/>
    </w:rPr>
  </w:style>
  <w:style w:type="paragraph" w:customStyle="1" w:styleId="116">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character" w:customStyle="1" w:styleId="117">
    <w:name w:val="HTML 预设格式 Char"/>
    <w:basedOn w:val="48"/>
    <w:link w:val="41"/>
    <w:qFormat/>
    <w:uiPriority w:val="0"/>
    <w:rPr>
      <w:rFonts w:ascii="宋体" w:hAnsi="宋体" w:eastAsia="宋体" w:cs="宋体"/>
      <w:kern w:val="0"/>
      <w:sz w:val="24"/>
      <w:szCs w:val="24"/>
    </w:rPr>
  </w:style>
  <w:style w:type="paragraph" w:customStyle="1" w:styleId="118">
    <w:name w:val="Char Char Char Char Char Char"/>
    <w:basedOn w:val="1"/>
    <w:qFormat/>
    <w:uiPriority w:val="0"/>
    <w:pPr>
      <w:adjustRightInd w:val="0"/>
      <w:jc w:val="left"/>
      <w:textAlignment w:val="baseline"/>
    </w:pPr>
    <w:rPr>
      <w:rFonts w:ascii="Times New Roman" w:hAnsi="Times New Roman" w:eastAsia="楷体_GB2312" w:cs="Times New Roman"/>
      <w:kern w:val="0"/>
      <w:sz w:val="24"/>
      <w:szCs w:val="24"/>
    </w:rPr>
  </w:style>
  <w:style w:type="character" w:customStyle="1" w:styleId="119">
    <w:name w:val="6正文 Char"/>
    <w:link w:val="120"/>
    <w:qFormat/>
    <w:locked/>
    <w:uiPriority w:val="0"/>
    <w:rPr>
      <w:rFonts w:ascii="宋体" w:hAnsi="Calibri"/>
      <w:sz w:val="24"/>
      <w:lang w:eastAsia="en-US" w:bidi="en-US"/>
    </w:rPr>
  </w:style>
  <w:style w:type="paragraph" w:customStyle="1" w:styleId="120">
    <w:name w:val="6正文"/>
    <w:basedOn w:val="1"/>
    <w:link w:val="119"/>
    <w:qFormat/>
    <w:uiPriority w:val="0"/>
    <w:pPr>
      <w:widowControl/>
      <w:spacing w:beforeLines="30" w:afterLines="30" w:line="300" w:lineRule="auto"/>
      <w:ind w:firstLine="200" w:firstLineChars="200"/>
    </w:pPr>
    <w:rPr>
      <w:rFonts w:ascii="宋体" w:hAnsi="Calibri"/>
      <w:sz w:val="24"/>
      <w:lang w:eastAsia="en-US" w:bidi="en-US"/>
    </w:rPr>
  </w:style>
  <w:style w:type="character" w:customStyle="1" w:styleId="121">
    <w:name w:val="标题 Char"/>
    <w:basedOn w:val="48"/>
    <w:link w:val="44"/>
    <w:qFormat/>
    <w:uiPriority w:val="0"/>
    <w:rPr>
      <w:rFonts w:ascii="Cambria" w:hAnsi="Cambria" w:eastAsia="宋体" w:cs="Times New Roman"/>
      <w:b/>
      <w:bCs/>
      <w:sz w:val="32"/>
      <w:szCs w:val="32"/>
    </w:rPr>
  </w:style>
  <w:style w:type="character" w:customStyle="1" w:styleId="122">
    <w:name w:val="批注文字 Char1"/>
    <w:link w:val="14"/>
    <w:qFormat/>
    <w:uiPriority w:val="0"/>
    <w:rPr>
      <w:rFonts w:ascii="Times New Roman" w:hAnsi="Times New Roman" w:eastAsia="宋体" w:cs="Times New Roman"/>
      <w:kern w:val="0"/>
      <w:sz w:val="20"/>
      <w:szCs w:val="20"/>
      <w:lang w:eastAsia="en-US"/>
    </w:rPr>
  </w:style>
  <w:style w:type="paragraph" w:styleId="123">
    <w:name w:val="List Paragraph"/>
    <w:basedOn w:val="1"/>
    <w:qFormat/>
    <w:uiPriority w:val="34"/>
    <w:pPr>
      <w:ind w:firstLine="420" w:firstLineChars="200"/>
    </w:pPr>
    <w:rPr>
      <w:rFonts w:ascii="Times New Roman" w:hAnsi="Times New Roman" w:eastAsia="宋体" w:cs="Times New Roman"/>
      <w:szCs w:val="24"/>
    </w:rPr>
  </w:style>
  <w:style w:type="character" w:customStyle="1" w:styleId="124">
    <w:name w:val="正文文本缩进 3 Char"/>
    <w:basedOn w:val="48"/>
    <w:link w:val="37"/>
    <w:qFormat/>
    <w:uiPriority w:val="99"/>
    <w:rPr>
      <w:rFonts w:ascii="宋体" w:hAnsi="Times New Roman" w:eastAsia="宋体" w:cs="Times New Roman"/>
      <w:sz w:val="28"/>
      <w:szCs w:val="20"/>
    </w:rPr>
  </w:style>
  <w:style w:type="paragraph" w:customStyle="1" w:styleId="12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26">
    <w:name w:val="CM94"/>
    <w:basedOn w:val="100"/>
    <w:next w:val="100"/>
    <w:qFormat/>
    <w:uiPriority w:val="0"/>
    <w:pPr>
      <w:spacing w:after="63"/>
    </w:pPr>
    <w:rPr>
      <w:rFonts w:ascii="宋体"/>
      <w:color w:val="auto"/>
    </w:rPr>
  </w:style>
  <w:style w:type="paragraph" w:customStyle="1" w:styleId="127">
    <w:name w:val="CM6"/>
    <w:basedOn w:val="100"/>
    <w:next w:val="100"/>
    <w:qFormat/>
    <w:uiPriority w:val="0"/>
    <w:pPr>
      <w:spacing w:line="318" w:lineRule="atLeast"/>
    </w:pPr>
    <w:rPr>
      <w:rFonts w:ascii="宋体"/>
      <w:color w:val="auto"/>
    </w:rPr>
  </w:style>
  <w:style w:type="paragraph" w:customStyle="1" w:styleId="128">
    <w:name w:val="Char Char Char Char Char Char Char1"/>
    <w:basedOn w:val="1"/>
    <w:qFormat/>
    <w:uiPriority w:val="99"/>
    <w:rPr>
      <w:rFonts w:ascii="Times New Roman" w:hAnsi="Times New Roman" w:eastAsia="宋体" w:cs="Times New Roman"/>
      <w:szCs w:val="30"/>
    </w:rPr>
  </w:style>
  <w:style w:type="paragraph" w:customStyle="1" w:styleId="129">
    <w:name w:val="Left 1"/>
    <w:basedOn w:val="130"/>
    <w:qFormat/>
    <w:uiPriority w:val="0"/>
    <w:pPr>
      <w:ind w:firstLine="0"/>
    </w:pPr>
  </w:style>
  <w:style w:type="paragraph" w:customStyle="1" w:styleId="130">
    <w:name w:val="Indent 1"/>
    <w:basedOn w:val="1"/>
    <w:qFormat/>
    <w:uiPriority w:val="0"/>
    <w:pPr>
      <w:widowControl/>
      <w:ind w:left="567" w:hanging="567"/>
    </w:pPr>
    <w:rPr>
      <w:rFonts w:ascii="Times New Roman" w:hAnsi="Times New Roman" w:eastAsia="宋体" w:cs="Times New Roman"/>
      <w:kern w:val="0"/>
      <w:sz w:val="20"/>
      <w:szCs w:val="20"/>
      <w:lang w:val="en-GB" w:eastAsia="en-US"/>
    </w:rPr>
  </w:style>
  <w:style w:type="paragraph" w:customStyle="1" w:styleId="131">
    <w:name w:val="Indent 2"/>
    <w:basedOn w:val="130"/>
    <w:qFormat/>
    <w:uiPriority w:val="0"/>
    <w:pPr>
      <w:ind w:left="1134"/>
    </w:pPr>
  </w:style>
  <w:style w:type="paragraph" w:customStyle="1" w:styleId="132">
    <w:name w:val="TEXT 1"/>
    <w:basedOn w:val="1"/>
    <w:qFormat/>
    <w:uiPriority w:val="0"/>
    <w:pPr>
      <w:keepLines/>
      <w:widowControl/>
      <w:ind w:left="580" w:hanging="580"/>
    </w:pPr>
    <w:rPr>
      <w:rFonts w:ascii="Palatino" w:hAnsi="Palatino" w:eastAsia="宋体" w:cs="Times New Roman"/>
      <w:color w:val="000000"/>
      <w:kern w:val="0"/>
      <w:sz w:val="20"/>
      <w:szCs w:val="20"/>
      <w:lang w:eastAsia="en-US"/>
    </w:rPr>
  </w:style>
  <w:style w:type="paragraph" w:customStyle="1" w:styleId="133">
    <w:name w:val="Indent 3"/>
    <w:basedOn w:val="131"/>
    <w:qFormat/>
    <w:uiPriority w:val="0"/>
    <w:pPr>
      <w:ind w:left="1701"/>
    </w:pPr>
  </w:style>
  <w:style w:type="paragraph" w:customStyle="1" w:styleId="134">
    <w:name w:val="Bullet"/>
    <w:basedOn w:val="1"/>
    <w:qFormat/>
    <w:uiPriority w:val="0"/>
    <w:pPr>
      <w:numPr>
        <w:ilvl w:val="0"/>
        <w:numId w:val="2"/>
      </w:numPr>
      <w:tabs>
        <w:tab w:val="left" w:pos="1440"/>
      </w:tabs>
      <w:spacing w:before="60" w:after="60"/>
    </w:pPr>
    <w:rPr>
      <w:rFonts w:ascii="Arial" w:hAnsi="Arial" w:eastAsia="宋体" w:cs="Times New Roman"/>
      <w:sz w:val="22"/>
      <w:szCs w:val="20"/>
    </w:rPr>
  </w:style>
  <w:style w:type="paragraph" w:customStyle="1" w:styleId="135">
    <w:name w:val="Body Text 1"/>
    <w:basedOn w:val="1"/>
    <w:qFormat/>
    <w:uiPriority w:val="0"/>
    <w:pPr>
      <w:overflowPunct w:val="0"/>
      <w:autoSpaceDE w:val="0"/>
      <w:autoSpaceDN w:val="0"/>
      <w:adjustRightInd w:val="0"/>
      <w:spacing w:after="240"/>
      <w:ind w:left="851"/>
    </w:pPr>
    <w:rPr>
      <w:rFonts w:ascii="Arial" w:hAnsi="Arial" w:eastAsia="Times New Roman" w:cs="Times New Roman"/>
      <w:kern w:val="0"/>
      <w:sz w:val="20"/>
      <w:szCs w:val="20"/>
      <w:lang w:val="en-GB" w:eastAsia="en-US"/>
    </w:rPr>
  </w:style>
  <w:style w:type="character" w:customStyle="1" w:styleId="136">
    <w:name w:val="Char Char2"/>
    <w:qFormat/>
    <w:locked/>
    <w:uiPriority w:val="0"/>
    <w:rPr>
      <w:rFonts w:ascii="宋体" w:hAnsi="宋体"/>
      <w:sz w:val="24"/>
      <w:szCs w:val="24"/>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font6"/>
    <w:basedOn w:val="1"/>
    <w:qFormat/>
    <w:uiPriority w:val="0"/>
    <w:pPr>
      <w:widowControl/>
      <w:spacing w:before="100" w:beforeAutospacing="1" w:after="100" w:afterAutospacing="1"/>
      <w:jc w:val="left"/>
    </w:pPr>
    <w:rPr>
      <w:rFonts w:ascii="Times New Roman" w:hAnsi="Times New Roman" w:eastAsia="Arial Unicode MS" w:cs="Times New Roman"/>
      <w:kern w:val="0"/>
      <w:szCs w:val="21"/>
      <w:lang w:eastAsia="en-US"/>
    </w:rPr>
  </w:style>
  <w:style w:type="paragraph" w:customStyle="1" w:styleId="139">
    <w:name w:val="Char1"/>
    <w:basedOn w:val="6"/>
    <w:qFormat/>
    <w:uiPriority w:val="0"/>
    <w:pPr>
      <w:widowControl/>
      <w:adjustRightInd/>
      <w:spacing w:before="140" w:after="0" w:line="220" w:lineRule="atLeast"/>
      <w:ind w:left="720"/>
      <w:jc w:val="left"/>
      <w:textAlignment w:val="auto"/>
    </w:pPr>
    <w:rPr>
      <w:rFonts w:ascii="Futura Bk BT" w:hAnsi="Futura Bk BT" w:eastAsia="Times New Roman"/>
      <w:b w:val="0"/>
      <w:bCs w:val="0"/>
      <w:spacing w:val="-4"/>
      <w:kern w:val="28"/>
      <w:sz w:val="21"/>
      <w:szCs w:val="20"/>
      <w:lang w:val="en-AU" w:eastAsia="en-US"/>
    </w:rPr>
  </w:style>
  <w:style w:type="paragraph" w:customStyle="1" w:styleId="140">
    <w:name w:val="Char1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41">
    <w:name w:val="RIENTRO"/>
    <w:basedOn w:val="1"/>
    <w:qFormat/>
    <w:uiPriority w:val="0"/>
    <w:pPr>
      <w:widowControl/>
      <w:ind w:left="1134"/>
    </w:pPr>
    <w:rPr>
      <w:rFonts w:ascii="Arial" w:hAnsi="Arial" w:eastAsia="宋体" w:cs="Times New Roman"/>
      <w:kern w:val="0"/>
      <w:sz w:val="22"/>
      <w:szCs w:val="20"/>
    </w:rPr>
  </w:style>
  <w:style w:type="paragraph" w:customStyle="1" w:styleId="142">
    <w:name w:val="Char Char Char Char Char Char Char Char Char Char Char Char Char Char Char1 Char Char Char Char Char Char Char"/>
    <w:basedOn w:val="4"/>
    <w:qFormat/>
    <w:uiPriority w:val="0"/>
    <w:pPr>
      <w:keepLines/>
      <w:widowControl w:val="0"/>
      <w:numPr>
        <w:numId w:val="3"/>
      </w:numPr>
      <w:tabs>
        <w:tab w:val="left" w:pos="680"/>
        <w:tab w:val="left" w:pos="840"/>
      </w:tabs>
      <w:overflowPunct/>
      <w:autoSpaceDE/>
      <w:autoSpaceDN/>
      <w:spacing w:before="0" w:after="0" w:line="480" w:lineRule="exact"/>
      <w:jc w:val="both"/>
      <w:textAlignment w:val="auto"/>
    </w:pPr>
    <w:rPr>
      <w:rFonts w:ascii="Times New Roman" w:hAnsi="Times New Roman"/>
      <w:i w:val="0"/>
      <w:lang w:eastAsia="zh-CN"/>
    </w:rPr>
  </w:style>
  <w:style w:type="paragraph" w:customStyle="1" w:styleId="143">
    <w:name w:val="TOC 标题1"/>
    <w:basedOn w:val="3"/>
    <w:next w:val="1"/>
    <w:qFormat/>
    <w:uiPriority w:val="0"/>
    <w:pPr>
      <w:keepLines/>
      <w:overflowPunct/>
      <w:autoSpaceDE/>
      <w:autoSpaceDN/>
      <w:adjustRightInd/>
      <w:spacing w:before="480" w:after="0" w:line="276" w:lineRule="auto"/>
      <w:textAlignment w:val="auto"/>
      <w:outlineLvl w:val="9"/>
    </w:pPr>
    <w:rPr>
      <w:rFonts w:ascii="Cambria" w:hAnsi="Cambria"/>
      <w:bCs/>
      <w:color w:val="365F91"/>
      <w:kern w:val="0"/>
      <w:szCs w:val="28"/>
      <w:lang w:eastAsia="zh-CN"/>
    </w:rPr>
  </w:style>
  <w:style w:type="character" w:customStyle="1" w:styleId="144">
    <w:name w:val="HTML 地址 Char"/>
    <w:basedOn w:val="48"/>
    <w:link w:val="22"/>
    <w:qFormat/>
    <w:uiPriority w:val="0"/>
    <w:rPr>
      <w:rFonts w:ascii="Times New Roman" w:hAnsi="Times New Roman" w:eastAsia="宋体" w:cs="Times New Roman"/>
      <w:i/>
      <w:iCs/>
      <w:szCs w:val="24"/>
    </w:rPr>
  </w:style>
  <w:style w:type="paragraph" w:customStyle="1" w:styleId="14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4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4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4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4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50">
    <w:name w:val="标准书眉_偶数页"/>
    <w:basedOn w:val="149"/>
    <w:next w:val="1"/>
    <w:qFormat/>
    <w:uiPriority w:val="0"/>
    <w:pPr>
      <w:jc w:val="left"/>
    </w:pPr>
  </w:style>
  <w:style w:type="paragraph" w:customStyle="1" w:styleId="151">
    <w:name w:val="标准书眉一"/>
    <w:qFormat/>
    <w:uiPriority w:val="0"/>
    <w:pPr>
      <w:jc w:val="both"/>
    </w:pPr>
    <w:rPr>
      <w:rFonts w:ascii="Times New Roman" w:hAnsi="Times New Roman" w:eastAsia="宋体" w:cs="Times New Roman"/>
      <w:lang w:val="en-US" w:eastAsia="zh-CN" w:bidi="ar-SA"/>
    </w:rPr>
  </w:style>
  <w:style w:type="paragraph" w:customStyle="1" w:styleId="15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3">
    <w:name w:val="参考文献、索引标题"/>
    <w:basedOn w:val="152"/>
    <w:next w:val="1"/>
    <w:qFormat/>
    <w:uiPriority w:val="0"/>
    <w:pPr>
      <w:spacing w:after="200"/>
    </w:pPr>
    <w:rPr>
      <w:sz w:val="21"/>
    </w:rPr>
  </w:style>
  <w:style w:type="paragraph" w:customStyle="1" w:styleId="154">
    <w:name w:val="章标题"/>
    <w:next w:val="137"/>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55">
    <w:name w:val="一级条标题"/>
    <w:next w:val="137"/>
    <w:link w:val="202"/>
    <w:qFormat/>
    <w:uiPriority w:val="0"/>
    <w:pPr>
      <w:outlineLvl w:val="2"/>
    </w:pPr>
    <w:rPr>
      <w:rFonts w:ascii="Times New Roman" w:hAnsi="Times New Roman" w:eastAsia="黑体" w:cs="Times New Roman"/>
      <w:sz w:val="21"/>
      <w:lang w:val="en-US" w:eastAsia="zh-CN" w:bidi="ar-SA"/>
    </w:rPr>
  </w:style>
  <w:style w:type="paragraph" w:customStyle="1" w:styleId="156">
    <w:name w:val="二级条标题"/>
    <w:basedOn w:val="155"/>
    <w:next w:val="137"/>
    <w:qFormat/>
    <w:uiPriority w:val="0"/>
    <w:pPr>
      <w:tabs>
        <w:tab w:val="left" w:pos="1680"/>
      </w:tabs>
      <w:ind w:left="1680" w:hanging="420"/>
      <w:outlineLvl w:val="3"/>
    </w:pPr>
  </w:style>
  <w:style w:type="character" w:customStyle="1" w:styleId="157">
    <w:name w:val="发布"/>
    <w:qFormat/>
    <w:uiPriority w:val="0"/>
    <w:rPr>
      <w:rFonts w:ascii="黑体" w:eastAsia="黑体"/>
      <w:spacing w:val="22"/>
      <w:w w:val="100"/>
      <w:position w:val="3"/>
      <w:sz w:val="28"/>
    </w:rPr>
  </w:style>
  <w:style w:type="paragraph" w:customStyle="1" w:styleId="158">
    <w:name w:val="发布部门"/>
    <w:next w:val="13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5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6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1">
    <w:name w:val="封面标准号2"/>
    <w:basedOn w:val="160"/>
    <w:qFormat/>
    <w:uiPriority w:val="0"/>
    <w:pPr>
      <w:framePr w:w="9138" w:h="1244" w:hRule="exact" w:wrap="auto" w:vAnchor="page" w:hAnchor="margin" w:y="2908"/>
      <w:adjustRightInd w:val="0"/>
      <w:spacing w:before="357" w:line="280" w:lineRule="exact"/>
    </w:pPr>
  </w:style>
  <w:style w:type="paragraph" w:customStyle="1" w:styleId="162">
    <w:name w:val="封面标准代替信息"/>
    <w:basedOn w:val="161"/>
    <w:qFormat/>
    <w:uiPriority w:val="0"/>
    <w:pPr>
      <w:spacing w:before="57"/>
    </w:pPr>
    <w:rPr>
      <w:rFonts w:ascii="宋体"/>
      <w:sz w:val="21"/>
    </w:rPr>
  </w:style>
  <w:style w:type="paragraph" w:customStyle="1" w:styleId="16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6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6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6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68">
    <w:name w:val="封面正文"/>
    <w:qFormat/>
    <w:uiPriority w:val="0"/>
    <w:pPr>
      <w:jc w:val="both"/>
    </w:pPr>
    <w:rPr>
      <w:rFonts w:ascii="Times New Roman" w:hAnsi="Times New Roman" w:eastAsia="宋体" w:cs="Times New Roman"/>
      <w:lang w:val="en-US" w:eastAsia="zh-CN" w:bidi="ar-SA"/>
    </w:rPr>
  </w:style>
  <w:style w:type="paragraph" w:customStyle="1" w:styleId="169">
    <w:name w:val="附录标识"/>
    <w:basedOn w:val="152"/>
    <w:qFormat/>
    <w:uiPriority w:val="0"/>
    <w:pPr>
      <w:tabs>
        <w:tab w:val="left" w:pos="432"/>
        <w:tab w:val="left" w:pos="6405"/>
      </w:tabs>
      <w:spacing w:after="200"/>
      <w:ind w:left="432" w:hanging="432"/>
    </w:pPr>
    <w:rPr>
      <w:sz w:val="21"/>
    </w:rPr>
  </w:style>
  <w:style w:type="paragraph" w:customStyle="1" w:styleId="170">
    <w:name w:val="附录表标题"/>
    <w:next w:val="137"/>
    <w:qFormat/>
    <w:uiPriority w:val="0"/>
    <w:pPr>
      <w:numPr>
        <w:ilvl w:val="0"/>
        <w:numId w:val="4"/>
      </w:numPr>
      <w:jc w:val="center"/>
      <w:textAlignment w:val="baseline"/>
    </w:pPr>
    <w:rPr>
      <w:rFonts w:ascii="黑体" w:hAnsi="Times New Roman" w:eastAsia="黑体" w:cs="Times New Roman"/>
      <w:kern w:val="21"/>
      <w:sz w:val="21"/>
      <w:lang w:val="en-US" w:eastAsia="zh-CN" w:bidi="ar-SA"/>
    </w:rPr>
  </w:style>
  <w:style w:type="paragraph" w:customStyle="1" w:styleId="171">
    <w:name w:val="附录章标题"/>
    <w:next w:val="137"/>
    <w:qFormat/>
    <w:uiPriority w:val="0"/>
    <w:pPr>
      <w:numPr>
        <w:ilvl w:val="1"/>
        <w:numId w:val="5"/>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72">
    <w:name w:val="附录一级条标题"/>
    <w:basedOn w:val="171"/>
    <w:next w:val="137"/>
    <w:qFormat/>
    <w:uiPriority w:val="0"/>
    <w:pPr>
      <w:numPr>
        <w:numId w:val="6"/>
      </w:numPr>
      <w:autoSpaceDN w:val="0"/>
      <w:spacing w:beforeLines="0" w:afterLines="0"/>
      <w:outlineLvl w:val="2"/>
    </w:pPr>
  </w:style>
  <w:style w:type="paragraph" w:customStyle="1" w:styleId="173">
    <w:name w:val="附录二级条标题"/>
    <w:basedOn w:val="172"/>
    <w:next w:val="137"/>
    <w:qFormat/>
    <w:uiPriority w:val="0"/>
    <w:pPr>
      <w:numPr>
        <w:ilvl w:val="2"/>
      </w:numPr>
      <w:outlineLvl w:val="3"/>
    </w:pPr>
  </w:style>
  <w:style w:type="paragraph" w:customStyle="1" w:styleId="174">
    <w:name w:val="附录三级条标题"/>
    <w:basedOn w:val="173"/>
    <w:next w:val="137"/>
    <w:qFormat/>
    <w:uiPriority w:val="0"/>
    <w:pPr>
      <w:numPr>
        <w:ilvl w:val="3"/>
      </w:numPr>
      <w:outlineLvl w:val="4"/>
    </w:pPr>
  </w:style>
  <w:style w:type="paragraph" w:customStyle="1" w:styleId="175">
    <w:name w:val="附录四级条标题"/>
    <w:basedOn w:val="174"/>
    <w:next w:val="137"/>
    <w:qFormat/>
    <w:uiPriority w:val="0"/>
    <w:pPr>
      <w:numPr>
        <w:ilvl w:val="4"/>
      </w:numPr>
      <w:outlineLvl w:val="5"/>
    </w:pPr>
  </w:style>
  <w:style w:type="paragraph" w:customStyle="1" w:styleId="176">
    <w:name w:val="附录图标题"/>
    <w:next w:val="137"/>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77">
    <w:name w:val="附录五级条标题"/>
    <w:basedOn w:val="175"/>
    <w:next w:val="137"/>
    <w:qFormat/>
    <w:uiPriority w:val="0"/>
    <w:pPr>
      <w:numPr>
        <w:ilvl w:val="6"/>
        <w:numId w:val="8"/>
      </w:numPr>
      <w:outlineLvl w:val="6"/>
    </w:pPr>
  </w:style>
  <w:style w:type="character" w:customStyle="1" w:styleId="178">
    <w:name w:val="个人答复风格"/>
    <w:qFormat/>
    <w:uiPriority w:val="0"/>
    <w:rPr>
      <w:rFonts w:ascii="Arial" w:hAnsi="Arial" w:eastAsia="宋体" w:cs="Arial"/>
      <w:color w:val="auto"/>
      <w:sz w:val="20"/>
    </w:rPr>
  </w:style>
  <w:style w:type="character" w:customStyle="1" w:styleId="179">
    <w:name w:val="个人撰写风格"/>
    <w:qFormat/>
    <w:uiPriority w:val="0"/>
    <w:rPr>
      <w:rFonts w:ascii="Arial" w:hAnsi="Arial" w:eastAsia="宋体" w:cs="Arial"/>
      <w:color w:val="auto"/>
      <w:sz w:val="20"/>
    </w:rPr>
  </w:style>
  <w:style w:type="paragraph" w:customStyle="1" w:styleId="180">
    <w:name w:val="列项——（一级）"/>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181">
    <w:name w:val="列项●（二级）"/>
    <w:qFormat/>
    <w:uiPriority w:val="0"/>
    <w:pPr>
      <w:numPr>
        <w:ilvl w:val="0"/>
        <w:numId w:val="10"/>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82">
    <w:name w:val="目次、标准名称标题"/>
    <w:basedOn w:val="152"/>
    <w:next w:val="137"/>
    <w:qFormat/>
    <w:uiPriority w:val="0"/>
    <w:pPr>
      <w:spacing w:line="460" w:lineRule="exact"/>
    </w:pPr>
  </w:style>
  <w:style w:type="paragraph" w:customStyle="1" w:styleId="18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8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85">
    <w:name w:val="其他发布部门"/>
    <w:basedOn w:val="158"/>
    <w:qFormat/>
    <w:uiPriority w:val="0"/>
    <w:pPr>
      <w:framePr w:wrap="around"/>
      <w:spacing w:line="0" w:lineRule="atLeast"/>
    </w:pPr>
    <w:rPr>
      <w:rFonts w:ascii="黑体" w:eastAsia="黑体"/>
      <w:b w:val="0"/>
    </w:rPr>
  </w:style>
  <w:style w:type="paragraph" w:customStyle="1" w:styleId="186">
    <w:name w:val="三级条标题"/>
    <w:basedOn w:val="156"/>
    <w:next w:val="137"/>
    <w:qFormat/>
    <w:uiPriority w:val="0"/>
    <w:pPr>
      <w:numPr>
        <w:ilvl w:val="4"/>
        <w:numId w:val="11"/>
      </w:numPr>
      <w:tabs>
        <w:tab w:val="clear" w:pos="2100"/>
      </w:tabs>
      <w:ind w:left="2526"/>
      <w:outlineLvl w:val="4"/>
    </w:pPr>
  </w:style>
  <w:style w:type="paragraph" w:customStyle="1" w:styleId="187">
    <w:name w:val="实施日期"/>
    <w:basedOn w:val="159"/>
    <w:qFormat/>
    <w:uiPriority w:val="0"/>
    <w:pPr>
      <w:framePr w:hSpace="0" w:wrap="around" w:xAlign="right"/>
      <w:jc w:val="right"/>
    </w:pPr>
  </w:style>
  <w:style w:type="paragraph" w:customStyle="1" w:styleId="188">
    <w:name w:val="示例"/>
    <w:next w:val="137"/>
    <w:qFormat/>
    <w:uiPriority w:val="0"/>
    <w:pPr>
      <w:numPr>
        <w:ilvl w:val="0"/>
        <w:numId w:val="12"/>
      </w:num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8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90">
    <w:name w:val="四级条标题"/>
    <w:basedOn w:val="186"/>
    <w:next w:val="137"/>
    <w:qFormat/>
    <w:uiPriority w:val="0"/>
    <w:pPr>
      <w:numPr>
        <w:ilvl w:val="0"/>
        <w:numId w:val="13"/>
      </w:numPr>
      <w:tabs>
        <w:tab w:val="left" w:pos="360"/>
        <w:tab w:val="left" w:pos="1440"/>
        <w:tab w:val="clear" w:pos="1120"/>
      </w:tabs>
      <w:ind w:left="1440" w:hanging="1440"/>
      <w:outlineLvl w:val="5"/>
    </w:pPr>
  </w:style>
  <w:style w:type="paragraph" w:customStyle="1" w:styleId="191">
    <w:name w:val="条文脚注"/>
    <w:basedOn w:val="35"/>
    <w:qFormat/>
    <w:uiPriority w:val="0"/>
    <w:pPr>
      <w:widowControl w:val="0"/>
      <w:overflowPunct/>
      <w:autoSpaceDE/>
      <w:autoSpaceDN/>
      <w:adjustRightInd/>
      <w:snapToGrid w:val="0"/>
      <w:ind w:left="780" w:leftChars="200" w:hanging="360" w:hangingChars="200"/>
      <w:jc w:val="both"/>
      <w:textAlignment w:val="auto"/>
    </w:pPr>
    <w:rPr>
      <w:rFonts w:ascii="宋体"/>
      <w:kern w:val="2"/>
      <w:sz w:val="18"/>
      <w:szCs w:val="18"/>
      <w:lang w:eastAsia="zh-CN"/>
    </w:rPr>
  </w:style>
  <w:style w:type="paragraph" w:customStyle="1" w:styleId="192">
    <w:name w:val="图表脚注"/>
    <w:next w:val="13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9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94">
    <w:name w:val="五级条标题"/>
    <w:basedOn w:val="190"/>
    <w:next w:val="137"/>
    <w:qFormat/>
    <w:uiPriority w:val="0"/>
    <w:pPr>
      <w:numPr>
        <w:ilvl w:val="6"/>
        <w:numId w:val="14"/>
      </w:numPr>
      <w:tabs>
        <w:tab w:val="clear" w:pos="2940"/>
      </w:tabs>
      <w:outlineLvl w:val="6"/>
    </w:pPr>
  </w:style>
  <w:style w:type="paragraph" w:customStyle="1" w:styleId="195">
    <w:name w:val="正文表标题"/>
    <w:next w:val="137"/>
    <w:qFormat/>
    <w:uiPriority w:val="0"/>
    <w:pPr>
      <w:numPr>
        <w:ilvl w:val="0"/>
        <w:numId w:val="15"/>
      </w:numPr>
      <w:jc w:val="center"/>
    </w:pPr>
    <w:rPr>
      <w:rFonts w:ascii="黑体" w:hAnsi="Times New Roman" w:eastAsia="黑体" w:cs="Times New Roman"/>
      <w:sz w:val="21"/>
      <w:lang w:val="en-US" w:eastAsia="zh-CN" w:bidi="ar-SA"/>
    </w:rPr>
  </w:style>
  <w:style w:type="paragraph" w:customStyle="1" w:styleId="196">
    <w:name w:val="正文图标题"/>
    <w:next w:val="137"/>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197">
    <w:name w:val="注："/>
    <w:next w:val="137"/>
    <w:qFormat/>
    <w:uiPriority w:val="0"/>
    <w:pPr>
      <w:widowControl w:val="0"/>
      <w:numPr>
        <w:ilvl w:val="0"/>
        <w:numId w:val="17"/>
      </w:numPr>
      <w:autoSpaceDE w:val="0"/>
      <w:autoSpaceDN w:val="0"/>
      <w:jc w:val="both"/>
    </w:pPr>
    <w:rPr>
      <w:rFonts w:ascii="宋体" w:hAnsi="Times New Roman" w:eastAsia="宋体" w:cs="Times New Roman"/>
      <w:sz w:val="18"/>
      <w:lang w:val="en-US" w:eastAsia="zh-CN" w:bidi="ar-SA"/>
    </w:rPr>
  </w:style>
  <w:style w:type="paragraph" w:customStyle="1" w:styleId="198">
    <w:name w:val="注×："/>
    <w:qFormat/>
    <w:uiPriority w:val="0"/>
    <w:pPr>
      <w:widowControl w:val="0"/>
      <w:numPr>
        <w:ilvl w:val="0"/>
        <w:numId w:val="18"/>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9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00">
    <w:name w:val="列项◆（三级）"/>
    <w:qFormat/>
    <w:uiPriority w:val="0"/>
    <w:pPr>
      <w:numPr>
        <w:ilvl w:val="0"/>
        <w:numId w:val="19"/>
      </w:numPr>
      <w:ind w:left="800" w:leftChars="600" w:hanging="200" w:hangingChars="200"/>
    </w:pPr>
    <w:rPr>
      <w:rFonts w:ascii="宋体" w:hAnsi="Times New Roman" w:eastAsia="宋体" w:cs="Times New Roman"/>
      <w:sz w:val="21"/>
      <w:lang w:val="en-US" w:eastAsia="zh-CN" w:bidi="ar-SA"/>
    </w:rPr>
  </w:style>
  <w:style w:type="paragraph" w:customStyle="1" w:styleId="201">
    <w:name w:val="编号列项（三级）"/>
    <w:qFormat/>
    <w:uiPriority w:val="0"/>
    <w:pPr>
      <w:numPr>
        <w:ilvl w:val="0"/>
        <w:numId w:val="20"/>
      </w:numPr>
      <w:tabs>
        <w:tab w:val="clear" w:pos="1140"/>
      </w:tabs>
      <w:ind w:left="800" w:leftChars="600" w:hanging="200" w:hangingChars="200"/>
    </w:pPr>
    <w:rPr>
      <w:rFonts w:ascii="宋体" w:hAnsi="Times New Roman" w:eastAsia="宋体" w:cs="Times New Roman"/>
      <w:sz w:val="21"/>
      <w:lang w:val="en-US" w:eastAsia="zh-CN" w:bidi="ar-SA"/>
    </w:rPr>
  </w:style>
  <w:style w:type="character" w:customStyle="1" w:styleId="202">
    <w:name w:val="一级条标题 Char"/>
    <w:link w:val="155"/>
    <w:qFormat/>
    <w:uiPriority w:val="0"/>
    <w:rPr>
      <w:rFonts w:ascii="Times New Roman" w:hAnsi="Times New Roman" w:eastAsia="黑体" w:cs="Times New Roman"/>
      <w:kern w:val="0"/>
      <w:szCs w:val="20"/>
    </w:rPr>
  </w:style>
  <w:style w:type="paragraph" w:customStyle="1" w:styleId="203">
    <w:name w:val="Libelléscartouche"/>
    <w:basedOn w:val="1"/>
    <w:qFormat/>
    <w:uiPriority w:val="0"/>
    <w:pPr>
      <w:widowControl/>
      <w:jc w:val="left"/>
    </w:pPr>
    <w:rPr>
      <w:rFonts w:ascii="Times New Roman" w:hAnsi="Times New Roman" w:eastAsia="宋体" w:cs="Times New Roman"/>
      <w:kern w:val="0"/>
      <w:sz w:val="18"/>
      <w:szCs w:val="20"/>
      <w:lang w:val="fr-FR" w:eastAsia="en-US"/>
    </w:rPr>
  </w:style>
  <w:style w:type="paragraph" w:customStyle="1" w:styleId="204">
    <w:name w:val="APTIT1"/>
    <w:basedOn w:val="1"/>
    <w:qFormat/>
    <w:uiPriority w:val="0"/>
    <w:pPr>
      <w:widowControl/>
      <w:spacing w:line="360" w:lineRule="atLeast"/>
      <w:ind w:left="709"/>
    </w:pPr>
    <w:rPr>
      <w:rFonts w:ascii="Times New Roman" w:hAnsi="Times New Roman" w:eastAsia="宋体" w:cs="Times New Roman"/>
      <w:kern w:val="0"/>
      <w:sz w:val="24"/>
      <w:szCs w:val="20"/>
      <w:lang w:val="fr-FR" w:eastAsia="en-US"/>
    </w:rPr>
  </w:style>
  <w:style w:type="paragraph" w:customStyle="1" w:styleId="205">
    <w:name w:val="e6"/>
    <w:basedOn w:val="32"/>
    <w:qFormat/>
    <w:uiPriority w:val="0"/>
    <w:pPr>
      <w:pBdr>
        <w:bottom w:val="none" w:color="auto" w:sz="0" w:space="0"/>
      </w:pBdr>
      <w:tabs>
        <w:tab w:val="clear" w:pos="4153"/>
        <w:tab w:val="clear" w:pos="8306"/>
      </w:tabs>
      <w:snapToGrid/>
      <w:spacing w:before="140" w:after="140"/>
    </w:pPr>
    <w:rPr>
      <w:b/>
      <w:caps/>
      <w:kern w:val="0"/>
      <w:position w:val="2"/>
      <w:sz w:val="20"/>
      <w:szCs w:val="20"/>
      <w:lang w:val="fr-FR" w:eastAsia="en-US"/>
    </w:rPr>
  </w:style>
  <w:style w:type="paragraph" w:customStyle="1" w:styleId="206">
    <w:name w:val="1indent"/>
    <w:basedOn w:val="1"/>
    <w:semiHidden/>
    <w:qFormat/>
    <w:uiPriority w:val="0"/>
    <w:pPr>
      <w:keepLines/>
      <w:widowControl/>
      <w:tabs>
        <w:tab w:val="left" w:pos="720"/>
        <w:tab w:val="left" w:pos="1440"/>
        <w:tab w:val="left" w:pos="2160"/>
        <w:tab w:val="left" w:pos="3240"/>
        <w:tab w:val="left" w:pos="3960"/>
      </w:tabs>
      <w:spacing w:after="240"/>
      <w:ind w:left="720"/>
    </w:pPr>
    <w:rPr>
      <w:rFonts w:ascii="Helv" w:hAnsi="Helv" w:eastAsia="宋体" w:cs="Times New Roman"/>
      <w:kern w:val="0"/>
      <w:sz w:val="20"/>
      <w:szCs w:val="20"/>
    </w:rPr>
  </w:style>
  <w:style w:type="table" w:customStyle="1" w:styleId="207">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8">
    <w:name w:val="Heading 1 Char"/>
    <w:qFormat/>
    <w:uiPriority w:val="9"/>
    <w:rPr>
      <w:b/>
      <w:bCs/>
      <w:kern w:val="44"/>
      <w:sz w:val="44"/>
      <w:szCs w:val="44"/>
    </w:rPr>
  </w:style>
  <w:style w:type="character" w:customStyle="1" w:styleId="209">
    <w:name w:val="Heading 2 Char"/>
    <w:semiHidden/>
    <w:qFormat/>
    <w:uiPriority w:val="9"/>
    <w:rPr>
      <w:rFonts w:ascii="Cambria" w:hAnsi="Cambria" w:eastAsia="宋体" w:cs="Times New Roman"/>
      <w:b/>
      <w:bCs/>
      <w:sz w:val="32"/>
      <w:szCs w:val="32"/>
    </w:rPr>
  </w:style>
  <w:style w:type="character" w:customStyle="1" w:styleId="210">
    <w:name w:val="Heading 3 Char"/>
    <w:semiHidden/>
    <w:qFormat/>
    <w:uiPriority w:val="9"/>
    <w:rPr>
      <w:b/>
      <w:bCs/>
      <w:sz w:val="32"/>
      <w:szCs w:val="32"/>
    </w:rPr>
  </w:style>
  <w:style w:type="character" w:customStyle="1" w:styleId="211">
    <w:name w:val="Heading 4 Char"/>
    <w:semiHidden/>
    <w:qFormat/>
    <w:uiPriority w:val="9"/>
    <w:rPr>
      <w:rFonts w:ascii="Cambria" w:hAnsi="Cambria" w:eastAsia="宋体" w:cs="Times New Roman"/>
      <w:b/>
      <w:bCs/>
      <w:sz w:val="28"/>
      <w:szCs w:val="28"/>
    </w:rPr>
  </w:style>
  <w:style w:type="character" w:customStyle="1" w:styleId="212">
    <w:name w:val="Heading 6 Char"/>
    <w:semiHidden/>
    <w:qFormat/>
    <w:uiPriority w:val="9"/>
    <w:rPr>
      <w:rFonts w:ascii="Cambria" w:hAnsi="Cambria" w:eastAsia="宋体" w:cs="Times New Roman"/>
      <w:b/>
      <w:bCs/>
      <w:sz w:val="24"/>
      <w:szCs w:val="24"/>
    </w:rPr>
  </w:style>
  <w:style w:type="character" w:customStyle="1" w:styleId="213">
    <w:name w:val="Heading 7 Char"/>
    <w:semiHidden/>
    <w:qFormat/>
    <w:uiPriority w:val="9"/>
    <w:rPr>
      <w:b/>
      <w:bCs/>
      <w:sz w:val="24"/>
      <w:szCs w:val="24"/>
    </w:rPr>
  </w:style>
  <w:style w:type="character" w:customStyle="1" w:styleId="214">
    <w:name w:val="Heading 8 Char"/>
    <w:semiHidden/>
    <w:qFormat/>
    <w:uiPriority w:val="9"/>
    <w:rPr>
      <w:rFonts w:ascii="Cambria" w:hAnsi="Cambria" w:eastAsia="宋体" w:cs="Times New Roman"/>
      <w:sz w:val="24"/>
      <w:szCs w:val="24"/>
    </w:rPr>
  </w:style>
  <w:style w:type="character" w:customStyle="1" w:styleId="215">
    <w:name w:val="Heading 9 Char"/>
    <w:semiHidden/>
    <w:qFormat/>
    <w:uiPriority w:val="9"/>
    <w:rPr>
      <w:rFonts w:ascii="Cambria" w:hAnsi="Cambria" w:eastAsia="宋体" w:cs="Times New Roman"/>
      <w:szCs w:val="21"/>
    </w:rPr>
  </w:style>
  <w:style w:type="character" w:customStyle="1" w:styleId="216">
    <w:name w:val="Header Char"/>
    <w:semiHidden/>
    <w:qFormat/>
    <w:uiPriority w:val="99"/>
    <w:rPr>
      <w:sz w:val="18"/>
      <w:szCs w:val="18"/>
    </w:rPr>
  </w:style>
  <w:style w:type="character" w:customStyle="1" w:styleId="217">
    <w:name w:val="Footer Char"/>
    <w:semiHidden/>
    <w:qFormat/>
    <w:uiPriority w:val="99"/>
    <w:rPr>
      <w:sz w:val="18"/>
      <w:szCs w:val="18"/>
    </w:rPr>
  </w:style>
  <w:style w:type="character" w:customStyle="1" w:styleId="218">
    <w:name w:val="Body Text 3 Char"/>
    <w:semiHidden/>
    <w:qFormat/>
    <w:uiPriority w:val="99"/>
    <w:rPr>
      <w:sz w:val="16"/>
      <w:szCs w:val="16"/>
    </w:rPr>
  </w:style>
  <w:style w:type="paragraph" w:customStyle="1" w:styleId="219">
    <w:name w:val="样式 标题 3 + (中文) 黑体 小四 非加粗 段前: 7.8 磅 段后: 0 磅 行距: 固定值 20 磅"/>
    <w:basedOn w:val="5"/>
    <w:qFormat/>
    <w:uiPriority w:val="99"/>
    <w:pPr>
      <w:keepLines/>
      <w:widowControl w:val="0"/>
      <w:overflowPunct/>
      <w:autoSpaceDE/>
      <w:autoSpaceDN/>
      <w:adjustRightInd/>
      <w:spacing w:before="0" w:after="0" w:line="400" w:lineRule="exact"/>
      <w:jc w:val="both"/>
      <w:textAlignment w:val="auto"/>
    </w:pPr>
    <w:rPr>
      <w:rFonts w:eastAsia="黑体" w:cs="宋体"/>
      <w:b w:val="0"/>
      <w:kern w:val="2"/>
      <w:lang w:eastAsia="zh-CN"/>
    </w:rPr>
  </w:style>
  <w:style w:type="paragraph" w:customStyle="1" w:styleId="220">
    <w:name w:val="样式 标题 2 + Times New Roman 四号 非加粗 段前: 5 磅 段后: 0 磅 行距: 固定值 20..."/>
    <w:basedOn w:val="4"/>
    <w:qFormat/>
    <w:uiPriority w:val="99"/>
    <w:pPr>
      <w:keepLines/>
      <w:widowControl w:val="0"/>
      <w:overflowPunct/>
      <w:autoSpaceDE/>
      <w:autoSpaceDN/>
      <w:adjustRightInd/>
      <w:spacing w:before="100" w:after="0" w:line="400" w:lineRule="exact"/>
      <w:jc w:val="both"/>
      <w:textAlignment w:val="auto"/>
    </w:pPr>
    <w:rPr>
      <w:rFonts w:ascii="Times New Roman" w:hAnsi="Times New Roman" w:eastAsia="黑体" w:cs="宋体"/>
      <w:b w:val="0"/>
      <w:i w:val="0"/>
      <w:kern w:val="2"/>
      <w:sz w:val="28"/>
      <w:lang w:eastAsia="zh-CN"/>
    </w:rPr>
  </w:style>
  <w:style w:type="paragraph" w:customStyle="1" w:styleId="221">
    <w:name w:val="样式 标题 1 + 黑体 三号 非加粗 居中 段前: 6 磅 段后: 6 磅 行距: 固定值 20 磅"/>
    <w:basedOn w:val="3"/>
    <w:qFormat/>
    <w:uiPriority w:val="99"/>
    <w:pPr>
      <w:keepLines/>
      <w:widowControl w:val="0"/>
      <w:overflowPunct/>
      <w:autoSpaceDE/>
      <w:autoSpaceDN/>
      <w:adjustRightInd/>
      <w:spacing w:before="120" w:after="120" w:line="400" w:lineRule="exact"/>
      <w:jc w:val="center"/>
      <w:textAlignment w:val="auto"/>
    </w:pPr>
    <w:rPr>
      <w:rFonts w:ascii="黑体" w:hAnsi="黑体" w:eastAsia="黑体" w:cs="宋体"/>
      <w:b w:val="0"/>
      <w:kern w:val="44"/>
      <w:sz w:val="32"/>
      <w:lang w:eastAsia="zh-CN"/>
    </w:rPr>
  </w:style>
  <w:style w:type="character" w:customStyle="1" w:styleId="222">
    <w:name w:val="Comment Text Char"/>
    <w:semiHidden/>
    <w:qFormat/>
    <w:uiPriority w:val="99"/>
    <w:rPr>
      <w:szCs w:val="24"/>
    </w:rPr>
  </w:style>
  <w:style w:type="character" w:customStyle="1" w:styleId="223">
    <w:name w:val="Title Char"/>
    <w:qFormat/>
    <w:uiPriority w:val="10"/>
    <w:rPr>
      <w:rFonts w:ascii="Cambria" w:hAnsi="Cambria" w:cs="Times New Roman"/>
      <w:b/>
      <w:bCs/>
      <w:sz w:val="32"/>
      <w:szCs w:val="32"/>
    </w:rPr>
  </w:style>
  <w:style w:type="character" w:customStyle="1" w:styleId="224">
    <w:name w:val="Body Text Indent Char"/>
    <w:semiHidden/>
    <w:qFormat/>
    <w:uiPriority w:val="99"/>
    <w:rPr>
      <w:szCs w:val="24"/>
    </w:rPr>
  </w:style>
  <w:style w:type="character" w:customStyle="1" w:styleId="225">
    <w:name w:val="Body Text Indent 3 Char"/>
    <w:semiHidden/>
    <w:qFormat/>
    <w:uiPriority w:val="99"/>
    <w:rPr>
      <w:sz w:val="16"/>
      <w:szCs w:val="16"/>
    </w:rPr>
  </w:style>
  <w:style w:type="character" w:customStyle="1" w:styleId="226">
    <w:name w:val="font161"/>
    <w:qFormat/>
    <w:uiPriority w:val="99"/>
    <w:rPr>
      <w:b/>
      <w:sz w:val="32"/>
    </w:rPr>
  </w:style>
  <w:style w:type="paragraph" w:customStyle="1" w:styleId="227">
    <w:name w:val="6'"/>
    <w:basedOn w:val="1"/>
    <w:qFormat/>
    <w:uiPriority w:val="99"/>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character" w:customStyle="1" w:styleId="228">
    <w:name w:val="Date Char"/>
    <w:semiHidden/>
    <w:qFormat/>
    <w:uiPriority w:val="99"/>
    <w:rPr>
      <w:szCs w:val="24"/>
    </w:rPr>
  </w:style>
  <w:style w:type="paragraph" w:customStyle="1" w:styleId="229">
    <w:name w:val="表格"/>
    <w:basedOn w:val="1"/>
    <w:qFormat/>
    <w:uiPriority w:val="99"/>
    <w:pPr>
      <w:jc w:val="center"/>
      <w:textAlignment w:val="center"/>
    </w:pPr>
    <w:rPr>
      <w:rFonts w:ascii="华文细黑" w:hAnsi="华文细黑" w:eastAsia="宋体" w:cs="Times New Roman"/>
      <w:kern w:val="0"/>
      <w:szCs w:val="20"/>
    </w:rPr>
  </w:style>
  <w:style w:type="paragraph" w:customStyle="1" w:styleId="230">
    <w:name w:val="表格文字"/>
    <w:basedOn w:val="1"/>
    <w:qFormat/>
    <w:uiPriority w:val="99"/>
    <w:pPr>
      <w:adjustRightInd w:val="0"/>
      <w:spacing w:line="420" w:lineRule="atLeast"/>
      <w:jc w:val="left"/>
      <w:textAlignment w:val="baseline"/>
    </w:pPr>
    <w:rPr>
      <w:rFonts w:ascii="Times New Roman" w:hAnsi="Times New Roman" w:eastAsia="宋体" w:cs="Times New Roman"/>
      <w:kern w:val="0"/>
      <w:szCs w:val="20"/>
    </w:rPr>
  </w:style>
  <w:style w:type="character" w:customStyle="1" w:styleId="231">
    <w:name w:val="Balloon Text Char"/>
    <w:semiHidden/>
    <w:qFormat/>
    <w:uiPriority w:val="99"/>
    <w:rPr>
      <w:sz w:val="0"/>
      <w:szCs w:val="0"/>
    </w:rPr>
  </w:style>
  <w:style w:type="character" w:customStyle="1" w:styleId="232">
    <w:name w:val="文档结构图 Char"/>
    <w:basedOn w:val="48"/>
    <w:link w:val="13"/>
    <w:semiHidden/>
    <w:qFormat/>
    <w:uiPriority w:val="99"/>
    <w:rPr>
      <w:rFonts w:ascii="Times New Roman" w:hAnsi="Times New Roman" w:eastAsia="宋体" w:cs="Times New Roman"/>
      <w:szCs w:val="24"/>
      <w:shd w:val="clear" w:color="auto" w:fill="000080"/>
    </w:rPr>
  </w:style>
  <w:style w:type="character" w:customStyle="1" w:styleId="233">
    <w:name w:val="Document Map Char"/>
    <w:semiHidden/>
    <w:qFormat/>
    <w:uiPriority w:val="99"/>
    <w:rPr>
      <w:sz w:val="0"/>
      <w:szCs w:val="0"/>
    </w:rPr>
  </w:style>
  <w:style w:type="character" w:customStyle="1" w:styleId="234">
    <w:name w:val="Comment Subject Char"/>
    <w:semiHidden/>
    <w:qFormat/>
    <w:uiPriority w:val="99"/>
    <w:rPr>
      <w:b/>
      <w:bCs/>
      <w:kern w:val="2"/>
      <w:sz w:val="24"/>
      <w:szCs w:val="24"/>
    </w:rPr>
  </w:style>
  <w:style w:type="paragraph" w:customStyle="1" w:styleId="235">
    <w:name w:val="默认段落字体 Para Char Char Char Char Char"/>
    <w:basedOn w:val="1"/>
    <w:qFormat/>
    <w:uiPriority w:val="99"/>
    <w:pPr>
      <w:spacing w:line="240" w:lineRule="atLeast"/>
      <w:ind w:left="420" w:firstLine="420"/>
    </w:pPr>
    <w:rPr>
      <w:rFonts w:ascii="Times New Roman" w:hAnsi="Times New Roman" w:eastAsia="宋体" w:cs="Times New Roman"/>
      <w:kern w:val="0"/>
      <w:szCs w:val="21"/>
    </w:rPr>
  </w:style>
  <w:style w:type="character" w:customStyle="1" w:styleId="236">
    <w:name w:val="Ò³Ã¼ Char1"/>
    <w:qFormat/>
    <w:uiPriority w:val="99"/>
    <w:rPr>
      <w:rFonts w:eastAsia="宋体"/>
      <w:kern w:val="2"/>
      <w:sz w:val="18"/>
      <w:lang w:val="en-US" w:eastAsia="zh-CN"/>
    </w:rPr>
  </w:style>
  <w:style w:type="character" w:customStyle="1" w:styleId="237">
    <w:name w:val="Footer-Even Char Char"/>
    <w:qFormat/>
    <w:uiPriority w:val="99"/>
    <w:rPr>
      <w:rFonts w:eastAsia="宋体"/>
      <w:kern w:val="2"/>
      <w:sz w:val="18"/>
      <w:lang w:val="en-US" w:eastAsia="zh-CN"/>
    </w:rPr>
  </w:style>
  <w:style w:type="character" w:customStyle="1" w:styleId="238">
    <w:name w:val="正文缩进 Char"/>
    <w:link w:val="2"/>
    <w:qFormat/>
    <w:locked/>
    <w:uiPriority w:val="99"/>
    <w:rPr>
      <w:rFonts w:ascii="Times New Roman" w:hAnsi="Times New Roman" w:eastAsia="宋体" w:cs="Times New Roman"/>
      <w:kern w:val="0"/>
      <w:sz w:val="24"/>
      <w:szCs w:val="20"/>
    </w:rPr>
  </w:style>
  <w:style w:type="paragraph" w:customStyle="1" w:styleId="239">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240">
    <w:name w:val="样式 标题 1 + 四号"/>
    <w:basedOn w:val="3"/>
    <w:qFormat/>
    <w:uiPriority w:val="0"/>
    <w:pPr>
      <w:keepLines/>
      <w:widowControl w:val="0"/>
      <w:numPr>
        <w:ilvl w:val="0"/>
        <w:numId w:val="21"/>
      </w:numPr>
      <w:overflowPunct/>
      <w:autoSpaceDE/>
      <w:autoSpaceDN/>
      <w:adjustRightInd/>
      <w:spacing w:before="120" w:after="120"/>
      <w:jc w:val="both"/>
      <w:textAlignment w:val="auto"/>
    </w:pPr>
    <w:rPr>
      <w:rFonts w:ascii="楷体_GB2312" w:hAnsi="Times New Roman" w:eastAsia="楷体_GB2312"/>
      <w:color w:val="000000"/>
      <w:kern w:val="2"/>
      <w:szCs w:val="24"/>
      <w:lang w:eastAsia="zh-CN"/>
    </w:rPr>
  </w:style>
  <w:style w:type="paragraph" w:customStyle="1" w:styleId="241">
    <w:name w:val="样式1"/>
    <w:basedOn w:val="1"/>
    <w:qFormat/>
    <w:uiPriority w:val="0"/>
    <w:rPr>
      <w:rFonts w:ascii="Times New Roman" w:hAnsi="Times New Roman" w:eastAsia="宋体" w:cs="Times New Roman"/>
      <w:szCs w:val="24"/>
    </w:rPr>
  </w:style>
  <w:style w:type="paragraph" w:customStyle="1" w:styleId="242">
    <w:name w:val="xl24"/>
    <w:basedOn w:val="1"/>
    <w:qFormat/>
    <w:uiPriority w:val="0"/>
    <w:pPr>
      <w:widowControl/>
      <w:pBdr>
        <w:right w:val="single" w:color="auto" w:sz="4" w:space="0"/>
      </w:pBdr>
      <w:spacing w:before="100" w:after="100"/>
      <w:jc w:val="center"/>
    </w:pPr>
    <w:rPr>
      <w:rFonts w:ascii="Arial Unicode MS" w:hAnsi="Arial Unicode MS" w:eastAsia="Arial Unicode MS" w:cs="Times New Roman"/>
      <w:kern w:val="0"/>
      <w:sz w:val="24"/>
      <w:szCs w:val="20"/>
    </w:rPr>
  </w:style>
  <w:style w:type="paragraph" w:customStyle="1" w:styleId="243">
    <w:name w:val="Table Text"/>
    <w:qFormat/>
    <w:uiPriority w:val="0"/>
    <w:rPr>
      <w:rFonts w:ascii="Arial" w:hAnsi="Arial" w:eastAsia="宋体" w:cs="Times New Roman"/>
      <w:snapToGrid w:val="0"/>
      <w:color w:val="000000"/>
      <w:lang w:val="en-US" w:eastAsia="en-US" w:bidi="ar-SA"/>
    </w:rPr>
  </w:style>
  <w:style w:type="paragraph" w:customStyle="1" w:styleId="244">
    <w:name w:val="FA"/>
    <w:qFormat/>
    <w:uiPriority w:val="0"/>
    <w:pPr>
      <w:spacing w:line="240" w:lineRule="atLeast"/>
      <w:ind w:left="709" w:hanging="709"/>
      <w:jc w:val="both"/>
    </w:pPr>
    <w:rPr>
      <w:rFonts w:ascii="Times" w:hAnsi="Times" w:eastAsia="宋体" w:cs="Times New Roman"/>
      <w:sz w:val="22"/>
      <w:u w:val="single"/>
      <w:lang w:val="fr-FR" w:eastAsia="en-US" w:bidi="ar-SA"/>
    </w:rPr>
  </w:style>
  <w:style w:type="paragraph" w:customStyle="1" w:styleId="245">
    <w:name w:val="Text:1"/>
    <w:basedOn w:val="1"/>
    <w:qFormat/>
    <w:uiPriority w:val="0"/>
    <w:pPr>
      <w:widowControl/>
      <w:tabs>
        <w:tab w:val="left" w:pos="-720"/>
        <w:tab w:val="left" w:pos="0"/>
      </w:tabs>
      <w:suppressAutoHyphens/>
      <w:spacing w:before="120" w:after="60"/>
      <w:ind w:left="720"/>
    </w:pPr>
    <w:rPr>
      <w:rFonts w:ascii="Arial" w:hAnsi="Arial" w:eastAsia="Times New Roman" w:cs="Times New Roman"/>
      <w:spacing w:val="-3"/>
      <w:kern w:val="0"/>
      <w:sz w:val="22"/>
      <w:szCs w:val="20"/>
      <w:lang w:eastAsia="en-US"/>
    </w:rPr>
  </w:style>
  <w:style w:type="paragraph" w:customStyle="1" w:styleId="246">
    <w:name w:val="标题2A"/>
    <w:basedOn w:val="4"/>
    <w:qFormat/>
    <w:uiPriority w:val="0"/>
    <w:pPr>
      <w:keepLines/>
      <w:widowControl w:val="0"/>
      <w:numPr>
        <w:numId w:val="22"/>
      </w:numPr>
      <w:tabs>
        <w:tab w:val="left" w:pos="5235"/>
      </w:tabs>
      <w:overflowPunct/>
      <w:autoSpaceDE/>
      <w:autoSpaceDN/>
      <w:adjustRightInd/>
      <w:spacing w:before="360" w:after="360" w:line="578" w:lineRule="auto"/>
      <w:jc w:val="center"/>
      <w:textAlignment w:val="auto"/>
    </w:pPr>
    <w:rPr>
      <w:bCs/>
      <w:i w:val="0"/>
      <w:kern w:val="2"/>
      <w:szCs w:val="32"/>
      <w:lang w:eastAsia="zh-CN"/>
    </w:rPr>
  </w:style>
  <w:style w:type="character" w:customStyle="1" w:styleId="247">
    <w:name w:val="样式2A Char"/>
    <w:qFormat/>
    <w:uiPriority w:val="0"/>
    <w:rPr>
      <w:rFonts w:ascii="Arial" w:hAnsi="Arial" w:eastAsia="宋体"/>
      <w:b/>
      <w:bCs/>
      <w:kern w:val="2"/>
      <w:sz w:val="24"/>
      <w:szCs w:val="32"/>
      <w:lang w:val="en-US" w:eastAsia="zh-CN" w:bidi="ar-SA"/>
    </w:rPr>
  </w:style>
  <w:style w:type="paragraph" w:styleId="248">
    <w:name w:val="No Spacing"/>
    <w:link w:val="249"/>
    <w:qFormat/>
    <w:uiPriority w:val="1"/>
    <w:rPr>
      <w:rFonts w:ascii="Calibri" w:hAnsi="Calibri" w:eastAsia="宋体" w:cs="Times New Roman"/>
      <w:sz w:val="22"/>
      <w:szCs w:val="22"/>
      <w:lang w:val="en-US" w:eastAsia="zh-CN" w:bidi="ar-SA"/>
    </w:rPr>
  </w:style>
  <w:style w:type="character" w:customStyle="1" w:styleId="249">
    <w:name w:val="无间隔 Char"/>
    <w:link w:val="248"/>
    <w:qFormat/>
    <w:uiPriority w:val="1"/>
    <w:rPr>
      <w:rFonts w:ascii="Calibri" w:hAnsi="Calibri" w:eastAsia="宋体" w:cs="Times New Roman"/>
      <w:kern w:val="0"/>
      <w:sz w:val="22"/>
    </w:rPr>
  </w:style>
  <w:style w:type="character" w:customStyle="1" w:styleId="250">
    <w:name w:val="DeltaView Insertion"/>
    <w:qFormat/>
    <w:uiPriority w:val="0"/>
    <w:rPr>
      <w:color w:val="0000FF"/>
      <w:spacing w:val="0"/>
      <w:u w:val="double"/>
    </w:rPr>
  </w:style>
  <w:style w:type="character" w:customStyle="1" w:styleId="251">
    <w:name w:val="Unresolved Mention"/>
    <w:basedOn w:val="48"/>
    <w:semiHidden/>
    <w:unhideWhenUsed/>
    <w:qFormat/>
    <w:uiPriority w:val="99"/>
    <w:rPr>
      <w:color w:val="605E5C"/>
      <w:shd w:val="clear" w:color="auto" w:fill="E1DFDD"/>
    </w:rPr>
  </w:style>
  <w:style w:type="paragraph" w:customStyle="1" w:styleId="252">
    <w:name w:val="_Style 249"/>
    <w:basedOn w:val="1"/>
    <w:next w:val="123"/>
    <w:qFormat/>
    <w:uiPriority w:val="0"/>
    <w:pPr>
      <w:ind w:firstLine="420" w:firstLineChars="200"/>
    </w:pPr>
    <w:rPr>
      <w:rFonts w:ascii="Calibri" w:hAnsi="Calibri" w:eastAsia="宋体" w:cs="Times New Roman"/>
    </w:rPr>
  </w:style>
  <w:style w:type="paragraph" w:customStyle="1" w:styleId="253">
    <w:name w:val="第1级别"/>
    <w:basedOn w:val="3"/>
    <w:qFormat/>
    <w:uiPriority w:val="0"/>
    <w:pPr>
      <w:keepLines/>
      <w:widowControl w:val="0"/>
      <w:numPr>
        <w:numId w:val="23"/>
      </w:numPr>
      <w:overflowPunct/>
      <w:autoSpaceDE/>
      <w:autoSpaceDN/>
      <w:snapToGrid w:val="0"/>
      <w:spacing w:before="0" w:after="0" w:line="360" w:lineRule="auto"/>
      <w:jc w:val="center"/>
      <w:textAlignment w:val="auto"/>
    </w:pPr>
    <w:rPr>
      <w:rFonts w:ascii="Times New Roman" w:hAnsi="Times New Roman" w:eastAsia="黑体"/>
      <w:bCs/>
      <w:snapToGrid w:val="0"/>
      <w:kern w:val="0"/>
      <w:sz w:val="30"/>
      <w:szCs w:val="44"/>
      <w:lang w:val="zh-CN" w:eastAsia="zh-CN"/>
    </w:rPr>
  </w:style>
  <w:style w:type="paragraph" w:customStyle="1" w:styleId="254">
    <w:name w:val="第2级别"/>
    <w:basedOn w:val="253"/>
    <w:qFormat/>
    <w:uiPriority w:val="0"/>
    <w:pPr>
      <w:numPr>
        <w:ilvl w:val="1"/>
      </w:numPr>
      <w:spacing w:beforeLines="50"/>
      <w:jc w:val="left"/>
      <w:outlineLvl w:val="1"/>
    </w:pPr>
    <w:rPr>
      <w:sz w:val="24"/>
      <w:szCs w:val="24"/>
    </w:rPr>
  </w:style>
  <w:style w:type="paragraph" w:customStyle="1" w:styleId="255">
    <w:name w:val="第3级别"/>
    <w:basedOn w:val="254"/>
    <w:qFormat/>
    <w:uiPriority w:val="0"/>
    <w:pPr>
      <w:numPr>
        <w:ilvl w:val="2"/>
      </w:numPr>
      <w:outlineLvl w:val="2"/>
    </w:pPr>
    <w:rPr>
      <w:b w:val="0"/>
    </w:rPr>
  </w:style>
  <w:style w:type="paragraph" w:customStyle="1" w:styleId="256">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7">
    <w:name w:val="message"/>
    <w:qFormat/>
    <w:uiPriority w:val="0"/>
  </w:style>
  <w:style w:type="paragraph" w:customStyle="1" w:styleId="258">
    <w:name w:val="Char Char1"/>
    <w:basedOn w:val="1"/>
    <w:qFormat/>
    <w:uiPriority w:val="0"/>
    <w:rPr>
      <w:rFonts w:ascii="Times New Roman" w:hAnsi="Times New Roman" w:eastAsia="宋体" w:cs="Times New Roman"/>
      <w:szCs w:val="24"/>
    </w:rPr>
  </w:style>
  <w:style w:type="paragraph" w:customStyle="1" w:styleId="259">
    <w:name w:val="paragraph1n"/>
    <w:basedOn w:val="1"/>
    <w:qFormat/>
    <w:uiPriority w:val="0"/>
    <w:pPr>
      <w:widowControl/>
      <w:tabs>
        <w:tab w:val="decimal" w:pos="360"/>
        <w:tab w:val="left" w:pos="720"/>
      </w:tabs>
      <w:ind w:left="720" w:hanging="720"/>
    </w:pPr>
    <w:rPr>
      <w:rFonts w:ascii="Arial" w:hAnsi="Arial" w:eastAsia="Times New Roman" w:cs="Times New Roman"/>
      <w:color w:val="000000"/>
      <w:kern w:val="0"/>
      <w:sz w:val="24"/>
      <w:szCs w:val="20"/>
    </w:rPr>
  </w:style>
  <w:style w:type="paragraph" w:customStyle="1" w:styleId="260">
    <w:name w:val="Normal_1"/>
    <w:qFormat/>
    <w:uiPriority w:val="0"/>
    <w:pPr>
      <w:spacing w:after="160" w:line="480" w:lineRule="auto"/>
    </w:pPr>
    <w:rPr>
      <w:rFonts w:ascii="Times New Roman" w:hAnsi="Times New Roman" w:eastAsia="Times New Roman" w:cs="Times New Roman"/>
      <w:sz w:val="24"/>
      <w:szCs w:val="24"/>
      <w:lang w:val="en-US" w:eastAsia="zh-CN" w:bidi="ar-SA"/>
    </w:rPr>
  </w:style>
  <w:style w:type="character" w:customStyle="1" w:styleId="261">
    <w:name w:val="明显强调1"/>
    <w:basedOn w:val="48"/>
    <w:qFormat/>
    <w:uiPriority w:val="21"/>
    <w:rPr>
      <w:b/>
      <w:bCs/>
      <w:i/>
      <w:iCs/>
      <w:color w:val="4F81BD" w:themeColor="accent1"/>
    </w:rPr>
  </w:style>
  <w:style w:type="character" w:customStyle="1" w:styleId="262">
    <w:name w:val="书籍标题1"/>
    <w:basedOn w:val="48"/>
    <w:qFormat/>
    <w:uiPriority w:val="33"/>
    <w:rPr>
      <w:b/>
      <w:bCs/>
      <w:smallCaps/>
      <w:spacing w:val="5"/>
    </w:rPr>
  </w:style>
  <w:style w:type="paragraph" w:customStyle="1" w:styleId="263">
    <w:name w:val="Char Char11"/>
    <w:basedOn w:val="1"/>
    <w:qFormat/>
    <w:uiPriority w:val="0"/>
    <w:rPr>
      <w:rFonts w:ascii="Times New Roman" w:hAnsi="Times New Roman" w:eastAsia="宋体" w:cs="Times New Roman"/>
      <w:szCs w:val="24"/>
    </w:rPr>
  </w:style>
  <w:style w:type="paragraph" w:customStyle="1" w:styleId="26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65">
    <w:name w:val="font7"/>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266">
    <w:name w:val="font8"/>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6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68">
    <w:name w:val="xl6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6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7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2">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18"/>
      <w:szCs w:val="18"/>
    </w:rPr>
  </w:style>
  <w:style w:type="paragraph" w:customStyle="1" w:styleId="27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18"/>
      <w:szCs w:val="18"/>
    </w:rPr>
  </w:style>
  <w:style w:type="paragraph" w:customStyle="1" w:styleId="27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27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27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宋体" w:cs="Times New Roman"/>
      <w:color w:val="000000"/>
      <w:kern w:val="0"/>
      <w:sz w:val="18"/>
      <w:szCs w:val="18"/>
    </w:rPr>
  </w:style>
  <w:style w:type="paragraph" w:customStyle="1" w:styleId="2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28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18"/>
      <w:szCs w:val="18"/>
    </w:rPr>
  </w:style>
  <w:style w:type="paragraph" w:customStyle="1" w:styleId="28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15"/>
      <w:szCs w:val="15"/>
    </w:rPr>
  </w:style>
  <w:style w:type="paragraph" w:customStyle="1" w:styleId="2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8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8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8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287">
    <w:name w:val="xl8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18"/>
      <w:szCs w:val="18"/>
    </w:rPr>
  </w:style>
  <w:style w:type="paragraph" w:customStyle="1" w:styleId="288">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18"/>
      <w:szCs w:val="18"/>
    </w:rPr>
  </w:style>
  <w:style w:type="paragraph" w:customStyle="1" w:styleId="289">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290">
    <w:name w:val="xl8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291">
    <w:name w:val="xl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292">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9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94">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15"/>
      <w:szCs w:val="15"/>
    </w:rPr>
  </w:style>
  <w:style w:type="paragraph" w:customStyle="1" w:styleId="295">
    <w:name w:val="xl9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15"/>
      <w:szCs w:val="15"/>
    </w:rPr>
  </w:style>
  <w:style w:type="paragraph" w:customStyle="1" w:styleId="296">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15"/>
      <w:szCs w:val="15"/>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98">
    <w:name w:val="Table Paragraph"/>
    <w:basedOn w:val="1"/>
    <w:semiHidden/>
    <w:qFormat/>
    <w:uiPriority w:val="1"/>
    <w:pPr>
      <w:ind w:right="5" w:rightChars="5"/>
      <w:jc w:val="left"/>
    </w:pPr>
    <w:rPr>
      <w:rFonts w:ascii="Calibri" w:hAnsi="Calibri" w:eastAsia="宋体" w:cs="Times New Roman"/>
      <w:kern w:val="0"/>
      <w:sz w:val="22"/>
      <w:lang w:eastAsia="en-US"/>
    </w:rPr>
  </w:style>
  <w:style w:type="paragraph" w:customStyle="1" w:styleId="29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0">
    <w:name w:val="Normal_0"/>
    <w:qFormat/>
    <w:uiPriority w:val="0"/>
    <w:pPr>
      <w:widowControl w:val="0"/>
      <w:jc w:val="both"/>
    </w:pPr>
    <w:rPr>
      <w:rFonts w:ascii="Calibri" w:hAnsi="Calibri" w:eastAsia="宋体" w:cs="Times New Roman"/>
      <w:lang w:val="en-US" w:eastAsia="zh-CN" w:bidi="ar-SA"/>
    </w:rPr>
  </w:style>
  <w:style w:type="paragraph" w:customStyle="1" w:styleId="301">
    <w:name w:val="标题 31"/>
    <w:basedOn w:val="300"/>
    <w:next w:val="300"/>
    <w:link w:val="302"/>
    <w:qFormat/>
    <w:uiPriority w:val="0"/>
    <w:pPr>
      <w:keepNext/>
      <w:widowControl/>
      <w:overflowPunct w:val="0"/>
      <w:autoSpaceDE w:val="0"/>
      <w:autoSpaceDN w:val="0"/>
      <w:adjustRightInd w:val="0"/>
      <w:spacing w:before="240" w:after="60"/>
      <w:jc w:val="left"/>
      <w:textAlignment w:val="baseline"/>
      <w:outlineLvl w:val="2"/>
    </w:pPr>
    <w:rPr>
      <w:rFonts w:ascii="Times New Roman" w:hAnsi="Times New Roman"/>
      <w:b/>
      <w:sz w:val="24"/>
      <w:lang w:eastAsia="en-US"/>
    </w:rPr>
  </w:style>
  <w:style w:type="character" w:customStyle="1" w:styleId="302">
    <w:name w:val="标题 3 Char_0"/>
    <w:link w:val="301"/>
    <w:qFormat/>
    <w:uiPriority w:val="0"/>
    <w:rPr>
      <w:rFonts w:ascii="Times New Roman" w:hAnsi="Times New Roman" w:eastAsia="宋体" w:cs="Times New Roman"/>
      <w:b/>
      <w:kern w:val="0"/>
      <w:sz w:val="24"/>
      <w:szCs w:val="20"/>
      <w:lang w:eastAsia="en-US"/>
    </w:rPr>
  </w:style>
  <w:style w:type="paragraph" w:customStyle="1" w:styleId="303">
    <w:name w:val="标题 3_0"/>
    <w:basedOn w:val="299"/>
    <w:next w:val="299"/>
    <w:link w:val="304"/>
    <w:qFormat/>
    <w:uiPriority w:val="0"/>
    <w:pPr>
      <w:keepNext/>
      <w:widowControl/>
      <w:overflowPunct w:val="0"/>
      <w:autoSpaceDE w:val="0"/>
      <w:autoSpaceDN w:val="0"/>
      <w:adjustRightInd w:val="0"/>
      <w:spacing w:before="240" w:after="60"/>
      <w:jc w:val="left"/>
      <w:textAlignment w:val="baseline"/>
      <w:outlineLvl w:val="2"/>
    </w:pPr>
    <w:rPr>
      <w:b/>
      <w:kern w:val="0"/>
      <w:sz w:val="24"/>
      <w:szCs w:val="20"/>
      <w:lang w:eastAsia="en-US"/>
    </w:rPr>
  </w:style>
  <w:style w:type="character" w:customStyle="1" w:styleId="304">
    <w:name w:val="标题 3 Char_1"/>
    <w:link w:val="303"/>
    <w:qFormat/>
    <w:uiPriority w:val="0"/>
    <w:rPr>
      <w:rFonts w:ascii="Calibri" w:hAnsi="Calibri" w:eastAsia="宋体" w:cs="Times New Roman"/>
      <w:b/>
      <w:kern w:val="0"/>
      <w:sz w:val="24"/>
      <w:szCs w:val="20"/>
      <w:lang w:eastAsia="en-US"/>
    </w:rPr>
  </w:style>
  <w:style w:type="table" w:customStyle="1" w:styleId="305">
    <w:name w:val="网格型3"/>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6">
    <w:name w:val="符号 1"/>
    <w:basedOn w:val="1"/>
    <w:qFormat/>
    <w:uiPriority w:val="0"/>
    <w:pPr>
      <w:numPr>
        <w:ilvl w:val="1"/>
        <w:numId w:val="24"/>
      </w:numPr>
      <w:spacing w:line="360" w:lineRule="auto"/>
      <w:ind w:left="980" w:hanging="140"/>
    </w:pPr>
    <w:rPr>
      <w:rFonts w:ascii="Times New Roman" w:hAnsi="Times New Roman" w:eastAsia="宋体" w:cs="Times New Roman"/>
      <w:sz w:val="28"/>
      <w:szCs w:val="24"/>
    </w:rPr>
  </w:style>
  <w:style w:type="character" w:customStyle="1" w:styleId="307">
    <w:name w:val="font21"/>
    <w:basedOn w:val="48"/>
    <w:qFormat/>
    <w:uiPriority w:val="0"/>
    <w:rPr>
      <w:rFonts w:hint="eastAsia" w:ascii="宋体" w:hAnsi="宋体" w:eastAsia="宋体" w:cs="宋体"/>
      <w:b/>
      <w:bCs/>
      <w:color w:val="000000"/>
      <w:sz w:val="20"/>
      <w:szCs w:val="20"/>
      <w:u w:val="none"/>
    </w:rPr>
  </w:style>
  <w:style w:type="character" w:customStyle="1" w:styleId="308">
    <w:name w:val="font61"/>
    <w:basedOn w:val="48"/>
    <w:qFormat/>
    <w:uiPriority w:val="0"/>
    <w:rPr>
      <w:rFonts w:hint="default" w:ascii="Calibri" w:hAnsi="Calibri" w:cs="Calibri"/>
      <w:b/>
      <w:bCs/>
      <w:color w:val="000000"/>
      <w:sz w:val="20"/>
      <w:szCs w:val="20"/>
      <w:u w:val="none"/>
    </w:rPr>
  </w:style>
  <w:style w:type="character" w:customStyle="1" w:styleId="309">
    <w:name w:val="font01"/>
    <w:basedOn w:val="48"/>
    <w:qFormat/>
    <w:uiPriority w:val="0"/>
    <w:rPr>
      <w:rFonts w:hint="eastAsia" w:ascii="宋体" w:hAnsi="宋体" w:eastAsia="宋体" w:cs="宋体"/>
      <w:color w:val="000000"/>
      <w:sz w:val="20"/>
      <w:szCs w:val="20"/>
      <w:u w:val="none"/>
    </w:rPr>
  </w:style>
  <w:style w:type="character" w:customStyle="1" w:styleId="310">
    <w:name w:val="font71"/>
    <w:basedOn w:val="48"/>
    <w:qFormat/>
    <w:uiPriority w:val="0"/>
    <w:rPr>
      <w:rFonts w:hint="default" w:ascii="Calibri" w:hAnsi="Calibri" w:cs="Calibri"/>
      <w:color w:val="000000"/>
      <w:sz w:val="20"/>
      <w:szCs w:val="20"/>
      <w:u w:val="none"/>
    </w:rPr>
  </w:style>
  <w:style w:type="character" w:customStyle="1" w:styleId="311">
    <w:name w:val="font11"/>
    <w:basedOn w:val="48"/>
    <w:qFormat/>
    <w:uiPriority w:val="0"/>
    <w:rPr>
      <w:rFonts w:hint="eastAsia" w:ascii="宋体" w:hAnsi="宋体" w:eastAsia="宋体" w:cs="宋体"/>
      <w:color w:val="000000"/>
      <w:sz w:val="21"/>
      <w:szCs w:val="21"/>
      <w:u w:val="none"/>
    </w:rPr>
  </w:style>
  <w:style w:type="character" w:customStyle="1" w:styleId="312">
    <w:name w:val="font41"/>
    <w:basedOn w:val="48"/>
    <w:qFormat/>
    <w:uiPriority w:val="0"/>
    <w:rPr>
      <w:rFonts w:hint="eastAsia" w:ascii="宋体" w:hAnsi="宋体" w:eastAsia="宋体" w:cs="宋体"/>
      <w:b/>
      <w:bCs/>
      <w:color w:val="000000"/>
      <w:sz w:val="21"/>
      <w:szCs w:val="21"/>
      <w:u w:val="none"/>
    </w:rPr>
  </w:style>
  <w:style w:type="paragraph" w:customStyle="1" w:styleId="313">
    <w:name w:val="DeltaView Table Body"/>
    <w:basedOn w:val="1"/>
    <w:qFormat/>
    <w:uiPriority w:val="99"/>
    <w:pPr>
      <w:widowControl/>
      <w:autoSpaceDE w:val="0"/>
      <w:autoSpaceDN w:val="0"/>
      <w:adjustRightInd w:val="0"/>
      <w:jc w:val="left"/>
    </w:pPr>
    <w:rPr>
      <w:rFonts w:ascii="Arial" w:hAnsi="Arial"/>
      <w:kern w:val="0"/>
      <w:sz w:val="24"/>
    </w:rPr>
  </w:style>
  <w:style w:type="character" w:customStyle="1" w:styleId="314">
    <w:name w:val="font31"/>
    <w:basedOn w:val="48"/>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1.emf"/><Relationship Id="rId23" Type="http://schemas.openxmlformats.org/officeDocument/2006/relationships/oleObject" Target="embeddings/oleObject2.bin"/><Relationship Id="rId22" Type="http://schemas.openxmlformats.org/officeDocument/2006/relationships/image" Target="media/image10.png"/><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customShpInfo spid="_x0000_s4098"/>
    <customShpInfo spid="_x0000_s4100" textRotate="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58</Pages>
  <Words>4304</Words>
  <Characters>24538</Characters>
  <Lines>204</Lines>
  <Paragraphs>57</Paragraphs>
  <TotalTime>46</TotalTime>
  <ScaleCrop>false</ScaleCrop>
  <LinksUpToDate>false</LinksUpToDate>
  <CharactersWithSpaces>28785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2021-09-14T02:55:00Z</dcterms:created>
  <dc:creator>lenovo</dc:creator>
  <cp:lastModifiedBy>张鲁燕</cp:lastModifiedBy>
  <cp:lastPrinted>2024-08-28T00:22:00Z</cp:lastPrinted>
  <dcterms:modified xsi:type="dcterms:W3CDTF">2024-12-25T11:38:58Z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8FDB7DBA5E904323BF69C27E791A0CB7_13</vt:lpwstr>
  </property>
</Properties>
</file>