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pPr>
      <w:r>
        <w:t>采办包：</w:t>
      </w:r>
      <w:r>
        <w:rPr>
          <w:rFonts w:hint="eastAsia"/>
          <w:lang w:eastAsia="zh-CN"/>
        </w:rPr>
        <w:t>广东管道无人机巡检设备采购(二次)</w:t>
      </w:r>
      <w:r>
        <w:rPr>
          <w:rFonts w:hint="eastAsia"/>
        </w:rPr>
        <w:t xml:space="preserve">     </w:t>
      </w:r>
      <w:r>
        <w:rPr>
          <w:rFonts w:hint="eastAsia"/>
          <w:lang w:val="en-US" w:eastAsia="zh-CN"/>
        </w:rPr>
        <w:t xml:space="preserve">                                        </w:t>
      </w:r>
      <w:r>
        <w:t>评标</w:t>
      </w:r>
      <w:r>
        <w:rPr>
          <w:rFonts w:hint="eastAsia"/>
        </w:rPr>
        <w:t>/</w:t>
      </w:r>
      <w:r>
        <w:t>评审</w:t>
      </w:r>
      <w:r>
        <w:rPr>
          <w:rFonts w:hint="eastAsia"/>
        </w:rPr>
        <w:t>日期：20</w:t>
      </w:r>
      <w:r>
        <w:rPr>
          <w:rFonts w:hint="eastAsia"/>
          <w:lang w:val="en-US" w:eastAsia="zh-CN"/>
        </w:rPr>
        <w:t>24</w:t>
      </w:r>
      <w:r>
        <w:rPr>
          <w:rFonts w:hint="eastAsia"/>
        </w:rPr>
        <w:t>年</w:t>
      </w:r>
      <w:r>
        <w:rPr>
          <w:rFonts w:hint="eastAsia"/>
          <w:lang w:val="en-US" w:eastAsia="zh-CN"/>
        </w:rPr>
        <w:t>10</w:t>
      </w:r>
      <w:r>
        <w:rPr>
          <w:rFonts w:hint="eastAsia"/>
        </w:rPr>
        <w:t>月</w:t>
      </w:r>
      <w:r>
        <w:rPr>
          <w:rFonts w:hint="eastAsia"/>
          <w:lang w:val="en-US" w:eastAsia="zh-CN"/>
        </w:rPr>
        <w:t>11</w:t>
      </w:r>
      <w:r>
        <w:rPr>
          <w:rFonts w:hint="eastAsia"/>
        </w:rPr>
        <w:t>日</w:t>
      </w:r>
    </w:p>
    <w:tbl>
      <w:tblPr>
        <w:tblStyle w:val="10"/>
        <w:tblW w:w="13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7310"/>
        <w:gridCol w:w="1849"/>
        <w:gridCol w:w="1704"/>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8216" w:type="dxa"/>
            <w:gridSpan w:val="2"/>
            <w:vAlign w:val="center"/>
          </w:tcPr>
          <w:p>
            <w:pPr>
              <w:jc w:val="center"/>
              <w:rPr>
                <w:sz w:val="18"/>
                <w:szCs w:val="18"/>
              </w:rPr>
            </w:pPr>
            <w:r>
              <w:rPr>
                <w:sz w:val="18"/>
                <w:szCs w:val="18"/>
              </w:rPr>
              <w:t>资质资格条款</w:t>
            </w:r>
            <w:r>
              <w:rPr>
                <w:rFonts w:hint="eastAsia"/>
                <w:sz w:val="18"/>
                <w:szCs w:val="18"/>
              </w:rPr>
              <w:t xml:space="preserve"> </w:t>
            </w:r>
          </w:p>
        </w:tc>
        <w:tc>
          <w:tcPr>
            <w:tcW w:w="1849" w:type="dxa"/>
            <w:vMerge w:val="restart"/>
            <w:vAlign w:val="center"/>
          </w:tcPr>
          <w:p>
            <w:pPr>
              <w:jc w:val="center"/>
              <w:rPr>
                <w:rFonts w:hint="eastAsia"/>
                <w:sz w:val="18"/>
                <w:szCs w:val="18"/>
              </w:rPr>
            </w:pPr>
            <w:r>
              <w:rPr>
                <w:rFonts w:hint="eastAsia"/>
                <w:sz w:val="18"/>
                <w:szCs w:val="18"/>
              </w:rPr>
              <w:t>珠海华发数智技术有</w:t>
            </w:r>
          </w:p>
          <w:p>
            <w:pPr>
              <w:jc w:val="center"/>
              <w:rPr>
                <w:sz w:val="18"/>
                <w:szCs w:val="18"/>
              </w:rPr>
            </w:pPr>
            <w:r>
              <w:rPr>
                <w:rFonts w:hint="eastAsia"/>
                <w:sz w:val="18"/>
                <w:szCs w:val="18"/>
              </w:rPr>
              <w:t>限公司</w:t>
            </w:r>
          </w:p>
        </w:tc>
        <w:tc>
          <w:tcPr>
            <w:tcW w:w="1704" w:type="dxa"/>
            <w:vMerge w:val="restart"/>
            <w:vAlign w:val="center"/>
          </w:tcPr>
          <w:p>
            <w:pPr>
              <w:jc w:val="center"/>
              <w:rPr>
                <w:sz w:val="18"/>
                <w:szCs w:val="18"/>
              </w:rPr>
            </w:pPr>
            <w:r>
              <w:rPr>
                <w:rFonts w:hint="eastAsia"/>
                <w:sz w:val="18"/>
                <w:szCs w:val="18"/>
              </w:rPr>
              <w:t>珠海市万晟达科技发展有限公司</w:t>
            </w:r>
          </w:p>
        </w:tc>
        <w:tc>
          <w:tcPr>
            <w:tcW w:w="1655" w:type="dxa"/>
            <w:vMerge w:val="restart"/>
            <w:vAlign w:val="center"/>
          </w:tcPr>
          <w:p>
            <w:pPr>
              <w:jc w:val="center"/>
              <w:rPr>
                <w:rFonts w:hint="eastAsia"/>
                <w:sz w:val="18"/>
                <w:szCs w:val="18"/>
              </w:rPr>
            </w:pPr>
            <w:r>
              <w:rPr>
                <w:rFonts w:hint="eastAsia"/>
                <w:sz w:val="18"/>
                <w:szCs w:val="18"/>
              </w:rPr>
              <w:t>广州南方测绘科技股份有限公司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06" w:type="dxa"/>
            <w:vAlign w:val="center"/>
          </w:tcPr>
          <w:p>
            <w:pPr>
              <w:jc w:val="center"/>
              <w:rPr>
                <w:sz w:val="18"/>
                <w:szCs w:val="18"/>
              </w:rPr>
            </w:pPr>
            <w:r>
              <w:rPr>
                <w:sz w:val="18"/>
                <w:szCs w:val="18"/>
              </w:rPr>
              <w:t>评审内容</w:t>
            </w:r>
          </w:p>
        </w:tc>
        <w:tc>
          <w:tcPr>
            <w:tcW w:w="7310" w:type="dxa"/>
            <w:vAlign w:val="center"/>
          </w:tcPr>
          <w:p>
            <w:pPr>
              <w:jc w:val="center"/>
              <w:rPr>
                <w:sz w:val="18"/>
                <w:szCs w:val="18"/>
              </w:rPr>
            </w:pPr>
            <w:r>
              <w:rPr>
                <w:rFonts w:hint="eastAsia"/>
                <w:sz w:val="18"/>
                <w:szCs w:val="18"/>
              </w:rPr>
              <w:t>评审内容</w:t>
            </w:r>
          </w:p>
        </w:tc>
        <w:tc>
          <w:tcPr>
            <w:tcW w:w="1849" w:type="dxa"/>
            <w:vMerge w:val="continue"/>
            <w:vAlign w:val="center"/>
          </w:tcPr>
          <w:p>
            <w:pPr>
              <w:jc w:val="center"/>
              <w:rPr>
                <w:sz w:val="18"/>
                <w:szCs w:val="18"/>
              </w:rPr>
            </w:pPr>
          </w:p>
        </w:tc>
        <w:tc>
          <w:tcPr>
            <w:tcW w:w="1704" w:type="dxa"/>
            <w:vMerge w:val="continue"/>
            <w:vAlign w:val="center"/>
          </w:tcPr>
          <w:p>
            <w:pPr>
              <w:jc w:val="center"/>
              <w:rPr>
                <w:sz w:val="18"/>
                <w:szCs w:val="18"/>
              </w:rPr>
            </w:pPr>
          </w:p>
        </w:tc>
        <w:tc>
          <w:tcPr>
            <w:tcW w:w="1655" w:type="dxa"/>
            <w:vMerge w:val="continue"/>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906" w:type="dxa"/>
            <w:vAlign w:val="center"/>
          </w:tcPr>
          <w:p>
            <w:pPr>
              <w:rPr>
                <w:rFonts w:hint="default"/>
                <w:sz w:val="18"/>
                <w:szCs w:val="18"/>
                <w:lang w:val="en-US" w:eastAsia="zh-CN"/>
              </w:rPr>
            </w:pPr>
            <w:r>
              <w:rPr>
                <w:rFonts w:hint="eastAsia"/>
                <w:sz w:val="18"/>
                <w:szCs w:val="18"/>
                <w:lang w:val="en-US" w:eastAsia="zh-CN"/>
              </w:rPr>
              <w:t>投标人</w:t>
            </w:r>
            <w:r>
              <w:rPr>
                <w:rFonts w:hint="eastAsia"/>
                <w:sz w:val="18"/>
                <w:szCs w:val="18"/>
              </w:rPr>
              <w:t>业绩要求</w:t>
            </w:r>
          </w:p>
        </w:tc>
        <w:tc>
          <w:tcPr>
            <w:tcW w:w="7310" w:type="dxa"/>
            <w:vAlign w:val="center"/>
          </w:tcPr>
          <w:p>
            <w:pPr>
              <w:rPr>
                <w:rFonts w:hint="eastAsia"/>
                <w:sz w:val="18"/>
                <w:szCs w:val="18"/>
              </w:rPr>
            </w:pPr>
            <w:r>
              <w:rPr>
                <w:rFonts w:hint="eastAsia"/>
                <w:sz w:val="18"/>
                <w:szCs w:val="18"/>
              </w:rPr>
              <w:t>1）应答文件中有近5年（ 自2020年1月1日起至投标截止日止）应答人所投产品的制造商应具有至少1项无人机的供货业绩。</w:t>
            </w:r>
          </w:p>
          <w:p>
            <w:pPr>
              <w:rPr>
                <w:rFonts w:hint="eastAsia"/>
                <w:sz w:val="18"/>
                <w:szCs w:val="18"/>
              </w:rPr>
            </w:pPr>
            <w:r>
              <w:rPr>
                <w:rFonts w:hint="eastAsia"/>
                <w:sz w:val="18"/>
                <w:szCs w:val="18"/>
              </w:rPr>
              <w:t>2）业绩证明文件包括：业绩合同关键页（至少包括：合同首页、双方签字盖章页、合同签订日期页、供货范围描述页）和供货完成证明文件（如：采购方与供应商签字的验收报告等能够证明服务完成的材料）。未提供业绩证明文件或提供的业绩证明文件无法认定上述业绩要求的，视为无效业绩。</w:t>
            </w:r>
          </w:p>
          <w:p>
            <w:pPr>
              <w:rPr>
                <w:rFonts w:hint="eastAsia"/>
                <w:sz w:val="18"/>
                <w:szCs w:val="18"/>
                <w:lang w:val="en-US" w:eastAsia="zh-CN"/>
              </w:rPr>
            </w:pPr>
            <w:r>
              <w:rPr>
                <w:rFonts w:hint="eastAsia"/>
                <w:sz w:val="18"/>
                <w:szCs w:val="18"/>
              </w:rPr>
              <w:t>3）业绩认定时间：以采购方与供应商签字的服务报告签字时间或结算发票开具时间为准；如各方签字日期时间不一致，以最晚签字日期为准</w:t>
            </w:r>
          </w:p>
        </w:tc>
        <w:tc>
          <w:tcPr>
            <w:tcW w:w="1849" w:type="dxa"/>
            <w:vAlign w:val="center"/>
          </w:tcPr>
          <w:p>
            <w:pPr>
              <w:jc w:val="left"/>
              <w:rPr>
                <w:rFonts w:hint="default"/>
                <w:sz w:val="18"/>
                <w:szCs w:val="18"/>
                <w:lang w:val="en-US" w:eastAsia="zh-CN"/>
              </w:rPr>
            </w:pPr>
            <w:r>
              <w:rPr>
                <w:rFonts w:hint="eastAsia"/>
                <w:sz w:val="18"/>
                <w:szCs w:val="18"/>
                <w:lang w:val="en-US" w:eastAsia="zh-CN"/>
              </w:rPr>
              <w:t>业绩1：杭州市“TWGC”市本级租赁服务项目(前端及行业汇聚节点)合同。</w:t>
            </w:r>
          </w:p>
          <w:p>
            <w:pPr>
              <w:jc w:val="left"/>
              <w:rPr>
                <w:rFonts w:hint="default"/>
                <w:sz w:val="18"/>
                <w:szCs w:val="18"/>
                <w:lang w:val="en-US" w:eastAsia="zh-CN"/>
              </w:rPr>
            </w:pPr>
            <w:r>
              <w:rPr>
                <w:rFonts w:hint="eastAsia"/>
                <w:sz w:val="18"/>
                <w:szCs w:val="18"/>
                <w:lang w:val="en-US" w:eastAsia="zh-CN"/>
              </w:rPr>
              <w:t>结论：符合。</w:t>
            </w:r>
          </w:p>
        </w:tc>
        <w:tc>
          <w:tcPr>
            <w:tcW w:w="1704" w:type="dxa"/>
            <w:vAlign w:val="center"/>
          </w:tcPr>
          <w:p>
            <w:pPr>
              <w:jc w:val="left"/>
              <w:rPr>
                <w:rFonts w:hint="eastAsia"/>
                <w:sz w:val="18"/>
                <w:szCs w:val="18"/>
                <w:lang w:val="en-US" w:eastAsia="zh-CN"/>
              </w:rPr>
            </w:pPr>
            <w:r>
              <w:rPr>
                <w:rFonts w:hint="eastAsia"/>
                <w:sz w:val="18"/>
                <w:szCs w:val="18"/>
                <w:lang w:val="en-US" w:eastAsia="zh-CN"/>
              </w:rPr>
              <w:t>业绩1：新疆维吾尔自治区第一测绘院销售合同。</w:t>
            </w:r>
          </w:p>
          <w:p>
            <w:pPr>
              <w:jc w:val="left"/>
              <w:rPr>
                <w:rFonts w:hint="eastAsia"/>
                <w:sz w:val="18"/>
                <w:szCs w:val="18"/>
                <w:lang w:val="en-US" w:eastAsia="zh-CN"/>
              </w:rPr>
            </w:pPr>
            <w:r>
              <w:rPr>
                <w:rFonts w:hint="eastAsia"/>
                <w:sz w:val="18"/>
                <w:szCs w:val="18"/>
                <w:lang w:val="en-US" w:eastAsia="zh-CN"/>
              </w:rPr>
              <w:t>结论：符合。</w:t>
            </w:r>
          </w:p>
        </w:tc>
        <w:tc>
          <w:tcPr>
            <w:tcW w:w="1655" w:type="dxa"/>
            <w:vAlign w:val="center"/>
          </w:tcPr>
          <w:p>
            <w:pPr>
              <w:jc w:val="left"/>
              <w:rPr>
                <w:rFonts w:hint="default"/>
                <w:sz w:val="18"/>
                <w:szCs w:val="18"/>
                <w:lang w:val="en-US" w:eastAsia="zh-CN"/>
              </w:rPr>
            </w:pPr>
            <w:r>
              <w:rPr>
                <w:rFonts w:hint="eastAsia"/>
                <w:sz w:val="18"/>
                <w:szCs w:val="18"/>
                <w:lang w:val="en-US" w:eastAsia="zh-CN"/>
              </w:rPr>
              <w:t>业绩1：天津贲有科技发展有限公司销售合同</w:t>
            </w:r>
          </w:p>
          <w:p>
            <w:pPr>
              <w:jc w:val="left"/>
              <w:rPr>
                <w:rFonts w:hint="eastAsia"/>
                <w:sz w:val="18"/>
                <w:szCs w:val="18"/>
                <w:lang w:val="en-US" w:eastAsia="zh-CN"/>
              </w:rPr>
            </w:pPr>
            <w:r>
              <w:rPr>
                <w:rFonts w:hint="eastAsia"/>
                <w:sz w:val="18"/>
                <w:szCs w:val="18"/>
                <w:lang w:val="en-US" w:eastAsia="zh-CN"/>
              </w:rPr>
              <w:t>结论：符合。</w:t>
            </w:r>
          </w:p>
        </w:tc>
      </w:tr>
    </w:tbl>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eastAsia="微软雅黑"/>
          <w:lang w:val="en-US" w:eastAsia="zh-C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799ABE"/>
    <w:multiLevelType w:val="multilevel"/>
    <w:tmpl w:val="D3799ABE"/>
    <w:lvl w:ilvl="0" w:tentative="0">
      <w:start w:val="1"/>
      <w:numFmt w:val="chineseCounting"/>
      <w:suff w:val="nothing"/>
      <w:lvlText w:val="第%1章 "/>
      <w:lvlJc w:val="left"/>
      <w:pPr>
        <w:ind w:left="432" w:hanging="432"/>
      </w:pPr>
      <w:rPr>
        <w:rFonts w:hint="eastAsia"/>
      </w:rPr>
    </w:lvl>
    <w:lvl w:ilvl="1" w:tentative="0">
      <w:start w:val="1"/>
      <w:numFmt w:val="decimal"/>
      <w:lvlText w:val="2.%2"/>
      <w:lvlJc w:val="left"/>
      <w:pPr>
        <w:ind w:left="575" w:hanging="575"/>
      </w:pPr>
      <w:rPr>
        <w:rFonts w:hint="eastAsia" w:ascii="宋体" w:hAnsi="宋体" w:eastAsia="宋体" w:cs="宋体"/>
      </w:rPr>
    </w:lvl>
    <w:lvl w:ilvl="2" w:tentative="0">
      <w:start w:val="1"/>
      <w:numFmt w:val="decimal"/>
      <w:pStyle w:val="2"/>
      <w:isLgl/>
      <w:lvlText w:val="2.2.%3"/>
      <w:lvlJc w:val="left"/>
      <w:pPr>
        <w:ind w:left="720" w:hanging="720"/>
      </w:pPr>
      <w:rPr>
        <w:rFonts w:hint="eastAsia" w:ascii="宋体" w:hAnsi="宋体" w:eastAsia="宋体" w:cs="宋体"/>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79504467"/>
    <w:multiLevelType w:val="multilevel"/>
    <w:tmpl w:val="79504467"/>
    <w:lvl w:ilvl="0" w:tentative="0">
      <w:start w:val="1"/>
      <w:numFmt w:val="chineseCounting"/>
      <w:suff w:val="nothing"/>
      <w:lvlText w:val="第%1章 "/>
      <w:lvlJc w:val="left"/>
      <w:pPr>
        <w:ind w:left="432" w:hanging="432"/>
      </w:pPr>
      <w:rPr>
        <w:rFonts w:hint="eastAsia"/>
      </w:rPr>
    </w:lvl>
    <w:lvl w:ilvl="1" w:tentative="0">
      <w:start w:val="1"/>
      <w:numFmt w:val="decimal"/>
      <w:lvlText w:val="2.%2"/>
      <w:lvlJc w:val="left"/>
      <w:pPr>
        <w:ind w:left="575" w:hanging="575"/>
      </w:pPr>
      <w:rPr>
        <w:rFonts w:hint="eastAsia" w:ascii="宋体" w:hAnsi="宋体" w:eastAsia="宋体" w:cs="宋体"/>
      </w:rPr>
    </w:lvl>
    <w:lvl w:ilvl="2" w:tentative="0">
      <w:start w:val="1"/>
      <w:numFmt w:val="decimal"/>
      <w:pStyle w:val="8"/>
      <w:isLgl/>
      <w:lvlText w:val="2.2.%3"/>
      <w:lvlJc w:val="left"/>
      <w:pPr>
        <w:ind w:left="720" w:hanging="720"/>
      </w:pPr>
      <w:rPr>
        <w:rFonts w:hint="eastAsia" w:ascii="宋体" w:hAnsi="宋体" w:eastAsia="宋体" w:cs="宋体"/>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C6E"/>
    <w:rsid w:val="000316F8"/>
    <w:rsid w:val="000E6E70"/>
    <w:rsid w:val="002764AA"/>
    <w:rsid w:val="003C49A9"/>
    <w:rsid w:val="00641231"/>
    <w:rsid w:val="00665BDF"/>
    <w:rsid w:val="00AA0C6E"/>
    <w:rsid w:val="00C40714"/>
    <w:rsid w:val="00CB211E"/>
    <w:rsid w:val="00D71432"/>
    <w:rsid w:val="00E010EA"/>
    <w:rsid w:val="00F20974"/>
    <w:rsid w:val="06500E91"/>
    <w:rsid w:val="0C5C022B"/>
    <w:rsid w:val="155C451D"/>
    <w:rsid w:val="15F94835"/>
    <w:rsid w:val="19673B96"/>
    <w:rsid w:val="19AA5485"/>
    <w:rsid w:val="1AFE63D7"/>
    <w:rsid w:val="1FCB02AC"/>
    <w:rsid w:val="22EA2164"/>
    <w:rsid w:val="25EF4D0E"/>
    <w:rsid w:val="26022D9B"/>
    <w:rsid w:val="269A3D45"/>
    <w:rsid w:val="30BD5D32"/>
    <w:rsid w:val="30D7479A"/>
    <w:rsid w:val="3540084F"/>
    <w:rsid w:val="39C159CC"/>
    <w:rsid w:val="3BC86A6B"/>
    <w:rsid w:val="3BF83BEA"/>
    <w:rsid w:val="3D832EAA"/>
    <w:rsid w:val="3E2904A2"/>
    <w:rsid w:val="3FC73C68"/>
    <w:rsid w:val="40A86D8B"/>
    <w:rsid w:val="40FA06B2"/>
    <w:rsid w:val="42047F6B"/>
    <w:rsid w:val="420D0A6A"/>
    <w:rsid w:val="45B80AF3"/>
    <w:rsid w:val="460B48A4"/>
    <w:rsid w:val="48687EDF"/>
    <w:rsid w:val="4D937AD1"/>
    <w:rsid w:val="4E562F5C"/>
    <w:rsid w:val="509D5B52"/>
    <w:rsid w:val="50EE0B7A"/>
    <w:rsid w:val="53F50163"/>
    <w:rsid w:val="56753D39"/>
    <w:rsid w:val="57A25238"/>
    <w:rsid w:val="57F84ABA"/>
    <w:rsid w:val="5C3573F7"/>
    <w:rsid w:val="5F571CD5"/>
    <w:rsid w:val="63D36BA1"/>
    <w:rsid w:val="63F01077"/>
    <w:rsid w:val="6A2809FA"/>
    <w:rsid w:val="6F7802BD"/>
    <w:rsid w:val="70370285"/>
    <w:rsid w:val="70CD1B1D"/>
    <w:rsid w:val="730923FB"/>
    <w:rsid w:val="73451FF6"/>
    <w:rsid w:val="748373D7"/>
    <w:rsid w:val="79A44297"/>
    <w:rsid w:val="7A065E75"/>
    <w:rsid w:val="7B8D68BF"/>
    <w:rsid w:val="7E036A88"/>
    <w:rsid w:val="7F146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keepNext/>
      <w:widowControl/>
      <w:numPr>
        <w:ilvl w:val="2"/>
        <w:numId w:val="1"/>
      </w:numPr>
      <w:tabs>
        <w:tab w:val="left" w:pos="1134"/>
        <w:tab w:val="left" w:pos="2126"/>
      </w:tabs>
      <w:overflowPunct w:val="0"/>
      <w:autoSpaceDE w:val="0"/>
      <w:autoSpaceDN w:val="0"/>
      <w:adjustRightInd w:val="0"/>
      <w:spacing w:before="240" w:after="60"/>
      <w:jc w:val="left"/>
      <w:textAlignment w:val="baseline"/>
      <w:outlineLvl w:val="2"/>
    </w:pPr>
    <w:rPr>
      <w:rFonts w:ascii="Times New Roman" w:hAnsi="Times New Roman" w:cs="Times New Roman"/>
      <w:b/>
      <w:kern w:val="0"/>
      <w:sz w:val="24"/>
      <w:szCs w:val="20"/>
      <w:lang w:eastAsia="en-US"/>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firstLine="200" w:firstLineChars="200"/>
      <w:jc w:val="both"/>
    </w:pPr>
    <w:rPr>
      <w:rFonts w:ascii="Microsoft YaHei UI" w:hAnsi="Microsoft YaHei UI" w:eastAsia="Microsoft YaHei UI"/>
      <w:sz w:val="21"/>
      <w:szCs w:val="21"/>
    </w:rPr>
  </w:style>
  <w:style w:type="paragraph" w:styleId="4">
    <w:name w:val="header"/>
    <w:basedOn w:val="1"/>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5">
    <w:name w:val="Body Text First Indent 2"/>
    <w:basedOn w:val="6"/>
    <w:qFormat/>
    <w:uiPriority w:val="0"/>
    <w:pPr>
      <w:widowControl/>
      <w:spacing w:after="120" w:line="360" w:lineRule="auto"/>
      <w:ind w:left="420" w:firstLine="210" w:firstLineChars="200"/>
      <w:jc w:val="left"/>
    </w:pPr>
    <w:rPr>
      <w:rFonts w:eastAsia="宋体"/>
      <w:snapToGrid/>
      <w:sz w:val="24"/>
    </w:rPr>
  </w:style>
  <w:style w:type="paragraph" w:customStyle="1" w:styleId="6">
    <w:name w:val="Body Text Indent"/>
    <w:basedOn w:val="7"/>
    <w:qFormat/>
    <w:uiPriority w:val="0"/>
    <w:pPr>
      <w:spacing w:line="312" w:lineRule="atLeast"/>
      <w:ind w:firstLine="540"/>
    </w:pPr>
    <w:rPr>
      <w:rFonts w:ascii="Times New Roman" w:hAnsi="Times New Roman" w:eastAsia="楷体" w:cs="Times New Roman"/>
      <w:snapToGrid w:val="0"/>
      <w:kern w:val="0"/>
      <w:szCs w:val="20"/>
    </w:rPr>
  </w:style>
  <w:style w:type="paragraph" w:customStyle="1" w:styleId="7">
    <w:name w:val="Normal_0"/>
    <w:next w:val="8"/>
    <w:qFormat/>
    <w:uiPriority w:val="0"/>
    <w:pPr>
      <w:widowControl w:val="0"/>
      <w:jc w:val="both"/>
    </w:pPr>
    <w:rPr>
      <w:rFonts w:ascii="Calibri" w:hAnsi="Calibri" w:eastAsia="宋体" w:cs="Times New Roman"/>
      <w:lang w:val="en-US" w:eastAsia="zh-CN" w:bidi="ar-SA"/>
    </w:rPr>
  </w:style>
  <w:style w:type="paragraph" w:customStyle="1" w:styleId="8">
    <w:name w:val="Heading 3"/>
    <w:basedOn w:val="7"/>
    <w:next w:val="7"/>
    <w:qFormat/>
    <w:uiPriority w:val="9"/>
    <w:pPr>
      <w:keepNext/>
      <w:widowControl/>
      <w:numPr>
        <w:ilvl w:val="2"/>
        <w:numId w:val="2"/>
      </w:numPr>
      <w:tabs>
        <w:tab w:val="left" w:pos="1134"/>
        <w:tab w:val="left" w:pos="2126"/>
      </w:tabs>
      <w:overflowPunct w:val="0"/>
      <w:autoSpaceDE w:val="0"/>
      <w:autoSpaceDN w:val="0"/>
      <w:adjustRightInd w:val="0"/>
      <w:spacing w:before="240" w:after="60"/>
      <w:jc w:val="left"/>
      <w:textAlignment w:val="baseline"/>
      <w:outlineLvl w:val="2"/>
    </w:pPr>
    <w:rPr>
      <w:rFonts w:ascii="Times New Roman" w:hAnsi="Times New Roman" w:cs="Times New Roman"/>
      <w:b/>
      <w:kern w:val="0"/>
      <w:sz w:val="24"/>
      <w:szCs w:val="20"/>
      <w:lang w:eastAsia="en-U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FollowedHyperlink"/>
    <w:basedOn w:val="11"/>
    <w:semiHidden/>
    <w:unhideWhenUsed/>
    <w:qFormat/>
    <w:uiPriority w:val="99"/>
    <w:rPr>
      <w:color w:val="333333"/>
      <w:u w:val="none"/>
    </w:rPr>
  </w:style>
  <w:style w:type="character" w:styleId="14">
    <w:name w:val="Emphasis"/>
    <w:basedOn w:val="11"/>
    <w:qFormat/>
    <w:uiPriority w:val="20"/>
    <w:rPr>
      <w:b/>
      <w:bCs/>
    </w:rPr>
  </w:style>
  <w:style w:type="character" w:styleId="15">
    <w:name w:val="HTML Definition"/>
    <w:basedOn w:val="11"/>
    <w:semiHidden/>
    <w:unhideWhenUsed/>
    <w:qFormat/>
    <w:uiPriority w:val="99"/>
  </w:style>
  <w:style w:type="character" w:styleId="16">
    <w:name w:val="HTML Typewriter"/>
    <w:basedOn w:val="11"/>
    <w:semiHidden/>
    <w:unhideWhenUsed/>
    <w:qFormat/>
    <w:uiPriority w:val="99"/>
    <w:rPr>
      <w:rFonts w:hint="default" w:ascii="monospace" w:hAnsi="monospace" w:eastAsia="monospace" w:cs="monospace"/>
      <w:sz w:val="20"/>
    </w:rPr>
  </w:style>
  <w:style w:type="character" w:styleId="17">
    <w:name w:val="HTML Acronym"/>
    <w:basedOn w:val="11"/>
    <w:semiHidden/>
    <w:unhideWhenUsed/>
    <w:qFormat/>
    <w:uiPriority w:val="99"/>
  </w:style>
  <w:style w:type="character" w:styleId="18">
    <w:name w:val="HTML Variable"/>
    <w:basedOn w:val="11"/>
    <w:semiHidden/>
    <w:unhideWhenUsed/>
    <w:qFormat/>
    <w:uiPriority w:val="99"/>
  </w:style>
  <w:style w:type="character" w:styleId="19">
    <w:name w:val="Hyperlink"/>
    <w:basedOn w:val="11"/>
    <w:unhideWhenUsed/>
    <w:qFormat/>
    <w:uiPriority w:val="99"/>
    <w:rPr>
      <w:color w:val="0563C1" w:themeColor="hyperlink"/>
      <w:u w:val="single"/>
      <w14:textFill>
        <w14:solidFill>
          <w14:schemeClr w14:val="hlink"/>
        </w14:solidFill>
      </w14:textFill>
    </w:rPr>
  </w:style>
  <w:style w:type="character" w:styleId="20">
    <w:name w:val="HTML Code"/>
    <w:basedOn w:val="11"/>
    <w:semiHidden/>
    <w:unhideWhenUsed/>
    <w:qFormat/>
    <w:uiPriority w:val="99"/>
    <w:rPr>
      <w:rFonts w:ascii="monospace" w:hAnsi="monospace" w:eastAsia="monospace" w:cs="monospace"/>
      <w:sz w:val="20"/>
    </w:rPr>
  </w:style>
  <w:style w:type="character" w:styleId="21">
    <w:name w:val="HTML Cite"/>
    <w:basedOn w:val="11"/>
    <w:semiHidden/>
    <w:unhideWhenUsed/>
    <w:qFormat/>
    <w:uiPriority w:val="99"/>
  </w:style>
  <w:style w:type="character" w:styleId="22">
    <w:name w:val="HTML Keyboard"/>
    <w:basedOn w:val="11"/>
    <w:semiHidden/>
    <w:unhideWhenUsed/>
    <w:qFormat/>
    <w:uiPriority w:val="99"/>
    <w:rPr>
      <w:rFonts w:hint="default" w:ascii="monospace" w:hAnsi="monospace" w:eastAsia="monospace" w:cs="monospace"/>
      <w:sz w:val="20"/>
    </w:rPr>
  </w:style>
  <w:style w:type="character" w:styleId="23">
    <w:name w:val="HTML Sample"/>
    <w:basedOn w:val="11"/>
    <w:semiHidden/>
    <w:unhideWhenUsed/>
    <w:qFormat/>
    <w:uiPriority w:val="99"/>
    <w:rPr>
      <w:rFonts w:hint="default" w:ascii="monospace" w:hAnsi="monospace" w:eastAsia="monospace" w:cs="monospace"/>
    </w:rPr>
  </w:style>
  <w:style w:type="character" w:customStyle="1" w:styleId="24">
    <w:name w:val="comboiconspan"/>
    <w:basedOn w:val="11"/>
    <w:qFormat/>
    <w:uiPriority w:val="0"/>
  </w:style>
  <w:style w:type="character" w:customStyle="1" w:styleId="25">
    <w:name w:val="comboiconspanclear"/>
    <w:basedOn w:val="11"/>
    <w:qFormat/>
    <w:uiPriority w:val="0"/>
  </w:style>
  <w:style w:type="character" w:customStyle="1" w:styleId="26">
    <w:name w:val="clear"/>
    <w:basedOn w:val="11"/>
    <w:qFormat/>
    <w:uiPriority w:val="0"/>
  </w:style>
  <w:style w:type="character" w:customStyle="1" w:styleId="27">
    <w:name w:val="ui-icon48"/>
    <w:basedOn w:val="11"/>
    <w:qFormat/>
    <w:uiPriority w:val="0"/>
  </w:style>
  <w:style w:type="character" w:customStyle="1" w:styleId="28">
    <w:name w:val="select"/>
    <w:basedOn w:val="11"/>
    <w:qFormat/>
    <w:uiPriority w:val="0"/>
  </w:style>
  <w:style w:type="character" w:customStyle="1" w:styleId="29">
    <w:name w:val="ui-autocomplete"/>
    <w:basedOn w:val="11"/>
    <w:qFormat/>
    <w:uiPriority w:val="0"/>
  </w:style>
  <w:style w:type="character" w:customStyle="1" w:styleId="30">
    <w:name w:val="ui-icon"/>
    <w:basedOn w:val="11"/>
    <w:qFormat/>
    <w:uiPriority w:val="0"/>
  </w:style>
  <w:style w:type="character" w:customStyle="1" w:styleId="31">
    <w:name w:val="ui-icon47"/>
    <w:basedOn w:val="11"/>
    <w:qFormat/>
    <w:uiPriority w:val="0"/>
  </w:style>
  <w:style w:type="character" w:customStyle="1" w:styleId="32">
    <w:name w:val="ui-icon45"/>
    <w:basedOn w:val="11"/>
    <w:qFormat/>
    <w:uiPriority w:val="0"/>
  </w:style>
  <w:style w:type="paragraph" w:customStyle="1" w:styleId="33">
    <w:name w:val="_Style 25"/>
    <w:basedOn w:val="1"/>
    <w:next w:val="1"/>
    <w:qFormat/>
    <w:uiPriority w:val="0"/>
    <w:pPr>
      <w:pBdr>
        <w:bottom w:val="single" w:color="auto" w:sz="6" w:space="1"/>
      </w:pBdr>
      <w:jc w:val="center"/>
    </w:pPr>
    <w:rPr>
      <w:rFonts w:ascii="Arial" w:eastAsia="宋体"/>
      <w:vanish/>
      <w:sz w:val="16"/>
    </w:rPr>
  </w:style>
  <w:style w:type="paragraph" w:customStyle="1" w:styleId="34">
    <w:name w:val="_Style 26"/>
    <w:basedOn w:val="1"/>
    <w:next w:val="1"/>
    <w:qFormat/>
    <w:uiPriority w:val="0"/>
    <w:pPr>
      <w:pBdr>
        <w:top w:val="single" w:color="auto" w:sz="6" w:space="1"/>
      </w:pBdr>
      <w:jc w:val="center"/>
    </w:pPr>
    <w:rPr>
      <w:rFonts w:ascii="Arial" w:eastAsia="宋体"/>
      <w:vanish/>
      <w:sz w:val="16"/>
    </w:rPr>
  </w:style>
  <w:style w:type="character" w:customStyle="1" w:styleId="35">
    <w:name w:val="ui-icon44"/>
    <w:basedOn w:val="11"/>
    <w:qFormat/>
    <w:uiPriority w:val="0"/>
  </w:style>
  <w:style w:type="character" w:customStyle="1" w:styleId="36">
    <w:name w:val="ui-icon43"/>
    <w:basedOn w:val="11"/>
    <w:qFormat/>
    <w:uiPriority w:val="0"/>
  </w:style>
  <w:style w:type="character" w:customStyle="1" w:styleId="37">
    <w:name w:val="ui-icon46"/>
    <w:basedOn w:val="11"/>
    <w:qFormat/>
    <w:uiPriority w:val="0"/>
  </w:style>
  <w:style w:type="paragraph" w:customStyle="1" w:styleId="38">
    <w:name w:val="_Style 30"/>
    <w:basedOn w:val="1"/>
    <w:next w:val="1"/>
    <w:qFormat/>
    <w:uiPriority w:val="0"/>
    <w:pPr>
      <w:pBdr>
        <w:bottom w:val="single" w:color="auto" w:sz="6" w:space="1"/>
      </w:pBdr>
      <w:jc w:val="center"/>
    </w:pPr>
    <w:rPr>
      <w:rFonts w:ascii="Arial" w:eastAsia="宋体"/>
      <w:vanish/>
      <w:sz w:val="16"/>
    </w:rPr>
  </w:style>
  <w:style w:type="paragraph" w:customStyle="1" w:styleId="39">
    <w:name w:val="_Style 31"/>
    <w:basedOn w:val="1"/>
    <w:next w:val="1"/>
    <w:qFormat/>
    <w:uiPriority w:val="0"/>
    <w:pPr>
      <w:pBdr>
        <w:top w:val="single" w:color="auto" w:sz="6" w:space="1"/>
      </w:pBdr>
      <w:jc w:val="center"/>
    </w:pPr>
    <w:rPr>
      <w:rFonts w:ascii="Arial" w:eastAsia="宋体"/>
      <w:vanish/>
      <w:sz w:val="16"/>
    </w:rPr>
  </w:style>
  <w:style w:type="character" w:customStyle="1" w:styleId="40">
    <w:name w:val="ui-icon42"/>
    <w:basedOn w:val="11"/>
    <w:qFormat/>
    <w:uiPriority w:val="0"/>
  </w:style>
  <w:style w:type="paragraph" w:customStyle="1" w:styleId="41">
    <w:name w:val="_Style 33"/>
    <w:basedOn w:val="1"/>
    <w:next w:val="1"/>
    <w:qFormat/>
    <w:uiPriority w:val="0"/>
    <w:pPr>
      <w:pBdr>
        <w:bottom w:val="single" w:color="auto" w:sz="6" w:space="1"/>
      </w:pBdr>
      <w:jc w:val="center"/>
    </w:pPr>
    <w:rPr>
      <w:rFonts w:ascii="Arial" w:eastAsia="宋体"/>
      <w:vanish/>
      <w:sz w:val="16"/>
    </w:rPr>
  </w:style>
  <w:style w:type="paragraph" w:customStyle="1" w:styleId="42">
    <w:name w:val="_Style 34"/>
    <w:basedOn w:val="1"/>
    <w:next w:val="1"/>
    <w:qFormat/>
    <w:uiPriority w:val="0"/>
    <w:pPr>
      <w:pBdr>
        <w:top w:val="single" w:color="auto" w:sz="6" w:space="1"/>
      </w:pBdr>
      <w:jc w:val="center"/>
    </w:pPr>
    <w:rPr>
      <w:rFonts w:ascii="Arial" w:eastAsia="宋体"/>
      <w:vanish/>
      <w:sz w:val="16"/>
    </w:rPr>
  </w:style>
  <w:style w:type="paragraph" w:styleId="43">
    <w:name w:val="List Paragraph"/>
    <w:basedOn w:val="1"/>
    <w:qFormat/>
    <w:uiPriority w:val="34"/>
    <w:pPr>
      <w:ind w:firstLine="420" w:firstLineChars="200"/>
    </w:pPr>
    <w:rPr>
      <w:rFonts w:ascii="Times New Roman" w:hAnsi="Times New Roman" w:cs="Times New Roman"/>
      <w:szCs w:val="24"/>
    </w:rPr>
  </w:style>
  <w:style w:type="paragraph" w:customStyle="1" w:styleId="44">
    <w:name w:val="Normal_4"/>
    <w:next w:val="45"/>
    <w:qFormat/>
    <w:uiPriority w:val="0"/>
    <w:pPr>
      <w:widowControl w:val="0"/>
      <w:jc w:val="both"/>
    </w:pPr>
    <w:rPr>
      <w:rFonts w:ascii="Calibri" w:hAnsi="Calibri" w:eastAsia="宋体" w:cs="宋体"/>
      <w:kern w:val="2"/>
      <w:sz w:val="21"/>
      <w:szCs w:val="22"/>
      <w:lang w:val="en-US" w:eastAsia="zh-CN" w:bidi="ar-SA"/>
    </w:rPr>
  </w:style>
  <w:style w:type="paragraph" w:customStyle="1" w:styleId="45">
    <w:name w:val="Header"/>
    <w:basedOn w:val="44"/>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191</Words>
  <Characters>1091</Characters>
  <Lines>9</Lines>
  <Paragraphs>2</Paragraphs>
  <TotalTime>3</TotalTime>
  <ScaleCrop>false</ScaleCrop>
  <LinksUpToDate>false</LinksUpToDate>
  <CharactersWithSpaces>1280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2023-02-13T14:28:00Z</dcterms:created>
  <dc:creator>Microsoft</dc:creator>
  <cp:lastModifiedBy>许铭昆</cp:lastModifiedBy>
  <dcterms:modified xsi:type="dcterms:W3CDTF">2024-10-16T09:51:34Z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7C4675D195D144BF87C2AF703289CFDE</vt:lpwstr>
  </property>
</Properties>
</file>