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宋体" w:asciiTheme="minorEastAsia" w:hAnsiTheme="minorEastAsia"/>
          <w:color w:val="000000" w:themeColor="text1"/>
          <w:sz w:val="72"/>
          <w:szCs w:val="72"/>
          <w:highlight w:val="none"/>
          <w14:textFill>
            <w14:solidFill>
              <w14:schemeClr w14:val="tx1"/>
            </w14:solidFill>
          </w14:textFill>
        </w:rPr>
      </w:pPr>
      <w:r>
        <w:rPr>
          <w:rFonts w:hint="eastAsia" w:cs="宋体" w:asciiTheme="minorEastAsia" w:hAnsiTheme="minorEastAsia"/>
          <w:color w:val="000000" w:themeColor="text1"/>
          <w:sz w:val="44"/>
          <w:szCs w:val="44"/>
          <w:highlight w:val="none"/>
          <w:lang w:val="en-US" w:eastAsia="zh-CN"/>
          <w14:textFill>
            <w14:solidFill>
              <w14:schemeClr w14:val="tx1"/>
            </w14:solidFill>
          </w14:textFill>
        </w:rPr>
        <w:t>公开询价文件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5"/>
          <w:szCs w:val="5"/>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1840"/>
        <w:textAlignment w:val="auto"/>
        <w:outlineLvl w:val="9"/>
        <w:rPr>
          <w:rFonts w:cs="宋体" w:asciiTheme="minorEastAsia" w:hAnsiTheme="minorEastAsia"/>
          <w:color w:val="000000" w:themeColor="text1"/>
          <w:sz w:val="4"/>
          <w:szCs w:val="4"/>
          <w:highlight w:val="none"/>
          <w14:textFill>
            <w14:solidFill>
              <w14:schemeClr w14:val="tx1"/>
            </w14:solidFill>
          </w14:textFill>
        </w:rPr>
      </w:pPr>
    </w:p>
    <w:p>
      <w:pPr>
        <w:pStyle w:val="2"/>
        <w:rPr>
          <w:rFonts w:cs="宋体" w:asciiTheme="minorEastAsia" w:hAnsiTheme="minorEastAsia"/>
          <w:color w:val="000000" w:themeColor="text1"/>
          <w:sz w:val="4"/>
          <w:szCs w:val="4"/>
          <w:highlight w:val="none"/>
          <w14:textFill>
            <w14:solidFill>
              <w14:schemeClr w14:val="tx1"/>
            </w14:solidFill>
          </w14:textFill>
        </w:rPr>
      </w:pPr>
    </w:p>
    <w:p>
      <w:pPr>
        <w:pStyle w:val="2"/>
        <w:rPr>
          <w:rFonts w:cs="宋体" w:asciiTheme="minorEastAsia" w:hAnsiTheme="minorEastAsia"/>
          <w:color w:val="000000" w:themeColor="text1"/>
          <w:sz w:val="4"/>
          <w:szCs w:val="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7"/>
          <w:szCs w:val="7"/>
          <w:highlight w:val="none"/>
          <w14:textFill>
            <w14:solidFill>
              <w14:schemeClr w14:val="tx1"/>
            </w14:solidFill>
          </w14:textFill>
        </w:rPr>
      </w:pPr>
    </w:p>
    <w:p>
      <w:pPr>
        <w:pStyle w:val="18"/>
      </w:pPr>
    </w:p>
    <w:p/>
    <w:p>
      <w:pPr>
        <w:pStyle w:val="2"/>
      </w:pPr>
    </w:p>
    <w:p>
      <w:pPr>
        <w:pStyle w:val="18"/>
        <w:rPr>
          <w:color w:val="000000" w:themeColor="text1"/>
          <w:highlight w:val="none"/>
          <w14:textFill>
            <w14:solidFill>
              <w14:schemeClr w14:val="tx1"/>
            </w14:solidFill>
          </w14:textFill>
        </w:rPr>
      </w:pP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000000" w:themeColor="text1"/>
          <w:sz w:val="32"/>
          <w:szCs w:val="32"/>
          <w:highlight w:val="none"/>
          <w14:textFill>
            <w14:solidFill>
              <w14:schemeClr w14:val="tx1"/>
            </w14:solidFill>
          </w14:textFill>
        </w:rPr>
      </w:pPr>
      <w:r>
        <w:rPr>
          <w:rFonts w:asciiTheme="minorEastAsia" w:hAnsiTheme="minorEastAsia" w:eastAsiaTheme="minorEastAsia"/>
          <w:color w:val="000000" w:themeColor="text1"/>
          <w:spacing w:val="-3"/>
          <w:sz w:val="32"/>
          <w:szCs w:val="32"/>
          <w:highlight w:val="none"/>
          <w14:textFill>
            <w14:solidFill>
              <w14:schemeClr w14:val="tx1"/>
            </w14:solidFill>
          </w14:textFill>
        </w:rPr>
        <w:t>（</w:t>
      </w:r>
      <w:r>
        <w:rPr>
          <w:rFonts w:hint="eastAsia" w:asciiTheme="minorEastAsia" w:hAnsiTheme="minorEastAsia"/>
          <w:color w:val="000000" w:themeColor="text1"/>
          <w:spacing w:val="-3"/>
          <w:sz w:val="32"/>
          <w:szCs w:val="32"/>
          <w:highlight w:val="none"/>
          <w:lang w:val="en-US" w:eastAsia="zh-CN"/>
          <w14:textFill>
            <w14:solidFill>
              <w14:schemeClr w14:val="tx1"/>
            </w14:solidFill>
          </w14:textFill>
        </w:rPr>
        <w:t>项目名称</w:t>
      </w:r>
      <w:r>
        <w:rPr>
          <w:rFonts w:asciiTheme="minorEastAsia" w:hAnsiTheme="minorEastAsia" w:eastAsiaTheme="minorEastAsia"/>
          <w:color w:val="000000" w:themeColor="text1"/>
          <w:spacing w:val="-3"/>
          <w:sz w:val="32"/>
          <w:szCs w:val="32"/>
          <w:highlight w:val="none"/>
          <w14:textFill>
            <w14:solidFill>
              <w14:schemeClr w14:val="tx1"/>
            </w14:solidFill>
          </w14:textFill>
        </w:rPr>
        <w:t>：</w:t>
      </w:r>
      <w:r>
        <w:rPr>
          <w:rFonts w:hint="eastAsia" w:asciiTheme="minorEastAsia" w:hAnsiTheme="minorEastAsia" w:eastAsiaTheme="minorEastAsia"/>
          <w:color w:val="000000" w:themeColor="text1"/>
          <w:spacing w:val="-3"/>
          <w:sz w:val="32"/>
          <w:szCs w:val="32"/>
          <w:highlight w:val="none"/>
          <w:u w:val="single"/>
          <w14:textFill>
            <w14:solidFill>
              <w14:schemeClr w14:val="tx1"/>
            </w14:solidFill>
          </w14:textFill>
        </w:rPr>
        <w:t>除盐水设备机架采购</w:t>
      </w:r>
      <w:r>
        <w:rPr>
          <w:rFonts w:asciiTheme="minorEastAsia" w:hAnsiTheme="minorEastAsia" w:eastAsiaTheme="minorEastAsia"/>
          <w:color w:val="000000" w:themeColor="text1"/>
          <w:sz w:val="32"/>
          <w:szCs w:val="32"/>
          <w:highlight w:val="none"/>
          <w14:textFill>
            <w14:solidFill>
              <w14:schemeClr w14:val="tx1"/>
            </w14:solidFill>
          </w14:textFill>
        </w:rPr>
        <w:t>）</w:t>
      </w:r>
    </w:p>
    <w:p>
      <w:pPr>
        <w:pStyle w:val="18"/>
      </w:pP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000000" w:themeColor="text1"/>
          <w:sz w:val="32"/>
          <w:szCs w:val="32"/>
          <w:highlight w:val="none"/>
          <w14:textFill>
            <w14:solidFill>
              <w14:schemeClr w14:val="tx1"/>
            </w14:solidFill>
          </w14:textFill>
        </w:rPr>
      </w:pPr>
      <w:r>
        <w:rPr>
          <w:rFonts w:asciiTheme="minorEastAsia" w:hAnsiTheme="minorEastAsia" w:eastAsiaTheme="minorEastAsia"/>
          <w:color w:val="000000" w:themeColor="text1"/>
          <w:spacing w:val="-3"/>
          <w:sz w:val="32"/>
          <w:szCs w:val="32"/>
          <w:highlight w:val="none"/>
          <w14:textFill>
            <w14:solidFill>
              <w14:schemeClr w14:val="tx1"/>
            </w14:solidFill>
          </w14:textFill>
        </w:rPr>
        <w:t>（采购编号：</w:t>
      </w:r>
      <w:r>
        <w:rPr>
          <w:rFonts w:hint="eastAsia" w:asciiTheme="minorEastAsia" w:hAnsiTheme="minorEastAsia" w:eastAsiaTheme="minorEastAsia"/>
          <w:color w:val="000000" w:themeColor="text1"/>
          <w:spacing w:val="-3"/>
          <w:sz w:val="32"/>
          <w:szCs w:val="32"/>
          <w:highlight w:val="none"/>
          <w:u w:val="single"/>
          <w14:textFill>
            <w14:solidFill>
              <w14:schemeClr w14:val="tx1"/>
            </w14:solidFill>
          </w14:textFill>
        </w:rPr>
        <w:t>GKXJ-2025-TY-2374</w:t>
      </w:r>
      <w:r>
        <w:rPr>
          <w:rFonts w:asciiTheme="minorEastAsia" w:hAnsiTheme="minorEastAsia" w:eastAsiaTheme="minorEastAsia"/>
          <w:color w:val="000000" w:themeColor="text1"/>
          <w:sz w:val="32"/>
          <w:szCs w:val="32"/>
          <w:highlight w:val="none"/>
          <w14:textFill>
            <w14:solidFill>
              <w14:schemeClr w14:val="tx1"/>
            </w14:solidFill>
          </w14:textFill>
        </w:rPr>
        <w:t>）</w:t>
      </w:r>
    </w:p>
    <w:p>
      <w:pPr>
        <w:pStyle w:val="8"/>
      </w:pPr>
    </w:p>
    <w:p>
      <w:pPr>
        <w:keepNext w:val="0"/>
        <w:keepLines w:val="0"/>
        <w:pageBreakBefore w:val="0"/>
        <w:widowControl w:val="0"/>
        <w:kinsoku/>
        <w:wordWrap/>
        <w:overflowPunct/>
        <w:topLinePunct w:val="0"/>
        <w:autoSpaceDE/>
        <w:autoSpaceDN/>
        <w:bidi w:val="0"/>
        <w:adjustRightInd/>
        <w:snapToGrid/>
        <w:spacing w:line="360" w:lineRule="auto"/>
        <w:ind w:left="4772"/>
        <w:textAlignment w:val="auto"/>
        <w:outlineLvl w:val="9"/>
        <w:rPr>
          <w:rFonts w:cs="宋体" w:asciiTheme="minorEastAsia" w:hAnsiTheme="minorEastAsia"/>
          <w:color w:val="000000" w:themeColor="text1"/>
          <w:sz w:val="2"/>
          <w:szCs w:val="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pStyle w:val="2"/>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tabs>
          <w:tab w:val="left" w:pos="6618"/>
        </w:tabs>
        <w:kinsoku/>
        <w:wordWrap/>
        <w:overflowPunct/>
        <w:topLinePunct w:val="0"/>
        <w:autoSpaceDE/>
        <w:autoSpaceDN/>
        <w:bidi w:val="0"/>
        <w:adjustRightInd/>
        <w:snapToGrid/>
        <w:spacing w:line="360" w:lineRule="auto"/>
        <w:ind w:right="134"/>
        <w:jc w:val="center"/>
        <w:textAlignment w:val="auto"/>
        <w:outlineLvl w:val="9"/>
        <w:rPr>
          <w:rFonts w:hint="default" w:cs="宋体" w:asciiTheme="minorEastAsia" w:hAnsiTheme="minorEastAsia" w:eastAsiaTheme="minorEastAsia"/>
          <w:color w:val="000000" w:themeColor="text1"/>
          <w:sz w:val="28"/>
          <w:szCs w:val="28"/>
          <w:highlight w:val="none"/>
          <w:u w:val="single"/>
          <w:lang w:val="en-US" w:eastAsia="zh-CN"/>
          <w14:textFill>
            <w14:solidFill>
              <w14:schemeClr w14:val="tx1"/>
            </w14:solidFill>
          </w14:textFill>
        </w:rPr>
      </w:pPr>
      <w:r>
        <w:rPr>
          <w:rFonts w:cs="宋体" w:asciiTheme="minorEastAsia" w:hAnsiTheme="minorEastAsia"/>
          <w:color w:val="000000" w:themeColor="text1"/>
          <w:spacing w:val="-15"/>
          <w:sz w:val="28"/>
          <w:szCs w:val="28"/>
          <w:highlight w:val="none"/>
          <w14:textFill>
            <w14:solidFill>
              <w14:schemeClr w14:val="tx1"/>
            </w14:solidFill>
          </w14:textFill>
        </w:rPr>
        <w:t>采购人：</w:t>
      </w:r>
      <w:r>
        <w:rPr>
          <w:rFonts w:hint="eastAsia" w:cs="宋体" w:asciiTheme="minorEastAsia" w:hAnsiTheme="minorEastAsia"/>
          <w:color w:val="000000" w:themeColor="text1"/>
          <w:spacing w:val="-15"/>
          <w:sz w:val="28"/>
          <w:szCs w:val="28"/>
          <w:highlight w:val="none"/>
          <w:u w:val="single"/>
          <w:lang w:val="en-US" w:eastAsia="zh-CN"/>
          <w14:textFill>
            <w14:solidFill>
              <w14:schemeClr w14:val="tx1"/>
            </w14:solidFill>
          </w14:textFill>
        </w:rPr>
        <w:t>中海油能源发展股份有限公司采办共享中心</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19"/>
          <w:szCs w:val="19"/>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cs="宋体" w:asciiTheme="minorEastAsia" w:hAnsiTheme="minorEastAsia"/>
          <w:color w:val="000000" w:themeColor="text1"/>
          <w:sz w:val="28"/>
          <w:szCs w:val="28"/>
          <w:highlight w:val="none"/>
          <w14:textFill>
            <w14:solidFill>
              <w14:schemeClr w14:val="tx1"/>
            </w14:solidFill>
          </w14:textFill>
        </w:rPr>
      </w:pP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2025</w:t>
      </w:r>
      <w:r>
        <w:rPr>
          <w:rFonts w:cs="宋体" w:asciiTheme="minorEastAsia" w:hAnsiTheme="minorEastAsia"/>
          <w:color w:val="000000" w:themeColor="text1"/>
          <w:sz w:val="28"/>
          <w:szCs w:val="28"/>
          <w:highlight w:val="none"/>
          <w14:textFill>
            <w14:solidFill>
              <w14:schemeClr w14:val="tx1"/>
            </w14:solidFill>
          </w14:textFill>
        </w:rPr>
        <w:t>年</w:t>
      </w:r>
      <w:r>
        <w:rPr>
          <w:rFonts w:hint="eastAsia" w:cs="宋体" w:asciiTheme="minorEastAsia" w:hAnsiTheme="minorEastAsia"/>
          <w:color w:val="000000" w:themeColor="text1"/>
          <w:sz w:val="28"/>
          <w:szCs w:val="28"/>
          <w:highlight w:val="none"/>
          <w:u w:val="single"/>
          <w:lang w:val="en-US" w:eastAsia="zh-CN"/>
          <w14:textFill>
            <w14:solidFill>
              <w14:schemeClr w14:val="tx1"/>
            </w14:solidFill>
          </w14:textFill>
        </w:rPr>
        <w:t>08</w:t>
      </w:r>
      <w:r>
        <w:rPr>
          <w:rFonts w:cs="宋体" w:asciiTheme="minorEastAsia" w:hAnsiTheme="minorEastAsia"/>
          <w:color w:val="000000" w:themeColor="text1"/>
          <w:sz w:val="28"/>
          <w:szCs w:val="28"/>
          <w:highlight w:val="none"/>
          <w14:textFill>
            <w14:solidFill>
              <w14:schemeClr w14:val="tx1"/>
            </w14:solidFill>
          </w14:textFill>
        </w:rPr>
        <w:t>月</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25</w:t>
      </w:r>
      <w:r>
        <w:rPr>
          <w:rFonts w:cs="宋体" w:asciiTheme="minorEastAsia" w:hAnsiTheme="minorEastAsia"/>
          <w:color w:val="000000" w:themeColor="text1"/>
          <w:sz w:val="28"/>
          <w:szCs w:val="28"/>
          <w:highlight w:val="none"/>
          <w14:textFill>
            <w14:solidFill>
              <w14:schemeClr w14:val="tx1"/>
            </w14:solidFill>
          </w14:textFill>
        </w:rPr>
        <w:t>日</w:t>
      </w:r>
    </w:p>
    <w:p>
      <w:pPr>
        <w:spacing w:line="360" w:lineRule="auto"/>
        <w:jc w:val="left"/>
        <w:rPr>
          <w:rFonts w:asciiTheme="minorEastAsia" w:hAnsiTheme="minorEastAsia"/>
          <w:color w:val="000000" w:themeColor="text1"/>
          <w:sz w:val="24"/>
          <w:szCs w:val="24"/>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both"/>
        <w:rPr>
          <w:rFonts w:asciiTheme="minorEastAsia" w:hAnsiTheme="minorEastAsia" w:cstheme="minorEastAsia"/>
          <w:b/>
          <w:bCs/>
          <w:color w:val="000000" w:themeColor="text1"/>
          <w:sz w:val="40"/>
          <w:szCs w:val="40"/>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asciiTheme="minorEastAsia" w:hAnsiTheme="minorEastAsia" w:cstheme="minorEastAsia"/>
          <w:b/>
          <w:bCs/>
          <w:color w:val="000000" w:themeColor="text1"/>
          <w:sz w:val="40"/>
          <w:szCs w:val="40"/>
          <w:highlight w:val="none"/>
          <w14:textFill>
            <w14:solidFill>
              <w14:schemeClr w14:val="tx1"/>
            </w14:solidFill>
          </w14:textFill>
        </w:rPr>
        <w:br w:type="page"/>
      </w:r>
    </w:p>
    <w:p>
      <w:pPr>
        <w:rPr>
          <w:rFonts w:hint="eastAsia"/>
          <w:color w:val="000000" w:themeColor="text1"/>
          <w:highlight w:val="none"/>
          <w14:textFill>
            <w14:solidFill>
              <w14:schemeClr w14:val="tx1"/>
            </w14:solidFill>
          </w14:textFill>
        </w:rPr>
      </w:pPr>
    </w:p>
    <w:p>
      <w:pPr>
        <w:spacing w:line="360" w:lineRule="auto"/>
        <w:jc w:val="center"/>
        <w:outlineLvl w:val="0"/>
        <w:rPr>
          <w:rFonts w:ascii="黑体" w:hAnsi="黑体" w:eastAsia="黑体"/>
          <w:b/>
          <w:color w:val="000000" w:themeColor="text1"/>
          <w:sz w:val="30"/>
          <w:szCs w:val="30"/>
          <w:highlight w:val="none"/>
          <w14:textFill>
            <w14:solidFill>
              <w14:schemeClr w14:val="tx1"/>
            </w14:solidFill>
          </w14:textFill>
        </w:rPr>
      </w:pPr>
      <w:r>
        <w:rPr>
          <w:rFonts w:hint="eastAsia" w:ascii="黑体" w:hAnsi="黑体" w:eastAsia="黑体"/>
          <w:b/>
          <w:color w:val="000000" w:themeColor="text1"/>
          <w:sz w:val="30"/>
          <w:szCs w:val="30"/>
          <w:highlight w:val="none"/>
          <w14:textFill>
            <w14:solidFill>
              <w14:schemeClr w14:val="tx1"/>
            </w14:solidFill>
          </w14:textFill>
        </w:rPr>
        <w:t>询价文件</w:t>
      </w:r>
    </w:p>
    <w:p>
      <w:pPr>
        <w:spacing w:line="360" w:lineRule="auto"/>
        <w:jc w:val="center"/>
        <w:rPr>
          <w:rFonts w:asciiTheme="minorEastAsia" w:hAnsiTheme="minorEastAsia"/>
          <w:color w:val="000000" w:themeColor="text1"/>
          <w:sz w:val="24"/>
          <w:szCs w:val="24"/>
          <w:highlight w:val="none"/>
          <w14:textFill>
            <w14:solidFill>
              <w14:schemeClr w14:val="tx1"/>
            </w14:solidFill>
          </w14:textFill>
        </w:rPr>
      </w:pPr>
    </w:p>
    <w:p>
      <w:p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海油发展采办共享中心对</w:t>
      </w:r>
      <w:r>
        <w:rPr>
          <w:rFonts w:hint="eastAsia" w:asciiTheme="minorEastAsia" w:hAnsiTheme="minorEastAsia"/>
          <w:color w:val="000000" w:themeColor="text1"/>
          <w:sz w:val="21"/>
          <w:szCs w:val="21"/>
          <w:highlight w:val="none"/>
          <w:u w:val="single"/>
          <w14:textFill>
            <w14:solidFill>
              <w14:schemeClr w14:val="tx1"/>
            </w14:solidFill>
          </w14:textFill>
        </w:rPr>
        <w:t>除盐水设备机架采购</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项目</w:t>
      </w:r>
      <w:r>
        <w:rPr>
          <w:rFonts w:hint="eastAsia" w:asciiTheme="minorEastAsia" w:hAnsiTheme="minorEastAsia"/>
          <w:color w:val="000000" w:themeColor="text1"/>
          <w:sz w:val="21"/>
          <w:szCs w:val="21"/>
          <w:highlight w:val="none"/>
          <w14:textFill>
            <w14:solidFill>
              <w14:schemeClr w14:val="tx1"/>
            </w14:solidFill>
          </w14:textFill>
        </w:rPr>
        <w:t>进行公开询价采购，欢迎供应商参加。现将有关事项明确如下：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outlineLvl w:val="1"/>
        <w:rPr>
          <w:rFonts w:asciiTheme="minorEastAsia" w:hAnsiTheme="minorEastAsia"/>
          <w:b/>
          <w:color w:val="000000" w:themeColor="text1"/>
          <w:sz w:val="21"/>
          <w:szCs w:val="21"/>
          <w:highlight w:val="none"/>
          <w14:textFill>
            <w14:solidFill>
              <w14:schemeClr w14:val="tx1"/>
            </w14:solidFill>
          </w14:textFill>
        </w:rPr>
      </w:pPr>
      <w:r>
        <w:rPr>
          <w:rFonts w:hint="eastAsia" w:asciiTheme="minorEastAsia" w:hAnsiTheme="minorEastAsia"/>
          <w:b/>
          <w:color w:val="000000" w:themeColor="text1"/>
          <w:sz w:val="21"/>
          <w:szCs w:val="21"/>
          <w:highlight w:val="none"/>
          <w14:textFill>
            <w14:solidFill>
              <w14:schemeClr w14:val="tx1"/>
            </w14:solidFill>
          </w14:textFill>
        </w:rPr>
        <w:t>总则</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1</w:t>
      </w:r>
      <w:r>
        <w:rPr>
          <w:rFonts w:hint="eastAsia" w:asciiTheme="minorEastAsia" w:hAnsiTheme="minorEastAsia"/>
          <w:color w:val="000000" w:themeColor="text1"/>
          <w:sz w:val="21"/>
          <w:szCs w:val="21"/>
          <w:highlight w:val="none"/>
          <w14:textFill>
            <w14:solidFill>
              <w14:schemeClr w14:val="tx1"/>
            </w14:solidFill>
          </w14:textFill>
        </w:rPr>
        <w:t>.合格的</w:t>
      </w:r>
      <w:r>
        <w:rPr>
          <w:rFonts w:hint="eastAsia" w:asciiTheme="minorEastAsia" w:hAnsiTheme="minorEastAsia"/>
          <w:color w:val="000000" w:themeColor="text1"/>
          <w:sz w:val="21"/>
          <w:szCs w:val="21"/>
          <w:highlight w:val="none"/>
          <w:lang w:eastAsia="zh-CN"/>
          <w14:textFill>
            <w14:solidFill>
              <w14:schemeClr w14:val="tx1"/>
            </w14:solidFill>
          </w14:textFill>
        </w:rPr>
        <w:t>应答人</w:t>
      </w:r>
      <w:r>
        <w:rPr>
          <w:rFonts w:hint="eastAsia" w:asciiTheme="minorEastAsia" w:hAnsiTheme="minorEastAsia"/>
          <w:color w:val="000000" w:themeColor="text1"/>
          <w:sz w:val="21"/>
          <w:szCs w:val="21"/>
          <w:highlight w:val="none"/>
          <w14:textFill>
            <w14:solidFill>
              <w14:schemeClr w14:val="tx1"/>
            </w14:solidFill>
          </w14:textFill>
        </w:rPr>
        <w:t>：符合询价公告的供应商资格条件。</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2.采购内容、技术参数及要求：见本询价文件附件</w:t>
      </w:r>
      <w:r>
        <w:rPr>
          <w:rFonts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.公告时间：自</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2025</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08</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25</w:t>
      </w:r>
      <w:r>
        <w:rPr>
          <w:rFonts w:hint="eastAsia" w:asciiTheme="minorEastAsia" w:hAnsiTheme="minorEastAsia"/>
          <w:color w:val="000000" w:themeColor="text1"/>
          <w:sz w:val="21"/>
          <w:szCs w:val="21"/>
          <w:highlight w:val="none"/>
          <w14:textFill>
            <w14:solidFill>
              <w14:schemeClr w14:val="tx1"/>
            </w14:solidFill>
          </w14:textFill>
        </w:rPr>
        <w:t>日起至</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2025</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08</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29</w:t>
      </w:r>
      <w:r>
        <w:rPr>
          <w:rFonts w:hint="eastAsia" w:asciiTheme="minorEastAsia" w:hAnsiTheme="minorEastAsia"/>
          <w:color w:val="000000" w:themeColor="text1"/>
          <w:sz w:val="21"/>
          <w:szCs w:val="21"/>
          <w:highlight w:val="none"/>
          <w14:textFill>
            <w14:solidFill>
              <w14:schemeClr w14:val="tx1"/>
            </w14:solidFill>
          </w14:textFill>
        </w:rPr>
        <w:t>日止。</w:t>
      </w:r>
    </w:p>
    <w:p>
      <w:pPr>
        <w:spacing w:line="360" w:lineRule="auto"/>
        <w:ind w:firstLine="630" w:firstLineChars="300"/>
        <w:jc w:val="left"/>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采购人</w:t>
      </w:r>
      <w:r>
        <w:rPr>
          <w:rFonts w:asciiTheme="minorEastAsia" w:hAnsiTheme="minorEastAsia"/>
          <w:color w:val="000000" w:themeColor="text1"/>
          <w:sz w:val="21"/>
          <w:szCs w:val="21"/>
          <w:highlight w:val="none"/>
          <w14:textFill>
            <w14:solidFill>
              <w14:schemeClr w14:val="tx1"/>
            </w14:solidFill>
          </w14:textFill>
        </w:rPr>
        <w:t>于</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2025</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08</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25</w:t>
      </w:r>
      <w:r>
        <w:rPr>
          <w:rFonts w:hint="eastAsia" w:asciiTheme="minorEastAsia" w:hAnsiTheme="minorEastAsia"/>
          <w:color w:val="000000" w:themeColor="text1"/>
          <w:sz w:val="21"/>
          <w:szCs w:val="21"/>
          <w:highlight w:val="none"/>
          <w14:textFill>
            <w14:solidFill>
              <w14:schemeClr w14:val="tx1"/>
            </w14:solidFill>
          </w14:textFill>
        </w:rPr>
        <w:t>日</w:t>
      </w:r>
      <w:r>
        <w:rPr>
          <w:rFonts w:asciiTheme="minorEastAsia" w:hAnsiTheme="minorEastAsia"/>
          <w:color w:val="000000" w:themeColor="text1"/>
          <w:sz w:val="21"/>
          <w:szCs w:val="21"/>
          <w:highlight w:val="none"/>
          <w14:textFill>
            <w14:solidFill>
              <w14:schemeClr w14:val="tx1"/>
            </w14:solidFill>
          </w14:textFill>
        </w:rPr>
        <w:t>（北京时间</w:t>
      </w:r>
      <w:r>
        <w:rPr>
          <w:rFonts w:hint="eastAsia" w:asciiTheme="minorEastAsia" w:hAnsiTheme="minorEastAsia"/>
          <w:color w:val="000000" w:themeColor="text1"/>
          <w:sz w:val="21"/>
          <w:szCs w:val="21"/>
          <w:highlight w:val="none"/>
          <w14:textFill>
            <w14:solidFill>
              <w14:schemeClr w14:val="tx1"/>
            </w14:solidFill>
          </w14:textFill>
        </w:rPr>
        <w:t>）将询价文件发布至中国海洋石油集团有限公司《中国海油供应链数字化平台》（以下简称“系统”）https://bid.cnooc.com.cn/，请登陆并下载。</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4.递交响应文件的截止时间及地点：递交</w:t>
      </w:r>
      <w:r>
        <w:rPr>
          <w:rFonts w:hint="eastAsia" w:asciiTheme="minorEastAsia" w:hAnsiTheme="minorEastAsia"/>
          <w:color w:val="000000" w:themeColor="text1"/>
          <w:sz w:val="21"/>
          <w:szCs w:val="21"/>
          <w:highlight w:val="none"/>
          <w14:textFill>
            <w14:solidFill>
              <w14:schemeClr w14:val="tx1"/>
            </w14:solidFill>
          </w14:textFill>
        </w:rPr>
        <w:t>报价</w:t>
      </w:r>
      <w:r>
        <w:rPr>
          <w:rFonts w:asciiTheme="minorEastAsia" w:hAnsiTheme="minorEastAsia"/>
          <w:color w:val="000000" w:themeColor="text1"/>
          <w:sz w:val="21"/>
          <w:szCs w:val="21"/>
          <w:highlight w:val="none"/>
          <w14:textFill>
            <w14:solidFill>
              <w14:schemeClr w14:val="tx1"/>
            </w14:solidFill>
          </w14:textFill>
        </w:rPr>
        <w:t>文件的截止时间为</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2025</w:t>
      </w:r>
      <w:r>
        <w:rPr>
          <w:rFonts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08</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29</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日</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14：00</w:t>
      </w:r>
      <w:r>
        <w:rPr>
          <w:rFonts w:asciiTheme="minorEastAsia" w:hAnsiTheme="minorEastAsia"/>
          <w:color w:val="000000" w:themeColor="text1"/>
          <w:sz w:val="21"/>
          <w:szCs w:val="21"/>
          <w:highlight w:val="none"/>
          <w14:textFill>
            <w14:solidFill>
              <w14:schemeClr w14:val="tx1"/>
            </w14:solidFill>
          </w14:textFill>
        </w:rPr>
        <w:t>时，</w:t>
      </w:r>
      <w:r>
        <w:rPr>
          <w:rFonts w:hint="eastAsia" w:asciiTheme="minorEastAsia" w:hAnsiTheme="minorEastAsia"/>
          <w:color w:val="000000" w:themeColor="text1"/>
          <w:sz w:val="21"/>
          <w:szCs w:val="21"/>
          <w:highlight w:val="none"/>
          <w14:textFill>
            <w14:solidFill>
              <w14:schemeClr w14:val="tx1"/>
            </w14:solidFill>
          </w14:textFill>
        </w:rPr>
        <w:t>请在规定报价截止时间前通过系统报价及挂接</w:t>
      </w:r>
      <w:r>
        <w:rPr>
          <w:rFonts w:hint="eastAsia" w:asciiTheme="minorEastAsia" w:hAnsiTheme="minorEastAsia"/>
          <w:color w:val="000000" w:themeColor="text1"/>
          <w:sz w:val="21"/>
          <w:szCs w:val="21"/>
          <w:highlight w:val="none"/>
          <w:lang w:val="en-US" w:eastAsia="zh-CN"/>
          <w14:textFill>
            <w14:solidFill>
              <w14:schemeClr w14:val="tx1"/>
            </w14:solidFill>
          </w14:textFill>
        </w:rPr>
        <w:t>价格明细文件</w:t>
      </w:r>
      <w:r>
        <w:rPr>
          <w:rFonts w:hint="eastAsia" w:asciiTheme="minorEastAsia" w:hAnsiTheme="minorEastAsia"/>
          <w:color w:val="000000" w:themeColor="text1"/>
          <w:sz w:val="21"/>
          <w:szCs w:val="21"/>
          <w:highlight w:val="none"/>
          <w14:textFill>
            <w14:solidFill>
              <w14:schemeClr w14:val="tx1"/>
            </w14:solidFill>
          </w14:textFill>
        </w:rPr>
        <w:t>。</w:t>
      </w:r>
    </w:p>
    <w:p>
      <w:pPr>
        <w:widowControl/>
        <w:snapToGrid w:val="0"/>
        <w:spacing w:line="460" w:lineRule="exact"/>
        <w:ind w:firstLine="420" w:firstLineChars="2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应答人须知</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）凡参加的</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均视作认同本次询价的各项约定事宜(包括供应商资格、技术参数、相关日期</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注册、准入</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等)</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不得以各类约定事宜提出质疑。</w:t>
      </w:r>
    </w:p>
    <w:p>
      <w:pPr>
        <w:pStyle w:val="6"/>
        <w:spacing w:line="360" w:lineRule="auto"/>
        <w:rPr>
          <w:rFonts w:hint="eastAsi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应答人在《中国海油供应链数字化平台》填报供应商注册信息，并在注册审核通过后，方可具备参与采购业务的基本资格，未通过注册审核的应答人应答均视为无效。</w:t>
      </w:r>
    </w:p>
    <w:p>
      <w:pPr>
        <w:pStyle w:val="19"/>
        <w:numPr>
          <w:ilvl w:val="-1"/>
          <w:numId w:val="0"/>
        </w:numPr>
        <w:spacing w:line="360" w:lineRule="auto"/>
        <w:ind w:firstLine="420" w:firstLineChars="2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（3）应答人（非海油发展供应商资源库供应商）应于收到中标通知书后 2 日内按照纳入海油发展供应商资源库的资料提报要求完成资料准备和上传工作。如应答人超时效未完成上传工作，有可能影响其中标资格，因此造成的损失，由供应商自行承担。</w:t>
      </w:r>
    </w:p>
    <w:p>
      <w:pPr>
        <w:pStyle w:val="6"/>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（4）应答人成交后申请供应商资源库准入阶段，采购人有权对供应商进行考察工作，具体考察工作以项目经办人通知为准。如考察结果与应答文件要求不符，采购人有权取消其成交资格。</w:t>
      </w:r>
    </w:p>
    <w:p>
      <w:pPr>
        <w:pStyle w:val="6"/>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（5）供应商履约异常处理标准，详见附件4。</w:t>
      </w:r>
    </w:p>
    <w:p>
      <w:pPr>
        <w:pStyle w:val="6"/>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6）应答人如发现询价文件及其评审办法中存在含糊不清、相互矛盾、多种含义以及歧视性不公正条款或违法违规内容时，请在报价截止日到期前一天书面形式反映，未对询价文件提出异议或要求澄清的，将视为完全理解并默认询价文件所有条款，并同意放弃对询价文件有不明或误解而询问、质疑、投诉的权利。</w:t>
      </w:r>
    </w:p>
    <w:p>
      <w:pPr>
        <w:pStyle w:val="6"/>
        <w:spacing w:line="360" w:lineRule="auto"/>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其他：</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《招标投标法实施条例》第四十条　串通投标的认定</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,1)</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有下列情形之一的，视为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的投标文件由同一单位或者个人编制；</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b</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委托同一单位或者个人办理投标事宜；</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c</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的投标文件载明的项目管理成员为同一人；</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d</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的投标文件异常一致或者投标报价呈规律性差异；</w:t>
      </w:r>
    </w:p>
    <w:p>
      <w:pPr>
        <w:pStyle w:val="6"/>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e</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的投标文件相互混装；</w:t>
      </w:r>
    </w:p>
    <w:p>
      <w:pPr>
        <w:pStyle w:val="6"/>
        <w:spacing w:line="360" w:lineRule="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,2)</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报价文件特征码：若发现不同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在采办信息系统上“报价文件特征码”环节里“文件制作机器码、文件创建标识码和MAC地址”中的任何一类内容一致时，视为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相互串通投标，否决所有涉及</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评审原则：</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本次采用响应询价文件要求且</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最低原则。如</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存在两家应答人一致的情形，可按照付款条件、交货期、质保期、注册资金等优先顺序确定成交供应商</w:t>
      </w: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7.联系方式：</w:t>
      </w:r>
    </w:p>
    <w:p>
      <w:pPr>
        <w:pStyle w:val="8"/>
        <w:ind w:left="415" w:leftChars="135" w:right="10" w:hanging="132" w:hangingChars="63"/>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商务代表联系人与联系方式如下：</w:t>
      </w:r>
    </w:p>
    <w:p>
      <w:pPr>
        <w:pStyle w:val="8"/>
        <w:ind w:left="415" w:leftChars="135" w:right="10" w:hanging="132" w:hangingChars="63"/>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联系单位：</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海油发展</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采办共享中心/</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上海区域分中心</w:t>
      </w:r>
    </w:p>
    <w:p>
      <w:pPr>
        <w:pStyle w:val="8"/>
        <w:ind w:left="415" w:leftChars="135" w:right="10" w:hanging="132" w:hangingChars="63"/>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联系人：</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曹慧芹</w:t>
      </w:r>
    </w:p>
    <w:p>
      <w:pPr>
        <w:pStyle w:val="8"/>
        <w:ind w:left="415" w:leftChars="135" w:right="10" w:hanging="132" w:hangingChars="63"/>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联系电话：</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021-22833353</w:t>
      </w:r>
    </w:p>
    <w:p>
      <w:pPr>
        <w:pStyle w:val="8"/>
        <w:ind w:left="415" w:leftChars="135" w:right="10" w:hanging="132" w:hangingChars="63"/>
        <w:rPr>
          <w:rFonts w:hint="default"/>
          <w:lang w:val="en-US" w:eastAsia="zh-CN"/>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邮  箱：</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caohq@cnooc.com.cn</w:t>
      </w:r>
    </w:p>
    <w:p>
      <w:pPr>
        <w:rPr>
          <w:rFonts w:hint="eastAsia"/>
          <w:lang w:val="en-US" w:eastAsia="zh-CN"/>
        </w:rPr>
      </w:pPr>
    </w:p>
    <w:p>
      <w:pPr>
        <w:widowControl/>
        <w:snapToGrid w:val="0"/>
        <w:spacing w:line="240" w:lineRule="auto"/>
        <w:ind w:firstLine="210" w:firstLineChars="1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8</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附件</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6"/>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附件1：询价评议内容</w:t>
      </w:r>
    </w:p>
    <w:p>
      <w:pPr>
        <w:pStyle w:val="6"/>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附件2：采购内容及技术要求</w:t>
      </w:r>
    </w:p>
    <w:p>
      <w:pPr>
        <w:pStyle w:val="6"/>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附件3：合同文本</w:t>
      </w:r>
    </w:p>
    <w:p>
      <w:pPr>
        <w:pStyle w:val="6"/>
        <w:keepNext w:val="0"/>
        <w:keepLines w:val="0"/>
        <w:pageBreakBefore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附件</w:t>
      </w:r>
      <w:r>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t>4</w:t>
      </w: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：供应商履约异常处罚方式</w:t>
      </w:r>
    </w:p>
    <w:p>
      <w:pPr>
        <w:pStyle w:val="6"/>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附件5：商务文件</w:t>
      </w:r>
    </w:p>
    <w:p>
      <w:pPr>
        <w:pStyle w:val="6"/>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附件6: 技术文件</w:t>
      </w:r>
    </w:p>
    <w:p>
      <w:pPr>
        <w:spacing w:line="240" w:lineRule="auto"/>
        <w:ind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附件7: 报价文件</w:t>
      </w:r>
    </w:p>
    <w:p>
      <w:pP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br w:type="page"/>
      </w:r>
    </w:p>
    <w:p>
      <w:pPr>
        <w:outlineLvl w:val="0"/>
        <w:rPr>
          <w:rFonts w:ascii="黑体" w:hAnsi="黑体" w:eastAsia="黑体"/>
          <w:color w:val="auto"/>
          <w:sz w:val="24"/>
          <w:szCs w:val="24"/>
          <w:highlight w:val="none"/>
        </w:rPr>
      </w:pPr>
      <w:r>
        <w:rPr>
          <w:rFonts w:hint="eastAsia" w:ascii="黑体" w:hAnsi="黑体" w:eastAsia="黑体"/>
          <w:b/>
          <w:bCs/>
          <w:color w:val="auto"/>
          <w:sz w:val="24"/>
          <w:szCs w:val="24"/>
          <w:highlight w:val="none"/>
        </w:rPr>
        <w:t>附件1</w:t>
      </w:r>
      <w:r>
        <w:rPr>
          <w:rFonts w:hint="eastAsia" w:ascii="黑体" w:hAnsi="黑体" w:eastAsia="黑体"/>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询价</w:t>
      </w:r>
      <w:r>
        <w:rPr>
          <w:rFonts w:hint="eastAsia" w:asciiTheme="minorEastAsia" w:hAnsiTheme="minorEastAsia" w:cstheme="minorEastAsia"/>
          <w:b/>
          <w:bCs/>
          <w:color w:val="auto"/>
          <w:sz w:val="24"/>
          <w:szCs w:val="24"/>
          <w:highlight w:val="none"/>
          <w:lang w:val="en-US" w:eastAsia="zh-CN"/>
        </w:rPr>
        <w:t>评议内容</w:t>
      </w:r>
      <w:r>
        <w:rPr>
          <w:rFonts w:hint="eastAsia" w:ascii="黑体" w:hAnsi="黑体" w:eastAsia="黑体"/>
          <w:b/>
          <w:bCs/>
          <w:color w:val="auto"/>
          <w:sz w:val="24"/>
          <w:szCs w:val="24"/>
          <w:highlight w:val="none"/>
        </w:rPr>
        <w:t xml:space="preserve"> </w:t>
      </w:r>
      <w:r>
        <w:rPr>
          <w:rFonts w:ascii="黑体" w:hAnsi="黑体" w:eastAsia="黑体"/>
          <w:b/>
          <w:bCs/>
          <w:color w:val="auto"/>
          <w:sz w:val="24"/>
          <w:szCs w:val="24"/>
          <w:highlight w:val="none"/>
        </w:rPr>
        <w:t xml:space="preserve"> </w:t>
      </w:r>
      <w:r>
        <w:rPr>
          <w:rFonts w:ascii="黑体" w:hAnsi="黑体" w:eastAsia="黑体"/>
          <w:color w:val="auto"/>
          <w:sz w:val="24"/>
          <w:szCs w:val="24"/>
          <w:highlight w:val="none"/>
        </w:rPr>
        <w:t xml:space="preserve">                    </w:t>
      </w:r>
    </w:p>
    <w:p>
      <w:pPr>
        <w:ind w:firstLine="281" w:firstLineChars="100"/>
        <w:jc w:val="center"/>
        <w:rPr>
          <w:rFonts w:hint="default"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评议要求</w:t>
      </w:r>
    </w:p>
    <w:tbl>
      <w:tblPr>
        <w:tblStyle w:val="15"/>
        <w:tblW w:w="5911" w:type="pct"/>
        <w:jc w:val="center"/>
        <w:tblLayout w:type="autofit"/>
        <w:tblCellMar>
          <w:top w:w="0" w:type="dxa"/>
          <w:left w:w="0" w:type="dxa"/>
          <w:bottom w:w="0" w:type="dxa"/>
          <w:right w:w="0" w:type="dxa"/>
        </w:tblCellMar>
      </w:tblPr>
      <w:tblGrid>
        <w:gridCol w:w="616"/>
        <w:gridCol w:w="541"/>
        <w:gridCol w:w="2303"/>
        <w:gridCol w:w="6378"/>
      </w:tblGrid>
      <w:tr>
        <w:trPr>
          <w:trHeight w:val="454" w:hRule="atLeast"/>
          <w:jc w:val="center"/>
        </w:trPr>
        <w:tc>
          <w:tcPr>
            <w:tcW w:w="588" w:type="pct"/>
            <w:gridSpan w:val="2"/>
            <w:tcBorders>
              <w:top w:val="single" w:color="000000" w:sz="4" w:space="0"/>
              <w:left w:val="single" w:color="000000" w:sz="4" w:space="0"/>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1170"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内容</w:t>
            </w:r>
          </w:p>
        </w:tc>
        <w:tc>
          <w:tcPr>
            <w:tcW w:w="3241"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标准</w:t>
            </w:r>
          </w:p>
        </w:tc>
      </w:tr>
      <w:tr>
        <w:tblPrEx>
          <w:tblCellMar>
            <w:top w:w="0" w:type="dxa"/>
            <w:left w:w="0" w:type="dxa"/>
            <w:bottom w:w="0" w:type="dxa"/>
            <w:right w:w="0" w:type="dxa"/>
          </w:tblCellMar>
        </w:tblPrEx>
        <w:trPr>
          <w:trHeight w:val="454" w:hRule="atLeast"/>
          <w:jc w:val="center"/>
        </w:trPr>
        <w:tc>
          <w:tcPr>
            <w:tcW w:w="313" w:type="pct"/>
            <w:vMerge w:val="restart"/>
            <w:tcBorders>
              <w:top w:val="nil"/>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1</w:t>
            </w:r>
          </w:p>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rPr>
            </w:pPr>
          </w:p>
        </w:tc>
        <w:tc>
          <w:tcPr>
            <w:tcW w:w="274" w:type="pct"/>
            <w:vMerge w:val="restart"/>
            <w:tcBorders>
              <w:top w:val="nil"/>
              <w:left w:val="nil"/>
              <w:right w:val="single" w:color="000000" w:sz="6" w:space="0"/>
            </w:tcBorders>
            <w:textDirection w:val="tbRlV"/>
            <w:vAlign w:val="center"/>
          </w:tcPr>
          <w:p>
            <w:pPr>
              <w:pStyle w:val="19"/>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商务标准</w:t>
            </w:r>
          </w:p>
        </w:tc>
        <w:tc>
          <w:tcPr>
            <w:tcW w:w="1170"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应答人名称</w:t>
            </w:r>
          </w:p>
        </w:tc>
        <w:tc>
          <w:tcPr>
            <w:tcW w:w="3241"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与营业执照、资质证书（</w:t>
            </w:r>
            <w:r>
              <w:rPr>
                <w:rFonts w:hint="eastAsia" w:ascii="仿宋" w:hAnsi="仿宋" w:eastAsia="仿宋" w:cs="仿宋"/>
                <w:bCs/>
                <w:color w:val="auto"/>
                <w:sz w:val="21"/>
                <w:szCs w:val="21"/>
                <w:highlight w:val="none"/>
                <w:lang w:val="en-US" w:eastAsia="zh-CN"/>
              </w:rPr>
              <w:t>如涉及</w:t>
            </w:r>
            <w:r>
              <w:rPr>
                <w:rFonts w:hint="eastAsia" w:ascii="仿宋" w:hAnsi="仿宋" w:eastAsia="仿宋" w:cs="仿宋"/>
                <w:bCs/>
                <w:color w:val="auto"/>
                <w:sz w:val="21"/>
                <w:szCs w:val="21"/>
                <w:highlight w:val="none"/>
                <w:lang w:eastAsia="zh-CN"/>
              </w:rPr>
              <w:t>）一致；</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74" w:type="pct"/>
            <w:vMerge w:val="continue"/>
            <w:tcBorders>
              <w:left w:val="nil"/>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auto"/>
                <w:kern w:val="0"/>
                <w:sz w:val="21"/>
                <w:szCs w:val="21"/>
                <w:highlight w:val="none"/>
              </w:rPr>
            </w:pPr>
          </w:p>
        </w:tc>
        <w:tc>
          <w:tcPr>
            <w:tcW w:w="1170" w:type="pct"/>
            <w:tcBorders>
              <w:top w:val="single" w:color="000000" w:sz="4" w:space="0"/>
              <w:left w:val="nil"/>
              <w:bottom w:val="nil"/>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报价文件签字盖章</w:t>
            </w:r>
          </w:p>
        </w:tc>
        <w:tc>
          <w:tcPr>
            <w:tcW w:w="3241" w:type="pct"/>
            <w:tcBorders>
              <w:top w:val="single" w:color="000000" w:sz="4" w:space="0"/>
              <w:left w:val="nil"/>
              <w:bottom w:val="nil"/>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由</w:t>
            </w:r>
            <w:r>
              <w:rPr>
                <w:rFonts w:hint="eastAsia" w:ascii="仿宋" w:hAnsi="仿宋" w:eastAsia="仿宋" w:cs="仿宋"/>
                <w:bCs/>
                <w:color w:val="auto"/>
                <w:sz w:val="21"/>
                <w:szCs w:val="21"/>
                <w:highlight w:val="none"/>
                <w:lang w:eastAsia="zh-CN"/>
              </w:rPr>
              <w:t>法定代表人（单位负责人）或其委托代理人签字并加盖单位章。由法定代表人（单位负责人）签字的，应附法定代表人（单位负责人）身份证明，由代理人签字的，应</w:t>
            </w:r>
            <w:r>
              <w:rPr>
                <w:rFonts w:hint="eastAsia" w:ascii="仿宋" w:hAnsi="仿宋" w:eastAsia="仿宋" w:cs="仿宋"/>
                <w:bCs/>
                <w:color w:val="auto"/>
                <w:sz w:val="21"/>
                <w:szCs w:val="21"/>
                <w:highlight w:val="none"/>
                <w:lang w:val="en-US" w:eastAsia="zh-CN"/>
              </w:rPr>
              <w:t>在提供</w:t>
            </w:r>
            <w:r>
              <w:rPr>
                <w:rFonts w:hint="eastAsia" w:ascii="仿宋" w:hAnsi="仿宋" w:eastAsia="仿宋" w:cs="仿宋"/>
                <w:bCs/>
                <w:color w:val="auto"/>
                <w:sz w:val="21"/>
                <w:szCs w:val="21"/>
                <w:highlight w:val="none"/>
                <w:lang w:eastAsia="zh-CN"/>
              </w:rPr>
              <w:t>法定代表人（单位负责人）身份证明</w:t>
            </w:r>
            <w:r>
              <w:rPr>
                <w:rFonts w:hint="eastAsia" w:ascii="仿宋" w:hAnsi="仿宋" w:eastAsia="仿宋" w:cs="仿宋"/>
                <w:bCs/>
                <w:color w:val="auto"/>
                <w:sz w:val="21"/>
                <w:szCs w:val="21"/>
                <w:highlight w:val="none"/>
                <w:lang w:val="en-US" w:eastAsia="zh-CN"/>
              </w:rPr>
              <w:t>基础上，补充提供</w:t>
            </w:r>
            <w:r>
              <w:rPr>
                <w:rFonts w:hint="eastAsia" w:ascii="仿宋" w:hAnsi="仿宋" w:eastAsia="仿宋" w:cs="仿宋"/>
                <w:bCs/>
                <w:color w:val="auto"/>
                <w:sz w:val="21"/>
                <w:szCs w:val="21"/>
                <w:highlight w:val="none"/>
                <w:lang w:eastAsia="zh-CN"/>
              </w:rPr>
              <w:t>授权委托书；缺少签字或盖章的，可以澄清补充，补充后满足上述要求的视为合格。</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74" w:type="pct"/>
            <w:vMerge w:val="continue"/>
            <w:tcBorders>
              <w:left w:val="nil"/>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auto"/>
                <w:kern w:val="0"/>
                <w:sz w:val="21"/>
                <w:szCs w:val="21"/>
                <w:highlight w:val="none"/>
              </w:rPr>
            </w:pPr>
          </w:p>
        </w:tc>
        <w:tc>
          <w:tcPr>
            <w:tcW w:w="1170"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报价文件格式</w:t>
            </w:r>
          </w:p>
        </w:tc>
        <w:tc>
          <w:tcPr>
            <w:tcW w:w="3241" w:type="pct"/>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符合附件3：报价单格式的规定；</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74" w:type="pct"/>
            <w:vMerge w:val="continue"/>
            <w:tcBorders>
              <w:left w:val="nil"/>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auto"/>
                <w:kern w:val="0"/>
                <w:sz w:val="21"/>
                <w:szCs w:val="21"/>
                <w:highlight w:val="none"/>
              </w:rPr>
            </w:pPr>
          </w:p>
        </w:tc>
        <w:tc>
          <w:tcPr>
            <w:tcW w:w="1170"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报价有效期</w:t>
            </w:r>
          </w:p>
        </w:tc>
        <w:tc>
          <w:tcPr>
            <w:tcW w:w="3241"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报价截止之日起【</w:t>
            </w:r>
            <w:r>
              <w:rPr>
                <w:rFonts w:hint="eastAsia" w:ascii="仿宋" w:hAnsi="仿宋" w:eastAsia="仿宋" w:cs="仿宋"/>
                <w:bCs/>
                <w:color w:val="auto"/>
                <w:sz w:val="21"/>
                <w:szCs w:val="21"/>
                <w:highlight w:val="none"/>
                <w:lang w:val="en-US" w:eastAsia="zh-CN"/>
              </w:rPr>
              <w:t>90</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日历日</w:t>
            </w:r>
            <w:r>
              <w:rPr>
                <w:rFonts w:hint="eastAsia" w:ascii="仿宋" w:hAnsi="仿宋" w:eastAsia="仿宋" w:cs="仿宋"/>
                <w:bCs/>
                <w:color w:val="auto"/>
                <w:sz w:val="21"/>
                <w:szCs w:val="21"/>
                <w:highlight w:val="none"/>
                <w:lang w:eastAsia="zh-CN"/>
              </w:rPr>
              <w:t>内保持有效；</w:t>
            </w:r>
          </w:p>
        </w:tc>
      </w:tr>
      <w:tr>
        <w:tblPrEx>
          <w:tblCellMar>
            <w:top w:w="0" w:type="dxa"/>
            <w:left w:w="0" w:type="dxa"/>
            <w:bottom w:w="0" w:type="dxa"/>
            <w:right w:w="0" w:type="dxa"/>
          </w:tblCellMar>
        </w:tblPrEx>
        <w:trPr>
          <w:trHeight w:val="2036"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170" w:type="pct"/>
            <w:tcBorders>
              <w:top w:val="single" w:color="000000" w:sz="4" w:space="0"/>
              <w:left w:val="single" w:color="000000" w:sz="6" w:space="0"/>
              <w:bottom w:val="single" w:color="auto"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★商务资格</w:t>
            </w:r>
          </w:p>
        </w:tc>
        <w:tc>
          <w:tcPr>
            <w:tcW w:w="324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1.营业执照：应答人具有合法有效的企业法人营业执照、税务登记证及组织机构代码证 或证照合一的营业执照，投标时需提供原件扫描件（原件备查）。 应答人为事业单位的，应具有合法有效的事业单位法人证书，投标时需提供原件扫描件（原件备查）。应答人为分公司的，应具有合法有效的营业执照和上级法人单位授权书，分 公司与上级法人单位只可一家参与投标，同时参与投标的，投标均无效。</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2.法定代表人（单位负责人）身份证明</w:t>
            </w:r>
          </w:p>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3.法定代表人授权委托书（如涉及）</w:t>
            </w:r>
          </w:p>
        </w:tc>
      </w:tr>
      <w:tr>
        <w:tblPrEx>
          <w:tblCellMar>
            <w:top w:w="0" w:type="dxa"/>
            <w:left w:w="0" w:type="dxa"/>
            <w:bottom w:w="0" w:type="dxa"/>
            <w:right w:w="0" w:type="dxa"/>
          </w:tblCellMar>
        </w:tblPrEx>
        <w:trPr>
          <w:trHeight w:val="1082"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zhiza</w:t>
            </w: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170" w:type="pct"/>
            <w:tcBorders>
              <w:top w:val="single" w:color="000000" w:sz="4" w:space="0"/>
              <w:left w:val="single" w:color="000000" w:sz="6" w:space="0"/>
              <w:bottom w:val="single" w:color="auto"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★制造商要求</w:t>
            </w:r>
          </w:p>
        </w:tc>
        <w:tc>
          <w:tcPr>
            <w:tcW w:w="324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本次仅限制造商参与，制造商需按照附《制造商承诺书》提供具备生产能力的证明材料</w:t>
            </w:r>
          </w:p>
        </w:tc>
      </w:tr>
      <w:tr>
        <w:tblPrEx>
          <w:tblCellMar>
            <w:top w:w="0" w:type="dxa"/>
            <w:left w:w="0" w:type="dxa"/>
            <w:bottom w:w="0" w:type="dxa"/>
            <w:right w:w="0" w:type="dxa"/>
          </w:tblCellMar>
        </w:tblPrEx>
        <w:trPr>
          <w:trHeight w:val="103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lang w:val="en-US" w:eastAsia="zh-CN"/>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170" w:type="pct"/>
            <w:tcBorders>
              <w:top w:val="single" w:color="000000" w:sz="4" w:space="0"/>
              <w:left w:val="single" w:color="000000" w:sz="6" w:space="0"/>
              <w:bottom w:val="single" w:color="auto"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★自有厂房或租赁厂房</w:t>
            </w:r>
          </w:p>
        </w:tc>
        <w:tc>
          <w:tcPr>
            <w:tcW w:w="324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须提供有效的自有或租赁厂房（应提供土地证或租赁合同）。</w:t>
            </w:r>
          </w:p>
        </w:tc>
      </w:tr>
      <w:tr>
        <w:tblPrEx>
          <w:tblCellMar>
            <w:top w:w="0" w:type="dxa"/>
            <w:left w:w="0" w:type="dxa"/>
            <w:bottom w:w="0" w:type="dxa"/>
            <w:right w:w="0" w:type="dxa"/>
          </w:tblCellMar>
        </w:tblPrEx>
        <w:trPr>
          <w:trHeight w:val="1288"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lang w:val="en-US" w:eastAsia="zh-CN"/>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170" w:type="pct"/>
            <w:tcBorders>
              <w:top w:val="single" w:color="000000" w:sz="4" w:space="0"/>
              <w:left w:val="single" w:color="000000" w:sz="6" w:space="0"/>
              <w:bottom w:val="single" w:color="auto"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★自有加工设备</w:t>
            </w:r>
          </w:p>
        </w:tc>
        <w:tc>
          <w:tcPr>
            <w:tcW w:w="324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须提供自有加工设备证明文件，证明文件应包括：1）具有法律效力的购买合同；2）合同所对应的结算发票、国家税务总局全国增值税发票查验平台的发票查验截图；3）设备照片。</w:t>
            </w:r>
          </w:p>
        </w:tc>
      </w:tr>
      <w:tr>
        <w:tblPrEx>
          <w:tblCellMar>
            <w:top w:w="0" w:type="dxa"/>
            <w:left w:w="0" w:type="dxa"/>
            <w:bottom w:w="0" w:type="dxa"/>
            <w:right w:w="0" w:type="dxa"/>
          </w:tblCellMar>
        </w:tblPrEx>
        <w:trPr>
          <w:trHeight w:val="1642"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kern w:val="0"/>
                <w:sz w:val="21"/>
                <w:szCs w:val="21"/>
                <w:highlight w:val="none"/>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auto"/>
                <w:sz w:val="21"/>
                <w:szCs w:val="21"/>
                <w:highlight w:val="none"/>
                <w:lang w:eastAsia="zh-CN"/>
              </w:rPr>
            </w:pPr>
          </w:p>
        </w:tc>
        <w:tc>
          <w:tcPr>
            <w:tcW w:w="1170" w:type="pct"/>
            <w:tcBorders>
              <w:top w:val="single" w:color="000000" w:sz="4" w:space="0"/>
              <w:left w:val="single" w:color="000000" w:sz="6" w:space="0"/>
              <w:bottom w:val="single" w:color="auto"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w:t>
            </w:r>
          </w:p>
          <w:p>
            <w:pPr>
              <w:pStyle w:val="19"/>
              <w:keepNext w:val="0"/>
              <w:keepLines w:val="0"/>
              <w:suppressLineNumbers w:val="0"/>
              <w:spacing w:before="0" w:beforeAutospacing="0" w:after="0" w:afterAutospacing="0" w:line="300" w:lineRule="exact"/>
              <w:ind w:left="0" w:right="0"/>
              <w:jc w:val="center"/>
              <w:rPr>
                <w:rFonts w:hint="default" w:ascii="仿宋" w:hAnsi="仿宋" w:eastAsia="仿宋" w:cs="仿宋"/>
                <w:color w:val="auto"/>
                <w:kern w:val="2"/>
                <w:sz w:val="21"/>
                <w:szCs w:val="21"/>
                <w:highlight w:val="none"/>
                <w:lang w:val="en-US" w:eastAsia="zh-CN" w:bidi="ar-SA"/>
              </w:rPr>
            </w:pPr>
          </w:p>
        </w:tc>
        <w:tc>
          <w:tcPr>
            <w:tcW w:w="324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2"/>
              </w:numPr>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体系认证文件：</w:t>
            </w:r>
          </w:p>
          <w:p>
            <w:pPr>
              <w:pStyle w:val="19"/>
              <w:keepNext w:val="0"/>
              <w:keepLines w:val="0"/>
              <w:suppressLineNumbers w:val="0"/>
              <w:spacing w:before="0" w:beforeAutospacing="0" w:after="0" w:afterAutospacing="0"/>
              <w:ind w:left="0" w:right="0"/>
              <w:jc w:val="both"/>
              <w:rPr>
                <w:rFonts w:hint="eastAsia"/>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环境管理体系认证、质量管理体系认证、健康安全管理体系认证和国家强制产品认证等相关否决事项，</w:t>
            </w:r>
            <w:r>
              <w:rPr>
                <w:rFonts w:hint="eastAsia" w:ascii="仿宋" w:hAnsi="仿宋" w:eastAsia="仿宋" w:cs="仿宋"/>
                <w:color w:val="000000" w:themeColor="text1"/>
                <w:sz w:val="21"/>
                <w:szCs w:val="21"/>
                <w:highlight w:val="none"/>
                <w:lang w:val="en-US" w:eastAsia="zh-CN"/>
                <w14:textFill>
                  <w14:solidFill>
                    <w14:schemeClr w14:val="tx1"/>
                  </w14:solidFill>
                </w14:textFill>
              </w:rPr>
              <w:t>并可</w:t>
            </w:r>
            <w:r>
              <w:rPr>
                <w:rFonts w:hint="eastAsia" w:ascii="仿宋" w:hAnsi="仿宋" w:eastAsia="仿宋" w:cs="仿宋"/>
                <w:color w:val="000000" w:themeColor="text1"/>
                <w:sz w:val="21"/>
                <w:szCs w:val="21"/>
                <w:highlight w:val="none"/>
                <w:lang w:eastAsia="zh-CN"/>
                <w14:textFill>
                  <w14:solidFill>
                    <w14:schemeClr w14:val="tx1"/>
                  </w14:solidFill>
                </w14:textFill>
              </w:rPr>
              <w:t>在中国国家认证认可监督管理委员会网站（</w: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begin"/>
            </w:r>
            <w:r>
              <w:rPr>
                <w:rFonts w:hint="eastAsia" w:ascii="仿宋" w:hAnsi="仿宋" w:eastAsia="仿宋" w:cs="仿宋"/>
                <w:color w:val="000000" w:themeColor="text1"/>
                <w:sz w:val="21"/>
                <w:szCs w:val="21"/>
                <w:highlight w:val="none"/>
                <w:lang w:eastAsia="zh-CN"/>
                <w14:textFill>
                  <w14:solidFill>
                    <w14:schemeClr w14:val="tx1"/>
                  </w14:solidFill>
                </w14:textFill>
              </w:rPr>
              <w:instrText xml:space="preserve"> HYPERLINK "http://www.cnca.gov.cn）核实" </w:instrTex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separate"/>
            </w:r>
            <w:r>
              <w:rPr>
                <w:rFonts w:hint="eastAsia" w:ascii="仿宋" w:hAnsi="仿宋" w:eastAsia="仿宋" w:cs="仿宋"/>
                <w:color w:val="000000" w:themeColor="text1"/>
                <w:sz w:val="21"/>
                <w:szCs w:val="21"/>
                <w:highlight w:val="none"/>
                <w:lang w:eastAsia="zh-CN"/>
                <w14:textFill>
                  <w14:solidFill>
                    <w14:schemeClr w14:val="tx1"/>
                  </w14:solidFill>
                </w14:textFill>
              </w:rPr>
              <w:t>http://www.cnca.gov.cn）核实</w: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end"/>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1427"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auto" w:sz="4" w:space="0"/>
              <w:left w:val="single" w:color="000000" w:sz="6" w:space="0"/>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eastAsia="zh-CN"/>
                <w14:textFill>
                  <w14:solidFill>
                    <w14:schemeClr w14:val="tx1"/>
                  </w14:solidFill>
                </w14:textFill>
              </w:rPr>
              <w:t>信誉要求</w:t>
            </w:r>
          </w:p>
        </w:tc>
        <w:tc>
          <w:tcPr>
            <w:tcW w:w="3241" w:type="pct"/>
            <w:tcBorders>
              <w:top w:val="single" w:color="auto" w:sz="4" w:space="0"/>
              <w:left w:val="nil"/>
              <w:bottom w:val="single" w:color="000000" w:sz="4" w:space="0"/>
              <w:right w:val="single" w:color="000000" w:sz="4" w:space="0"/>
            </w:tcBorders>
            <w:vAlign w:val="center"/>
          </w:tcPr>
          <w:p>
            <w:pPr>
              <w:keepNext w:val="0"/>
              <w:keepLines w:val="0"/>
              <w:numPr>
                <w:ilvl w:val="0"/>
                <w:numId w:val="0"/>
              </w:numPr>
              <w:suppressLineNumbers w:val="0"/>
              <w:spacing w:before="0" w:beforeAutospacing="0" w:after="0" w:afterAutospacing="0"/>
              <w:ind w:left="0" w:right="0"/>
              <w:rPr>
                <w:rFonts w:hint="default"/>
                <w:strike w:val="0"/>
                <w:dstrike w:val="0"/>
                <w:color w:val="auto"/>
                <w:lang w:val="en-US"/>
              </w:rPr>
            </w:pPr>
            <w:r>
              <w:rPr>
                <w:rFonts w:hint="eastAsia" w:ascii="仿宋" w:hAnsi="仿宋" w:eastAsia="仿宋" w:cs="仿宋"/>
                <w:bCs/>
                <w:strike w:val="0"/>
                <w:dstrike w:val="0"/>
                <w:color w:val="auto"/>
                <w:kern w:val="0"/>
                <w:sz w:val="21"/>
                <w:szCs w:val="21"/>
                <w:highlight w:val="none"/>
                <w:lang w:val="en-US" w:eastAsia="zh-CN" w:bidi="ar-SA"/>
              </w:rPr>
              <w:t>1.应答</w:t>
            </w:r>
            <w:r>
              <w:rPr>
                <w:rFonts w:hint="eastAsia" w:ascii="仿宋" w:hAnsi="仿宋" w:eastAsia="仿宋" w:cs="仿宋"/>
                <w:strike w:val="0"/>
                <w:dstrike w:val="0"/>
                <w:color w:val="auto"/>
                <w:kern w:val="2"/>
                <w:sz w:val="21"/>
                <w:szCs w:val="21"/>
                <w:highlight w:val="none"/>
                <w:lang w:eastAsia="zh-CN"/>
              </w:rPr>
              <w:t>人不得是最高人民法院在“信用中国”网站（</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"http://www.creditchina.gov.cn）或"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www.creditchina.gov.cn）</w:t>
            </w:r>
            <w:r>
              <w:rPr>
                <w:rFonts w:hint="eastAsia" w:ascii="仿宋" w:hAnsi="仿宋" w:eastAsia="仿宋" w:cs="仿宋"/>
                <w:b w:val="0"/>
                <w:bCs w:val="0"/>
                <w:strike w:val="0"/>
                <w:dstrike w:val="0"/>
                <w:color w:val="auto"/>
                <w:kern w:val="2"/>
                <w:sz w:val="21"/>
                <w:szCs w:val="21"/>
                <w:highlight w:val="none"/>
                <w:lang w:val="en-US" w:eastAsia="zh-CN"/>
              </w:rPr>
              <w:t>或</w:t>
            </w:r>
          </w:p>
          <w:p>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strike w:val="0"/>
                <w:dstrike w:val="0"/>
                <w:color w:val="auto"/>
                <w:kern w:val="2"/>
                <w:sz w:val="21"/>
                <w:szCs w:val="21"/>
                <w:highlight w:val="none"/>
                <w:lang w:eastAsia="zh-CN"/>
              </w:rPr>
            </w:pPr>
            <w:r>
              <w:rPr>
                <w:rFonts w:hint="eastAsia" w:ascii="仿宋" w:hAnsi="仿宋" w:eastAsia="仿宋" w:cs="仿宋"/>
                <w:strike w:val="0"/>
                <w:dstrike w:val="0"/>
                <w:color w:val="auto"/>
                <w:kern w:val="2"/>
                <w:sz w:val="21"/>
                <w:szCs w:val="21"/>
                <w:highlight w:val="none"/>
                <w:lang w:eastAsia="zh-CN"/>
              </w:rPr>
              <w:t>“中国执行信息公开网</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kern w:val="2"/>
                <w:sz w:val="21"/>
                <w:szCs w:val="21"/>
                <w:highlight w:val="none"/>
                <w:lang w:eastAsia="zh-CN"/>
              </w:rPr>
              <w:t>”（</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"http://zxgk.court.gov.cn/）列入失信被执行人名单（应附查询结果复印件并加盖单位章"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http://zxgk.court.gov.cn/）列入失信被执行人名单</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sz w:val="21"/>
                <w:szCs w:val="21"/>
                <w:highlight w:val="none"/>
                <w:lang w:eastAsia="zh-CN"/>
              </w:rPr>
              <w:t>；</w:t>
            </w:r>
          </w:p>
          <w:p>
            <w:pPr>
              <w:keepNext w:val="0"/>
              <w:keepLines w:val="0"/>
              <w:numPr>
                <w:ilvl w:val="0"/>
                <w:numId w:val="0"/>
              </w:numPr>
              <w:suppressLineNumbers w:val="0"/>
              <w:spacing w:before="0" w:beforeAutospacing="0" w:after="0" w:afterAutospacing="0"/>
              <w:ind w:left="0" w:right="0"/>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2.</w:t>
            </w:r>
            <w:r>
              <w:rPr>
                <w:rFonts w:hint="eastAsia" w:ascii="仿宋" w:hAnsi="仿宋" w:eastAsia="仿宋" w:cs="仿宋"/>
                <w:strike w:val="0"/>
                <w:dstrike w:val="0"/>
                <w:color w:val="auto"/>
                <w:sz w:val="21"/>
                <w:szCs w:val="21"/>
                <w:highlight w:val="none"/>
                <w:lang w:eastAsia="zh-CN"/>
              </w:rPr>
              <w:t>近</w:t>
            </w:r>
            <w:r>
              <w:rPr>
                <w:rFonts w:hint="eastAsia" w:ascii="仿宋" w:hAnsi="仿宋" w:eastAsia="仿宋" w:cs="仿宋"/>
                <w:strike w:val="0"/>
                <w:dstrike w:val="0"/>
                <w:color w:val="auto"/>
                <w:sz w:val="21"/>
                <w:szCs w:val="21"/>
                <w:highlight w:val="none"/>
                <w:lang w:val="en-US" w:eastAsia="zh-CN"/>
              </w:rPr>
              <w:t>3</w:t>
            </w:r>
            <w:r>
              <w:rPr>
                <w:rFonts w:hint="eastAsia" w:ascii="仿宋" w:hAnsi="仿宋" w:eastAsia="仿宋" w:cs="仿宋"/>
                <w:strike w:val="0"/>
                <w:dstrike w:val="0"/>
                <w:color w:val="auto"/>
                <w:sz w:val="21"/>
                <w:szCs w:val="21"/>
                <w:highlight w:val="none"/>
                <w:lang w:eastAsia="zh-CN"/>
              </w:rPr>
              <w:t>年（20</w:t>
            </w:r>
            <w:r>
              <w:rPr>
                <w:rFonts w:hint="eastAsia" w:ascii="仿宋" w:hAnsi="仿宋" w:eastAsia="仿宋" w:cs="仿宋"/>
                <w:strike w:val="0"/>
                <w:dstrike w:val="0"/>
                <w:color w:val="auto"/>
                <w:sz w:val="21"/>
                <w:szCs w:val="21"/>
                <w:highlight w:val="none"/>
                <w:lang w:val="en-US" w:eastAsia="zh-CN"/>
              </w:rPr>
              <w:t>22</w:t>
            </w:r>
            <w:r>
              <w:rPr>
                <w:rFonts w:hint="eastAsia" w:ascii="仿宋" w:hAnsi="仿宋" w:eastAsia="仿宋" w:cs="仿宋"/>
                <w:strike w:val="0"/>
                <w:dstrike w:val="0"/>
                <w:color w:val="auto"/>
                <w:sz w:val="21"/>
                <w:szCs w:val="21"/>
                <w:highlight w:val="none"/>
                <w:lang w:eastAsia="zh-CN"/>
              </w:rPr>
              <w:t>年</w:t>
            </w:r>
            <w:r>
              <w:rPr>
                <w:rFonts w:hint="eastAsia" w:ascii="仿宋" w:hAnsi="仿宋" w:eastAsia="仿宋" w:cs="仿宋"/>
                <w:strike w:val="0"/>
                <w:dstrike w:val="0"/>
                <w:color w:val="auto"/>
                <w:sz w:val="21"/>
                <w:szCs w:val="21"/>
                <w:highlight w:val="none"/>
                <w:lang w:val="en-US" w:eastAsia="zh-CN"/>
              </w:rPr>
              <w:t>1</w:t>
            </w:r>
            <w:r>
              <w:rPr>
                <w:rFonts w:hint="eastAsia" w:ascii="仿宋" w:hAnsi="仿宋" w:eastAsia="仿宋" w:cs="仿宋"/>
                <w:strike w:val="0"/>
                <w:dstrike w:val="0"/>
                <w:color w:val="auto"/>
                <w:sz w:val="21"/>
                <w:szCs w:val="21"/>
                <w:highlight w:val="none"/>
                <w:lang w:eastAsia="zh-CN"/>
              </w:rPr>
              <w:t>月</w:t>
            </w:r>
            <w:r>
              <w:rPr>
                <w:rFonts w:hint="eastAsia" w:ascii="仿宋" w:hAnsi="仿宋" w:eastAsia="仿宋" w:cs="仿宋"/>
                <w:strike w:val="0"/>
                <w:dstrike w:val="0"/>
                <w:color w:val="auto"/>
                <w:sz w:val="21"/>
                <w:szCs w:val="21"/>
                <w:highlight w:val="none"/>
                <w:lang w:val="en-US" w:eastAsia="zh-CN"/>
              </w:rPr>
              <w:t>1</w:t>
            </w:r>
            <w:r>
              <w:rPr>
                <w:rFonts w:hint="eastAsia" w:ascii="仿宋" w:hAnsi="仿宋" w:eastAsia="仿宋" w:cs="仿宋"/>
                <w:strike w:val="0"/>
                <w:dstrike w:val="0"/>
                <w:color w:val="auto"/>
                <w:sz w:val="21"/>
                <w:szCs w:val="21"/>
                <w:highlight w:val="none"/>
                <w:lang w:eastAsia="zh-CN"/>
              </w:rPr>
              <w:t>日-报价截止日前）内应答人或其法定代</w:t>
            </w:r>
            <w:r>
              <w:rPr>
                <w:rFonts w:hint="eastAsia" w:ascii="仿宋" w:hAnsi="仿宋" w:eastAsia="仿宋" w:cs="仿宋"/>
                <w:b w:val="0"/>
                <w:bCs w:val="0"/>
                <w:strike w:val="0"/>
                <w:dstrike w:val="0"/>
                <w:color w:val="auto"/>
                <w:sz w:val="21"/>
                <w:szCs w:val="21"/>
                <w:highlight w:val="none"/>
                <w:lang w:eastAsia="zh-CN"/>
              </w:rPr>
              <w:t>表人、拟委任的项目负责人不得有行贿犯罪行为，查询网站为“中国裁判文书网”http://wenshu.court.gov.cn）；</w:t>
            </w:r>
          </w:p>
          <w:p>
            <w:pPr>
              <w:keepNext w:val="0"/>
              <w:keepLines w:val="0"/>
              <w:suppressLineNumbers w:val="0"/>
              <w:spacing w:before="0" w:beforeAutospacing="0" w:after="0" w:afterAutospacing="0"/>
              <w:ind w:left="0" w:right="0"/>
              <w:jc w:val="both"/>
              <w:rPr>
                <w:rFonts w:hint="eastAsia" w:ascii="仿宋" w:hAnsi="仿宋" w:eastAsia="仿宋" w:cs="仿宋"/>
                <w:b w:val="0"/>
                <w:bCs w:val="0"/>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3.</w:t>
            </w:r>
            <w:r>
              <w:rPr>
                <w:rFonts w:hint="eastAsia" w:ascii="仿宋" w:hAnsi="仿宋" w:eastAsia="仿宋" w:cs="仿宋"/>
                <w:strike w:val="0"/>
                <w:dstrike w:val="0"/>
                <w:color w:val="auto"/>
                <w:sz w:val="21"/>
                <w:szCs w:val="21"/>
                <w:highlight w:val="none"/>
                <w:lang w:eastAsia="zh-CN"/>
              </w:rPr>
              <w:t>应答人不得被工商行政管理机关在全国企业信用信息公示系统（http://www.gsxt.gov.cn）中列入严重违法失信企业名单</w:t>
            </w:r>
            <w:r>
              <w:rPr>
                <w:rFonts w:hint="eastAsia" w:ascii="仿宋" w:hAnsi="仿宋" w:eastAsia="仿宋" w:cs="仿宋"/>
                <w:b w:val="0"/>
                <w:bCs w:val="0"/>
                <w:strike w:val="0"/>
                <w:dstrike w:val="0"/>
                <w:color w:val="auto"/>
                <w:sz w:val="21"/>
                <w:szCs w:val="21"/>
                <w:highlight w:val="none"/>
                <w:lang w:eastAsia="zh-CN"/>
              </w:rPr>
              <w:t>。事业单位、大学除外。</w:t>
            </w:r>
          </w:p>
          <w:p>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4.应答人</w:t>
            </w:r>
            <w:r>
              <w:rPr>
                <w:rFonts w:hint="eastAsia" w:ascii="仿宋" w:hAnsi="仿宋" w:eastAsia="仿宋" w:cs="仿宋"/>
                <w:strike w:val="0"/>
                <w:dstrike w:val="0"/>
                <w:color w:val="auto"/>
                <w:sz w:val="21"/>
                <w:szCs w:val="21"/>
                <w:highlight w:val="none"/>
                <w:lang w:eastAsia="zh-CN"/>
              </w:rPr>
              <w:t>与本采购项目其他应答人不得存在控股关系或管理关系、单位负责人为同一人的情形。</w:t>
            </w:r>
            <w:r>
              <w:rPr>
                <w:rFonts w:hint="eastAsia" w:ascii="仿宋" w:hAnsi="仿宋" w:eastAsia="仿宋" w:cs="仿宋"/>
                <w:strike w:val="0"/>
                <w:dstrike w:val="0"/>
                <w:color w:val="auto"/>
                <w:szCs w:val="21"/>
                <w:highlight w:val="none"/>
                <w:lang w:eastAsia="zh-CN"/>
              </w:rPr>
              <w:t>在非公开采购项目中，严禁存在控股关系或管理关系、单位负责人为同一人、同一自然人同时持有两家公司非公开上市股份</w:t>
            </w:r>
            <w:r>
              <w:rPr>
                <w:rFonts w:hint="eastAsia" w:ascii="仿宋" w:hAnsi="仿宋" w:eastAsia="仿宋" w:cs="仿宋"/>
                <w:strike w:val="0"/>
                <w:dstrike w:val="0"/>
                <w:color w:val="auto"/>
                <w:szCs w:val="21"/>
                <w:highlight w:val="none"/>
                <w:lang w:val="en-US" w:eastAsia="zh-CN"/>
              </w:rPr>
              <w:t>的</w:t>
            </w:r>
            <w:r>
              <w:rPr>
                <w:rFonts w:hint="eastAsia" w:ascii="仿宋" w:hAnsi="仿宋" w:eastAsia="仿宋" w:cs="仿宋"/>
                <w:strike w:val="0"/>
                <w:dstrike w:val="0"/>
                <w:color w:val="auto"/>
                <w:szCs w:val="21"/>
                <w:highlight w:val="none"/>
                <w:lang w:eastAsia="zh-CN"/>
              </w:rPr>
              <w:t>情形。</w:t>
            </w:r>
          </w:p>
          <w:p>
            <w:pPr>
              <w:keepNext w:val="0"/>
              <w:keepLines w:val="0"/>
              <w:numPr>
                <w:ilvl w:val="0"/>
                <w:numId w:val="0"/>
              </w:numPr>
              <w:suppressLineNumbers w:val="0"/>
              <w:spacing w:before="0" w:beforeAutospacing="0" w:after="0" w:afterAutospacing="0"/>
              <w:ind w:left="0" w:right="0"/>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pPr>
            <w:r>
              <w:rPr>
                <w:rFonts w:hint="eastAsia" w:ascii="仿宋" w:hAnsi="仿宋" w:eastAsia="仿宋" w:cs="仿宋"/>
                <w:strike w:val="0"/>
                <w:dstrike w:val="0"/>
                <w:color w:val="000000" w:themeColor="text1"/>
                <w:sz w:val="21"/>
                <w:szCs w:val="21"/>
                <w:highlight w:val="none"/>
                <w:lang w:val="en-US" w:eastAsia="zh-CN"/>
                <w14:textFill>
                  <w14:solidFill>
                    <w14:schemeClr w14:val="tx1"/>
                  </w14:solidFill>
                </w14:textFill>
              </w:rPr>
              <w:t>5.</w:t>
            </w:r>
            <w:r>
              <w:rPr>
                <w:rFonts w:hint="eastAsia" w:ascii="仿宋" w:hAnsi="仿宋" w:eastAsia="仿宋" w:cs="仿宋"/>
                <w:strike w:val="0"/>
                <w:dstrike w:val="0"/>
                <w:color w:val="0000FF"/>
                <w:sz w:val="21"/>
                <w:szCs w:val="21"/>
                <w:highlight w:val="none"/>
                <w:lang w:eastAsia="zh-CN"/>
              </w:rPr>
              <w:t>应答人应在应答文件中提供其公司章程</w:t>
            </w:r>
            <w:r>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t>或其他能够体现出资人、股东信息的法定文件，作为评标/评审时的依据。</w:t>
            </w:r>
          </w:p>
          <w:p>
            <w:pPr>
              <w:keepNext w:val="0"/>
              <w:keepLines w:val="0"/>
              <w:suppressLineNumbers w:val="0"/>
              <w:spacing w:before="0" w:beforeAutospacing="0" w:after="0" w:afterAutospacing="0"/>
              <w:ind w:left="0" w:right="0"/>
              <w:rPr>
                <w:rFonts w:hint="default"/>
              </w:rPr>
            </w:pPr>
          </w:p>
          <w:p>
            <w:pPr>
              <w:keepNext w:val="0"/>
              <w:keepLines w:val="0"/>
              <w:numPr>
                <w:ilvl w:val="0"/>
                <w:numId w:val="0"/>
              </w:numPr>
              <w:suppressLineNumbers w:val="0"/>
              <w:spacing w:before="0" w:beforeAutospacing="0" w:after="0" w:afterAutospacing="0"/>
              <w:ind w:left="0" w:right="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6.</w:t>
            </w:r>
            <w:r>
              <w:rPr>
                <w:rFonts w:hint="eastAsia" w:ascii="仿宋" w:hAnsi="仿宋" w:eastAsia="仿宋" w:cs="仿宋"/>
                <w:color w:val="000000" w:themeColor="text1"/>
                <w:sz w:val="21"/>
                <w:szCs w:val="21"/>
                <w:highlight w:val="none"/>
                <w:lang w:eastAsia="zh-CN"/>
                <w14:textFill>
                  <w14:solidFill>
                    <w14:schemeClr w14:val="tx1"/>
                  </w14:solidFill>
                </w14:textFill>
              </w:rPr>
              <w:t>应答人承诺：中国海油在职员工（不含正式派出的）未有在应答人单位担任股东、法人代表、董事、监事和其他任职人员的情形。</w:t>
            </w:r>
          </w:p>
          <w:p>
            <w:pPr>
              <w:keepNext w:val="0"/>
              <w:keepLines w:val="0"/>
              <w:numPr>
                <w:ilvl w:val="0"/>
                <w:numId w:val="0"/>
              </w:numPr>
              <w:suppressLineNumbers w:val="0"/>
              <w:spacing w:before="0" w:beforeAutospacing="0" w:after="0" w:afterAutospacing="0"/>
              <w:ind w:left="0" w:right="0"/>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C00000"/>
                <w:sz w:val="21"/>
                <w:szCs w:val="21"/>
                <w:highlight w:val="none"/>
                <w:lang w:val="en-US" w:eastAsia="zh-CN"/>
              </w:rPr>
              <w:t>上述要求应答人应提供供应商承诺书。</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000000" w:sz="4" w:space="0"/>
              <w:left w:val="single" w:color="000000" w:sz="6" w:space="0"/>
              <w:bottom w:val="single" w:color="000000" w:sz="4" w:space="0"/>
              <w:right w:val="single" w:color="000000" w:sz="4" w:space="0"/>
            </w:tcBorders>
            <w:vAlign w:val="center"/>
          </w:tcPr>
          <w:p>
            <w:pPr>
              <w:pStyle w:val="19"/>
              <w:keepNext w:val="0"/>
              <w:keepLines w:val="0"/>
              <w:numPr>
                <w:ilvl w:val="-1"/>
                <w:numId w:val="0"/>
              </w:numPr>
              <w:suppressLineNumbers w:val="0"/>
              <w:spacing w:before="0" w:beforeAutospacing="0" w:after="0" w:afterAutospacing="0"/>
              <w:ind w:left="0" w:right="0"/>
              <w:jc w:val="both"/>
              <w:rPr>
                <w:rFonts w:hint="eastAsia" w:ascii="仿宋" w:hAnsi="仿宋" w:eastAsia="仿宋" w:cs="仿宋"/>
                <w:color w:val="C00000"/>
                <w:kern w:val="2"/>
                <w:sz w:val="21"/>
                <w:szCs w:val="21"/>
                <w:highlight w:val="none"/>
                <w:lang w:eastAsia="zh-CN"/>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应答人或应答人所提供的第三方不得存在的其他情形</w:t>
            </w:r>
          </w:p>
          <w:p>
            <w:pPr>
              <w:pStyle w:val="19"/>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highlight w:val="none"/>
                <w:lang w:eastAsia="zh-CN"/>
                <w14:textFill>
                  <w14:solidFill>
                    <w14:schemeClr w14:val="tx1"/>
                  </w14:solidFill>
                </w14:textFill>
              </w:rPr>
            </w:pPr>
          </w:p>
        </w:tc>
        <w:tc>
          <w:tcPr>
            <w:tcW w:w="3241"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被中国海洋石油集团有限公司在集团范围内进行风险提示，且在中国海洋石油集团有限公司《中国海油供应链数字化平台》中被采购冻结，进入调查程序的；</w:t>
            </w:r>
          </w:p>
          <w:p>
            <w:pPr>
              <w:pStyle w:val="19"/>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被中国海洋石油集团有限公司处以“取消投标资格”及以上处罚，且仍在处罚期内或处罚期满但在系统中的供应商档案中的“档案状态”为“采购冻结”、“业务状态”为“冻结”的；</w:t>
            </w:r>
          </w:p>
          <w:p>
            <w:pPr>
              <w:pStyle w:val="19"/>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z w:val="21"/>
                <w:szCs w:val="21"/>
                <w:highlight w:val="none"/>
                <w:lang w:eastAsia="zh-CN"/>
                <w14:textFill>
                  <w14:solidFill>
                    <w14:schemeClr w14:val="tx1"/>
                  </w14:solidFill>
                </w14:textFill>
              </w:rPr>
              <w:t>被</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s="仿宋"/>
                <w:color w:val="000000" w:themeColor="text1"/>
                <w:sz w:val="21"/>
                <w:szCs w:val="21"/>
                <w:highlight w:val="none"/>
                <w:lang w:eastAsia="zh-CN"/>
                <w14:textFill>
                  <w14:solidFill>
                    <w14:schemeClr w14:val="tx1"/>
                  </w14:solidFill>
                </w14:textFill>
              </w:rPr>
              <w:t>人所属单位处以“取消投标资格”及以上处罚，且仍在处罚期内或处罚期满但在系统中的供应商档案中的“业务状态”为冻结的；</w:t>
            </w:r>
          </w:p>
        </w:tc>
      </w:tr>
      <w:tr>
        <w:tblPrEx>
          <w:tblCellMar>
            <w:top w:w="0" w:type="dxa"/>
            <w:left w:w="0" w:type="dxa"/>
            <w:bottom w:w="0" w:type="dxa"/>
            <w:right w:w="0" w:type="dxa"/>
          </w:tblCellMar>
        </w:tblPrEx>
        <w:trPr>
          <w:trHeight w:val="478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left w:val="single" w:color="000000" w:sz="6" w:space="0"/>
              <w:right w:val="single" w:color="000000" w:sz="6"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000000" w:sz="4" w:space="0"/>
              <w:left w:val="single" w:color="000000" w:sz="6" w:space="0"/>
              <w:bottom w:val="single" w:color="000000" w:sz="4" w:space="0"/>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b w:val="0"/>
                <w:bCs/>
                <w:color w:val="000000" w:themeColor="text1"/>
                <w:sz w:val="21"/>
                <w:szCs w:val="21"/>
                <w:highlight w:val="none"/>
                <w:lang w:eastAsia="zh-CN"/>
                <w14:textFill>
                  <w14:solidFill>
                    <w14:schemeClr w14:val="tx1"/>
                  </w14:solidFill>
                </w14:textFill>
              </w:rPr>
              <w:t>业绩要求（</w:t>
            </w:r>
            <w:r>
              <w:rPr>
                <w:rFonts w:hint="eastAsia" w:ascii="仿宋" w:hAnsi="仿宋" w:eastAsia="仿宋" w:cs="仿宋"/>
                <w:b w:val="0"/>
                <w:bCs/>
                <w:color w:val="000000" w:themeColor="text1"/>
                <w:sz w:val="21"/>
                <w:szCs w:val="21"/>
                <w:highlight w:val="none"/>
                <w14:textFill>
                  <w14:solidFill>
                    <w14:schemeClr w14:val="tx1"/>
                  </w14:solidFill>
                </w14:textFill>
              </w:rPr>
              <w:t>（提示：提供的证明材料必须完全涵盖</w:t>
            </w: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要求的</w:t>
            </w:r>
            <w:r>
              <w:rPr>
                <w:rFonts w:hint="eastAsia" w:ascii="仿宋" w:hAnsi="仿宋" w:eastAsia="仿宋" w:cs="仿宋"/>
                <w:b w:val="0"/>
                <w:bCs/>
                <w:color w:val="000000" w:themeColor="text1"/>
                <w:sz w:val="21"/>
                <w:szCs w:val="21"/>
                <w:highlight w:val="none"/>
                <w14:textFill>
                  <w14:solidFill>
                    <w14:schemeClr w14:val="tx1"/>
                  </w14:solidFill>
                </w14:textFill>
              </w:rPr>
              <w:t>内容，否则视为无效业绩，缺少任何1项都将影响评审结果）</w:t>
            </w:r>
            <w:r>
              <w:rPr>
                <w:rFonts w:hint="eastAsia" w:ascii="仿宋" w:hAnsi="仿宋" w:eastAsia="仿宋" w:cs="仿宋"/>
                <w:b w:val="0"/>
                <w:bCs/>
                <w:color w:val="000000" w:themeColor="text1"/>
                <w:sz w:val="21"/>
                <w:szCs w:val="21"/>
                <w:highlight w:val="none"/>
                <w:lang w:eastAsia="zh-CN"/>
                <w14:textFill>
                  <w14:solidFill>
                    <w14:schemeClr w14:val="tx1"/>
                  </w14:solidFill>
                </w14:textFill>
              </w:rPr>
              <w:t>）</w:t>
            </w:r>
          </w:p>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3241"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1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1.</w:t>
            </w:r>
            <w:r>
              <w:rPr>
                <w:rFonts w:hint="eastAsia" w:ascii="仿宋" w:hAnsi="仿宋" w:eastAsia="仿宋" w:cs="仿宋"/>
                <w:b/>
                <w:bCs/>
                <w:color w:val="000000" w:themeColor="text1"/>
                <w:sz w:val="21"/>
                <w:szCs w:val="21"/>
                <w:highlight w:val="none"/>
                <w14:textFill>
                  <w14:solidFill>
                    <w14:schemeClr w14:val="tx1"/>
                  </w14:solidFill>
                </w14:textFill>
              </w:rPr>
              <w:t>货物类</w:t>
            </w:r>
            <w:r>
              <w:rPr>
                <w:rFonts w:hint="eastAsia" w:ascii="仿宋" w:hAnsi="仿宋" w:eastAsia="仿宋" w:cs="仿宋"/>
                <w:color w:val="000000" w:themeColor="text1"/>
                <w:sz w:val="21"/>
                <w:szCs w:val="21"/>
                <w:highlight w:val="none"/>
                <w14:textFill>
                  <w14:solidFill>
                    <w14:schemeClr w14:val="tx1"/>
                  </w14:solidFill>
                </w14:textFill>
              </w:rPr>
              <w:t>：</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color w:val="000000" w:themeColor="text1"/>
                <w:kern w:val="0"/>
                <w:sz w:val="21"/>
                <w:szCs w:val="21"/>
                <w:highlight w:val="none"/>
                <w:lang w:val="en-US" w:eastAsia="en-US" w:bidi="ar-SA"/>
                <w14:textFill>
                  <w14:solidFill>
                    <w14:schemeClr w14:val="tx1"/>
                  </w14:solidFill>
                </w14:textFill>
              </w:rPr>
            </w:pPr>
            <w:r>
              <w:rPr>
                <w:rFonts w:hint="eastAsia" w:ascii="仿宋" w:hAnsi="仿宋" w:eastAsia="仿宋" w:cs="仿宋"/>
                <w:b w:val="0"/>
                <w:bCs/>
                <w:color w:val="000000" w:themeColor="text1"/>
                <w:kern w:val="0"/>
                <w:sz w:val="21"/>
                <w:szCs w:val="21"/>
                <w:highlight w:val="none"/>
                <w:lang w:val="en-US" w:eastAsia="en-US" w:bidi="ar-SA"/>
                <w14:textFill>
                  <w14:solidFill>
                    <w14:schemeClr w14:val="tx1"/>
                  </w14:solidFill>
                </w14:textFill>
              </w:rPr>
              <w:t>（1）卖方在近3年（2022年1月1日-递交响应文件截止）内至少具有1项完成供货的除盐水撬装设备或双膜法水处理</w:t>
            </w:r>
            <w:r>
              <w:rPr>
                <w:rFonts w:hint="eastAsia" w:ascii="仿宋" w:hAnsi="仿宋" w:eastAsia="仿宋" w:cs="仿宋"/>
                <w:b w:val="0"/>
                <w:bCs/>
                <w:color w:val="000000" w:themeColor="text1"/>
                <w:kern w:val="0"/>
                <w:sz w:val="21"/>
                <w:szCs w:val="21"/>
                <w:highlight w:val="none"/>
                <w:lang w:val="en-US" w:eastAsia="zh-CN" w:bidi="ar-SA"/>
                <w14:textFill>
                  <w14:solidFill>
                    <w14:schemeClr w14:val="tx1"/>
                  </w14:solidFill>
                </w14:textFill>
              </w:rPr>
              <w:t>设备</w:t>
            </w:r>
            <w:r>
              <w:rPr>
                <w:rFonts w:hint="eastAsia" w:ascii="仿宋" w:hAnsi="仿宋" w:eastAsia="仿宋" w:cs="仿宋"/>
                <w:b w:val="0"/>
                <w:bCs/>
                <w:color w:val="000000" w:themeColor="text1"/>
                <w:kern w:val="0"/>
                <w:sz w:val="21"/>
                <w:szCs w:val="21"/>
                <w:highlight w:val="none"/>
                <w:lang w:val="en-US" w:eastAsia="en-US" w:bidi="ar-SA"/>
                <w14:textFill>
                  <w14:solidFill>
                    <w14:schemeClr w14:val="tx1"/>
                  </w14:solidFill>
                </w14:textFill>
              </w:rPr>
              <w:t>供货业绩，并提供相应业绩证明文件。提供的业绩证明文件应包括：1）具有法律效力的业绩合同；2）合同所对应的结算发票；3）国家税务总局全国增值税发票查验平台的发票查验截图。（提供的业绩证明材料必须完全涵盖以上内容，否则视为无效业绩，缺少任何1项都将影响评审结果）</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color w:val="000000" w:themeColor="text1"/>
                <w:kern w:val="0"/>
                <w:sz w:val="21"/>
                <w:szCs w:val="21"/>
                <w:highlight w:val="none"/>
                <w:lang w:val="en-US" w:eastAsia="en-US" w:bidi="ar-SA"/>
                <w14:textFill>
                  <w14:solidFill>
                    <w14:schemeClr w14:val="tx1"/>
                  </w14:solidFill>
                </w14:textFill>
              </w:rPr>
            </w:pPr>
            <w:r>
              <w:rPr>
                <w:rFonts w:hint="eastAsia" w:ascii="仿宋" w:hAnsi="仿宋" w:eastAsia="仿宋" w:cs="仿宋"/>
                <w:b w:val="0"/>
                <w:bCs/>
                <w:color w:val="000000" w:themeColor="text1"/>
                <w:kern w:val="0"/>
                <w:sz w:val="21"/>
                <w:szCs w:val="21"/>
                <w:highlight w:val="none"/>
                <w:lang w:val="en-US" w:eastAsia="en-US" w:bidi="ar-SA"/>
                <w14:textFill>
                  <w14:solidFill>
                    <w14:schemeClr w14:val="tx1"/>
                  </w14:solidFill>
                </w14:textFill>
              </w:rPr>
              <w:t>（2）若业绩合同为年度协议，还应至少提供1项完成订单的订单页以及所对应的结算发票。同一个年协合同提供1项及以上订单的均算为1个有效业绩（提供的业绩证明材料必须完全涵盖以上内容，否则视为无效业绩，缺少任何1项都将影响评审结果）。</w:t>
            </w:r>
          </w:p>
          <w:p>
            <w:pPr>
              <w:keepNext w:val="0"/>
              <w:keepLines w:val="0"/>
              <w:suppressLineNumbers w:val="0"/>
              <w:spacing w:before="0" w:beforeAutospacing="0" w:after="0" w:afterAutospacing="0" w:line="240" w:lineRule="auto"/>
              <w:ind w:left="0" w:right="0" w:firstLine="420" w:firstLineChars="20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val="0"/>
                <w:bCs/>
                <w:color w:val="000000" w:themeColor="text1"/>
                <w:kern w:val="0"/>
                <w:sz w:val="21"/>
                <w:szCs w:val="21"/>
                <w:highlight w:val="none"/>
                <w:lang w:val="en-US" w:eastAsia="en-US" w:bidi="ar-SA"/>
                <w14:textFill>
                  <w14:solidFill>
                    <w14:schemeClr w14:val="tx1"/>
                  </w14:solidFill>
                </w14:textFill>
              </w:rPr>
              <w:t>（3）未提供业绩证明文件或提供的业绩证明文件无法认定上述业绩要求的，视为无效业绩，将影响评审结果。</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170" w:type="pct"/>
            <w:tcBorders>
              <w:top w:val="single" w:color="auto" w:sz="4" w:space="0"/>
              <w:left w:val="single" w:color="000000" w:sz="6" w:space="0"/>
              <w:bottom w:val="nil"/>
              <w:right w:val="single" w:color="000000"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付款条款</w:t>
            </w:r>
          </w:p>
        </w:tc>
        <w:tc>
          <w:tcPr>
            <w:tcW w:w="3241" w:type="pct"/>
            <w:tcBorders>
              <w:top w:val="single" w:color="auto" w:sz="4" w:space="0"/>
              <w:left w:val="nil"/>
              <w:bottom w:val="nil"/>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付款方式：</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银行电汇、银行承兑及以上两种方式的组合。</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结算方式：</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现场完成验收后10日内卖方向买方提交双方确认的货物验收单、合法有效对应税率的全额增值税专用发票，买方收到相关付款资料（包括发票、送货单、合同复印件、货物验收单）审核确认无误后45个工作日内向卖方支付97%货款。质保到期后所供货物无质量问题买方45个工作日内向卖方支付剩余3%货款。</w:t>
            </w:r>
          </w:p>
          <w:p>
            <w:pPr>
              <w:pStyle w:val="7"/>
              <w:ind w:left="0" w:leftChars="0" w:right="11" w:firstLine="0" w:firstLineChars="0"/>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质保期：装置开车后12个月或货到验收合格后18个月，以先到为准。</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ind w:left="0" w:right="0"/>
              <w:rPr>
                <w:rFonts w:hint="default"/>
              </w:rPr>
            </w:pPr>
          </w:p>
        </w:tc>
        <w:tc>
          <w:tcPr>
            <w:tcW w:w="274" w:type="pct"/>
            <w:vMerge w:val="continue"/>
            <w:tcBorders>
              <w:left w:val="single" w:color="000000" w:sz="6" w:space="0"/>
              <w:right w:val="single" w:color="000000" w:sz="6" w:space="0"/>
            </w:tcBorders>
            <w:vAlign w:val="center"/>
          </w:tcPr>
          <w:p>
            <w:pPr>
              <w:keepNext w:val="0"/>
              <w:keepLines w:val="0"/>
              <w:suppressLineNumbers w:val="0"/>
              <w:spacing w:before="0" w:beforeAutospacing="0" w:after="0" w:afterAutospacing="0"/>
              <w:ind w:left="0" w:right="0"/>
              <w:rPr>
                <w:rFonts w:hint="default"/>
              </w:rPr>
            </w:pPr>
          </w:p>
        </w:tc>
        <w:tc>
          <w:tcPr>
            <w:tcW w:w="1170" w:type="pct"/>
            <w:tcBorders>
              <w:top w:val="single" w:color="000000" w:sz="4" w:space="0"/>
              <w:left w:val="single" w:color="000000" w:sz="6"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eastAsiaTheme="minorEastAsia"/>
                <w:lang w:val="en-US" w:eastAsia="zh-CN"/>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合同条款</w:t>
            </w:r>
          </w:p>
        </w:tc>
        <w:tc>
          <w:tcPr>
            <w:tcW w:w="3241" w:type="pct"/>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详见合同文本</w:t>
            </w:r>
          </w:p>
        </w:tc>
      </w:tr>
      <w:tr>
        <w:tblPrEx>
          <w:tblCellMar>
            <w:top w:w="0" w:type="dxa"/>
            <w:left w:w="0" w:type="dxa"/>
            <w:bottom w:w="0" w:type="dxa"/>
            <w:right w:w="0" w:type="dxa"/>
          </w:tblCellMar>
        </w:tblPrEx>
        <w:trPr>
          <w:trHeight w:val="454" w:hRule="atLeast"/>
          <w:jc w:val="center"/>
        </w:trPr>
        <w:tc>
          <w:tcPr>
            <w:tcW w:w="313"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170" w:type="pct"/>
            <w:tcBorders>
              <w:top w:val="single" w:color="000000" w:sz="4" w:space="0"/>
              <w:left w:val="single" w:color="000000" w:sz="6" w:space="0"/>
              <w:bottom w:val="single" w:color="000000" w:sz="4" w:space="0"/>
              <w:right w:val="single" w:color="000000" w:sz="4" w:space="0"/>
            </w:tcBorders>
            <w:vAlign w:val="center"/>
          </w:tcPr>
          <w:p>
            <w:pPr>
              <w:pStyle w:val="19"/>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★商务偏离要求</w:t>
            </w:r>
          </w:p>
        </w:tc>
        <w:tc>
          <w:tcPr>
            <w:tcW w:w="3241" w:type="pct"/>
            <w:tcBorders>
              <w:top w:val="single" w:color="000000" w:sz="4" w:space="0"/>
              <w:left w:val="nil"/>
              <w:bottom w:val="single" w:color="000000" w:sz="4" w:space="0"/>
              <w:right w:val="single" w:color="000000" w:sz="4" w:space="0"/>
            </w:tcBorders>
            <w:vAlign w:val="center"/>
          </w:tcPr>
          <w:p>
            <w:pPr>
              <w:pStyle w:val="19"/>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1.一般商务指标偏离超过2项，则评议不合格。</w:t>
            </w:r>
          </w:p>
          <w:p>
            <w:pPr>
              <w:pStyle w:val="19"/>
              <w:keepNext w:val="0"/>
              <w:keepLines w:val="0"/>
              <w:suppressLineNumbers w:val="0"/>
              <w:spacing w:before="0" w:beforeAutospacing="0" w:after="0" w:afterAutospacing="0"/>
              <w:ind w:left="0" w:right="0"/>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19"/>
              <w:keepNext w:val="0"/>
              <w:keepLines w:val="0"/>
              <w:suppressLineNumbers w:val="0"/>
              <w:spacing w:before="0" w:beforeAutospacing="0" w:after="0" w:afterAutospacing="0"/>
              <w:ind w:left="0" w:right="0"/>
              <w:jc w:val="both"/>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3.商务偏离表，不提供视为无偏离。</w:t>
            </w:r>
          </w:p>
        </w:tc>
      </w:tr>
      <w:tr>
        <w:tblPrEx>
          <w:tblCellMar>
            <w:top w:w="0" w:type="dxa"/>
            <w:left w:w="0" w:type="dxa"/>
            <w:bottom w:w="0" w:type="dxa"/>
            <w:right w:w="0" w:type="dxa"/>
          </w:tblCellMar>
        </w:tblPrEx>
        <w:trPr>
          <w:trHeight w:val="1543" w:hRule="atLeast"/>
          <w:jc w:val="center"/>
        </w:trPr>
        <w:tc>
          <w:tcPr>
            <w:tcW w:w="313" w:type="pct"/>
            <w:vMerge w:val="restart"/>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2</w:t>
            </w:r>
          </w:p>
        </w:tc>
        <w:tc>
          <w:tcPr>
            <w:tcW w:w="274" w:type="pct"/>
            <w:vMerge w:val="restart"/>
            <w:tcBorders>
              <w:top w:val="single" w:color="auto" w:sz="4" w:space="0"/>
              <w:left w:val="single" w:color="auto" w:sz="4" w:space="0"/>
              <w:bottom w:val="single" w:color="auto" w:sz="4" w:space="0"/>
              <w:right w:val="single" w:color="auto" w:sz="4" w:space="0"/>
            </w:tcBorders>
            <w:textDirection w:val="tbRlV"/>
            <w:vAlign w:val="center"/>
          </w:tcPr>
          <w:p>
            <w:pPr>
              <w:pStyle w:val="19"/>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技术标准</w:t>
            </w:r>
          </w:p>
        </w:tc>
        <w:tc>
          <w:tcPr>
            <w:tcW w:w="1170" w:type="pc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11"/>
              <w:jc w:val="center"/>
              <w:rPr>
                <w:rFonts w:hint="default"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指定材料品牌要求（承诺，格式自拟）</w:t>
            </w:r>
          </w:p>
        </w:tc>
        <w:tc>
          <w:tcPr>
            <w:tcW w:w="3241" w:type="pc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0"/>
              <w:jc w:val="left"/>
              <w:rPr>
                <w:rFonts w:hint="default"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bidi="ar"/>
              </w:rPr>
              <w:t>供应商需承诺</w:t>
            </w:r>
            <w:r>
              <w:rPr>
                <w:rFonts w:hint="eastAsia" w:ascii="仿宋" w:hAnsi="仿宋" w:eastAsia="仿宋" w:cs="仿宋"/>
                <w:color w:val="auto"/>
                <w:sz w:val="21"/>
                <w:szCs w:val="21"/>
                <w:highlight w:val="none"/>
                <w:lang w:bidi="ar"/>
              </w:rPr>
              <w:t>碳钢无缝管、不锈钢无缝管、碳钢无缝管件、不锈钢无缝管件、垫片、螺栓紧固件、焊材、涂料油漆</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仪表tube管及管阀件/仪表气源分配器</w:t>
            </w:r>
            <w:r>
              <w:rPr>
                <w:rFonts w:hint="eastAsia" w:ascii="仿宋" w:hAnsi="仿宋" w:eastAsia="仿宋" w:cs="仿宋"/>
                <w:color w:val="auto"/>
                <w:sz w:val="21"/>
                <w:szCs w:val="21"/>
                <w:highlight w:val="none"/>
                <w:lang w:bidi="ar"/>
              </w:rPr>
              <w:t>的品牌/生产厂家</w:t>
            </w:r>
            <w:r>
              <w:rPr>
                <w:rFonts w:hint="eastAsia" w:ascii="仿宋" w:hAnsi="仿宋" w:eastAsia="仿宋" w:cs="仿宋"/>
                <w:color w:val="auto"/>
                <w:sz w:val="21"/>
                <w:szCs w:val="21"/>
                <w:highlight w:val="none"/>
                <w:lang w:val="en-US" w:eastAsia="zh-CN" w:bidi="ar"/>
              </w:rPr>
              <w:t>满足</w:t>
            </w:r>
            <w:r>
              <w:rPr>
                <w:rFonts w:hint="eastAsia" w:ascii="仿宋" w:hAnsi="仿宋" w:eastAsia="仿宋" w:cs="仿宋"/>
                <w:color w:val="auto"/>
                <w:sz w:val="21"/>
                <w:szCs w:val="21"/>
                <w:highlight w:val="none"/>
                <w:lang w:bidi="ar"/>
              </w:rPr>
              <w:t>2.3撬装机架加工指定材料品牌表</w:t>
            </w:r>
            <w:r>
              <w:rPr>
                <w:rFonts w:hint="eastAsia" w:ascii="仿宋" w:hAnsi="仿宋" w:eastAsia="仿宋" w:cs="仿宋"/>
                <w:color w:val="auto"/>
                <w:sz w:val="21"/>
                <w:szCs w:val="21"/>
                <w:highlight w:val="none"/>
                <w:lang w:val="en-US" w:eastAsia="zh-CN" w:bidi="ar"/>
              </w:rPr>
              <w:t>的要求</w:t>
            </w:r>
          </w:p>
        </w:tc>
      </w:tr>
      <w:tr>
        <w:tblPrEx>
          <w:tblCellMar>
            <w:top w:w="0" w:type="dxa"/>
            <w:left w:w="0" w:type="dxa"/>
            <w:bottom w:w="0" w:type="dxa"/>
            <w:right w:w="0" w:type="dxa"/>
          </w:tblCellMar>
        </w:tblPrEx>
        <w:trPr>
          <w:trHeight w:val="454" w:hRule="atLeast"/>
          <w:jc w:val="center"/>
        </w:trPr>
        <w:tc>
          <w:tcPr>
            <w:tcW w:w="3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11"/>
              <w:jc w:val="center"/>
              <w:rPr>
                <w:rFonts w:hint="default"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技术要求（承诺，格式自拟）</w:t>
            </w:r>
          </w:p>
        </w:tc>
        <w:tc>
          <w:tcPr>
            <w:tcW w:w="3241" w:type="pc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auto"/>
                <w:szCs w:val="21"/>
                <w:highlight w:val="none"/>
                <w:lang w:val="en-US" w:eastAsia="zh-CN" w:bidi="ar"/>
              </w:rPr>
              <w:t>供应商承诺</w:t>
            </w:r>
            <w:r>
              <w:rPr>
                <w:rFonts w:hint="eastAsia" w:ascii="仿宋" w:hAnsi="仿宋" w:eastAsia="仿宋" w:cs="仿宋"/>
                <w:color w:val="auto"/>
                <w:szCs w:val="21"/>
                <w:highlight w:val="none"/>
                <w:lang w:bidi="ar"/>
              </w:rPr>
              <w:t>应充分理解买方所提供的PID图纸、三维加工图、材料清单、设计院统一规定以及本技术要求书等文件是对设备的最低互补要求</w:t>
            </w:r>
            <w:r>
              <w:rPr>
                <w:rFonts w:hint="eastAsia" w:ascii="仿宋" w:hAnsi="仿宋" w:eastAsia="仿宋" w:cs="仿宋"/>
                <w:color w:val="auto"/>
                <w:szCs w:val="21"/>
                <w:highlight w:val="none"/>
                <w:lang w:eastAsia="zh-CN" w:bidi="ar"/>
              </w:rPr>
              <w:t>，</w:t>
            </w:r>
            <w:r>
              <w:rPr>
                <w:rFonts w:hint="eastAsia" w:ascii="仿宋" w:hAnsi="仿宋" w:eastAsia="仿宋" w:cs="仿宋"/>
                <w:color w:val="auto"/>
                <w:szCs w:val="21"/>
                <w:highlight w:val="none"/>
                <w:lang w:val="en-US" w:eastAsia="zh-CN" w:bidi="ar"/>
              </w:rPr>
              <w:t>并承诺</w:t>
            </w:r>
            <w:r>
              <w:rPr>
                <w:rFonts w:hint="eastAsia" w:ascii="仿宋" w:hAnsi="仿宋" w:eastAsia="仿宋" w:cs="仿宋"/>
                <w:color w:val="auto"/>
                <w:szCs w:val="21"/>
                <w:highlight w:val="none"/>
                <w:lang w:bidi="ar"/>
              </w:rPr>
              <w:t>负责除盐水设备机架加工所需设备材料（买方供货范围以外）的采购和所有设备材料加工安装，负责买卖双方所有设备及材料的安装、检验、包装及运输工作，最终提供完整的除盐水设备机架。</w:t>
            </w:r>
          </w:p>
        </w:tc>
      </w:tr>
      <w:tr>
        <w:tblPrEx>
          <w:tblCellMar>
            <w:top w:w="0" w:type="dxa"/>
            <w:left w:w="0" w:type="dxa"/>
            <w:bottom w:w="0" w:type="dxa"/>
            <w:right w:w="0" w:type="dxa"/>
          </w:tblCellMar>
        </w:tblPrEx>
        <w:trPr>
          <w:trHeight w:val="454" w:hRule="atLeast"/>
          <w:jc w:val="center"/>
        </w:trPr>
        <w:tc>
          <w:tcPr>
            <w:tcW w:w="3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14:textFill>
                  <w14:solidFill>
                    <w14:schemeClr w14:val="tx1"/>
                  </w14:solidFill>
                </w14:textFill>
              </w:rPr>
              <w:t>交货期</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/服务期</w:t>
            </w:r>
          </w:p>
        </w:tc>
        <w:tc>
          <w:tcPr>
            <w:tcW w:w="3241" w:type="pc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详见附件</w:t>
            </w:r>
          </w:p>
        </w:tc>
      </w:tr>
      <w:tr>
        <w:tblPrEx>
          <w:tblCellMar>
            <w:top w:w="0" w:type="dxa"/>
            <w:left w:w="0" w:type="dxa"/>
            <w:bottom w:w="0" w:type="dxa"/>
            <w:right w:w="0" w:type="dxa"/>
          </w:tblCellMar>
        </w:tblPrEx>
        <w:trPr>
          <w:trHeight w:val="482" w:hRule="atLeast"/>
          <w:jc w:val="center"/>
        </w:trPr>
        <w:tc>
          <w:tcPr>
            <w:tcW w:w="3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14:textFill>
                  <w14:solidFill>
                    <w14:schemeClr w14:val="tx1"/>
                  </w14:solidFill>
                </w14:textFill>
              </w:rPr>
              <w:t>售后服务</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/服务/作业要求</w:t>
            </w:r>
          </w:p>
        </w:tc>
        <w:tc>
          <w:tcPr>
            <w:tcW w:w="3241" w:type="pc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详见附件</w:t>
            </w:r>
          </w:p>
        </w:tc>
      </w:tr>
      <w:tr>
        <w:tblPrEx>
          <w:tblCellMar>
            <w:top w:w="0" w:type="dxa"/>
            <w:left w:w="0" w:type="dxa"/>
            <w:bottom w:w="0" w:type="dxa"/>
            <w:right w:w="0" w:type="dxa"/>
          </w:tblCellMar>
        </w:tblPrEx>
        <w:trPr>
          <w:trHeight w:val="454" w:hRule="atLeast"/>
          <w:jc w:val="center"/>
        </w:trPr>
        <w:tc>
          <w:tcPr>
            <w:tcW w:w="31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74" w:type="pct"/>
            <w:vMerge w:val="continue"/>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1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技术偏离要求</w:t>
            </w:r>
          </w:p>
        </w:tc>
        <w:tc>
          <w:tcPr>
            <w:tcW w:w="3241" w:type="pct"/>
            <w:tcBorders>
              <w:top w:val="single" w:color="000000" w:sz="4" w:space="0"/>
              <w:left w:val="single" w:color="auto" w:sz="4" w:space="0"/>
              <w:bottom w:val="single" w:color="000000" w:sz="4" w:space="0"/>
              <w:right w:val="single" w:color="000000" w:sz="4" w:space="0"/>
            </w:tcBorders>
            <w:vAlign w:val="center"/>
          </w:tcPr>
          <w:p>
            <w:pPr>
              <w:pStyle w:val="19"/>
              <w:keepNext w:val="0"/>
              <w:keepLines w:val="0"/>
              <w:suppressLineNumbers w:val="0"/>
              <w:spacing w:before="0" w:beforeAutospacing="0" w:after="0" w:afterAutospacing="0"/>
              <w:ind w:left="0" w:right="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1、一般技术指标偏离超过2项，则评议不合格。</w:t>
            </w:r>
          </w:p>
          <w:p>
            <w:pPr>
              <w:keepNext w:val="0"/>
              <w:keepLines w:val="0"/>
              <w:suppressLineNumbers w:val="0"/>
              <w:spacing w:before="0" w:beforeAutospacing="0" w:after="0" w:afterAutospacing="0"/>
              <w:ind w:left="0" w:right="0"/>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6"/>
              <w:keepNext w:val="0"/>
              <w:keepLines w:val="0"/>
              <w:suppressLineNumbers w:val="0"/>
              <w:spacing w:before="0" w:beforeAutospacing="0" w:after="0" w:afterAutospacing="0"/>
              <w:ind w:left="0" w:leftChars="0" w:right="0" w:firstLine="0" w:firstLineChars="0"/>
              <w:rPr>
                <w:rFonts w:hint="default"/>
                <w:lang w:val="en-US"/>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3.技术偏离表，不提供视为无偏离。</w:t>
            </w:r>
          </w:p>
        </w:tc>
      </w:tr>
      <w:tr>
        <w:tblPrEx>
          <w:tblCellMar>
            <w:top w:w="0" w:type="dxa"/>
            <w:left w:w="0" w:type="dxa"/>
            <w:bottom w:w="0" w:type="dxa"/>
            <w:right w:w="0" w:type="dxa"/>
          </w:tblCellMar>
        </w:tblPrEx>
        <w:trPr>
          <w:trHeight w:val="2401" w:hRule="atLeast"/>
          <w:jc w:val="center"/>
        </w:trPr>
        <w:tc>
          <w:tcPr>
            <w:tcW w:w="313" w:type="pct"/>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274" w:type="pct"/>
            <w:tcBorders>
              <w:top w:val="single" w:color="auto" w:sz="4" w:space="0"/>
              <w:left w:val="single" w:color="auto" w:sz="4" w:space="0"/>
              <w:bottom w:val="single" w:color="auto" w:sz="4" w:space="0"/>
              <w:right w:val="single" w:color="auto" w:sz="4" w:space="0"/>
            </w:tcBorders>
            <w:vAlign w:val="center"/>
          </w:tcPr>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价</w:t>
            </w:r>
          </w:p>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格</w:t>
            </w:r>
          </w:p>
          <w:p>
            <w:pPr>
              <w:pStyle w:val="19"/>
              <w:keepNext w:val="0"/>
              <w:keepLines w:val="0"/>
              <w:suppressLineNumbers w:val="0"/>
              <w:spacing w:before="0" w:beforeAutospacing="0" w:after="0" w:afterAutospacing="0" w:line="300" w:lineRule="exact"/>
              <w:ind w:left="0" w:right="0"/>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标</w:t>
            </w:r>
          </w:p>
          <w:p>
            <w:pPr>
              <w:pStyle w:val="19"/>
              <w:keepNext w:val="0"/>
              <w:keepLines w:val="0"/>
              <w:suppressLineNumbers w:val="0"/>
              <w:spacing w:before="0" w:beforeAutospacing="0" w:after="0" w:afterAutospacing="0" w:line="300" w:lineRule="exact"/>
              <w:ind w:left="0" w:right="0"/>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准</w:t>
            </w:r>
          </w:p>
        </w:tc>
        <w:tc>
          <w:tcPr>
            <w:tcW w:w="117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11"/>
              <w:jc w:val="center"/>
              <w:rPr>
                <w:rFonts w:hint="default" w:ascii="仿宋" w:hAnsi="仿宋" w:eastAsia="仿宋" w:cs="仿宋"/>
                <w:bCs/>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kern w:val="0"/>
                <w:sz w:val="21"/>
                <w:szCs w:val="21"/>
                <w:highlight w:val="none"/>
                <w:lang w:val="en-US" w:eastAsia="zh-CN"/>
              </w:rPr>
              <w:t>价格评议（结合2.0）</w:t>
            </w:r>
          </w:p>
        </w:tc>
        <w:tc>
          <w:tcPr>
            <w:tcW w:w="3241" w:type="pc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lef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eastAsia="zh-CN" w:bidi="ar"/>
              </w:rPr>
              <w:t>经评审的价格（不含税）计算方法：经评审的价格（不含税）=</w:t>
            </w:r>
            <w:r>
              <w:rPr>
                <w:rFonts w:hint="eastAsia" w:ascii="仿宋" w:hAnsi="仿宋" w:eastAsia="仿宋" w:cs="仿宋"/>
                <w:b/>
                <w:bCs/>
                <w:color w:val="auto"/>
                <w:kern w:val="2"/>
                <w:sz w:val="21"/>
                <w:szCs w:val="21"/>
                <w:highlight w:val="none"/>
                <w:lang w:val="en-US" w:eastAsia="zh-CN" w:bidi="ar"/>
              </w:rPr>
              <w:t>应答人</w:t>
            </w:r>
            <w:r>
              <w:rPr>
                <w:rFonts w:hint="eastAsia" w:ascii="仿宋" w:hAnsi="仿宋" w:eastAsia="仿宋" w:cs="仿宋"/>
                <w:b/>
                <w:bCs/>
                <w:color w:val="auto"/>
                <w:kern w:val="2"/>
                <w:sz w:val="21"/>
                <w:szCs w:val="21"/>
                <w:highlight w:val="none"/>
                <w:lang w:eastAsia="zh-CN" w:bidi="ar"/>
              </w:rPr>
              <w:t>报价（不含税）+报价算术修正；</w:t>
            </w:r>
          </w:p>
          <w:p>
            <w:pPr>
              <w:keepNext w:val="0"/>
              <w:keepLines w:val="0"/>
              <w:suppressLineNumbers w:val="0"/>
              <w:spacing w:before="0" w:beforeAutospacing="0" w:after="0" w:afterAutospacing="0"/>
              <w:ind w:left="0" w:right="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
              </w:rPr>
              <w:t>（1）系统中报价与系统中挂接</w:t>
            </w:r>
            <w:r>
              <w:rPr>
                <w:rFonts w:hint="eastAsia" w:ascii="仿宋" w:hAnsi="仿宋" w:eastAsia="仿宋" w:cs="仿宋"/>
                <w:b/>
                <w:bCs/>
                <w:color w:val="auto"/>
                <w:kern w:val="2"/>
                <w:sz w:val="21"/>
                <w:szCs w:val="21"/>
                <w:highlight w:val="none"/>
                <w:lang w:val="en-US" w:eastAsia="zh-CN" w:bidi="ar"/>
              </w:rPr>
              <w:t>价格明细文件</w:t>
            </w:r>
            <w:r>
              <w:rPr>
                <w:rFonts w:hint="eastAsia" w:ascii="仿宋" w:hAnsi="仿宋" w:eastAsia="仿宋" w:cs="仿宋"/>
                <w:color w:val="auto"/>
                <w:kern w:val="2"/>
                <w:sz w:val="21"/>
                <w:szCs w:val="21"/>
                <w:highlight w:val="none"/>
                <w:lang w:val="en-US" w:eastAsia="zh-CN" w:bidi="ar"/>
              </w:rPr>
              <w:t>应保持一致；当系统报价与挂接价格明细文件不一致的，以“系统中挂接的价格明细文件”为准，如该文件出现计算错误，按如下算术修正方式修正</w:t>
            </w:r>
            <w:r>
              <w:rPr>
                <w:rFonts w:hint="eastAsia" w:ascii="仿宋" w:hAnsi="仿宋" w:eastAsia="仿宋" w:cs="仿宋"/>
                <w:color w:val="auto"/>
                <w:kern w:val="2"/>
                <w:sz w:val="21"/>
                <w:szCs w:val="21"/>
                <w:highlight w:val="none"/>
                <w:lang w:val="en-US" w:eastAsia="zh-CN" w:bidi="ar-SA"/>
              </w:rPr>
              <w:t>。</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1)大写金额和小写金额不一致的，以大写金额为准； </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2)单价金额小数点或者百分比有明显错位的，修改单价；</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3)总价金额与按单价汇总金额不一致的，以单价金额计算结果为准。 </w:t>
            </w:r>
          </w:p>
          <w:p>
            <w:pPr>
              <w:keepNext w:val="0"/>
              <w:keepLines w:val="0"/>
              <w:suppressLineNumbers w:val="0"/>
              <w:spacing w:before="0" w:beforeAutospacing="0" w:after="0" w:afterAutospacing="0" w:line="240" w:lineRule="auto"/>
              <w:ind w:left="0" w:right="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同时出现两种以上不一致的，按照前款规定的顺序修正，即按照上述1）至3）项的顺序，逐项进行修正。询价评审小组应请应答人澄清确认修正后的报价,应答人不确认、否认或不回复的,其报价文件无效。</w:t>
            </w:r>
          </w:p>
          <w:p>
            <w:pPr>
              <w:keepNext w:val="0"/>
              <w:keepLines w:val="0"/>
              <w:suppressLineNumbers w:val="0"/>
              <w:spacing w:before="0" w:beforeAutospacing="0" w:after="0" w:afterAutospacing="0"/>
              <w:ind w:left="0" w:right="0"/>
              <w:rPr>
                <w:rFonts w:hint="eastAsia" w:ascii="仿宋" w:hAnsi="仿宋" w:eastAsia="仿宋" w:cs="仿宋"/>
                <w:color w:val="auto"/>
                <w:kern w:val="2"/>
                <w:szCs w:val="21"/>
                <w:highlight w:val="none"/>
              </w:rPr>
            </w:pP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Cs w:val="21"/>
                <w:highlight w:val="none"/>
              </w:rPr>
              <w:t>对于总价合同，“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报价中存在缺漏项的，则视为缺漏项价格已包含在其投标报价之中，并要求</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人书面澄清确认，</w:t>
            </w:r>
            <w:r>
              <w:rPr>
                <w:rFonts w:hint="eastAsia" w:ascii="仿宋" w:hAnsi="仿宋" w:eastAsia="仿宋" w:cs="仿宋"/>
                <w:color w:val="auto"/>
                <w:kern w:val="2"/>
                <w:szCs w:val="21"/>
                <w:highlight w:val="none"/>
                <w:lang w:eastAsia="zh-CN"/>
              </w:rPr>
              <w:t>应答人</w:t>
            </w:r>
            <w:r>
              <w:rPr>
                <w:rFonts w:hint="eastAsia" w:ascii="仿宋" w:hAnsi="仿宋" w:eastAsia="仿宋" w:cs="仿宋"/>
                <w:color w:val="auto"/>
                <w:kern w:val="2"/>
                <w:szCs w:val="21"/>
                <w:highlight w:val="none"/>
              </w:rPr>
              <w:t>不按规定回复澄清确认或确认缺漏项价格不包含在</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报价中的，</w:t>
            </w:r>
            <w:r>
              <w:rPr>
                <w:rFonts w:hint="eastAsia" w:ascii="仿宋" w:hAnsi="仿宋" w:eastAsia="仿宋" w:cs="仿宋"/>
                <w:color w:val="auto"/>
                <w:kern w:val="2"/>
                <w:szCs w:val="21"/>
                <w:highlight w:val="none"/>
                <w:lang w:val="en-US" w:eastAsia="zh-CN"/>
              </w:rPr>
              <w:t>询价评审小组</w:t>
            </w:r>
            <w:r>
              <w:rPr>
                <w:rFonts w:hint="eastAsia" w:ascii="仿宋" w:hAnsi="仿宋" w:eastAsia="仿宋" w:cs="仿宋"/>
                <w:color w:val="auto"/>
                <w:kern w:val="2"/>
                <w:szCs w:val="21"/>
                <w:highlight w:val="none"/>
              </w:rPr>
              <w:t>应当否决其</w:t>
            </w:r>
            <w:r>
              <w:rPr>
                <w:rFonts w:hint="eastAsia" w:ascii="仿宋" w:hAnsi="仿宋" w:eastAsia="仿宋" w:cs="仿宋"/>
                <w:color w:val="auto"/>
                <w:kern w:val="2"/>
                <w:szCs w:val="21"/>
                <w:highlight w:val="none"/>
                <w:lang w:val="en-US" w:eastAsia="zh-CN"/>
              </w:rPr>
              <w:t>应答文件</w:t>
            </w:r>
            <w:r>
              <w:rPr>
                <w:rFonts w:hint="eastAsia" w:ascii="仿宋" w:hAnsi="仿宋" w:eastAsia="仿宋" w:cs="仿宋"/>
                <w:color w:val="auto"/>
                <w:kern w:val="2"/>
                <w:szCs w:val="21"/>
                <w:highlight w:val="none"/>
              </w:rPr>
              <w:t>”；</w:t>
            </w:r>
          </w:p>
          <w:p>
            <w:pPr>
              <w:keepNext w:val="0"/>
              <w:keepLines w:val="0"/>
              <w:suppressLineNumbers w:val="0"/>
              <w:spacing w:before="0" w:beforeAutospacing="0" w:after="0" w:afterAutospacing="0"/>
              <w:ind w:left="0" w:leftChars="0" w:right="0"/>
              <w:jc w:val="both"/>
              <w:rPr>
                <w:rFonts w:hint="eastAsia" w:ascii="仿宋" w:hAnsi="仿宋" w:eastAsia="仿宋" w:cs="仿宋"/>
                <w:bCs/>
                <w:color w:val="auto"/>
                <w:kern w:val="0"/>
                <w:sz w:val="21"/>
                <w:szCs w:val="21"/>
                <w:highlight w:val="none"/>
              </w:rPr>
            </w:pPr>
            <w:r>
              <w:rPr>
                <w:rFonts w:hint="eastAsia" w:ascii="仿宋" w:hAnsi="仿宋" w:eastAsia="仿宋" w:cs="仿宋"/>
                <w:color w:val="auto"/>
                <w:kern w:val="2"/>
                <w:szCs w:val="21"/>
                <w:highlight w:val="none"/>
              </w:rPr>
              <w:t>对于协议类合同，“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报价不允许缺漏项，否则将导致</w:t>
            </w:r>
            <w:r>
              <w:rPr>
                <w:rFonts w:hint="eastAsia" w:ascii="仿宋" w:hAnsi="仿宋" w:eastAsia="仿宋" w:cs="仿宋"/>
                <w:color w:val="auto"/>
                <w:kern w:val="2"/>
                <w:szCs w:val="21"/>
                <w:highlight w:val="none"/>
                <w:lang w:val="en-US" w:eastAsia="zh-CN"/>
              </w:rPr>
              <w:t>应答报价</w:t>
            </w:r>
            <w:r>
              <w:rPr>
                <w:rFonts w:hint="eastAsia" w:ascii="仿宋" w:hAnsi="仿宋" w:eastAsia="仿宋" w:cs="仿宋"/>
                <w:color w:val="auto"/>
                <w:kern w:val="2"/>
                <w:szCs w:val="21"/>
                <w:highlight w:val="none"/>
              </w:rPr>
              <w:t>被否决”</w:t>
            </w:r>
          </w:p>
        </w:tc>
      </w:tr>
      <w:tr>
        <w:tblPrEx>
          <w:tblCellMar>
            <w:top w:w="0" w:type="dxa"/>
            <w:left w:w="0" w:type="dxa"/>
            <w:bottom w:w="0" w:type="dxa"/>
            <w:right w:w="0" w:type="dxa"/>
          </w:tblCellMar>
        </w:tblPrEx>
        <w:trPr>
          <w:trHeight w:val="454" w:hRule="atLeast"/>
          <w:jc w:val="center"/>
        </w:trPr>
        <w:tc>
          <w:tcPr>
            <w:tcW w:w="313"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4</w:t>
            </w:r>
          </w:p>
        </w:tc>
        <w:tc>
          <w:tcPr>
            <w:tcW w:w="1444" w:type="pct"/>
            <w:gridSpan w:val="2"/>
            <w:tcBorders>
              <w:top w:val="single" w:color="auto" w:sz="4" w:space="0"/>
              <w:left w:val="single" w:color="auto" w:sz="4" w:space="0"/>
              <w:bottom w:val="single" w:color="auto" w:sz="4" w:space="0"/>
              <w:right w:val="single" w:color="000000" w:sz="4" w:space="0"/>
            </w:tcBorders>
            <w:vAlign w:val="center"/>
          </w:tcPr>
          <w:p>
            <w:pPr>
              <w:pStyle w:val="19"/>
              <w:keepNext w:val="0"/>
              <w:keepLines w:val="0"/>
              <w:numPr>
                <w:ilvl w:val="-1"/>
                <w:numId w:val="0"/>
              </w:numPr>
              <w:suppressLineNumbers w:val="0"/>
              <w:spacing w:before="0" w:beforeAutospacing="0" w:after="0" w:afterAutospacing="0"/>
              <w:ind w:left="0" w:right="0"/>
              <w:jc w:val="center"/>
              <w:rPr>
                <w:rFonts w:hint="eastAsia" w:ascii="仿宋" w:hAnsi="仿宋" w:eastAsia="仿宋" w:cs="仿宋"/>
                <w:color w:val="C00000"/>
                <w:kern w:val="2"/>
                <w:sz w:val="21"/>
                <w:szCs w:val="21"/>
                <w:highlight w:val="none"/>
                <w:lang w:val="en-US" w:eastAsia="zh-CN" w:bidi="ar-SA"/>
              </w:rPr>
            </w:pPr>
          </w:p>
          <w:p>
            <w:pPr>
              <w:pStyle w:val="19"/>
              <w:keepNext w:val="0"/>
              <w:keepLines w:val="0"/>
              <w:numPr>
                <w:ilvl w:val="-1"/>
                <w:numId w:val="0"/>
              </w:numPr>
              <w:suppressLineNumbers w:val="0"/>
              <w:spacing w:before="0" w:beforeAutospacing="0" w:after="0" w:afterAutospacing="0"/>
              <w:ind w:left="0" w:right="0"/>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14:textFill>
                  <w14:solidFill>
                    <w14:schemeClr w14:val="tx1"/>
                  </w14:solidFill>
                </w14:textFill>
              </w:rPr>
              <w:t>其他补充要求</w:t>
            </w:r>
          </w:p>
        </w:tc>
        <w:tc>
          <w:tcPr>
            <w:tcW w:w="3241" w:type="pct"/>
            <w:tcBorders>
              <w:top w:val="single" w:color="000000" w:sz="4" w:space="0"/>
              <w:left w:val="nil"/>
              <w:bottom w:val="single" w:color="000000" w:sz="4" w:space="0"/>
              <w:right w:val="single" w:color="000000" w:sz="4" w:space="0"/>
            </w:tcBorders>
            <w:vAlign w:val="center"/>
          </w:tcPr>
          <w:p>
            <w:pPr>
              <w:pStyle w:val="7"/>
              <w:ind w:right="11"/>
              <w:rPr>
                <w:rFonts w:hint="eastAsia" w:ascii="仿宋" w:hAnsi="仿宋" w:eastAsia="仿宋" w:cs="仿宋"/>
                <w:bCs/>
                <w:color w:val="000000" w:themeColor="text1"/>
                <w:kern w:val="0"/>
                <w:sz w:val="21"/>
                <w:szCs w:val="21"/>
                <w:highlight w:val="none"/>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pStyle w:val="2"/>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ascii="黑体" w:hAnsi="黑体" w:eastAsia="黑体"/>
          <w:b/>
          <w:bCs/>
          <w:color w:val="000000" w:themeColor="text1"/>
          <w:sz w:val="24"/>
          <w:szCs w:val="24"/>
          <w:highlight w:val="none"/>
          <w14:textFill>
            <w14:solidFill>
              <w14:schemeClr w14:val="tx1"/>
            </w14:solidFill>
          </w14:textFill>
        </w:rPr>
        <w:t>2</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r>
        <w:rPr>
          <w:rFonts w:ascii="黑体" w:hAnsi="黑体" w:eastAsia="黑体"/>
          <w:b/>
          <w:bCs/>
          <w:color w:val="000000" w:themeColor="text1"/>
          <w:sz w:val="24"/>
          <w:szCs w:val="24"/>
          <w:highlight w:val="none"/>
          <w14:textFill>
            <w14:solidFill>
              <w14:schemeClr w14:val="tx1"/>
            </w14:solidFill>
          </w14:textFill>
        </w:rPr>
        <w:t>采</w:t>
      </w:r>
      <w:r>
        <w:rPr>
          <w:rFonts w:hint="eastAsia" w:ascii="黑体" w:hAnsi="黑体" w:eastAsia="黑体"/>
          <w:b/>
          <w:bCs/>
          <w:color w:val="000000" w:themeColor="text1"/>
          <w:sz w:val="24"/>
          <w:szCs w:val="24"/>
          <w:highlight w:val="none"/>
          <w:lang w:val="en-US" w:eastAsia="zh-CN"/>
          <w14:textFill>
            <w14:solidFill>
              <w14:schemeClr w14:val="tx1"/>
            </w14:solidFill>
          </w14:textFill>
        </w:rPr>
        <w:t>购</w:t>
      </w:r>
      <w:r>
        <w:rPr>
          <w:rFonts w:hint="eastAsia" w:ascii="黑体" w:hAnsi="黑体" w:eastAsia="黑体"/>
          <w:b/>
          <w:bCs/>
          <w:color w:val="000000" w:themeColor="text1"/>
          <w:sz w:val="24"/>
          <w:szCs w:val="24"/>
          <w:highlight w:val="none"/>
          <w14:textFill>
            <w14:solidFill>
              <w14:schemeClr w14:val="tx1"/>
            </w14:solidFill>
          </w14:textFill>
        </w:rPr>
        <w:t>内容及</w:t>
      </w:r>
      <w:r>
        <w:rPr>
          <w:rFonts w:ascii="黑体" w:hAnsi="黑体" w:eastAsia="黑体"/>
          <w:b/>
          <w:bCs/>
          <w:color w:val="000000" w:themeColor="text1"/>
          <w:sz w:val="24"/>
          <w:szCs w:val="24"/>
          <w:highlight w:val="none"/>
          <w14:textFill>
            <w14:solidFill>
              <w14:schemeClr w14:val="tx1"/>
            </w14:solidFill>
          </w14:textFill>
        </w:rPr>
        <w:t>技术要求</w:t>
      </w:r>
    </w:p>
    <w:p>
      <w:pPr>
        <w:widowControl w:val="0"/>
        <w:spacing w:after="120" w:line="360" w:lineRule="auto"/>
        <w:ind w:left="0" w:leftChars="0" w:firstLine="600" w:firstLineChars="250"/>
        <w:jc w:val="both"/>
        <w:rPr>
          <w:rFonts w:hint="eastAsia" w:ascii="宋体" w:hAnsi="宋体" w:eastAsia="宋体" w:cs="宋体"/>
          <w:kern w:val="0"/>
          <w:sz w:val="24"/>
          <w:szCs w:val="24"/>
          <w:lang w:val="en-US" w:eastAsia="zh-CN" w:bidi="ar-SA"/>
        </w:rPr>
      </w:pPr>
      <w:bookmarkStart w:id="0" w:name="_Toc3632"/>
      <w:r>
        <w:rPr>
          <w:rFonts w:hint="eastAsia" w:ascii="宋体" w:hAnsi="宋体" w:eastAsia="宋体" w:cs="宋体"/>
          <w:kern w:val="0"/>
          <w:sz w:val="24"/>
          <w:szCs w:val="24"/>
          <w:lang w:val="en-US" w:eastAsia="zh-CN" w:bidi="ar-SA"/>
        </w:rPr>
        <w:t>标准应用情况概述：本次需求完全引用标准</w:t>
      </w:r>
      <w:r>
        <w:rPr>
          <w:rFonts w:ascii="Times New Roman" w:hAnsi="Times New Roman" w:eastAsia="宋体" w:cs="Times New Roman"/>
          <w:kern w:val="0"/>
          <w:sz w:val="24"/>
          <w:szCs w:val="24"/>
          <w:lang w:val="en-US" w:eastAsia="zh-CN" w:bidi="ar-SA"/>
        </w:rPr>
        <w:t>《不锈钢 牌号及化学成分》（GB/T 20878-2024），《热轧型钢》（GB/T 706-2016），《不锈钢管》（ASME B36.19M-2018），《工厂制造的锻钢对焊管件》（ASME B16.9-2024），《工业用硬聚氯乙烯（UPVC）管道系统 第1部分：管材》GB/T 4219.1-2008，《工业用硬聚氯乙烯（UPVC）管道系统 第2部分：管件》GB/T 4219.2-2015</w:t>
      </w:r>
      <w:r>
        <w:rPr>
          <w:rFonts w:hint="eastAsia" w:ascii="Times New Roman" w:hAnsi="Times New Roman" w:eastAsia="宋体" w:cs="Times New Roman"/>
          <w:kern w:val="0"/>
          <w:sz w:val="24"/>
          <w:szCs w:val="24"/>
          <w:lang w:val="en-US" w:eastAsia="zh-CN" w:bidi="ar-SA"/>
        </w:rPr>
        <w:t>，</w:t>
      </w:r>
      <w:r>
        <w:rPr>
          <w:rFonts w:ascii="Times New Roman" w:hAnsi="Times New Roman" w:eastAsia="宋体" w:cs="Times New Roman"/>
          <w:kern w:val="0"/>
          <w:sz w:val="24"/>
          <w:szCs w:val="24"/>
          <w:lang w:val="en-US" w:eastAsia="zh-CN" w:bidi="ar-SA"/>
        </w:rPr>
        <w:t>《不锈钢冷轧钢板和钢带》GB/T 3280-2015</w:t>
      </w:r>
      <w:r>
        <w:rPr>
          <w:rFonts w:hint="eastAsia" w:ascii="Times New Roman" w:hAnsi="Times New Roman" w:eastAsia="宋体" w:cs="Times New Roman"/>
          <w:kern w:val="0"/>
          <w:sz w:val="24"/>
          <w:szCs w:val="24"/>
          <w:lang w:val="en-US" w:eastAsia="zh-CN" w:bidi="ar-SA"/>
        </w:rPr>
        <w:t>，</w:t>
      </w:r>
      <w:r>
        <w:rPr>
          <w:rFonts w:ascii="Times New Roman" w:hAnsi="Times New Roman" w:eastAsia="宋体" w:cs="Times New Roman"/>
          <w:kern w:val="0"/>
          <w:sz w:val="24"/>
          <w:szCs w:val="24"/>
          <w:lang w:val="en-US" w:eastAsia="zh-CN" w:bidi="ar-SA"/>
        </w:rPr>
        <w:t>《管法兰和法兰管件》（ASME B16.5-2020），《管法兰用金属垫片》（ASME B16.20-2023），《钢制管线盲板》（ASME B16.48-2020），《石油化工钢制管法兰用紧固件》（SH／T3404-2013），《现场设备、工业管道焊接工程施工规范》（GB 50236-2011），《工业金属管道工程施工质量验收规范》（GB 50184-2011）等，有补充标准以外产品技术参数、功能要求方面参数/要求。</w:t>
      </w:r>
    </w:p>
    <w:p>
      <w:pPr>
        <w:keepNext/>
        <w:keepLines/>
        <w:widowControl w:val="0"/>
        <w:numPr>
          <w:ilvl w:val="0"/>
          <w:numId w:val="0"/>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r>
        <w:rPr>
          <w:rFonts w:hint="eastAsia" w:ascii="Times New Roman" w:hAnsi="Times New Roman" w:eastAsia="微软雅黑" w:cs="Times New Roman"/>
          <w:b/>
          <w:bCs/>
          <w:kern w:val="44"/>
          <w:sz w:val="28"/>
          <w:szCs w:val="44"/>
          <w:lang w:val="en-US" w:eastAsia="zh-CN" w:bidi="ar-SA"/>
        </w:rPr>
        <w:t>一、</w:t>
      </w:r>
      <w:r>
        <w:rPr>
          <w:rFonts w:ascii="Times New Roman" w:hAnsi="Times New Roman" w:eastAsia="微软雅黑" w:cs="Times New Roman"/>
          <w:b/>
          <w:bCs/>
          <w:kern w:val="44"/>
          <w:sz w:val="28"/>
          <w:szCs w:val="44"/>
          <w:lang w:val="en-US" w:eastAsia="zh-CN" w:bidi="ar-SA"/>
        </w:rPr>
        <w:t>项目概况</w:t>
      </w:r>
      <w:r>
        <w:rPr>
          <w:rFonts w:hint="eastAsia" w:ascii="Times New Roman" w:hAnsi="Times New Roman" w:eastAsia="微软雅黑" w:cs="Times New Roman"/>
          <w:b/>
          <w:bCs/>
          <w:kern w:val="44"/>
          <w:sz w:val="28"/>
          <w:szCs w:val="44"/>
          <w:lang w:val="en-US" w:eastAsia="zh-CN" w:bidi="ar-SA"/>
        </w:rPr>
        <w:t>及总体要求</w:t>
      </w:r>
      <w:bookmarkEnd w:id="0"/>
    </w:p>
    <w:p>
      <w:pPr>
        <w:widowControl w:val="0"/>
        <w:spacing w:after="0"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项目拟建的除盐水站项目位于</w:t>
      </w:r>
      <w:r>
        <w:rPr>
          <w:rFonts w:ascii="Times New Roman" w:hAnsi="Times New Roman" w:eastAsia="宋体" w:cs="Times New Roman"/>
          <w:kern w:val="2"/>
          <w:sz w:val="24"/>
          <w:szCs w:val="24"/>
          <w:lang w:val="en-US" w:eastAsia="zh-CN" w:bidi="ar-SA"/>
        </w:rPr>
        <w:t>广东省惠州市</w:t>
      </w:r>
      <w:r>
        <w:rPr>
          <w:rFonts w:hint="eastAsia" w:ascii="Times New Roman" w:hAnsi="Times New Roman" w:eastAsia="宋体" w:cs="Times New Roman"/>
          <w:kern w:val="2"/>
          <w:sz w:val="24"/>
          <w:szCs w:val="24"/>
          <w:lang w:val="en-US" w:eastAsia="zh-CN" w:bidi="ar-SA"/>
        </w:rPr>
        <w:t>，除盐水撬装设备包括</w:t>
      </w:r>
      <w:r>
        <w:rPr>
          <w:rFonts w:ascii="Times New Roman" w:hAnsi="Times New Roman" w:eastAsia="宋体" w:cs="Times New Roman"/>
          <w:kern w:val="2"/>
          <w:sz w:val="24"/>
          <w:szCs w:val="24"/>
          <w:lang w:val="en-US" w:eastAsia="zh-CN" w:bidi="ar-SA"/>
        </w:rPr>
        <w:t>超滤</w:t>
      </w:r>
      <w:r>
        <w:rPr>
          <w:rFonts w:hint="eastAsia" w:ascii="Times New Roman" w:hAnsi="Times New Roman" w:eastAsia="宋体" w:cs="Times New Roman"/>
          <w:kern w:val="2"/>
          <w:sz w:val="24"/>
          <w:szCs w:val="24"/>
          <w:lang w:val="en-US" w:eastAsia="zh-CN" w:bidi="ar-SA"/>
        </w:rPr>
        <w:t>撬</w:t>
      </w:r>
      <w:r>
        <w:rPr>
          <w:rFonts w:ascii="Times New Roman" w:hAnsi="Times New Roman" w:eastAsia="宋体" w:cs="Times New Roman"/>
          <w:kern w:val="2"/>
          <w:sz w:val="24"/>
          <w:szCs w:val="24"/>
          <w:lang w:val="en-US" w:eastAsia="zh-CN" w:bidi="ar-SA"/>
        </w:rPr>
        <w:t>、反渗透</w:t>
      </w:r>
      <w:r>
        <w:rPr>
          <w:rFonts w:hint="eastAsia" w:ascii="Times New Roman" w:hAnsi="Times New Roman" w:eastAsia="宋体" w:cs="Times New Roman"/>
          <w:kern w:val="2"/>
          <w:sz w:val="24"/>
          <w:szCs w:val="24"/>
          <w:lang w:val="en-US" w:eastAsia="zh-CN" w:bidi="ar-SA"/>
        </w:rPr>
        <w:t>撬、EDI撬、加药撬</w:t>
      </w:r>
      <w:r>
        <w:rPr>
          <w:rFonts w:ascii="Times New Roman" w:hAnsi="Times New Roman" w:eastAsia="宋体" w:cs="Times New Roman"/>
          <w:kern w:val="2"/>
          <w:sz w:val="24"/>
          <w:szCs w:val="24"/>
          <w:lang w:val="en-US" w:eastAsia="zh-CN" w:bidi="ar-SA"/>
        </w:rPr>
        <w:t>等核心设备，</w:t>
      </w:r>
      <w:r>
        <w:rPr>
          <w:rFonts w:hint="eastAsia" w:ascii="Times New Roman" w:hAnsi="Times New Roman" w:eastAsia="宋体" w:cs="Times New Roman"/>
          <w:kern w:val="2"/>
          <w:sz w:val="24"/>
          <w:szCs w:val="24"/>
          <w:lang w:val="en-US" w:eastAsia="zh-CN" w:bidi="ar-SA"/>
        </w:rPr>
        <w:t>以上设备均需要设备机架进行组装、设备机架是除盐水相关设备、管道、阀门以及配电柜、仪表箱的支撑系统。现需根据</w:t>
      </w:r>
      <w:r>
        <w:rPr>
          <w:rFonts w:ascii="Times New Roman" w:hAnsi="Times New Roman" w:eastAsia="宋体" w:cs="Times New Roman"/>
          <w:kern w:val="2"/>
          <w:sz w:val="24"/>
          <w:szCs w:val="24"/>
          <w:lang w:val="en-US" w:eastAsia="zh-CN" w:bidi="ar-SA"/>
        </w:rPr>
        <w:t>项目实际需求进行采购。</w:t>
      </w:r>
    </w:p>
    <w:p>
      <w:pPr>
        <w:keepNext/>
        <w:keepLines/>
        <w:widowControl w:val="0"/>
        <w:numPr>
          <w:ilvl w:val="0"/>
          <w:numId w:val="3"/>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bookmarkStart w:id="1" w:name="_Toc17766"/>
      <w:bookmarkStart w:id="2" w:name="_Toc347476346"/>
      <w:r>
        <w:rPr>
          <w:rFonts w:hint="eastAsia" w:ascii="Times New Roman" w:hAnsi="Times New Roman" w:eastAsia="微软雅黑" w:cs="Times New Roman"/>
          <w:b/>
          <w:bCs/>
          <w:kern w:val="44"/>
          <w:sz w:val="28"/>
          <w:szCs w:val="44"/>
          <w:lang w:val="en-US" w:eastAsia="zh-CN" w:bidi="ar-SA"/>
        </w:rPr>
        <w:t>需求一览表</w:t>
      </w:r>
      <w:bookmarkEnd w:id="1"/>
    </w:p>
    <w:tbl>
      <w:tblPr>
        <w:tblStyle w:val="15"/>
        <w:tblW w:w="5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26"/>
        <w:gridCol w:w="1351"/>
        <w:gridCol w:w="2391"/>
        <w:gridCol w:w="2209"/>
        <w:gridCol w:w="527"/>
        <w:gridCol w:w="536"/>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bookmarkStart w:id="3" w:name="_Hlk194412681"/>
            <w:r>
              <w:rPr>
                <w:rFonts w:hint="default" w:ascii="Calibri" w:hAnsi="Calibri" w:eastAsia="宋体" w:cs="Times New Roman"/>
                <w:b/>
                <w:bCs/>
                <w:kern w:val="0"/>
                <w:sz w:val="21"/>
                <w:szCs w:val="21"/>
              </w:rPr>
              <w:t>序号</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default" w:ascii="Calibri" w:hAnsi="Calibri" w:eastAsia="宋体" w:cs="Times New Roman"/>
                <w:b/>
                <w:bCs/>
                <w:kern w:val="0"/>
                <w:sz w:val="21"/>
                <w:szCs w:val="21"/>
              </w:rPr>
              <w:t>物料编码</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default" w:ascii="Calibri" w:hAnsi="Calibri" w:eastAsia="宋体" w:cs="Times New Roman"/>
                <w:b/>
                <w:bCs/>
                <w:kern w:val="0"/>
                <w:sz w:val="21"/>
                <w:szCs w:val="21"/>
              </w:rPr>
              <w:t>物资名称</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eastAsia" w:ascii="Calibri" w:hAnsi="Calibri" w:eastAsia="宋体" w:cs="Times New Roman"/>
                <w:b/>
                <w:bCs/>
                <w:kern w:val="0"/>
                <w:sz w:val="21"/>
                <w:szCs w:val="21"/>
              </w:rPr>
              <w:t>参考撬装规模</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eastAsia" w:ascii="Calibri" w:hAnsi="Calibri" w:eastAsia="宋体" w:cs="Times New Roman"/>
                <w:b/>
                <w:bCs/>
                <w:kern w:val="0"/>
                <w:sz w:val="21"/>
                <w:szCs w:val="21"/>
              </w:rPr>
              <w:t>机架要求</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default" w:ascii="Calibri" w:hAnsi="Calibri" w:eastAsia="宋体" w:cs="Times New Roman"/>
                <w:b/>
                <w:bCs/>
                <w:kern w:val="0"/>
                <w:sz w:val="21"/>
                <w:szCs w:val="21"/>
              </w:rPr>
              <w:t>单位</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default" w:ascii="Calibri" w:hAnsi="Calibri" w:eastAsia="宋体" w:cs="Times New Roman"/>
                <w:b/>
                <w:bCs/>
                <w:kern w:val="0"/>
                <w:sz w:val="21"/>
                <w:szCs w:val="21"/>
              </w:rPr>
              <w:t>数量</w:t>
            </w:r>
          </w:p>
        </w:tc>
        <w:tc>
          <w:tcPr>
            <w:tcW w:w="10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adjustRightInd w:val="0"/>
              <w:snapToGrid w:val="0"/>
              <w:spacing w:before="0" w:beforeAutospacing="0" w:after="0" w:afterAutospacing="0" w:line="240" w:lineRule="auto"/>
              <w:ind w:left="0" w:right="0" w:firstLine="0" w:firstLineChars="0"/>
              <w:jc w:val="center"/>
              <w:outlineLvl w:val="1"/>
              <w:rPr>
                <w:rFonts w:hint="default" w:ascii="Calibri" w:hAnsi="Calibri" w:eastAsia="宋体" w:cs="Times New Roman"/>
                <w:b/>
                <w:bCs/>
                <w:kern w:val="0"/>
                <w:sz w:val="21"/>
                <w:szCs w:val="21"/>
              </w:rPr>
            </w:pPr>
            <w:r>
              <w:rPr>
                <w:rFonts w:hint="eastAsia" w:ascii="Calibri" w:hAnsi="Calibri" w:eastAsia="宋体"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3053"/>
              </w:tabs>
              <w:spacing w:before="0" w:beforeAutospacing="0" w:after="0" w:afterAutospacing="0" w:line="240" w:lineRule="auto"/>
              <w:ind w:left="0" w:right="0" w:firstLine="0" w:firstLineChars="0"/>
              <w:jc w:val="center"/>
              <w:outlineLvl w:val="1"/>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超滤装置</w:t>
            </w:r>
          </w:p>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kern w:val="0"/>
                <w:sz w:val="21"/>
                <w:szCs w:val="21"/>
                <w:lang w:bidi="ar"/>
              </w:rPr>
              <w:t>单套处理能力≥275m³/h，回收率≥90%，膜净通量≤50L/㎡·h</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kern w:val="0"/>
                <w:sz w:val="21"/>
                <w:szCs w:val="21"/>
                <w:lang w:bidi="ar"/>
              </w:rPr>
              <w:t>管路材质S31608</w:t>
            </w:r>
            <w:r>
              <w:rPr>
                <w:rFonts w:hint="eastAsia" w:ascii="Calibri" w:hAnsi="Calibri" w:eastAsia="宋体" w:cs="Times New Roman"/>
                <w:kern w:val="0"/>
                <w:sz w:val="21"/>
                <w:szCs w:val="21"/>
                <w:lang w:bidi="ar"/>
              </w:rPr>
              <w:t>，撬装机架材质S30408</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5</w:t>
            </w:r>
          </w:p>
        </w:tc>
        <w:tc>
          <w:tcPr>
            <w:tcW w:w="1069"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对碳钢无缝管、不锈钢无缝管、碳钢无缝管件、不锈钢无缝管件、垫片、螺栓紧固件、焊材、涂料油漆</w:t>
            </w:r>
            <w:r>
              <w:rPr>
                <w:rFonts w:hint="eastAsia" w:ascii="Calibri" w:hAnsi="Calibri" w:eastAsia="宋体" w:cs="Times New Roman"/>
                <w:sz w:val="21"/>
                <w:szCs w:val="21"/>
                <w:lang w:eastAsia="zh-CN"/>
              </w:rPr>
              <w:t>、</w:t>
            </w:r>
            <w:r>
              <w:rPr>
                <w:rFonts w:hint="eastAsia" w:ascii="宋体" w:hAnsi="宋体" w:eastAsia="宋体" w:cs="宋体"/>
                <w:sz w:val="21"/>
                <w:szCs w:val="21"/>
                <w:lang w:val="en-US" w:eastAsia="zh-CN"/>
              </w:rPr>
              <w:t>仪表tube管及管阀件/仪表气源分配器</w:t>
            </w:r>
            <w:r>
              <w:rPr>
                <w:rFonts w:hint="eastAsia" w:ascii="Calibri" w:hAnsi="Calibri" w:eastAsia="宋体" w:cs="Times New Roman"/>
                <w:sz w:val="21"/>
                <w:szCs w:val="21"/>
              </w:rPr>
              <w:t>的品牌/生产厂家做出指定，具体详见技术要求书2.3撬装机架加工指定材料品牌表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2</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一级反渗透装置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kern w:val="0"/>
                <w:sz w:val="21"/>
                <w:szCs w:val="21"/>
                <w:lang w:bidi="ar"/>
              </w:rPr>
              <w:t>单套产水能力≥260m³/h，回收率≥75%，膜通量≤20L/㎡·h</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kern w:val="0"/>
                <w:sz w:val="21"/>
                <w:szCs w:val="21"/>
                <w:lang w:bidi="ar"/>
              </w:rPr>
              <w:t>管路材质S30408，取样塑料软管</w:t>
            </w:r>
            <w:r>
              <w:rPr>
                <w:rFonts w:hint="eastAsia" w:ascii="Calibri" w:hAnsi="Calibri" w:eastAsia="宋体" w:cs="Times New Roman"/>
                <w:kern w:val="0"/>
                <w:sz w:val="21"/>
                <w:szCs w:val="21"/>
                <w:lang w:bidi="ar"/>
              </w:rPr>
              <w:t>，撬装机架材质S30408</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5</w:t>
            </w:r>
          </w:p>
        </w:tc>
        <w:tc>
          <w:tcPr>
            <w:tcW w:w="106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3</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二级反渗透装置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color w:val="000000"/>
                <w:kern w:val="0"/>
                <w:sz w:val="21"/>
                <w:szCs w:val="21"/>
                <w:lang w:bidi="ar"/>
              </w:rPr>
              <w:t>单套产水能力≥235m³/h，回收率≥90%，膜通量≤30L/㎡·h</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color w:val="000000"/>
                <w:kern w:val="0"/>
                <w:sz w:val="21"/>
                <w:szCs w:val="21"/>
                <w:lang w:bidi="ar"/>
              </w:rPr>
              <w:t>管路材质S30408，取样塑料软管</w:t>
            </w:r>
            <w:r>
              <w:rPr>
                <w:rFonts w:hint="eastAsia" w:ascii="Calibri" w:hAnsi="Calibri" w:eastAsia="宋体" w:cs="Times New Roman"/>
                <w:color w:val="000000"/>
                <w:kern w:val="0"/>
                <w:sz w:val="21"/>
                <w:szCs w:val="21"/>
                <w:lang w:bidi="ar"/>
              </w:rPr>
              <w:t>，撬装机架材质S30408</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5</w:t>
            </w:r>
          </w:p>
        </w:tc>
        <w:tc>
          <w:tcPr>
            <w:tcW w:w="106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4</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浓水反渗透装置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color w:val="000000"/>
                <w:kern w:val="0"/>
                <w:sz w:val="21"/>
                <w:szCs w:val="21"/>
                <w:lang w:bidi="ar"/>
              </w:rPr>
              <w:t>单套产水能力≥120m³/h，回收率≥70%，膜通量≤18L/㎡·h</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color w:val="000000"/>
                <w:kern w:val="0"/>
                <w:sz w:val="21"/>
                <w:szCs w:val="21"/>
                <w:lang w:bidi="ar"/>
              </w:rPr>
              <w:t>管路材质S30408，取样管路塑料软管</w:t>
            </w:r>
            <w:r>
              <w:rPr>
                <w:rFonts w:hint="eastAsia" w:ascii="Calibri" w:hAnsi="Calibri" w:eastAsia="宋体" w:cs="Times New Roman"/>
                <w:color w:val="000000"/>
                <w:kern w:val="0"/>
                <w:sz w:val="21"/>
                <w:szCs w:val="21"/>
                <w:lang w:bidi="ar"/>
              </w:rPr>
              <w:t>，撬装框架材质S30408</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3</w:t>
            </w:r>
          </w:p>
        </w:tc>
        <w:tc>
          <w:tcPr>
            <w:tcW w:w="106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5</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EDI装置</w:t>
            </w:r>
          </w:p>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color w:val="000000"/>
                <w:kern w:val="0"/>
                <w:sz w:val="21"/>
                <w:szCs w:val="21"/>
                <w:lang w:bidi="ar"/>
              </w:rPr>
              <w:t>单套产水能力≥210m³/h，回收率≥90%</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color w:val="000000"/>
                <w:kern w:val="0"/>
                <w:sz w:val="21"/>
                <w:szCs w:val="21"/>
                <w:lang w:bidi="ar"/>
              </w:rPr>
              <w:t>管路材质S30408</w:t>
            </w:r>
            <w:r>
              <w:rPr>
                <w:rFonts w:hint="eastAsia" w:ascii="Calibri" w:hAnsi="Calibri" w:eastAsia="宋体" w:cs="Times New Roman"/>
                <w:color w:val="000000"/>
                <w:kern w:val="0"/>
                <w:sz w:val="21"/>
                <w:szCs w:val="21"/>
                <w:lang w:bidi="ar"/>
              </w:rPr>
              <w:t>，撬装框架材质S30408</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default" w:ascii="Calibri" w:hAnsi="Calibri" w:eastAsia="宋体" w:cs="Times New Roman"/>
                <w:sz w:val="21"/>
                <w:szCs w:val="21"/>
              </w:rPr>
              <w:t>5</w:t>
            </w:r>
          </w:p>
        </w:tc>
        <w:tc>
          <w:tcPr>
            <w:tcW w:w="1069"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6</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絮凝剂加药装置机架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 xml:space="preserve">含计量泵2台，溶液箱1个，搅拌器1台 </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UPVC</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w:t>
            </w:r>
            <w:r>
              <w:rPr>
                <w:rFonts w:hint="eastAsia" w:ascii="Calibri" w:hAnsi="Calibri" w:eastAsia="宋体" w:cs="Times New Roman"/>
                <w:kern w:val="0"/>
                <w:sz w:val="21"/>
                <w:szCs w:val="21"/>
              </w:rPr>
              <w:t>及</w:t>
            </w:r>
            <w:r>
              <w:rPr>
                <w:rFonts w:hint="default" w:ascii="Calibri" w:hAnsi="Calibri" w:eastAsia="宋体" w:cs="Times New Roman"/>
                <w:kern w:val="0"/>
                <w:sz w:val="21"/>
                <w:szCs w:val="21"/>
              </w:rPr>
              <w:t>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7</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非氧化杀菌剂加药装置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含计量泵8台，溶液箱1个</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color w:val="000000"/>
                <w:kern w:val="0"/>
                <w:sz w:val="21"/>
                <w:szCs w:val="21"/>
                <w:lang w:bidi="ar"/>
              </w:rPr>
              <w:t>S30408</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8</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氧化剂加药装置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含计量泵7台，溶液箱1个</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UPVC</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9</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酸加药装置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含计量泵7台，溶液箱1个</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UPVC</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10</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碱加药装置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含计量泵5台，溶液箱1个</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color w:val="000000"/>
                <w:kern w:val="0"/>
                <w:sz w:val="21"/>
                <w:szCs w:val="21"/>
                <w:lang w:bidi="ar"/>
              </w:rPr>
              <w:t>S30408</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11</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还原剂加药装置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含计量泵6台，溶液箱2个，搅拌器2台</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color w:val="000000"/>
                <w:kern w:val="0"/>
                <w:sz w:val="21"/>
                <w:szCs w:val="21"/>
                <w:lang w:bidi="ar"/>
              </w:rPr>
              <w:t>S30408</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12</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阻垢剂加药装置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含计量泵10台，溶液箱2个，搅拌器2台</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Times New Roman" w:hAnsi="Times New Roman" w:eastAsia="宋体" w:cs="Times New Roman"/>
                <w:sz w:val="21"/>
                <w:szCs w:val="21"/>
              </w:rPr>
              <w:t>S30408</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13</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UF化学清洗装置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含UF清洗水泵2台，保安过滤器1台，溶液箱1个，电加热器1个</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CS+PTFE</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14</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eastAsia="宋体" w:cs="Times New Roman"/>
                <w:sz w:val="21"/>
                <w:szCs w:val="21"/>
              </w:rPr>
            </w:pPr>
            <w:r>
              <w:rPr>
                <w:rFonts w:hint="eastAsia" w:ascii="Calibri" w:hAnsi="Calibri" w:eastAsia="宋体" w:cs="Times New Roman"/>
                <w:sz w:val="21"/>
                <w:szCs w:val="21"/>
              </w:rPr>
              <w:t>A380901</w:t>
            </w:r>
          </w:p>
        </w:tc>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RO化学清洗装置</w:t>
            </w:r>
            <w:r>
              <w:rPr>
                <w:rFonts w:hint="eastAsia" w:ascii="Calibri" w:hAnsi="Calibri" w:eastAsia="宋体" w:cs="Times New Roman"/>
                <w:sz w:val="21"/>
                <w:szCs w:val="21"/>
              </w:rPr>
              <w:t>机架</w:t>
            </w:r>
          </w:p>
        </w:tc>
        <w:tc>
          <w:tcPr>
            <w:tcW w:w="23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含RO清洗水泵2台，保安过滤器1台，溶液箱1个，电加热器1个</w:t>
            </w:r>
          </w:p>
        </w:tc>
        <w:tc>
          <w:tcPr>
            <w:tcW w:w="2207" w:type="dxa"/>
            <w:tcBorders>
              <w:top w:val="single" w:color="auto" w:sz="4" w:space="0"/>
              <w:left w:val="single" w:color="auto" w:sz="4" w:space="0"/>
              <w:bottom w:val="single" w:color="auto" w:sz="4" w:space="0"/>
              <w:right w:val="single" w:color="auto" w:sz="4" w:space="0"/>
            </w:tcBorders>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eastAsia" w:ascii="Calibri" w:hAnsi="Calibri" w:eastAsia="宋体" w:cs="Times New Roman"/>
                <w:kern w:val="0"/>
                <w:sz w:val="21"/>
                <w:szCs w:val="21"/>
              </w:rPr>
              <w:t>CS+PTFE</w:t>
            </w:r>
            <w:r>
              <w:rPr>
                <w:rFonts w:hint="default" w:ascii="Calibri" w:hAnsi="Calibri" w:eastAsia="宋体" w:cs="Times New Roman"/>
                <w:kern w:val="0"/>
                <w:sz w:val="21"/>
                <w:szCs w:val="21"/>
              </w:rPr>
              <w:t>管线</w:t>
            </w:r>
            <w:r>
              <w:rPr>
                <w:rFonts w:hint="eastAsia" w:ascii="Calibri" w:hAnsi="Calibri" w:eastAsia="宋体" w:cs="Times New Roman"/>
                <w:kern w:val="0"/>
                <w:sz w:val="21"/>
                <w:szCs w:val="21"/>
              </w:rPr>
              <w:t>、</w:t>
            </w:r>
            <w:r>
              <w:rPr>
                <w:rFonts w:hint="eastAsia" w:ascii="Calibri" w:hAnsi="Calibri" w:eastAsia="宋体" w:cs="Times New Roman"/>
                <w:color w:val="000000"/>
                <w:kern w:val="0"/>
                <w:sz w:val="21"/>
                <w:szCs w:val="21"/>
                <w:lang w:bidi="ar"/>
              </w:rPr>
              <w:t>碳钢防腐</w:t>
            </w:r>
            <w:r>
              <w:rPr>
                <w:rFonts w:hint="default" w:ascii="Calibri" w:hAnsi="Calibri" w:eastAsia="宋体" w:cs="Times New Roman"/>
                <w:kern w:val="0"/>
                <w:sz w:val="21"/>
                <w:szCs w:val="21"/>
              </w:rPr>
              <w:t>公用底座、梯子、平台等</w:t>
            </w:r>
          </w:p>
        </w:tc>
        <w:tc>
          <w:tcPr>
            <w:tcW w:w="5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套</w:t>
            </w:r>
          </w:p>
        </w:tc>
        <w:tc>
          <w:tcPr>
            <w:tcW w:w="5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r>
              <w:rPr>
                <w:rFonts w:hint="default" w:ascii="Calibri" w:hAnsi="Calibri" w:eastAsia="宋体" w:cs="Times New Roman"/>
                <w:kern w:val="0"/>
                <w:sz w:val="21"/>
                <w:szCs w:val="21"/>
              </w:rPr>
              <w:t>1</w:t>
            </w:r>
          </w:p>
        </w:tc>
        <w:tc>
          <w:tcPr>
            <w:tcW w:w="1069" w:type="dxa"/>
            <w:vMerge w:val="continue"/>
            <w:tcBorders>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Calibri" w:hAnsi="Calibri" w:eastAsia="宋体" w:cs="Times New Roman"/>
                <w:kern w:val="0"/>
                <w:sz w:val="21"/>
                <w:szCs w:val="21"/>
              </w:rPr>
            </w:pPr>
          </w:p>
        </w:tc>
      </w:tr>
      <w:bookmarkEnd w:id="3"/>
    </w:tbl>
    <w:p>
      <w:pPr>
        <w:widowControl w:val="0"/>
        <w:spacing w:line="360" w:lineRule="auto"/>
        <w:ind w:firstLine="480" w:firstLineChars="200"/>
        <w:jc w:val="left"/>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备注：</w:t>
      </w:r>
    </w:p>
    <w:p>
      <w:pPr>
        <w:widowControl w:val="0"/>
        <w:spacing w:line="360" w:lineRule="auto"/>
        <w:ind w:firstLine="480" w:firstLineChars="200"/>
        <w:jc w:val="left"/>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1）交货地点：广东省惠州市。</w:t>
      </w:r>
    </w:p>
    <w:p>
      <w:pPr>
        <w:widowControl w:val="0"/>
        <w:spacing w:line="360" w:lineRule="auto"/>
        <w:ind w:firstLine="480" w:firstLineChars="200"/>
        <w:jc w:val="left"/>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2）交货期：合同签订后70天。</w:t>
      </w:r>
    </w:p>
    <w:p>
      <w:pPr>
        <w:spacing w:line="360" w:lineRule="auto"/>
        <w:ind w:firstLine="0" w:firstLineChars="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2.1 供货范围</w:t>
      </w:r>
    </w:p>
    <w:p>
      <w:pPr>
        <w:widowControl w:val="0"/>
        <w:spacing w:after="0"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卖方</w:t>
      </w:r>
      <w:r>
        <w:rPr>
          <w:rFonts w:ascii="Times New Roman" w:hAnsi="Times New Roman" w:eastAsia="宋体" w:cs="Times New Roman"/>
          <w:kern w:val="2"/>
          <w:sz w:val="24"/>
          <w:szCs w:val="24"/>
          <w:lang w:val="en-US" w:eastAsia="zh-CN" w:bidi="ar-SA"/>
        </w:rPr>
        <w:t>负责</w:t>
      </w:r>
      <w:r>
        <w:rPr>
          <w:rFonts w:hint="eastAsia" w:ascii="Times New Roman" w:hAnsi="Times New Roman" w:eastAsia="宋体" w:cs="Times New Roman"/>
          <w:kern w:val="2"/>
          <w:sz w:val="24"/>
          <w:szCs w:val="24"/>
          <w:lang w:val="en-US" w:eastAsia="zh-CN" w:bidi="ar-SA"/>
        </w:rPr>
        <w:t>除盐水设备机架加工所需设备材料（买方供货范围以外）的采购和所有设备材料加工安装，并负责买卖双方所有设备及材料的安装、检验、包装及运输工作，最终提供完整的除盐水设备机架</w:t>
      </w:r>
      <w:r>
        <w:rPr>
          <w:rFonts w:ascii="Times New Roman" w:hAnsi="Times New Roman" w:eastAsia="宋体" w:cs="Times New Roman"/>
          <w:kern w:val="2"/>
          <w:sz w:val="24"/>
          <w:szCs w:val="24"/>
          <w:lang w:val="en-US" w:eastAsia="zh-CN" w:bidi="ar-SA"/>
        </w:rPr>
        <w:t>。</w:t>
      </w:r>
    </w:p>
    <w:p>
      <w:pPr>
        <w:spacing w:line="360" w:lineRule="auto"/>
        <w:ind w:firstLine="0" w:firstLineChars="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2.2工作界面</w:t>
      </w:r>
      <w:bookmarkEnd w:id="2"/>
      <w:r>
        <w:rPr>
          <w:rFonts w:hint="eastAsia" w:ascii="Times New Roman" w:hAnsi="Times New Roman" w:eastAsia="宋体" w:cs="Times New Roman"/>
          <w:b/>
          <w:bCs/>
          <w:sz w:val="24"/>
          <w:szCs w:val="24"/>
        </w:rPr>
        <w:t>及范围划分</w:t>
      </w:r>
    </w:p>
    <w:p>
      <w:pPr>
        <w:spacing w:line="360" w:lineRule="auto"/>
        <w:ind w:firstLine="0" w:firstLineChars="0"/>
        <w:rPr>
          <w:rFonts w:ascii="Times New Roman" w:hAnsi="Times New Roman" w:eastAsia="宋体" w:cs="Times New Roman"/>
          <w:sz w:val="24"/>
          <w:szCs w:val="24"/>
        </w:rPr>
      </w:pPr>
      <w:bookmarkStart w:id="4" w:name="_Toc336074733"/>
      <w:bookmarkStart w:id="5" w:name="_Toc330909476"/>
      <w:bookmarkStart w:id="6" w:name="_Toc205278537"/>
      <w:r>
        <w:rPr>
          <w:rFonts w:hint="eastAsia" w:ascii="Times New Roman" w:hAnsi="Times New Roman" w:eastAsia="宋体" w:cs="Times New Roman"/>
          <w:sz w:val="24"/>
          <w:szCs w:val="24"/>
        </w:rPr>
        <w:t>（1）卖方工作界面及范围划分</w:t>
      </w:r>
    </w:p>
    <w:p>
      <w:pPr>
        <w:spacing w:line="360" w:lineRule="auto"/>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rPr>
        <w:t>卖方应根据PID图纸、三维加工图、材料清单、设计院统一规定以及本技术要求书负责对除盐水设备机架进行加工图深化设计，以保证加工质量和使用安全。合同签订后15日内，向买方提供买方所供材料的详细清单及深化加工图</w:t>
      </w:r>
      <w:r>
        <w:rPr>
          <w:rFonts w:hint="eastAsia" w:ascii="Times New Roman" w:hAnsi="Times New Roman" w:eastAsia="宋体" w:cs="Times New Roman"/>
          <w:color w:val="000000"/>
          <w:sz w:val="24"/>
          <w:szCs w:val="24"/>
          <w:highlight w:val="none"/>
        </w:rPr>
        <w:t>纸，供买方审核，并根据买方修改意见进行修改完善。</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卖方所供材料包括但不限于：除盐水设备机架所用型材、管道、管件、管道支架、阻尼器、安全阀、计量柱、Y型过滤器、UPVC阀门、加药止回阀、反渗透爆破膜、气源分配器（含阀门）、气源管、气源管件、仪表安装面板、仪表引压管、取样装置（含根部阀、取样管、取样阀及取样箱）、呼吸阀、法兰、垫片、八字盲板、紧固件、安装辅材、油漆、管道标识、备品备件以及成撬所需的所有材料。</w:t>
      </w:r>
    </w:p>
    <w:p>
      <w:pPr>
        <w:widowControl w:val="0"/>
        <w:spacing w:line="360" w:lineRule="auto"/>
        <w:ind w:firstLine="480" w:firstLineChars="200"/>
        <w:jc w:val="left"/>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3）负责所有材料的加工、集成安装、接线接地、设备出厂前检验试验，包括但不限于超滤膜组件、反渗透膜组件、EDI模块、配套仪表、阀门仪表接线箱、所有阀门、管路（含仪表管道）、取样装置等的集成安装及现场服务，超滤膜组件、反渗透膜组件、EDI模块发至项目现场，卖方需为买方提供现场装膜、EDI模块安装服务。</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4）卖方</w:t>
      </w:r>
      <w:r>
        <w:rPr>
          <w:rFonts w:ascii="Times New Roman" w:hAnsi="Times New Roman" w:eastAsia="宋体" w:cs="Times New Roman"/>
          <w:sz w:val="24"/>
          <w:szCs w:val="24"/>
          <w:highlight w:val="none"/>
        </w:rPr>
        <w:t>对</w:t>
      </w:r>
      <w:r>
        <w:rPr>
          <w:rFonts w:hint="eastAsia" w:ascii="Times New Roman" w:hAnsi="Times New Roman" w:eastAsia="宋体" w:cs="Times New Roman"/>
          <w:sz w:val="24"/>
          <w:szCs w:val="24"/>
          <w:highlight w:val="none"/>
        </w:rPr>
        <w:t>供货范围内卖方所购</w:t>
      </w:r>
      <w:r>
        <w:rPr>
          <w:rFonts w:ascii="Times New Roman" w:hAnsi="Times New Roman" w:eastAsia="宋体" w:cs="Times New Roman"/>
          <w:sz w:val="24"/>
          <w:szCs w:val="24"/>
          <w:highlight w:val="none"/>
        </w:rPr>
        <w:t>设备</w:t>
      </w:r>
      <w:r>
        <w:rPr>
          <w:rFonts w:hint="eastAsia" w:ascii="Times New Roman" w:hAnsi="Times New Roman" w:eastAsia="宋体" w:cs="Times New Roman"/>
          <w:sz w:val="24"/>
          <w:szCs w:val="24"/>
          <w:highlight w:val="none"/>
        </w:rPr>
        <w:t>、材料</w:t>
      </w:r>
      <w:r>
        <w:rPr>
          <w:rFonts w:ascii="Times New Roman" w:hAnsi="Times New Roman" w:eastAsia="宋体" w:cs="Times New Roman"/>
          <w:sz w:val="24"/>
          <w:szCs w:val="24"/>
          <w:highlight w:val="none"/>
        </w:rPr>
        <w:t>的</w:t>
      </w:r>
      <w:r>
        <w:rPr>
          <w:rFonts w:hint="eastAsia" w:ascii="Times New Roman" w:hAnsi="Times New Roman" w:eastAsia="宋体" w:cs="Times New Roman"/>
          <w:sz w:val="24"/>
          <w:szCs w:val="24"/>
          <w:highlight w:val="none"/>
        </w:rPr>
        <w:t>结构</w:t>
      </w:r>
      <w:r>
        <w:rPr>
          <w:rFonts w:ascii="Times New Roman" w:hAnsi="Times New Roman" w:eastAsia="宋体" w:cs="Times New Roman"/>
          <w:sz w:val="24"/>
          <w:szCs w:val="24"/>
          <w:highlight w:val="none"/>
        </w:rPr>
        <w:t>、性能、安全、可靠性及加工制造的部件质量全面负责。</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卖方</w:t>
      </w:r>
      <w:r>
        <w:rPr>
          <w:rFonts w:ascii="Times New Roman" w:hAnsi="Times New Roman" w:eastAsia="宋体" w:cs="Times New Roman"/>
          <w:sz w:val="24"/>
          <w:szCs w:val="24"/>
          <w:highlight w:val="none"/>
        </w:rPr>
        <w:t>保证</w:t>
      </w:r>
      <w:r>
        <w:rPr>
          <w:rFonts w:hint="eastAsia" w:ascii="Times New Roman" w:hAnsi="Times New Roman" w:eastAsia="宋体" w:cs="Times New Roman"/>
          <w:sz w:val="24"/>
          <w:szCs w:val="24"/>
          <w:highlight w:val="none"/>
        </w:rPr>
        <w:t>供货时卖方</w:t>
      </w:r>
      <w:r>
        <w:rPr>
          <w:rFonts w:ascii="Times New Roman" w:hAnsi="Times New Roman" w:eastAsia="宋体" w:cs="Times New Roman"/>
          <w:sz w:val="24"/>
          <w:szCs w:val="24"/>
          <w:highlight w:val="none"/>
        </w:rPr>
        <w:t>所提供设备为全新的、完整的</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安全可靠的。</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6</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卖方供货时</w:t>
      </w:r>
      <w:r>
        <w:rPr>
          <w:rFonts w:ascii="Times New Roman" w:hAnsi="Times New Roman" w:eastAsia="宋体" w:cs="Times New Roman"/>
          <w:sz w:val="24"/>
          <w:szCs w:val="24"/>
          <w:highlight w:val="none"/>
        </w:rPr>
        <w:t>应提供详细设备</w:t>
      </w:r>
      <w:r>
        <w:rPr>
          <w:rFonts w:hint="eastAsia" w:ascii="Times New Roman" w:hAnsi="Times New Roman" w:eastAsia="宋体" w:cs="Times New Roman"/>
          <w:sz w:val="24"/>
          <w:szCs w:val="24"/>
          <w:highlight w:val="none"/>
        </w:rPr>
        <w:t>发货</w:t>
      </w:r>
      <w:r>
        <w:rPr>
          <w:rFonts w:ascii="Times New Roman" w:hAnsi="Times New Roman" w:eastAsia="宋体" w:cs="Times New Roman"/>
          <w:sz w:val="24"/>
          <w:szCs w:val="24"/>
          <w:highlight w:val="none"/>
        </w:rPr>
        <w:t>清单，清单中依次说明</w:t>
      </w:r>
      <w:r>
        <w:rPr>
          <w:rFonts w:hint="eastAsia" w:ascii="Times New Roman" w:hAnsi="Times New Roman" w:eastAsia="宋体" w:cs="Times New Roman"/>
          <w:sz w:val="24"/>
          <w:szCs w:val="24"/>
          <w:highlight w:val="none"/>
        </w:rPr>
        <w:t>设备位号、名称、规格</w:t>
      </w:r>
      <w:r>
        <w:rPr>
          <w:rFonts w:ascii="Times New Roman" w:hAnsi="Times New Roman" w:eastAsia="宋体" w:cs="Times New Roman"/>
          <w:sz w:val="24"/>
          <w:szCs w:val="24"/>
          <w:highlight w:val="none"/>
        </w:rPr>
        <w:t>型号、数量、产地、生产厂家等内容。</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7</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卖方应充分理解买方所提供的PID图纸、三维加工图、材料清单、设计院统一规定以及本技术要求书等文件是对设备的最低互补要求。</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8</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卖方</w:t>
      </w:r>
      <w:r>
        <w:rPr>
          <w:rFonts w:ascii="Times New Roman" w:hAnsi="Times New Roman" w:eastAsia="宋体" w:cs="Times New Roman"/>
          <w:sz w:val="24"/>
          <w:szCs w:val="24"/>
          <w:highlight w:val="none"/>
        </w:rPr>
        <w:t>应确保供货范围完整</w:t>
      </w:r>
      <w:r>
        <w:rPr>
          <w:rFonts w:hint="eastAsia" w:ascii="Times New Roman" w:hAnsi="Times New Roman" w:eastAsia="宋体" w:cs="Times New Roman"/>
          <w:sz w:val="24"/>
          <w:szCs w:val="24"/>
          <w:highlight w:val="none"/>
        </w:rPr>
        <w:t>，并保证在工厂内最大限度集成，负责散装到货的成品管道、平台的指导安装。</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9</w:t>
      </w:r>
      <w:r>
        <w:rPr>
          <w:rFonts w:ascii="Times New Roman" w:hAnsi="Times New Roman" w:eastAsia="宋体" w:cs="Times New Roman"/>
          <w:sz w:val="24"/>
          <w:szCs w:val="24"/>
          <w:highlight w:val="none"/>
        </w:rPr>
        <w:t>若在安装、调试、运行中发现缺项，</w:t>
      </w:r>
      <w:r>
        <w:rPr>
          <w:rFonts w:hint="eastAsia" w:ascii="Times New Roman" w:hAnsi="Times New Roman" w:eastAsia="宋体" w:cs="Times New Roman"/>
          <w:sz w:val="24"/>
          <w:szCs w:val="24"/>
          <w:highlight w:val="none"/>
        </w:rPr>
        <w:t>卖方</w:t>
      </w:r>
      <w:r>
        <w:rPr>
          <w:rFonts w:ascii="Times New Roman" w:hAnsi="Times New Roman" w:eastAsia="宋体" w:cs="Times New Roman"/>
          <w:sz w:val="24"/>
          <w:szCs w:val="24"/>
          <w:highlight w:val="none"/>
        </w:rPr>
        <w:t>应</w:t>
      </w:r>
      <w:r>
        <w:rPr>
          <w:rFonts w:hint="eastAsia" w:ascii="Times New Roman" w:hAnsi="Times New Roman" w:eastAsia="宋体" w:cs="Times New Roman"/>
          <w:sz w:val="24"/>
          <w:szCs w:val="24"/>
          <w:highlight w:val="none"/>
        </w:rPr>
        <w:t>负责处理，并进行换货或维修，产生的费用卖方</w:t>
      </w:r>
      <w:r>
        <w:rPr>
          <w:rFonts w:ascii="Times New Roman" w:hAnsi="Times New Roman" w:eastAsia="宋体" w:cs="Times New Roman"/>
          <w:sz w:val="24"/>
          <w:szCs w:val="24"/>
          <w:highlight w:val="none"/>
        </w:rPr>
        <w:t>自理</w:t>
      </w:r>
      <w:r>
        <w:rPr>
          <w:rFonts w:hint="eastAsia" w:ascii="Times New Roman" w:hAnsi="Times New Roman" w:eastAsia="宋体" w:cs="Times New Roman"/>
          <w:sz w:val="24"/>
          <w:szCs w:val="24"/>
          <w:highlight w:val="none"/>
        </w:rPr>
        <w:t>，并接受相关误工处罚条款。买方所供主要设备缺陷除外</w:t>
      </w:r>
      <w:r>
        <w:rPr>
          <w:rFonts w:ascii="Times New Roman" w:hAnsi="Times New Roman" w:eastAsia="宋体" w:cs="Times New Roman"/>
          <w:sz w:val="24"/>
          <w:szCs w:val="24"/>
          <w:highlight w:val="none"/>
        </w:rPr>
        <w:t>。</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10）负责发运前易损件的拆卸保护并且货到现场后负责该组件的二次安装。</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rPr>
        <w:t>）参与买方所供设备的交安工作，并负责交安后的设备保管、存放及使用过程记录，交安后买方所供设备出现任何人为或保存不当造成的损失由卖方负责更换补偿。买方所供剩余物资需发至项目现场。</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rPr>
        <w:t>）负责标的物的包装、运输至买方指定地点。</w:t>
      </w:r>
    </w:p>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End w:id="4"/>
      <w:bookmarkEnd w:id="5"/>
      <w:bookmarkEnd w:id="6"/>
      <w:bookmarkStart w:id="7" w:name="OLE_LINK11"/>
      <w:r>
        <w:rPr>
          <w:rFonts w:hint="eastAsia" w:ascii="Times New Roman" w:hAnsi="Times New Roman" w:eastAsia="宋体" w:cs="Times New Roman"/>
          <w:sz w:val="24"/>
          <w:szCs w:val="24"/>
        </w:rPr>
        <w:t>买方工作界面及范围划分</w:t>
      </w:r>
    </w:p>
    <w:bookmarkEnd w:id="7"/>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rPr>
        <w:t>买方负责提供本次除盐水设备机架加工所需的PID图纸、三维加工图、材料清单、设计院统一规定以及本技术要求书等文件</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买方负责提供的设备及材料包括：超滤膜组件、反渗透膜壳、反渗透膜元件、EDI模块、计量泵、清洗水泵、加药箱、清洗水箱、搅拌器、保安过滤器（含滤芯）、电加热器、管道混合器、手动阀门、自动阀门、仪表、仪表接线箱、阀门接线箱、EDI电源柜、电缆、桥架、密封格兰、接地线</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负责除盐水设备机架加工组装过程中的监造及出厂前的验收</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4）负责货到现场后的卸货，设备就位工作。</w:t>
      </w:r>
    </w:p>
    <w:p>
      <w:pPr>
        <w:spacing w:line="360" w:lineRule="auto"/>
        <w:ind w:firstLine="0" w:firstLineChars="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2.3 撬装机架加工指定材料品牌</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为保证产品质量，卖方需按买方提供的指定材料品牌进行采购，详见下表：</w:t>
      </w:r>
    </w:p>
    <w:tbl>
      <w:tblPr>
        <w:tblStyle w:val="15"/>
        <w:tblW w:w="8359" w:type="dxa"/>
        <w:jc w:val="center"/>
        <w:tblLayout w:type="autofit"/>
        <w:tblCellMar>
          <w:top w:w="0" w:type="dxa"/>
          <w:left w:w="108" w:type="dxa"/>
          <w:bottom w:w="0" w:type="dxa"/>
          <w:right w:w="108" w:type="dxa"/>
        </w:tblCellMar>
      </w:tblPr>
      <w:tblGrid>
        <w:gridCol w:w="709"/>
        <w:gridCol w:w="1980"/>
        <w:gridCol w:w="5670"/>
      </w:tblGrid>
      <w:tr>
        <w:tblPrEx>
          <w:tblCellMar>
            <w:top w:w="0" w:type="dxa"/>
            <w:left w:w="108" w:type="dxa"/>
            <w:bottom w:w="0" w:type="dxa"/>
            <w:right w:w="108" w:type="dxa"/>
          </w:tblCellMar>
        </w:tblPrEx>
        <w:trPr>
          <w:trHeight w:val="40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名称</w:t>
            </w:r>
          </w:p>
        </w:tc>
        <w:tc>
          <w:tcPr>
            <w:tcW w:w="56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指定材料品牌</w:t>
            </w:r>
            <w:r>
              <w:rPr>
                <w:rFonts w:hint="eastAsia" w:ascii="宋体" w:hAnsi="宋体" w:eastAsia="宋体" w:cs="宋体"/>
                <w:sz w:val="21"/>
                <w:szCs w:val="21"/>
              </w:rPr>
              <w:t>名单</w:t>
            </w:r>
          </w:p>
        </w:tc>
      </w:tr>
      <w:tr>
        <w:tblPrEx>
          <w:tblCellMar>
            <w:top w:w="0" w:type="dxa"/>
            <w:left w:w="108" w:type="dxa"/>
            <w:bottom w:w="0" w:type="dxa"/>
            <w:right w:w="108" w:type="dxa"/>
          </w:tblCellMar>
        </w:tblPrEx>
        <w:trPr>
          <w:trHeight w:val="400" w:hRule="atLeast"/>
          <w:jc w:val="center"/>
        </w:trPr>
        <w:tc>
          <w:tcPr>
            <w:tcW w:w="709"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98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碳钢无缝管</w:t>
            </w:r>
          </w:p>
        </w:tc>
        <w:tc>
          <w:tcPr>
            <w:tcW w:w="56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天津钢管集团股份有限公司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衡阳华菱钢管有限公司</w:t>
            </w:r>
          </w:p>
        </w:tc>
      </w:tr>
      <w:tr>
        <w:tblPrEx>
          <w:tblCellMar>
            <w:top w:w="0" w:type="dxa"/>
            <w:left w:w="108" w:type="dxa"/>
            <w:bottom w:w="0" w:type="dxa"/>
            <w:right w:w="108" w:type="dxa"/>
          </w:tblCellMar>
        </w:tblPrEx>
        <w:trPr>
          <w:trHeight w:val="400" w:hRule="atLeast"/>
          <w:jc w:val="center"/>
        </w:trPr>
        <w:tc>
          <w:tcPr>
            <w:tcW w:w="709"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江阴市长江钢管有限公司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98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不锈钢无缝管</w:t>
            </w: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浙江久立特材科技股份有限公司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江苏武进不锈股份有限公司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江苏银环精密钢管有限公司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98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碳钢无缝管件</w:t>
            </w: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河北恒通管件集团有限公司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河北沧海核装备科技股份有限公司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江苏兴洋管业股份有限公司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扬州市管件厂有限公司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合肥实华管件有限责任公司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沧州隆泰管道科技有限公司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上海飞挺管业制造有限公司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98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不锈钢无缝管件</w:t>
            </w: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江苏兴洋管业股份有限公司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江苏新恒基特种装备股份有限公司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浙江久立特材科技股份有限公司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亚达管道系统股份有限公司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东台远洋不锈钢制造有限公司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河北沧海核装备科技股份有限公司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上海飞挺管业制造有限公司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98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垫片</w:t>
            </w: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浙江国泰萧星密封材料股份有限公司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宁波天生密封件有限公司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艾志工业技术集团有限公司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广州市东山南方密封件有限公司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无锡艾明特石化配件有限公司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慈溪恒立密封件有限公司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98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螺栓紧固件</w:t>
            </w: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无锡市标准件厂有限公司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山东美陵化工设备股份有限公司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绍兴山耐高压紧固件有限公司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沈阳标准件有限公司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宁波坤远紧固件有限公司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宁波九龙紧固件有限公司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1980"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焊材</w:t>
            </w: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四川大西洋焊接材料有限公司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中国机械总院集团哈尔滨焊接研究所有限公司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昆山京群焊材科技有限公司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北京金威焊材有限公司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安泰科技股份有限公司（北京钢研院）</w:t>
            </w:r>
          </w:p>
        </w:tc>
      </w:tr>
      <w:tr>
        <w:tblPrEx>
          <w:tblCellMar>
            <w:top w:w="0" w:type="dxa"/>
            <w:left w:w="108" w:type="dxa"/>
            <w:bottom w:w="0" w:type="dxa"/>
            <w:right w:w="108" w:type="dxa"/>
          </w:tblCellMar>
        </w:tblPrEx>
        <w:trPr>
          <w:trHeight w:val="400" w:hRule="atLeast"/>
          <w:jc w:val="center"/>
        </w:trPr>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洛阳双瑞特种合金材料有限公司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油漆涂料</w:t>
            </w: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阿克苏诺贝尔防护涂料有限公司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庞贝捷涂料有限公司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佐敦涂料有限公司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海虹老人涂料有限公司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中远关西化工有限公司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中海油常州环保涂料有限公司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江阴大阪涂料有限公司</w:t>
            </w:r>
          </w:p>
        </w:tc>
      </w:tr>
      <w:tr>
        <w:tblPrEx>
          <w:tblCellMar>
            <w:top w:w="0" w:type="dxa"/>
            <w:left w:w="108" w:type="dxa"/>
            <w:bottom w:w="0" w:type="dxa"/>
            <w:right w:w="108" w:type="dxa"/>
          </w:tblCellMar>
        </w:tblPrEx>
        <w:trPr>
          <w:trHeight w:val="400"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上海海隆赛能新材料有限公司</w:t>
            </w:r>
          </w:p>
        </w:tc>
      </w:tr>
      <w:tr>
        <w:tblPrEx>
          <w:tblCellMar>
            <w:top w:w="0" w:type="dxa"/>
            <w:left w:w="108" w:type="dxa"/>
            <w:bottom w:w="0" w:type="dxa"/>
            <w:right w:w="108" w:type="dxa"/>
          </w:tblCellMar>
        </w:tblPrEx>
        <w:trPr>
          <w:trHeight w:val="400"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210" w:firstLineChars="100"/>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198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仪表tube管及管阀件/仪表气源分配器</w:t>
            </w: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深圳飞托克实业有限公司</w:t>
            </w:r>
          </w:p>
        </w:tc>
      </w:tr>
      <w:tr>
        <w:tblPrEx>
          <w:tblCellMar>
            <w:top w:w="0" w:type="dxa"/>
            <w:left w:w="108" w:type="dxa"/>
            <w:bottom w:w="0" w:type="dxa"/>
            <w:right w:w="108" w:type="dxa"/>
          </w:tblCellMar>
        </w:tblPrEx>
        <w:trPr>
          <w:trHeight w:val="248"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highlight w:val="none"/>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highlight w:val="none"/>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tabs>
                <w:tab w:val="center" w:pos="4153"/>
                <w:tab w:val="right" w:pos="8306"/>
              </w:tabs>
              <w:snapToGrid w:val="0"/>
              <w:spacing w:before="0" w:beforeAutospacing="0" w:after="0" w:afterAutospacing="0" w:line="360" w:lineRule="auto"/>
              <w:ind w:left="0" w:right="0" w:firstLine="1470" w:firstLineChars="70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扬中市众成管路配件有限公司</w:t>
            </w:r>
          </w:p>
        </w:tc>
      </w:tr>
      <w:tr>
        <w:tblPrEx>
          <w:tblCellMar>
            <w:top w:w="0" w:type="dxa"/>
            <w:left w:w="108" w:type="dxa"/>
            <w:bottom w:w="0" w:type="dxa"/>
            <w:right w:w="108" w:type="dxa"/>
          </w:tblCellMar>
        </w:tblPrEx>
        <w:trPr>
          <w:trHeight w:val="308"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highlight w:val="none"/>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highlight w:val="none"/>
              </w:rPr>
            </w:pPr>
          </w:p>
        </w:tc>
        <w:tc>
          <w:tcPr>
            <w:tcW w:w="5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江苏华太电力仪表有限公司</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卖方工作范围内，买方未提供指定材料名单的设备、材料需严格满足“五、技术要求”中所列标准规范和补充的技术要求。</w:t>
      </w:r>
    </w:p>
    <w:p>
      <w:pPr>
        <w:keepNext/>
        <w:keepLines/>
        <w:widowControl w:val="0"/>
        <w:numPr>
          <w:ilvl w:val="0"/>
          <w:numId w:val="3"/>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bookmarkStart w:id="8" w:name="_Toc26863"/>
      <w:r>
        <w:rPr>
          <w:rFonts w:hint="eastAsia" w:ascii="Times New Roman" w:hAnsi="Times New Roman" w:eastAsia="微软雅黑" w:cs="Times New Roman"/>
          <w:b/>
          <w:bCs/>
          <w:kern w:val="44"/>
          <w:sz w:val="28"/>
          <w:szCs w:val="44"/>
          <w:lang w:val="en-US" w:eastAsia="zh-CN" w:bidi="ar-SA"/>
        </w:rPr>
        <w:t>执行标准/规范</w:t>
      </w:r>
      <w:bookmarkEnd w:id="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材料选用、加工</w:t>
      </w:r>
      <w:r>
        <w:rPr>
          <w:rFonts w:ascii="Times New Roman" w:hAnsi="Times New Roman" w:eastAsia="宋体" w:cs="Times New Roman"/>
          <w:sz w:val="24"/>
          <w:szCs w:val="24"/>
        </w:rPr>
        <w:t>、制造、</w:t>
      </w:r>
      <w:r>
        <w:rPr>
          <w:rFonts w:hint="eastAsia" w:ascii="Times New Roman" w:hAnsi="Times New Roman" w:eastAsia="宋体" w:cs="Times New Roman"/>
          <w:sz w:val="24"/>
          <w:szCs w:val="24"/>
        </w:rPr>
        <w:t>安装、</w:t>
      </w:r>
      <w:r>
        <w:rPr>
          <w:rFonts w:ascii="Times New Roman" w:hAnsi="Times New Roman" w:eastAsia="宋体" w:cs="Times New Roman"/>
          <w:sz w:val="24"/>
          <w:szCs w:val="24"/>
        </w:rPr>
        <w:t>验收、试验所采用的标准及规范（包含但不限于）</w:t>
      </w:r>
      <w:r>
        <w:rPr>
          <w:rFonts w:hint="eastAsia" w:ascii="Times New Roman" w:hAnsi="Times New Roman" w:eastAsia="宋体" w:cs="Times New Roman"/>
          <w:sz w:val="24"/>
          <w:szCs w:val="24"/>
        </w:rPr>
        <w:t>：</w:t>
      </w:r>
    </w:p>
    <w:tbl>
      <w:tblPr>
        <w:tblStyle w:val="15"/>
        <w:tblW w:w="51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52"/>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9" w:name="_Hlk202943370"/>
            <w:r>
              <w:rPr>
                <w:rFonts w:hint="eastAsia" w:ascii="Times New Roman" w:hAnsi="Times New Roman" w:eastAsia="宋体" w:cs="Times New Roman"/>
                <w:sz w:val="21"/>
                <w:szCs w:val="21"/>
              </w:rPr>
              <w:t>《不锈钢牌号及化学成分》</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20878-2024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0" w:name="OLE_LINK12" w:colFirst="0" w:colLast="1"/>
            <w:r>
              <w:rPr>
                <w:rFonts w:hint="eastAsia" w:ascii="Times New Roman" w:hAnsi="Times New Roman" w:eastAsia="宋体" w:cs="Times New Roman"/>
                <w:sz w:val="21"/>
                <w:szCs w:val="21"/>
              </w:rPr>
              <w:t>《热轧型钢》</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 706-2016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《不锈钢管》</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ASME B36.19M-2018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《工厂制造的锻钢对焊管件》</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ASME B16.9-2024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1" w:name="_Hlk202903855"/>
            <w:r>
              <w:rPr>
                <w:rFonts w:hint="eastAsia" w:ascii="Times New Roman" w:hAnsi="Times New Roman" w:eastAsia="宋体" w:cs="Times New Roman"/>
                <w:sz w:val="21"/>
                <w:szCs w:val="21"/>
              </w:rPr>
              <w:t>《工业用硬聚氯乙烯（UPVC）管道系统 第1部分：管材》</w:t>
            </w:r>
            <w:bookmarkEnd w:id="11"/>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2" w:name="_Hlk202903862"/>
            <w:r>
              <w:rPr>
                <w:rFonts w:hint="default" w:ascii="Times New Roman" w:hAnsi="Times New Roman" w:eastAsia="宋体" w:cs="Times New Roman"/>
                <w:sz w:val="21"/>
                <w:szCs w:val="21"/>
              </w:rPr>
              <w:t>GB/T 4219.1-2008</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3" w:name="_Hlk202903870"/>
            <w:r>
              <w:rPr>
                <w:rFonts w:hint="eastAsia" w:ascii="Times New Roman" w:hAnsi="Times New Roman" w:eastAsia="宋体" w:cs="Times New Roman"/>
                <w:sz w:val="21"/>
                <w:szCs w:val="21"/>
              </w:rPr>
              <w:t>《工业用硬聚氯乙烯（UPVC）管道系统 第2部分：管件》</w:t>
            </w:r>
            <w:bookmarkEnd w:id="13"/>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4" w:name="_Hlk202903875"/>
            <w:r>
              <w:rPr>
                <w:rFonts w:hint="default" w:ascii="Times New Roman" w:hAnsi="Times New Roman" w:eastAsia="宋体" w:cs="Times New Roman"/>
                <w:sz w:val="21"/>
                <w:szCs w:val="21"/>
              </w:rPr>
              <w:t>GB/T 4219.2-2015</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5" w:name="_Hlk202903882"/>
            <w:r>
              <w:rPr>
                <w:rFonts w:hint="eastAsia" w:ascii="Times New Roman" w:hAnsi="Times New Roman" w:eastAsia="宋体" w:cs="Times New Roman"/>
                <w:sz w:val="21"/>
                <w:szCs w:val="21"/>
              </w:rPr>
              <w:t>《不锈钢冷轧钢板和钢带》</w:t>
            </w:r>
            <w:bookmarkEnd w:id="15"/>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bookmarkStart w:id="16" w:name="_Hlk202903887"/>
            <w:r>
              <w:rPr>
                <w:rFonts w:hint="default" w:ascii="Times New Roman" w:hAnsi="Times New Roman" w:eastAsia="宋体" w:cs="Times New Roman"/>
                <w:sz w:val="21"/>
                <w:szCs w:val="21"/>
              </w:rPr>
              <w:t>GB/T 3280-2015</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《管法兰和法兰管件》</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ASME B16.5-2020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《管法兰用金属垫片》</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ASME B16.20-2023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《钢制管线盲板》</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ASME B16.48-2020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《石油化工钢制管法兰用紧固件》</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SH／T3404-2013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《现场设备、工业管道焊接工程施工规范》</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 50236-2011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《工业金属管道工程施工质量验收规范》</w:t>
            </w:r>
          </w:p>
        </w:tc>
        <w:tc>
          <w:tcPr>
            <w:tcW w:w="306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 50184-2011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《设备、管道、钢结构表面色和标志统一规定》</w:t>
            </w:r>
          </w:p>
        </w:tc>
        <w:tc>
          <w:tcPr>
            <w:tcW w:w="3065" w:type="dxa"/>
            <w:vMerge w:val="restart"/>
            <w:noWrap/>
            <w:vAlign w:val="center"/>
          </w:tcPr>
          <w:p>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EE0000"/>
                <w:sz w:val="21"/>
                <w:szCs w:val="21"/>
              </w:rPr>
            </w:pPr>
            <w:r>
              <w:rPr>
                <w:rFonts w:hint="eastAsia" w:ascii="宋体" w:hAnsi="宋体" w:eastAsia="宋体" w:cs="宋体"/>
                <w:sz w:val="21"/>
                <w:szCs w:val="21"/>
              </w:rPr>
              <w:t>见附件四、附件五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535" w:type="dxa"/>
            <w:noWrap/>
            <w:vAlign w:val="center"/>
          </w:tcPr>
          <w:p>
            <w:pPr>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《设备和管道涂漆设计规定》</w:t>
            </w:r>
          </w:p>
        </w:tc>
        <w:tc>
          <w:tcPr>
            <w:tcW w:w="3065" w:type="dxa"/>
            <w:vMerge w:val="continue"/>
            <w:noWrap/>
            <w:vAlign w:val="center"/>
          </w:tcPr>
          <w:p>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EE0000"/>
                <w:sz w:val="21"/>
                <w:szCs w:val="21"/>
              </w:rPr>
            </w:pPr>
          </w:p>
        </w:tc>
      </w:tr>
      <w:bookmarkEnd w:id="9"/>
      <w:bookmarkEnd w:id="10"/>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未尽事项按国内有关标准执行，而且优先按高和严的标准执行，并且保证</w:t>
      </w:r>
      <w:r>
        <w:rPr>
          <w:rFonts w:hint="eastAsia" w:ascii="Times New Roman" w:hAnsi="Times New Roman" w:eastAsia="宋体" w:cs="Times New Roman"/>
          <w:sz w:val="24"/>
          <w:szCs w:val="24"/>
        </w:rPr>
        <w:t>满足技术要求</w:t>
      </w:r>
      <w:r>
        <w:rPr>
          <w:rFonts w:ascii="Times New Roman" w:hAnsi="Times New Roman" w:eastAsia="宋体" w:cs="Times New Roman"/>
          <w:sz w:val="24"/>
          <w:szCs w:val="24"/>
        </w:rPr>
        <w:t>中的各项要求。本文中引用的标准和规范全部采用以本技术要求书签署日为准的最新版本（正式发布版）。</w:t>
      </w:r>
    </w:p>
    <w:p>
      <w:pPr>
        <w:keepNext/>
        <w:keepLines/>
        <w:widowControl w:val="0"/>
        <w:numPr>
          <w:ilvl w:val="0"/>
          <w:numId w:val="3"/>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bookmarkStart w:id="17" w:name="_Toc25859"/>
      <w:r>
        <w:rPr>
          <w:rFonts w:hint="eastAsia" w:ascii="Times New Roman" w:hAnsi="Times New Roman" w:eastAsia="微软雅黑" w:cs="Times New Roman"/>
          <w:b/>
          <w:bCs/>
          <w:kern w:val="44"/>
          <w:sz w:val="28"/>
          <w:szCs w:val="44"/>
          <w:lang w:val="en-US" w:eastAsia="zh-CN" w:bidi="ar-SA"/>
        </w:rPr>
        <w:t>设计/使用条件</w:t>
      </w:r>
      <w:bookmarkEnd w:id="17"/>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bookmarkStart w:id="18" w:name="_Toc4535"/>
      <w:bookmarkStart w:id="19" w:name="_Toc87622824"/>
      <w:r>
        <w:rPr>
          <w:rFonts w:hint="eastAsia" w:ascii="Times New Roman" w:hAnsi="Times New Roman" w:eastAsia="宋体" w:cs="Times New Roman"/>
          <w:b/>
          <w:bCs/>
          <w:kern w:val="2"/>
          <w:sz w:val="28"/>
          <w:szCs w:val="32"/>
          <w:lang w:val="en-US" w:eastAsia="zh-CN" w:bidi="ar-SA"/>
        </w:rPr>
        <w:t xml:space="preserve">4.1 </w:t>
      </w:r>
      <w:r>
        <w:rPr>
          <w:rFonts w:ascii="Times New Roman" w:hAnsi="Times New Roman" w:eastAsia="宋体" w:cs="Times New Roman"/>
          <w:b/>
          <w:bCs/>
          <w:kern w:val="2"/>
          <w:sz w:val="28"/>
          <w:szCs w:val="32"/>
          <w:lang w:val="en-US" w:eastAsia="zh-CN" w:bidi="ar-SA"/>
        </w:rPr>
        <w:t>安装场所</w:t>
      </w:r>
      <w:bookmarkEnd w:id="18"/>
      <w:bookmarkEnd w:id="19"/>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室外</w:t>
      </w:r>
      <w:r>
        <w:rPr>
          <w:rFonts w:hint="eastAsia" w:ascii="Times New Roman" w:hAnsi="Times New Roman" w:eastAsia="宋体" w:cs="Times New Roman"/>
          <w:sz w:val="24"/>
          <w:szCs w:val="24"/>
        </w:rPr>
        <w:t>雨棚</w:t>
      </w:r>
      <w:r>
        <w:rPr>
          <w:rFonts w:ascii="Times New Roman" w:hAnsi="Times New Roman" w:eastAsia="宋体" w:cs="Times New Roman"/>
          <w:sz w:val="24"/>
          <w:szCs w:val="24"/>
        </w:rPr>
        <w:t>布置。</w:t>
      </w:r>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bookmarkStart w:id="20" w:name="_Toc87622825"/>
      <w:bookmarkStart w:id="21" w:name="_Toc35"/>
      <w:r>
        <w:rPr>
          <w:rFonts w:hint="eastAsia" w:ascii="Times New Roman" w:hAnsi="Times New Roman" w:eastAsia="宋体" w:cs="Times New Roman"/>
          <w:b/>
          <w:bCs/>
          <w:kern w:val="2"/>
          <w:sz w:val="28"/>
          <w:szCs w:val="32"/>
          <w:lang w:val="en-US" w:eastAsia="zh-CN" w:bidi="ar-SA"/>
        </w:rPr>
        <w:t>4.2 气象</w:t>
      </w:r>
      <w:r>
        <w:rPr>
          <w:rFonts w:ascii="Times New Roman" w:hAnsi="Times New Roman" w:eastAsia="宋体" w:cs="Times New Roman"/>
          <w:b/>
          <w:bCs/>
          <w:kern w:val="2"/>
          <w:sz w:val="28"/>
          <w:szCs w:val="32"/>
          <w:lang w:val="en-US" w:eastAsia="zh-CN" w:bidi="ar-SA"/>
        </w:rPr>
        <w:t>环境条件</w:t>
      </w:r>
      <w:bookmarkEnd w:id="20"/>
      <w:bookmarkEnd w:id="21"/>
    </w:p>
    <w:tbl>
      <w:tblPr>
        <w:tblStyle w:val="15"/>
        <w:tblW w:w="8552"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2885"/>
        <w:gridCol w:w="2258"/>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9" w:type="dxa"/>
            <w:gridSpan w:val="2"/>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气象要素</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895"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惠州</w:t>
            </w:r>
            <w:r>
              <w:rPr>
                <w:rFonts w:hint="default" w:ascii="Times New Roman" w:hAnsi="Times New Roman" w:eastAsia="宋体" w:cs="Times New Roman"/>
                <w:sz w:val="21"/>
                <w:szCs w:val="21"/>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restart"/>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气温</w:t>
            </w: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夏季极端</w:t>
            </w:r>
            <w:r>
              <w:rPr>
                <w:rFonts w:hint="default" w:ascii="Times New Roman" w:hAnsi="Times New Roman" w:eastAsia="宋体" w:cs="Times New Roman"/>
                <w:sz w:val="21"/>
                <w:szCs w:val="21"/>
              </w:rPr>
              <w:t>最高</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冬季极端</w:t>
            </w:r>
            <w:r>
              <w:rPr>
                <w:rFonts w:hint="default" w:ascii="Times New Roman" w:hAnsi="Times New Roman" w:eastAsia="宋体" w:cs="Times New Roman"/>
                <w:sz w:val="21"/>
                <w:szCs w:val="21"/>
              </w:rPr>
              <w:t>最低</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日照</w:t>
            </w: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日照时间</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h/年</w:t>
            </w:r>
          </w:p>
        </w:tc>
        <w:tc>
          <w:tcPr>
            <w:tcW w:w="1895"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相对湿度</w:t>
            </w: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年平均</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restart"/>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bookmarkStart w:id="22" w:name="OLE_LINK13" w:colFirst="1" w:colLast="3"/>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降雨量</w:t>
            </w: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hint="default" w:ascii="Times New Roman" w:hAnsi="Times New Roman" w:eastAsia="宋体" w:cs="Times New Roman"/>
                <w:sz w:val="21"/>
                <w:szCs w:val="21"/>
              </w:rPr>
              <w:t>平均</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1881.3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hint="default" w:ascii="Times New Roman" w:hAnsi="Times New Roman" w:eastAsia="宋体" w:cs="Times New Roman"/>
                <w:sz w:val="21"/>
                <w:szCs w:val="21"/>
              </w:rPr>
              <w:t>最高</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2654.8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hint="default" w:ascii="Times New Roman" w:hAnsi="Times New Roman" w:eastAsia="宋体" w:cs="Times New Roman"/>
                <w:sz w:val="21"/>
                <w:szCs w:val="21"/>
              </w:rPr>
              <w:t>最低</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1192.2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蒸发量</w:t>
            </w: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hint="default" w:ascii="Times New Roman" w:hAnsi="Times New Roman" w:eastAsia="宋体" w:cs="Times New Roman"/>
                <w:sz w:val="21"/>
                <w:szCs w:val="21"/>
              </w:rPr>
              <w:t>平均</w:t>
            </w:r>
          </w:p>
        </w:tc>
        <w:tc>
          <w:tcPr>
            <w:tcW w:w="2258"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4"/>
                <w:szCs w:val="21"/>
              </w:rPr>
              <w:t>mm</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4"/>
                <w:szCs w:val="21"/>
              </w:rPr>
            </w:pPr>
            <w:r>
              <w:rPr>
                <w:rFonts w:hint="eastAsia" w:ascii="Times New Roman" w:hAnsi="Times New Roman" w:eastAsia="宋体" w:cs="Times New Roman"/>
                <w:sz w:val="24"/>
                <w:szCs w:val="21"/>
              </w:rPr>
              <w:t>1865.8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hint="default" w:ascii="Times New Roman" w:hAnsi="Times New Roman" w:eastAsia="宋体" w:cs="Times New Roman"/>
                <w:sz w:val="21"/>
                <w:szCs w:val="21"/>
              </w:rPr>
              <w:t>最</w:t>
            </w:r>
            <w:r>
              <w:rPr>
                <w:rFonts w:hint="eastAsia" w:ascii="Times New Roman" w:hAnsi="Times New Roman" w:eastAsia="宋体" w:cs="Times New Roman"/>
                <w:sz w:val="21"/>
                <w:szCs w:val="21"/>
              </w:rPr>
              <w:t>大</w:t>
            </w:r>
          </w:p>
        </w:tc>
        <w:tc>
          <w:tcPr>
            <w:tcW w:w="2258"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4"/>
                <w:szCs w:val="21"/>
              </w:rPr>
              <w:t>mm</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4"/>
                <w:szCs w:val="21"/>
              </w:rPr>
            </w:pPr>
            <w:r>
              <w:rPr>
                <w:rFonts w:hint="eastAsia" w:ascii="Times New Roman" w:hAnsi="Times New Roman" w:eastAsia="宋体" w:cs="Times New Roman"/>
                <w:sz w:val="24"/>
                <w:szCs w:val="21"/>
              </w:rPr>
              <w:t>2279.9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年</w:t>
            </w:r>
            <w:r>
              <w:rPr>
                <w:rFonts w:hint="default" w:ascii="Times New Roman" w:hAnsi="Times New Roman" w:eastAsia="宋体" w:cs="Times New Roman"/>
                <w:sz w:val="21"/>
                <w:szCs w:val="21"/>
              </w:rPr>
              <w:t>最</w:t>
            </w:r>
            <w:r>
              <w:rPr>
                <w:rFonts w:hint="eastAsia" w:ascii="Times New Roman" w:hAnsi="Times New Roman" w:eastAsia="宋体" w:cs="Times New Roman"/>
                <w:sz w:val="21"/>
                <w:szCs w:val="21"/>
              </w:rPr>
              <w:t>小</w:t>
            </w:r>
          </w:p>
        </w:tc>
        <w:tc>
          <w:tcPr>
            <w:tcW w:w="2258"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4"/>
                <w:szCs w:val="21"/>
              </w:rPr>
              <w:t>mm</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4"/>
                <w:szCs w:val="21"/>
              </w:rPr>
            </w:pPr>
            <w:r>
              <w:rPr>
                <w:rFonts w:hint="eastAsia" w:ascii="Times New Roman" w:hAnsi="Times New Roman" w:eastAsia="宋体" w:cs="Times New Roman"/>
                <w:sz w:val="24"/>
                <w:szCs w:val="21"/>
              </w:rPr>
              <w:t>1553.6</w:t>
            </w:r>
          </w:p>
        </w:tc>
      </w:tr>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restart"/>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风向风速</w:t>
            </w: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最多风向</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m/s</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Merge w:val="continue"/>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885"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m/s</w:t>
            </w:r>
          </w:p>
        </w:tc>
        <w:tc>
          <w:tcPr>
            <w:tcW w:w="1895" w:type="dxa"/>
          </w:tcPr>
          <w:p>
            <w:pPr>
              <w:keepNext w:val="0"/>
              <w:keepLines w:val="0"/>
              <w:suppressLineNumbers w:val="0"/>
              <w:spacing w:before="0" w:beforeAutospacing="0" w:after="0" w:afterAutospacing="0" w:line="240" w:lineRule="auto"/>
              <w:ind w:left="0" w:right="0" w:firstLine="48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4"/>
                <w:szCs w:val="21"/>
              </w:rPr>
              <w:t>2</w:t>
            </w:r>
            <w:r>
              <w:rPr>
                <w:rFonts w:hint="default" w:ascii="Times New Roman" w:hAnsi="Times New Roman" w:eastAsia="宋体" w:cs="Times New Roman"/>
                <w:sz w:val="24"/>
                <w:szCs w:val="21"/>
              </w:rPr>
              <w:t>.</w:t>
            </w:r>
            <w:r>
              <w:rPr>
                <w:rFonts w:hint="eastAsia" w:ascii="Times New Roman" w:hAnsi="Times New Roman" w:eastAsia="宋体" w:cs="Times New Roman"/>
                <w:sz w:val="24"/>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冻土深度</w:t>
            </w:r>
          </w:p>
        </w:tc>
        <w:tc>
          <w:tcPr>
            <w:tcW w:w="2885"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最大冻土深度</w:t>
            </w:r>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895"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大气压</w:t>
            </w:r>
          </w:p>
        </w:tc>
        <w:tc>
          <w:tcPr>
            <w:tcW w:w="2885"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bookmarkStart w:id="23" w:name="OLE_LINK14"/>
            <w:r>
              <w:rPr>
                <w:rFonts w:hint="default" w:ascii="Times New Roman" w:hAnsi="Times New Roman" w:eastAsia="宋体" w:cs="Times New Roman"/>
                <w:sz w:val="21"/>
                <w:szCs w:val="21"/>
              </w:rPr>
              <w:t>平均气压</w:t>
            </w:r>
            <w:bookmarkEnd w:id="23"/>
          </w:p>
        </w:tc>
        <w:tc>
          <w:tcPr>
            <w:tcW w:w="2258"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kPa</w:t>
            </w:r>
          </w:p>
        </w:tc>
        <w:tc>
          <w:tcPr>
            <w:tcW w:w="1895" w:type="dxa"/>
          </w:tcPr>
          <w:p>
            <w:pPr>
              <w:keepNext w:val="0"/>
              <w:keepLines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100.88</w:t>
            </w:r>
          </w:p>
        </w:tc>
      </w:tr>
    </w:tbl>
    <w:p>
      <w:pPr>
        <w:widowControl w:val="0"/>
        <w:tabs>
          <w:tab w:val="center" w:pos="4153"/>
          <w:tab w:val="right" w:pos="8306"/>
        </w:tabs>
        <w:snapToGrid w:val="0"/>
        <w:spacing w:line="360" w:lineRule="auto"/>
        <w:ind w:firstLine="0" w:firstLineChars="0"/>
        <w:jc w:val="both"/>
        <w:rPr>
          <w:rFonts w:ascii="Times New Roman" w:hAnsi="Times New Roman" w:eastAsia="宋体" w:cs="Times New Roman"/>
          <w:kern w:val="2"/>
          <w:sz w:val="18"/>
          <w:szCs w:val="18"/>
          <w:lang w:val="en-US" w:eastAsia="zh-CN" w:bidi="ar-SA"/>
        </w:rPr>
      </w:pPr>
      <w:bookmarkStart w:id="24" w:name="_Toc13865"/>
    </w:p>
    <w:p>
      <w:pPr>
        <w:keepNext/>
        <w:keepLines/>
        <w:widowControl w:val="0"/>
        <w:numPr>
          <w:ilvl w:val="0"/>
          <w:numId w:val="4"/>
        </w:numPr>
        <w:tabs>
          <w:tab w:val="left" w:pos="0"/>
        </w:tabs>
        <w:spacing w:line="360" w:lineRule="auto"/>
        <w:ind w:left="720" w:hanging="720" w:firstLineChars="0"/>
        <w:jc w:val="left"/>
        <w:outlineLvl w:val="0"/>
        <w:rPr>
          <w:rFonts w:ascii="Times New Roman" w:hAnsi="Times New Roman" w:eastAsia="微软雅黑" w:cs="Times New Roman"/>
          <w:b/>
          <w:bCs/>
          <w:kern w:val="44"/>
          <w:sz w:val="28"/>
          <w:szCs w:val="44"/>
          <w:lang w:val="en-US" w:eastAsia="zh-CN" w:bidi="ar-SA"/>
        </w:rPr>
      </w:pPr>
      <w:r>
        <w:rPr>
          <w:rFonts w:ascii="Times New Roman" w:hAnsi="Times New Roman" w:eastAsia="微软雅黑" w:cs="Times New Roman"/>
          <w:b/>
          <w:bCs/>
          <w:kern w:val="44"/>
          <w:sz w:val="28"/>
          <w:szCs w:val="44"/>
          <w:lang w:val="en-US" w:eastAsia="zh-CN" w:bidi="ar-SA"/>
        </w:rPr>
        <w:t>技术要求</w:t>
      </w:r>
      <w:bookmarkEnd w:id="24"/>
    </w:p>
    <w:p>
      <w:pPr>
        <w:widowControl w:val="0"/>
        <w:spacing w:after="120" w:line="360" w:lineRule="auto"/>
        <w:ind w:left="0" w:leftChars="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本次需求完全引用标准</w:t>
      </w:r>
      <w:r>
        <w:rPr>
          <w:rFonts w:ascii="Times New Roman" w:hAnsi="Times New Roman" w:eastAsia="宋体" w:cs="Times New Roman"/>
          <w:kern w:val="0"/>
          <w:sz w:val="24"/>
          <w:szCs w:val="24"/>
          <w:lang w:val="en-US" w:eastAsia="zh-CN" w:bidi="ar-SA"/>
        </w:rPr>
        <w:t>《不锈钢 牌号及化学成分》（GB/T 20878-2024），《热轧型钢》（GB/T 706-2016），《不锈钢管》（ASME B36.19M-2018），《工厂制造的锻钢对焊管件》（ASME B16.9-2024），《工业用硬聚氯乙烯（UPVC）管道系统 第1部分：管材》GB/T 4219.1-2008，《工业用硬聚氯乙烯（UPVC）管道系统 第2部分：管件》GB/T 4219.2-2015</w:t>
      </w:r>
      <w:r>
        <w:rPr>
          <w:rFonts w:hint="eastAsia" w:ascii="Times New Roman" w:hAnsi="Times New Roman" w:eastAsia="宋体" w:cs="Times New Roman"/>
          <w:kern w:val="0"/>
          <w:sz w:val="24"/>
          <w:szCs w:val="24"/>
          <w:lang w:val="en-US" w:eastAsia="zh-CN" w:bidi="ar-SA"/>
        </w:rPr>
        <w:t>，</w:t>
      </w:r>
      <w:r>
        <w:rPr>
          <w:rFonts w:ascii="Times New Roman" w:hAnsi="Times New Roman" w:eastAsia="宋体" w:cs="Times New Roman"/>
          <w:kern w:val="0"/>
          <w:sz w:val="24"/>
          <w:szCs w:val="24"/>
          <w:lang w:val="en-US" w:eastAsia="zh-CN" w:bidi="ar-SA"/>
        </w:rPr>
        <w:t>《不锈钢冷轧钢板和钢带》GB/T 3280-2015</w:t>
      </w:r>
      <w:r>
        <w:rPr>
          <w:rFonts w:hint="eastAsia" w:ascii="Times New Roman" w:hAnsi="Times New Roman" w:eastAsia="宋体" w:cs="Times New Roman"/>
          <w:kern w:val="0"/>
          <w:sz w:val="24"/>
          <w:szCs w:val="24"/>
          <w:lang w:val="en-US" w:eastAsia="zh-CN" w:bidi="ar-SA"/>
        </w:rPr>
        <w:t>，</w:t>
      </w:r>
      <w:r>
        <w:rPr>
          <w:rFonts w:ascii="Times New Roman" w:hAnsi="Times New Roman" w:eastAsia="宋体" w:cs="Times New Roman"/>
          <w:kern w:val="0"/>
          <w:sz w:val="24"/>
          <w:szCs w:val="24"/>
          <w:lang w:val="en-US" w:eastAsia="zh-CN" w:bidi="ar-SA"/>
        </w:rPr>
        <w:t>《管法兰和法兰管件》（ASME B16.5-2020），《管法兰用金属垫片》（ASME B16.20-2023），《钢制管线盲板》（ASME B16.48-2020），《石油化工钢制管法兰用紧固件》（SH／T3404-2013），《现场设备、工业管道焊接工程施工规范》（GB 50236-2011），《工业金属管道工程施工质量验收规范》（GB 50184-2011）等</w:t>
      </w:r>
      <w:r>
        <w:rPr>
          <w:rFonts w:hint="eastAsia" w:ascii="宋体" w:hAnsi="宋体" w:eastAsia="宋体" w:cs="宋体"/>
          <w:kern w:val="0"/>
          <w:sz w:val="24"/>
          <w:szCs w:val="24"/>
          <w:lang w:val="en-US" w:eastAsia="zh-CN" w:bidi="ar-SA"/>
        </w:rPr>
        <w:t>，但对除盐水设备机架技术要求有补充/优化。</w:t>
      </w:r>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5.1 标准引用情况</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★5.1.1 材料牌号和化学成分：</w:t>
      </w:r>
    </w:p>
    <w:p>
      <w:pPr>
        <w:widowControl w:val="0"/>
        <w:spacing w:line="360" w:lineRule="auto"/>
        <w:ind w:firstLine="482"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S30408：</w:t>
      </w:r>
      <w:r>
        <w:rPr>
          <w:rFonts w:hint="eastAsia" w:ascii="宋体" w:hAnsi="宋体" w:eastAsia="宋体" w:cs="宋体"/>
          <w:kern w:val="2"/>
          <w:sz w:val="24"/>
          <w:szCs w:val="24"/>
          <w:lang w:val="en-US" w:eastAsia="zh-CN" w:bidi="ar-SA"/>
        </w:rPr>
        <w:t>满足《不锈钢 牌号及化学成分》（GB/T20878-2024</w:t>
      </w:r>
      <w:r>
        <w:rPr>
          <w:rFonts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t>中“表1 奥氏体不锈钢牌号和统一数字代号及其化学成分”序号10所列化学成分。</w:t>
      </w:r>
    </w:p>
    <w:p>
      <w:pPr>
        <w:widowControl w:val="0"/>
        <w:spacing w:line="36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5274310" cy="2049145"/>
            <wp:effectExtent l="0" t="0" r="254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4310" cy="2049145"/>
                    </a:xfrm>
                    <a:prstGeom prst="rect">
                      <a:avLst/>
                    </a:prstGeom>
                    <a:noFill/>
                    <a:ln>
                      <a:noFill/>
                    </a:ln>
                  </pic:spPr>
                </pic:pic>
              </a:graphicData>
            </a:graphic>
          </wp:inline>
        </w:drawing>
      </w:r>
    </w:p>
    <w:p>
      <w:pPr>
        <w:widowControl/>
        <w:tabs>
          <w:tab w:val="left" w:pos="360"/>
        </w:tabs>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S30408：</w:t>
      </w:r>
      <w:r>
        <w:rPr>
          <w:rFonts w:hint="eastAsia" w:ascii="宋体" w:hAnsi="宋体" w:eastAsia="宋体" w:cs="宋体"/>
          <w:sz w:val="24"/>
          <w:szCs w:val="24"/>
        </w:rPr>
        <w:t>满足GB/T 20878-2024《不锈钢 牌号及化学成分》附录B中“表B.1 本文部分不锈钢牌号的物理性能参数”中序号10物理性能参数要求。</w:t>
      </w:r>
    </w:p>
    <w:p>
      <w:pPr>
        <w:widowControl w:val="0"/>
        <w:spacing w:line="36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5274310" cy="2741930"/>
            <wp:effectExtent l="0" t="0" r="254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74310" cy="2741930"/>
                    </a:xfrm>
                    <a:prstGeom prst="rect">
                      <a:avLst/>
                    </a:prstGeom>
                    <a:noFill/>
                    <a:ln>
                      <a:noFill/>
                    </a:ln>
                  </pic:spPr>
                </pic:pic>
              </a:graphicData>
            </a:graphic>
          </wp:inline>
        </w:drawing>
      </w:r>
    </w:p>
    <w:p>
      <w:pPr>
        <w:widowControl w:val="0"/>
        <w:spacing w:line="360" w:lineRule="auto"/>
        <w:ind w:firstLine="482"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S31603：</w:t>
      </w:r>
      <w:r>
        <w:rPr>
          <w:rFonts w:hint="eastAsia" w:ascii="宋体" w:hAnsi="宋体" w:eastAsia="宋体" w:cs="宋体"/>
          <w:kern w:val="2"/>
          <w:sz w:val="24"/>
          <w:szCs w:val="24"/>
          <w:lang w:val="en-US" w:eastAsia="zh-CN" w:bidi="ar-SA"/>
        </w:rPr>
        <w:t>满足《不锈钢 牌号及化学成分》（GB/T20878-2024</w:t>
      </w:r>
      <w:r>
        <w:rPr>
          <w:rFonts w:ascii="宋体" w:hAnsi="宋体" w:eastAsia="宋体" w:cs="宋体"/>
          <w:kern w:val="2"/>
          <w:sz w:val="24"/>
          <w:szCs w:val="24"/>
          <w:lang w:val="en-US" w:eastAsia="zh-CN" w:bidi="ar-SA"/>
        </w:rPr>
        <w:t>）</w:t>
      </w:r>
      <w:r>
        <w:rPr>
          <w:rFonts w:hint="eastAsia" w:ascii="宋体" w:hAnsi="宋体" w:eastAsia="宋体" w:cs="宋体"/>
          <w:kern w:val="2"/>
          <w:sz w:val="24"/>
          <w:szCs w:val="24"/>
          <w:lang w:val="en-US" w:eastAsia="zh-CN" w:bidi="ar-SA"/>
        </w:rPr>
        <w:t>中“表1 奥氏体不锈钢牌号和统一数字代号及其化学成分”序号43所列化学成分。</w:t>
      </w:r>
    </w:p>
    <w:p>
      <w:pPr>
        <w:widowControl w:val="0"/>
        <w:spacing w:line="36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5274310" cy="3448685"/>
            <wp:effectExtent l="0" t="0" r="254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74310" cy="3448685"/>
                    </a:xfrm>
                    <a:prstGeom prst="rect">
                      <a:avLst/>
                    </a:prstGeom>
                    <a:noFill/>
                    <a:ln>
                      <a:noFill/>
                    </a:ln>
                  </pic:spPr>
                </pic:pic>
              </a:graphicData>
            </a:graphic>
          </wp:inline>
        </w:drawing>
      </w:r>
    </w:p>
    <w:p>
      <w:pPr>
        <w:widowControl/>
        <w:tabs>
          <w:tab w:val="left" w:pos="360"/>
        </w:tabs>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S31603：</w:t>
      </w:r>
      <w:r>
        <w:rPr>
          <w:rFonts w:hint="eastAsia" w:ascii="宋体" w:hAnsi="宋体" w:eastAsia="宋体" w:cs="宋体"/>
          <w:sz w:val="24"/>
          <w:szCs w:val="24"/>
        </w:rPr>
        <w:t>满足GB/T 20878-2024《不锈钢 牌号及化学成分》附录B中“表B.1 本文部分不锈钢牌号的物理性能参数”中序号41物理性能参数要求。</w:t>
      </w:r>
    </w:p>
    <w:p>
      <w:pPr>
        <w:widowControl w:val="0"/>
        <w:spacing w:line="360" w:lineRule="auto"/>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5274310" cy="2611755"/>
            <wp:effectExtent l="0" t="0" r="2540"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74310" cy="2611755"/>
                    </a:xfrm>
                    <a:prstGeom prst="rect">
                      <a:avLst/>
                    </a:prstGeom>
                    <a:noFill/>
                    <a:ln>
                      <a:noFill/>
                    </a:ln>
                  </pic:spPr>
                </pic:pic>
              </a:graphicData>
            </a:graphic>
          </wp:inline>
        </w:drawing>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★5.1.2 机架用型钢</w:t>
      </w:r>
    </w:p>
    <w:p>
      <w:pPr>
        <w:widowControl/>
        <w:tabs>
          <w:tab w:val="left" w:pos="36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机架用热轧工字钢、热轧槽钢、热轧等边角钢、热轧不等边角钢的尺寸、外形、重量及允许偏差、技术要求、试验方法、检验规则、包装、标志及质量证明书等要求，完全引用《热轧型钢》（GB/T 706-2016）相关要求。</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★5.1.3 机架内管道</w:t>
      </w:r>
    </w:p>
    <w:p>
      <w:pPr>
        <w:widowControl/>
        <w:tabs>
          <w:tab w:val="left" w:pos="360"/>
        </w:tabs>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金属管道：</w:t>
      </w:r>
      <w:r>
        <w:rPr>
          <w:rFonts w:hint="eastAsia" w:ascii="宋体" w:hAnsi="宋体" w:eastAsia="宋体" w:cs="宋体"/>
          <w:sz w:val="24"/>
          <w:szCs w:val="24"/>
        </w:rPr>
        <w:t>无缝不锈钢管技术要求完全引用标准《不锈钢管》（ASME B36.19M-2018）</w:t>
      </w:r>
    </w:p>
    <w:p>
      <w:pPr>
        <w:widowControl/>
        <w:tabs>
          <w:tab w:val="left" w:pos="360"/>
        </w:tabs>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UPVC管道：</w:t>
      </w:r>
      <w:r>
        <w:rPr>
          <w:rFonts w:hint="eastAsia" w:ascii="宋体" w:hAnsi="宋体" w:eastAsia="宋体" w:cs="宋体"/>
          <w:sz w:val="24"/>
          <w:szCs w:val="24"/>
        </w:rPr>
        <w:t>满足《工业用硬聚氯乙烯（UPVC）管道系统 第1部分：管材》（GB/T 4219.1-2008）；UPVC管件满足《工业用硬聚氯乙烯（UPVC）管道系统 第2部分：管件》（GB/T 4219.2-2015）。</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★5.1.4 管件要求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【本设备部分引用《工厂制造的锻钢对焊管件》（ASME B16.9-2024）中表6.1焊接不锈钢管件的尺寸】，以下为引用标准中所列条款内容：</w:t>
      </w:r>
    </w:p>
    <w:p>
      <w:pPr>
        <w:spacing w:line="360" w:lineRule="auto"/>
        <w:ind w:firstLine="480" w:firstLineChars="20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4939030" cy="2981325"/>
            <wp:effectExtent l="0" t="0" r="13970" b="952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4"/>
                    <a:stretch>
                      <a:fillRect/>
                    </a:stretch>
                  </pic:blipFill>
                  <pic:spPr>
                    <a:xfrm>
                      <a:off x="0" y="0"/>
                      <a:ext cx="4939030" cy="2981325"/>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4768850" cy="3460750"/>
            <wp:effectExtent l="0" t="0" r="12700" b="635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4768850" cy="346075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3695700" cy="114300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3695700" cy="114300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5270500" cy="3289300"/>
            <wp:effectExtent l="0" t="0" r="6350" b="63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5270500" cy="328930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114300" distR="114300">
            <wp:extent cx="5274310" cy="3331845"/>
            <wp:effectExtent l="0" t="0" r="2540"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5274310" cy="3331845"/>
                    </a:xfrm>
                    <a:prstGeom prst="rect">
                      <a:avLst/>
                    </a:prstGeom>
                    <a:noFill/>
                    <a:ln>
                      <a:noFill/>
                    </a:ln>
                  </pic:spPr>
                </pic:pic>
              </a:graphicData>
            </a:graphic>
          </wp:inline>
        </w:drawing>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★5.1.5 法兰要求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【本设备部分引用《管法兰和法兰管件》（ASME B16.5-2020）中表7，150级法兰钻孔模板】，以下为引用标准中所列条款内容：</w:t>
      </w:r>
    </w:p>
    <w:p>
      <w:pPr>
        <w:spacing w:line="360" w:lineRule="auto"/>
        <w:ind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650865" cy="4060825"/>
            <wp:effectExtent l="0" t="0" r="698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650865" cy="4060825"/>
                    </a:xfrm>
                    <a:prstGeom prst="rect">
                      <a:avLst/>
                    </a:prstGeom>
                    <a:noFill/>
                    <a:ln>
                      <a:noFill/>
                    </a:ln>
                  </pic:spPr>
                </pic:pic>
              </a:graphicData>
            </a:graphic>
          </wp:inline>
        </w:drawing>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★5.1.6 垫片要求</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微软雅黑"/>
          <w:b/>
          <w:sz w:val="24"/>
          <w:szCs w:val="24"/>
        </w:rPr>
        <w:drawing>
          <wp:anchor distT="0" distB="0" distL="114300" distR="114300" simplePos="0" relativeHeight="251660288" behindDoc="0" locked="0" layoutInCell="1" allowOverlap="1">
            <wp:simplePos x="0" y="0"/>
            <wp:positionH relativeFrom="column">
              <wp:posOffset>95885</wp:posOffset>
            </wp:positionH>
            <wp:positionV relativeFrom="paragraph">
              <wp:posOffset>658495</wp:posOffset>
            </wp:positionV>
            <wp:extent cx="5270500" cy="2794000"/>
            <wp:effectExtent l="0" t="0" r="6350" b="6350"/>
            <wp:wrapTopAndBottom/>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0"/>
                    <a:stretch>
                      <a:fillRect/>
                    </a:stretch>
                  </pic:blipFill>
                  <pic:spPr>
                    <a:xfrm>
                      <a:off x="0" y="0"/>
                      <a:ext cx="5270500" cy="2794000"/>
                    </a:xfrm>
                    <a:prstGeom prst="rect">
                      <a:avLst/>
                    </a:prstGeom>
                    <a:noFill/>
                    <a:ln>
                      <a:noFill/>
                    </a:ln>
                  </pic:spPr>
                </pic:pic>
              </a:graphicData>
            </a:graphic>
          </wp:anchor>
        </w:drawing>
      </w:r>
      <w:r>
        <w:rPr>
          <w:rFonts w:hint="eastAsia" w:ascii="Times New Roman" w:hAnsi="Times New Roman" w:eastAsia="宋体" w:cs="Times New Roman"/>
          <w:sz w:val="24"/>
          <w:szCs w:val="24"/>
        </w:rPr>
        <w:t>【本设备部分引用《管法兰用金属垫片》（ASME B16.20-2023）中表SW-2-1-1，150级法使用缠绕垫片尺寸】，以下为引用标准中所列条款内容：</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★5.1.7 盲板要求</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微软雅黑"/>
          <w:b/>
          <w:sz w:val="24"/>
          <w:szCs w:val="24"/>
        </w:rPr>
        <w:drawing>
          <wp:anchor distT="0" distB="0" distL="114300" distR="114300" simplePos="0" relativeHeight="251661312" behindDoc="0" locked="0" layoutInCell="1" allowOverlap="1">
            <wp:simplePos x="0" y="0"/>
            <wp:positionH relativeFrom="column">
              <wp:posOffset>377825</wp:posOffset>
            </wp:positionH>
            <wp:positionV relativeFrom="paragraph">
              <wp:posOffset>629920</wp:posOffset>
            </wp:positionV>
            <wp:extent cx="4872355" cy="3778250"/>
            <wp:effectExtent l="0" t="0" r="4445" b="12700"/>
            <wp:wrapTopAndBottom/>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1"/>
                    <a:stretch>
                      <a:fillRect/>
                    </a:stretch>
                  </pic:blipFill>
                  <pic:spPr>
                    <a:xfrm>
                      <a:off x="0" y="0"/>
                      <a:ext cx="4872355" cy="3778250"/>
                    </a:xfrm>
                    <a:prstGeom prst="rect">
                      <a:avLst/>
                    </a:prstGeom>
                    <a:noFill/>
                    <a:ln>
                      <a:noFill/>
                    </a:ln>
                  </pic:spPr>
                </pic:pic>
              </a:graphicData>
            </a:graphic>
          </wp:anchor>
        </w:drawing>
      </w:r>
      <w:r>
        <w:rPr>
          <w:rFonts w:hint="eastAsia" w:ascii="Times New Roman" w:hAnsi="Times New Roman" w:eastAsia="宋体" w:cs="Times New Roman"/>
          <w:sz w:val="24"/>
          <w:szCs w:val="24"/>
        </w:rPr>
        <w:t>【本设备部分引用《钢制管线盲板》（ASME B16.48-2020）中表4.3.3.1，150级八字盲板尺寸】，以下为引用标准中所列条款内容：</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★5.1.8 紧固件要求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【本设备部分引用《石油化工钢制管法兰用紧固件》SH／T3404-2013中3.4公差、5.1制造及热处理、6检验的要求】，以下为引用标准中所列条款内容：</w:t>
      </w:r>
    </w:p>
    <w:p>
      <w:pPr>
        <w:widowControl w:val="0"/>
        <w:tabs>
          <w:tab w:val="center" w:pos="4153"/>
          <w:tab w:val="right" w:pos="8306"/>
        </w:tabs>
        <w:snapToGrid w:val="0"/>
        <w:spacing w:line="360" w:lineRule="auto"/>
        <w:ind w:firstLine="0" w:firstLineChars="0"/>
        <w:jc w:val="both"/>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drawing>
          <wp:inline distT="0" distB="0" distL="114300" distR="114300">
            <wp:extent cx="5270500" cy="3367405"/>
            <wp:effectExtent l="0" t="0" r="6350" b="4445"/>
            <wp:docPr id="14" name="图片 3" descr="7caf0c406d949ae331edde497c38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7caf0c406d949ae331edde497c38deb"/>
                    <pic:cNvPicPr>
                      <a:picLocks noChangeAspect="1"/>
                    </pic:cNvPicPr>
                  </pic:nvPicPr>
                  <pic:blipFill>
                    <a:blip r:embed="rId22"/>
                    <a:stretch>
                      <a:fillRect/>
                    </a:stretch>
                  </pic:blipFill>
                  <pic:spPr>
                    <a:xfrm>
                      <a:off x="0" y="0"/>
                      <a:ext cx="5270500" cy="3367405"/>
                    </a:xfrm>
                    <a:prstGeom prst="rect">
                      <a:avLst/>
                    </a:prstGeom>
                    <a:noFill/>
                    <a:ln>
                      <a:noFill/>
                    </a:ln>
                  </pic:spPr>
                </pic:pic>
              </a:graphicData>
            </a:graphic>
          </wp:inline>
        </w:drawing>
      </w:r>
    </w:p>
    <w:p>
      <w:pPr>
        <w:widowControl w:val="0"/>
        <w:tabs>
          <w:tab w:val="center" w:pos="4153"/>
          <w:tab w:val="right" w:pos="8306"/>
        </w:tabs>
        <w:snapToGrid w:val="0"/>
        <w:spacing w:line="360" w:lineRule="auto"/>
        <w:ind w:firstLine="0" w:firstLineChars="0"/>
        <w:jc w:val="both"/>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drawing>
          <wp:inline distT="0" distB="0" distL="114300" distR="114300">
            <wp:extent cx="5268595" cy="3769995"/>
            <wp:effectExtent l="0" t="0" r="8255" b="1905"/>
            <wp:docPr id="15" name="图片 4" descr="af2e1202aebb8348c4aaf33ea7a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af2e1202aebb8348c4aaf33ea7a3236"/>
                    <pic:cNvPicPr>
                      <a:picLocks noChangeAspect="1"/>
                    </pic:cNvPicPr>
                  </pic:nvPicPr>
                  <pic:blipFill>
                    <a:blip r:embed="rId23"/>
                    <a:stretch>
                      <a:fillRect/>
                    </a:stretch>
                  </pic:blipFill>
                  <pic:spPr>
                    <a:xfrm>
                      <a:off x="0" y="0"/>
                      <a:ext cx="5268595" cy="3769995"/>
                    </a:xfrm>
                    <a:prstGeom prst="rect">
                      <a:avLst/>
                    </a:prstGeom>
                    <a:noFill/>
                    <a:ln>
                      <a:noFill/>
                    </a:ln>
                  </pic:spPr>
                </pic:pic>
              </a:graphicData>
            </a:graphic>
          </wp:inline>
        </w:drawing>
      </w:r>
    </w:p>
    <w:p>
      <w:pPr>
        <w:widowControl w:val="0"/>
        <w:tabs>
          <w:tab w:val="center" w:pos="4153"/>
          <w:tab w:val="right" w:pos="8306"/>
        </w:tabs>
        <w:snapToGrid w:val="0"/>
        <w:spacing w:line="360" w:lineRule="auto"/>
        <w:ind w:firstLine="0" w:firstLineChars="0"/>
        <w:jc w:val="both"/>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drawing>
          <wp:inline distT="0" distB="0" distL="114300" distR="114300">
            <wp:extent cx="5270500" cy="3216910"/>
            <wp:effectExtent l="0" t="0" r="6350" b="2540"/>
            <wp:docPr id="16" name="图片 5" descr="3f4fcf45c2a20f9ded310281d5cc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3f4fcf45c2a20f9ded310281d5ccb94"/>
                    <pic:cNvPicPr>
                      <a:picLocks noChangeAspect="1"/>
                    </pic:cNvPicPr>
                  </pic:nvPicPr>
                  <pic:blipFill>
                    <a:blip r:embed="rId24"/>
                    <a:stretch>
                      <a:fillRect/>
                    </a:stretch>
                  </pic:blipFill>
                  <pic:spPr>
                    <a:xfrm>
                      <a:off x="0" y="0"/>
                      <a:ext cx="5270500" cy="3216910"/>
                    </a:xfrm>
                    <a:prstGeom prst="rect">
                      <a:avLst/>
                    </a:prstGeom>
                    <a:noFill/>
                    <a:ln>
                      <a:noFill/>
                    </a:ln>
                  </pic:spPr>
                </pic:pic>
              </a:graphicData>
            </a:graphic>
          </wp:inline>
        </w:drawing>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★5.1.9 表面处理</w:t>
      </w:r>
    </w:p>
    <w:p>
      <w:pPr>
        <w:widowControl/>
        <w:tabs>
          <w:tab w:val="left" w:pos="360"/>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本次采购的304不锈钢方管、槽钢、角钢花纹板表面处理需满足《不锈钢冷轧钢板和钢带》（GB/T 3280-2015）表37中2D表面加工要求。</w:t>
      </w:r>
    </w:p>
    <w:p>
      <w:pPr>
        <w:widowControl/>
        <w:tabs>
          <w:tab w:val="left" w:pos="360"/>
        </w:tabs>
        <w:spacing w:line="360" w:lineRule="auto"/>
        <w:ind w:firstLine="0" w:firstLineChars="0"/>
        <w:jc w:val="center"/>
        <w:rPr>
          <w:rFonts w:hint="eastAsia" w:ascii="宋体" w:hAnsi="宋体" w:eastAsia="宋体" w:cs="宋体"/>
          <w:b/>
          <w:bCs/>
          <w:sz w:val="24"/>
          <w:szCs w:val="24"/>
        </w:rPr>
      </w:pPr>
      <w:r>
        <w:rPr>
          <w:rFonts w:ascii="Times New Roman" w:hAnsi="Times New Roman" w:eastAsia="微软雅黑" w:cs="Times New Roman"/>
          <w:sz w:val="24"/>
          <w:szCs w:val="24"/>
        </w:rPr>
        <w:drawing>
          <wp:inline distT="0" distB="0" distL="114300" distR="114300">
            <wp:extent cx="5274310" cy="3147695"/>
            <wp:effectExtent l="0" t="0" r="254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5274310" cy="3147695"/>
                    </a:xfrm>
                    <a:prstGeom prst="rect">
                      <a:avLst/>
                    </a:prstGeom>
                    <a:noFill/>
                    <a:ln>
                      <a:noFill/>
                    </a:ln>
                  </pic:spPr>
                </pic:pic>
              </a:graphicData>
            </a:graphic>
          </wp:inline>
        </w:drawing>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★5.1.10涂漆表面色和标志</w:t>
      </w:r>
    </w:p>
    <w:p>
      <w:pPr>
        <w:widowControl/>
        <w:tabs>
          <w:tab w:val="left" w:pos="360"/>
        </w:tabs>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宋体"/>
          <w:b/>
          <w:bCs/>
          <w:sz w:val="24"/>
          <w:szCs w:val="24"/>
        </w:rPr>
        <w:t>涂漆表面色和标志：</w:t>
      </w:r>
      <w:r>
        <w:rPr>
          <w:rFonts w:hint="eastAsia" w:ascii="Times New Roman" w:hAnsi="Times New Roman" w:eastAsia="宋体" w:cs="Times New Roman"/>
          <w:sz w:val="24"/>
          <w:szCs w:val="24"/>
        </w:rPr>
        <w:t>完全引用《附件四 设备、管道、钢结构表面色和标志统一规定</w:t>
      </w:r>
      <w:r>
        <w:rPr>
          <w:rFonts w:hint="eastAsia" w:ascii="宋体" w:hAnsi="宋体" w:eastAsia="宋体" w:cs="宋体"/>
          <w:b/>
          <w:bCs/>
          <w:sz w:val="24"/>
          <w:szCs w:val="24"/>
        </w:rPr>
        <w:t>》</w:t>
      </w:r>
      <w:r>
        <w:rPr>
          <w:rFonts w:hint="eastAsia" w:ascii="Times New Roman" w:hAnsi="Times New Roman" w:eastAsia="宋体" w:cs="Times New Roman"/>
          <w:sz w:val="24"/>
          <w:szCs w:val="24"/>
        </w:rPr>
        <w:t>和《附件五 设备和管道涂漆设计规定》。</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★5.1.11 机架设备加工、焊接、安装、检验、试验、验收</w:t>
      </w:r>
    </w:p>
    <w:p>
      <w:pPr>
        <w:widowControl/>
        <w:tabs>
          <w:tab w:val="left" w:pos="360"/>
        </w:tabs>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完全引用《现场设备、工业管道焊接工程施工规范》（GB 50236-2011），《工业金属管道工程施工质量验收规范》（GB 50184-2011）</w:t>
      </w:r>
      <w:r>
        <w:rPr>
          <w:rFonts w:hint="eastAsia" w:ascii="宋体" w:hAnsi="宋体" w:eastAsia="宋体" w:cs="宋体"/>
          <w:sz w:val="24"/>
          <w:szCs w:val="24"/>
        </w:rPr>
        <w:t>。</w:t>
      </w:r>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5.2 除盐水设备机架技术要求</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5.2.1 超滤装置机架</w:t>
      </w: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5.2.1.1 </w:t>
      </w:r>
      <w:r>
        <w:rPr>
          <w:rFonts w:ascii="Times New Roman" w:hAnsi="Times New Roman" w:eastAsia="宋体" w:cs="Times New Roman"/>
          <w:sz w:val="24"/>
          <w:szCs w:val="24"/>
        </w:rPr>
        <w:t>技术数据</w:t>
      </w:r>
    </w:p>
    <w:tbl>
      <w:tblPr>
        <w:tblStyle w:val="15"/>
        <w:tblW w:w="5051" w:type="pct"/>
        <w:tblInd w:w="8" w:type="dxa"/>
        <w:tblLayout w:type="autofit"/>
        <w:tblCellMar>
          <w:top w:w="0" w:type="dxa"/>
          <w:left w:w="0" w:type="dxa"/>
          <w:bottom w:w="0" w:type="dxa"/>
          <w:right w:w="0" w:type="dxa"/>
        </w:tblCellMar>
      </w:tblPr>
      <w:tblGrid>
        <w:gridCol w:w="3099"/>
        <w:gridCol w:w="1895"/>
        <w:gridCol w:w="1380"/>
        <w:gridCol w:w="2039"/>
      </w:tblGrid>
      <w:tr>
        <w:tblPrEx>
          <w:tblCellMar>
            <w:top w:w="0" w:type="dxa"/>
            <w:left w:w="0" w:type="dxa"/>
            <w:bottom w:w="0" w:type="dxa"/>
            <w:right w:w="0" w:type="dxa"/>
          </w:tblCellMar>
        </w:tblPrEx>
        <w:trPr>
          <w:trHeight w:val="404" w:hRule="atLeast"/>
          <w:tblHeader/>
        </w:trPr>
        <w:tc>
          <w:tcPr>
            <w:tcW w:w="184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1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820"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2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04" w:hRule="atLeast"/>
        </w:trPr>
        <w:tc>
          <w:tcPr>
            <w:tcW w:w="184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1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20"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2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04" w:hRule="atLeast"/>
        </w:trPr>
        <w:tc>
          <w:tcPr>
            <w:tcW w:w="184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设备尺寸</w:t>
            </w:r>
          </w:p>
        </w:tc>
        <w:tc>
          <w:tcPr>
            <w:tcW w:w="11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9200*3000*2600</w:t>
            </w:r>
          </w:p>
        </w:tc>
        <w:tc>
          <w:tcPr>
            <w:tcW w:w="820"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mm*mm</w:t>
            </w:r>
          </w:p>
        </w:tc>
        <w:tc>
          <w:tcPr>
            <w:tcW w:w="12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以买方提供的三维图纸为准</w:t>
            </w:r>
          </w:p>
        </w:tc>
      </w:tr>
      <w:tr>
        <w:tblPrEx>
          <w:tblCellMar>
            <w:top w:w="0" w:type="dxa"/>
            <w:left w:w="0" w:type="dxa"/>
            <w:bottom w:w="0" w:type="dxa"/>
            <w:right w:w="0" w:type="dxa"/>
          </w:tblCellMar>
        </w:tblPrEx>
        <w:trPr>
          <w:trHeight w:val="404" w:hRule="atLeast"/>
        </w:trPr>
        <w:tc>
          <w:tcPr>
            <w:tcW w:w="184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膜元件尺寸</w:t>
            </w:r>
          </w:p>
        </w:tc>
        <w:tc>
          <w:tcPr>
            <w:tcW w:w="11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φ165*2418</w:t>
            </w:r>
          </w:p>
        </w:tc>
        <w:tc>
          <w:tcPr>
            <w:tcW w:w="820"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mm</w:t>
            </w:r>
          </w:p>
        </w:tc>
        <w:tc>
          <w:tcPr>
            <w:tcW w:w="12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以买方提供的三维图纸为准</w:t>
            </w:r>
          </w:p>
        </w:tc>
      </w:tr>
      <w:tr>
        <w:tblPrEx>
          <w:tblCellMar>
            <w:top w:w="0" w:type="dxa"/>
            <w:left w:w="0" w:type="dxa"/>
            <w:bottom w:w="0" w:type="dxa"/>
            <w:right w:w="0" w:type="dxa"/>
          </w:tblCellMar>
        </w:tblPrEx>
        <w:trPr>
          <w:trHeight w:val="404" w:hRule="atLeast"/>
        </w:trPr>
        <w:tc>
          <w:tcPr>
            <w:tcW w:w="184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单套膜元件数量</w:t>
            </w:r>
          </w:p>
        </w:tc>
        <w:tc>
          <w:tcPr>
            <w:tcW w:w="11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85</w:t>
            </w:r>
          </w:p>
        </w:tc>
        <w:tc>
          <w:tcPr>
            <w:tcW w:w="820"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Pcs</w:t>
            </w:r>
          </w:p>
        </w:tc>
        <w:tc>
          <w:tcPr>
            <w:tcW w:w="12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04" w:hRule="atLeast"/>
        </w:trPr>
        <w:tc>
          <w:tcPr>
            <w:tcW w:w="5000" w:type="pct"/>
            <w:gridSpan w:val="4"/>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材质</w:t>
            </w:r>
          </w:p>
        </w:tc>
      </w:tr>
      <w:tr>
        <w:tblPrEx>
          <w:tblCellMar>
            <w:top w:w="0" w:type="dxa"/>
            <w:left w:w="0" w:type="dxa"/>
            <w:bottom w:w="0" w:type="dxa"/>
            <w:right w:w="0" w:type="dxa"/>
          </w:tblCellMar>
        </w:tblPrEx>
        <w:trPr>
          <w:trHeight w:val="404" w:hRule="atLeast"/>
        </w:trPr>
        <w:tc>
          <w:tcPr>
            <w:tcW w:w="296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管路</w:t>
            </w:r>
          </w:p>
        </w:tc>
        <w:tc>
          <w:tcPr>
            <w:tcW w:w="203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w:t>
            </w:r>
            <w:r>
              <w:rPr>
                <w:rFonts w:hint="eastAsia" w:ascii="Times New Roman" w:hAnsi="Times New Roman" w:eastAsia="宋体" w:cs="Times New Roman"/>
                <w:sz w:val="21"/>
                <w:szCs w:val="21"/>
              </w:rPr>
              <w:t>1608</w:t>
            </w:r>
          </w:p>
        </w:tc>
      </w:tr>
      <w:tr>
        <w:tblPrEx>
          <w:tblCellMar>
            <w:top w:w="0" w:type="dxa"/>
            <w:left w:w="0" w:type="dxa"/>
            <w:bottom w:w="0" w:type="dxa"/>
            <w:right w:w="0" w:type="dxa"/>
          </w:tblCellMar>
        </w:tblPrEx>
        <w:trPr>
          <w:trHeight w:val="404" w:hRule="atLeast"/>
        </w:trPr>
        <w:tc>
          <w:tcPr>
            <w:tcW w:w="296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膜组件</w:t>
            </w:r>
          </w:p>
        </w:tc>
        <w:tc>
          <w:tcPr>
            <w:tcW w:w="203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PVC</w:t>
            </w:r>
          </w:p>
        </w:tc>
      </w:tr>
      <w:tr>
        <w:tblPrEx>
          <w:tblCellMar>
            <w:top w:w="0" w:type="dxa"/>
            <w:left w:w="0" w:type="dxa"/>
            <w:bottom w:w="0" w:type="dxa"/>
            <w:right w:w="0" w:type="dxa"/>
          </w:tblCellMar>
        </w:tblPrEx>
        <w:trPr>
          <w:trHeight w:val="404" w:hRule="atLeast"/>
        </w:trPr>
        <w:tc>
          <w:tcPr>
            <w:tcW w:w="296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取样管</w:t>
            </w:r>
          </w:p>
        </w:tc>
        <w:tc>
          <w:tcPr>
            <w:tcW w:w="203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PVC </w:t>
            </w:r>
            <w:r>
              <w:rPr>
                <w:rFonts w:hint="eastAsia" w:ascii="Times New Roman" w:hAnsi="Times New Roman" w:eastAsia="宋体" w:cs="Times New Roman"/>
                <w:sz w:val="21"/>
                <w:szCs w:val="21"/>
              </w:rPr>
              <w:t>软管</w:t>
            </w:r>
          </w:p>
        </w:tc>
      </w:tr>
      <w:tr>
        <w:tblPrEx>
          <w:tblCellMar>
            <w:top w:w="0" w:type="dxa"/>
            <w:left w:w="0" w:type="dxa"/>
            <w:bottom w:w="0" w:type="dxa"/>
            <w:right w:w="0" w:type="dxa"/>
          </w:tblCellMar>
        </w:tblPrEx>
        <w:trPr>
          <w:trHeight w:val="404" w:hRule="atLeast"/>
        </w:trPr>
        <w:tc>
          <w:tcPr>
            <w:tcW w:w="296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组架</w:t>
            </w:r>
          </w:p>
        </w:tc>
        <w:tc>
          <w:tcPr>
            <w:tcW w:w="203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bl>
    <w:p>
      <w:pPr>
        <w:widowControl/>
        <w:spacing w:line="240" w:lineRule="auto"/>
        <w:ind w:firstLine="0" w:firstLineChars="0"/>
        <w:jc w:val="left"/>
        <w:rPr>
          <w:rFonts w:ascii="Times New Roman" w:hAnsi="Times New Roman" w:eastAsia="宋体" w:cs="Times New Roman"/>
          <w:sz w:val="24"/>
          <w:szCs w:val="24"/>
        </w:rPr>
      </w:pP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5.1.2 技术要求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a）卖方提供完整的超滤机架系统，包括买方提供的超滤膜组件、配套仪表、控制装置的、所有阀门的安装以及管系（含仪表管道）、设备机架的制作及安装等。</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b）每只超滤膜出口设置透明管道要求为硬质透明管，两端采用UPVC活接连接，透明管道长度不低于100mm。</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本次超滤采用立式膜元件，膜元件组件应安装在机架上，机架上应配备全部管道及接头，含气动阀，电磁阀箱，自动排气阀，取样阀等，还包括所有的支架、紧固件、夹具及其它附件。机架内管道、法兰均采用S31603不锈钢材质，阀门阀板采用316不锈钢材质；整个系统的管道设计应避免死角，以防细菌的生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d）每套超滤装置出水管上应设置取样接口，取样点的数量和位置应能有效的诊断并确定系统的运行情况，取样接口应带取样阀。</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e）每套超滤装置进出口应设置手动隔离阀门。</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f）超滤机架的设计应满足本厂址的抗震烈度要求和组件的膨胀要求。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g）每套超滤装置设置一台就地仪表操作盘，在就地盘上可读出有关工艺参数。就地仪表盘及就地集中取样盘，并安装在超滤装置的机架上，出厂前组装好。</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h）超滤装置的反洗排水口及加强反洗排水口要求分开设置。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i）所有程控气动阀、手动阀的安装高度均应考虑操作检修方便，离地≯1.5m。超滤膜元件在机架上的布置应保持足够的空间，方便更换维修。</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5.2.2 一级反渗透装置</w:t>
      </w: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5.2.2.1 技术数据</w:t>
      </w:r>
    </w:p>
    <w:tbl>
      <w:tblPr>
        <w:tblStyle w:val="15"/>
        <w:tblW w:w="5081" w:type="pct"/>
        <w:tblInd w:w="8" w:type="dxa"/>
        <w:tblLayout w:type="fixed"/>
        <w:tblCellMar>
          <w:top w:w="0" w:type="dxa"/>
          <w:left w:w="0" w:type="dxa"/>
          <w:bottom w:w="0" w:type="dxa"/>
          <w:right w:w="0" w:type="dxa"/>
        </w:tblCellMar>
      </w:tblPr>
      <w:tblGrid>
        <w:gridCol w:w="2232"/>
        <w:gridCol w:w="2870"/>
        <w:gridCol w:w="1399"/>
        <w:gridCol w:w="1962"/>
      </w:tblGrid>
      <w:tr>
        <w:tblPrEx>
          <w:tblCellMar>
            <w:top w:w="0" w:type="dxa"/>
            <w:left w:w="0" w:type="dxa"/>
            <w:bottom w:w="0" w:type="dxa"/>
            <w:right w:w="0" w:type="dxa"/>
          </w:tblCellMar>
        </w:tblPrEx>
        <w:trPr>
          <w:trHeight w:val="454" w:hRule="atLeast"/>
          <w:tblHeader/>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机架</w:t>
            </w:r>
            <w:r>
              <w:rPr>
                <w:rFonts w:hint="default" w:ascii="Times New Roman" w:hAnsi="Times New Roman" w:eastAsia="宋体" w:cs="Times New Roman"/>
                <w:sz w:val="21"/>
                <w:szCs w:val="21"/>
              </w:rPr>
              <w:t>尺寸</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6500*2300*6000</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mm*mm* mm</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以买方提供的加工图纸为准</w:t>
            </w: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处理介质</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UF产</w:t>
            </w:r>
            <w:r>
              <w:rPr>
                <w:rFonts w:hint="eastAsia" w:ascii="微软雅黑" w:hAnsi="微软雅黑" w:eastAsia="微软雅黑" w:cs="微软雅黑"/>
                <w:sz w:val="21"/>
                <w:szCs w:val="21"/>
              </w:rPr>
              <w:t>⽔</w:t>
            </w: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膜元件尺寸</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8”×40”</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rPr>
              <w:t>8</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单套膜元件数量</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354</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Pcs</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10000</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318"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169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18000</w:t>
            </w:r>
          </w:p>
        </w:tc>
        <w:tc>
          <w:tcPr>
            <w:tcW w:w="8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15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4"/>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30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膜元件</w:t>
            </w:r>
          </w:p>
        </w:tc>
        <w:tc>
          <w:tcPr>
            <w:tcW w:w="1986"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聚酰胺</w:t>
            </w:r>
          </w:p>
        </w:tc>
      </w:tr>
      <w:tr>
        <w:tblPrEx>
          <w:tblCellMar>
            <w:top w:w="0" w:type="dxa"/>
            <w:left w:w="0" w:type="dxa"/>
            <w:bottom w:w="0" w:type="dxa"/>
            <w:right w:w="0" w:type="dxa"/>
          </w:tblCellMar>
        </w:tblPrEx>
        <w:trPr>
          <w:trHeight w:val="454" w:hRule="atLeast"/>
        </w:trPr>
        <w:tc>
          <w:tcPr>
            <w:tcW w:w="30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高压管路</w:t>
            </w:r>
          </w:p>
        </w:tc>
        <w:tc>
          <w:tcPr>
            <w:tcW w:w="1986"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30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低压管路</w:t>
            </w:r>
          </w:p>
        </w:tc>
        <w:tc>
          <w:tcPr>
            <w:tcW w:w="1986"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30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膜壳</w:t>
            </w:r>
          </w:p>
        </w:tc>
        <w:tc>
          <w:tcPr>
            <w:tcW w:w="1986"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CellMar>
            <w:top w:w="0" w:type="dxa"/>
            <w:left w:w="0" w:type="dxa"/>
            <w:bottom w:w="0" w:type="dxa"/>
            <w:right w:w="0" w:type="dxa"/>
          </w:tblCellMar>
        </w:tblPrEx>
        <w:trPr>
          <w:trHeight w:val="454" w:hRule="atLeast"/>
        </w:trPr>
        <w:tc>
          <w:tcPr>
            <w:tcW w:w="30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取样管</w:t>
            </w:r>
          </w:p>
        </w:tc>
        <w:tc>
          <w:tcPr>
            <w:tcW w:w="1986"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PVC </w:t>
            </w:r>
            <w:r>
              <w:rPr>
                <w:rFonts w:hint="eastAsia" w:ascii="Times New Roman" w:hAnsi="Times New Roman" w:eastAsia="宋体" w:cs="Times New Roman"/>
                <w:sz w:val="21"/>
                <w:szCs w:val="21"/>
              </w:rPr>
              <w:t>软管</w:t>
            </w:r>
          </w:p>
        </w:tc>
      </w:tr>
      <w:tr>
        <w:tblPrEx>
          <w:tblCellMar>
            <w:top w:w="0" w:type="dxa"/>
            <w:left w:w="0" w:type="dxa"/>
            <w:bottom w:w="0" w:type="dxa"/>
            <w:right w:w="0" w:type="dxa"/>
          </w:tblCellMar>
        </w:tblPrEx>
        <w:trPr>
          <w:trHeight w:val="454" w:hRule="atLeast"/>
        </w:trPr>
        <w:tc>
          <w:tcPr>
            <w:tcW w:w="30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组架</w:t>
            </w:r>
          </w:p>
        </w:tc>
        <w:tc>
          <w:tcPr>
            <w:tcW w:w="1986"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bl>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5.2.2.2 技术要求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a）卖方提供完整的反渗透机架系统，包括买方提供的膜元件、膜壳、配套仪表、控制装置的、所有阀门的安装以及管系（含仪表管道）、设备机架的制作及安装等。</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b）机架的设计应满足其厂址的抗震烈度要求和组件的膨胀要求。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c）反渗透装置给水总管及各段浓水管、产水进出水管上应设有足够的接口及阀门，以便清洗时与清洗液进出管相连。</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d）产水侧应设有爆破膜，除设备上安装外，还应备用 10 只。</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e）每套反渗透装置设置一台就地仪表操作盘，就地仪表盘及就地集中取样盘，并安装在反渗透装置的组架上，出厂前组装好。</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f）严格按照加工图纸及PID图纸进行加工。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 xml:space="preserve">5.2.3 </w:t>
      </w:r>
      <w:r>
        <w:rPr>
          <w:rFonts w:ascii="Times New Roman" w:hAnsi="Times New Roman" w:eastAsia="宋体" w:cs="微软雅黑"/>
          <w:b/>
          <w:kern w:val="2"/>
          <w:sz w:val="24"/>
          <w:szCs w:val="24"/>
          <w:lang w:val="en-US" w:eastAsia="zh-CN" w:bidi="ar-SA"/>
        </w:rPr>
        <w:t>二级反渗透装置</w:t>
      </w: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5.2.3.1 </w:t>
      </w:r>
      <w:r>
        <w:rPr>
          <w:rFonts w:ascii="Times New Roman" w:hAnsi="Times New Roman" w:eastAsia="宋体" w:cs="Times New Roman"/>
          <w:sz w:val="24"/>
          <w:szCs w:val="24"/>
        </w:rPr>
        <w:t>技术数据</w:t>
      </w:r>
    </w:p>
    <w:tbl>
      <w:tblPr>
        <w:tblStyle w:val="15"/>
        <w:tblW w:w="5034" w:type="pct"/>
        <w:tblInd w:w="8" w:type="dxa"/>
        <w:tblLayout w:type="autofit"/>
        <w:tblCellMar>
          <w:top w:w="0" w:type="dxa"/>
          <w:left w:w="0" w:type="dxa"/>
          <w:bottom w:w="0" w:type="dxa"/>
          <w:right w:w="0" w:type="dxa"/>
        </w:tblCellMar>
      </w:tblPr>
      <w:tblGrid>
        <w:gridCol w:w="3139"/>
        <w:gridCol w:w="1441"/>
        <w:gridCol w:w="424"/>
        <w:gridCol w:w="1323"/>
        <w:gridCol w:w="2058"/>
      </w:tblGrid>
      <w:tr>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单套产水能力</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≥235</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rPr>
              <w:t>条件下</w:t>
            </w: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机架</w:t>
            </w:r>
            <w:r>
              <w:rPr>
                <w:rFonts w:hint="default" w:ascii="Times New Roman" w:hAnsi="Times New Roman" w:eastAsia="宋体" w:cs="Times New Roman"/>
                <w:sz w:val="21"/>
                <w:szCs w:val="21"/>
              </w:rPr>
              <w:t>尺寸</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6500*2300*5000</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mm*mm*mm</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以买方提供的加工图纸为准</w:t>
            </w: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处理介质</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微软雅黑" w:hAnsi="微软雅黑" w:eastAsia="微软雅黑" w:cs="微软雅黑"/>
                <w:sz w:val="21"/>
                <w:szCs w:val="21"/>
              </w:rPr>
              <w:t>⼀</w:t>
            </w:r>
            <w:r>
              <w:rPr>
                <w:rFonts w:hint="eastAsia" w:ascii="宋体" w:hAnsi="宋体" w:eastAsia="宋体" w:cs="宋体"/>
                <w:sz w:val="21"/>
                <w:szCs w:val="21"/>
              </w:rPr>
              <w:t>级</w:t>
            </w:r>
            <w:r>
              <w:rPr>
                <w:rFonts w:hint="default" w:ascii="Times New Roman" w:hAnsi="Times New Roman" w:eastAsia="宋体" w:cs="Times New Roman"/>
                <w:sz w:val="21"/>
                <w:szCs w:val="21"/>
              </w:rPr>
              <w:t>RO产</w:t>
            </w:r>
            <w:r>
              <w:rPr>
                <w:rFonts w:hint="eastAsia" w:ascii="微软雅黑" w:hAnsi="微软雅黑" w:eastAsia="微软雅黑" w:cs="微软雅黑"/>
                <w:sz w:val="21"/>
                <w:szCs w:val="21"/>
              </w:rPr>
              <w:t>⽔</w:t>
            </w: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膜元件尺寸</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8”×40”</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1.0-2.0</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单套膜元件数量</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216</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Pcs</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7000</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187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1112"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14000</w:t>
            </w:r>
          </w:p>
        </w:tc>
        <w:tc>
          <w:tcPr>
            <w:tcW w:w="78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22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73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膜元件</w:t>
            </w:r>
          </w:p>
        </w:tc>
        <w:tc>
          <w:tcPr>
            <w:tcW w:w="2269"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芳香族聚酰胺复合材料</w:t>
            </w:r>
          </w:p>
        </w:tc>
      </w:tr>
      <w:tr>
        <w:tblPrEx>
          <w:tblCellMar>
            <w:top w:w="0" w:type="dxa"/>
            <w:left w:w="0" w:type="dxa"/>
            <w:bottom w:w="0" w:type="dxa"/>
            <w:right w:w="0" w:type="dxa"/>
          </w:tblCellMar>
        </w:tblPrEx>
        <w:trPr>
          <w:trHeight w:val="454" w:hRule="atLeast"/>
        </w:trPr>
        <w:tc>
          <w:tcPr>
            <w:tcW w:w="273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高压管路</w:t>
            </w:r>
          </w:p>
        </w:tc>
        <w:tc>
          <w:tcPr>
            <w:tcW w:w="2269"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273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低压管路</w:t>
            </w:r>
          </w:p>
        </w:tc>
        <w:tc>
          <w:tcPr>
            <w:tcW w:w="2269"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273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膜壳</w:t>
            </w:r>
          </w:p>
        </w:tc>
        <w:tc>
          <w:tcPr>
            <w:tcW w:w="2269"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CellMar>
            <w:top w:w="0" w:type="dxa"/>
            <w:left w:w="0" w:type="dxa"/>
            <w:bottom w:w="0" w:type="dxa"/>
            <w:right w:w="0" w:type="dxa"/>
          </w:tblCellMar>
        </w:tblPrEx>
        <w:trPr>
          <w:trHeight w:val="454" w:hRule="atLeast"/>
        </w:trPr>
        <w:tc>
          <w:tcPr>
            <w:tcW w:w="273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取样管</w:t>
            </w:r>
          </w:p>
        </w:tc>
        <w:tc>
          <w:tcPr>
            <w:tcW w:w="2269"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PVC软管</w:t>
            </w:r>
          </w:p>
        </w:tc>
      </w:tr>
      <w:tr>
        <w:tblPrEx>
          <w:tblCellMar>
            <w:top w:w="0" w:type="dxa"/>
            <w:left w:w="0" w:type="dxa"/>
            <w:bottom w:w="0" w:type="dxa"/>
            <w:right w:w="0" w:type="dxa"/>
          </w:tblCellMar>
        </w:tblPrEx>
        <w:trPr>
          <w:trHeight w:val="454" w:hRule="atLeast"/>
        </w:trPr>
        <w:tc>
          <w:tcPr>
            <w:tcW w:w="273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组架</w:t>
            </w:r>
          </w:p>
        </w:tc>
        <w:tc>
          <w:tcPr>
            <w:tcW w:w="2269"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bl>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5.2.3.2 技术要求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a）卖方提供完整的反渗透机架系统，包括买方提供的膜元件、膜壳、配套仪表、控制装置的、所有阀门的安装以及管系（含仪表管道）、设备机架的制作及安装等。</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b）机架的设计应满足其厂址的抗震烈度要求和组件的膨胀要求。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c）反渗透装置给水总管及各段浓水管、产水进出水管上应设有足够的接口及阀门，以便清洗时与清洗液进出管相连。</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d）产水侧应设有爆破膜，除设备上安装外，还应备用 10 只。</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e）每套反渗透装置设置一台就地仪表操作盘，就地仪表盘及就地集中取样盘，并安装在反渗透装置的组架上，出厂前组装好。</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f）严格按照加工图纸及PID图纸进行加工。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 xml:space="preserve">5.2.4 </w:t>
      </w:r>
      <w:r>
        <w:rPr>
          <w:rFonts w:ascii="Times New Roman" w:hAnsi="Times New Roman" w:eastAsia="宋体" w:cs="微软雅黑"/>
          <w:b/>
          <w:kern w:val="2"/>
          <w:sz w:val="24"/>
          <w:szCs w:val="24"/>
          <w:lang w:val="en-US" w:eastAsia="zh-CN" w:bidi="ar-SA"/>
        </w:rPr>
        <w:t>EDI</w:t>
      </w:r>
      <w:r>
        <w:rPr>
          <w:rFonts w:hint="eastAsia" w:ascii="Times New Roman" w:hAnsi="Times New Roman" w:eastAsia="宋体" w:cs="微软雅黑"/>
          <w:b/>
          <w:kern w:val="2"/>
          <w:sz w:val="24"/>
          <w:szCs w:val="24"/>
          <w:lang w:val="en-US" w:eastAsia="zh-CN" w:bidi="ar-SA"/>
        </w:rPr>
        <w:t>装置</w:t>
      </w: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5.2.4.1 技术数据</w:t>
      </w:r>
    </w:p>
    <w:tbl>
      <w:tblPr>
        <w:tblStyle w:val="15"/>
        <w:tblW w:w="5055" w:type="pct"/>
        <w:tblInd w:w="8" w:type="dxa"/>
        <w:tblLayout w:type="fixed"/>
        <w:tblCellMar>
          <w:top w:w="0" w:type="dxa"/>
          <w:left w:w="0" w:type="dxa"/>
          <w:bottom w:w="0" w:type="dxa"/>
          <w:right w:w="0" w:type="dxa"/>
        </w:tblCellMar>
      </w:tblPr>
      <w:tblGrid>
        <w:gridCol w:w="2880"/>
        <w:gridCol w:w="1635"/>
        <w:gridCol w:w="446"/>
        <w:gridCol w:w="1537"/>
        <w:gridCol w:w="1921"/>
      </w:tblGrid>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项目</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数据</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单位</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备注</w:t>
            </w: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设备数量</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5</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套</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单套产水能力</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≥210</w:t>
            </w:r>
            <w:r>
              <w:rPr>
                <w:rFonts w:hint="eastAsia" w:ascii="Times New Roman" w:hAnsi="Times New Roman" w:eastAsia="宋体" w:cs="Times New Roman"/>
                <w:sz w:val="24"/>
                <w:szCs w:val="20"/>
              </w:rPr>
              <w:t>（5</w:t>
            </w:r>
            <w:r>
              <w:rPr>
                <w:rFonts w:hint="default" w:ascii="Times New Roman" w:hAnsi="Times New Roman" w:eastAsia="宋体" w:cs="Times New Roman"/>
                <w:sz w:val="24"/>
                <w:szCs w:val="20"/>
              </w:rPr>
              <w:t>℃</w:t>
            </w:r>
            <w:r>
              <w:rPr>
                <w:rFonts w:hint="eastAsia" w:ascii="Times New Roman" w:hAnsi="Times New Roman" w:eastAsia="宋体" w:cs="Times New Roman"/>
                <w:sz w:val="24"/>
                <w:szCs w:val="20"/>
              </w:rPr>
              <w:t>）</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m³</w:t>
            </w:r>
            <w:r>
              <w:rPr>
                <w:rFonts w:hint="default" w:ascii="Times New Roman" w:hAnsi="Times New Roman" w:eastAsia="宋体" w:cs="Times New Roman"/>
                <w:sz w:val="24"/>
                <w:szCs w:val="20"/>
              </w:rPr>
              <w:t>/h</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单个模块</w:t>
            </w:r>
            <w:r>
              <w:rPr>
                <w:rFonts w:hint="default" w:ascii="Times New Roman" w:hAnsi="Times New Roman" w:eastAsia="宋体" w:cs="Times New Roman"/>
                <w:sz w:val="24"/>
                <w:szCs w:val="20"/>
              </w:rPr>
              <w:t>产水能力</w:t>
            </w:r>
            <w:r>
              <w:rPr>
                <w:rFonts w:hint="eastAsia" w:ascii="Times New Roman" w:hAnsi="Times New Roman" w:eastAsia="宋体" w:cs="Times New Roman"/>
                <w:sz w:val="24"/>
                <w:szCs w:val="20"/>
              </w:rPr>
              <w:t>5～6t/h</w:t>
            </w: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机架</w:t>
            </w:r>
            <w:r>
              <w:rPr>
                <w:rFonts w:hint="default" w:ascii="Times New Roman" w:hAnsi="Times New Roman" w:eastAsia="宋体" w:cs="Times New Roman"/>
                <w:sz w:val="24"/>
                <w:szCs w:val="20"/>
              </w:rPr>
              <w:t>尺寸</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8100*2500*3200</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mm*mm*mm</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1"/>
                <w:szCs w:val="21"/>
              </w:rPr>
              <w:t>以买方提供的加工图纸为准</w:t>
            </w: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膜元件尺寸</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31cm*61cm*66cm</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工作压力</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0.5</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MPa(G)</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工作温度</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AMB</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膜型号</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E-CELL</w:t>
            </w:r>
            <w:r>
              <w:rPr>
                <w:rFonts w:hint="eastAsia" w:ascii="Times New Roman" w:hAnsi="Times New Roman" w:eastAsia="宋体" w:cs="Times New Roman"/>
                <w:sz w:val="24"/>
                <w:szCs w:val="20"/>
              </w:rPr>
              <w:t xml:space="preserve"> </w:t>
            </w:r>
            <w:r>
              <w:rPr>
                <w:rFonts w:hint="default" w:ascii="Times New Roman" w:hAnsi="Times New Roman" w:eastAsia="宋体" w:cs="Times New Roman"/>
                <w:sz w:val="24"/>
                <w:szCs w:val="20"/>
              </w:rPr>
              <w:t>K-9</w:t>
            </w:r>
            <w:r>
              <w:rPr>
                <w:rFonts w:hint="eastAsia" w:ascii="Times New Roman" w:hAnsi="Times New Roman" w:eastAsia="宋体" w:cs="Times New Roman"/>
                <w:sz w:val="24"/>
                <w:szCs w:val="20"/>
              </w:rPr>
              <w:t>/IP-LX8000Z</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单套膜块数量</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35</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Pcs</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设备净重</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5000</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kg</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7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设备运行荷重</w:t>
            </w:r>
          </w:p>
        </w:tc>
        <w:tc>
          <w:tcPr>
            <w:tcW w:w="20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8680</w:t>
            </w:r>
          </w:p>
        </w:tc>
        <w:tc>
          <w:tcPr>
            <w:tcW w:w="153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kg</w:t>
            </w:r>
          </w:p>
        </w:tc>
        <w:tc>
          <w:tcPr>
            <w:tcW w:w="19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8414"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材质</w:t>
            </w:r>
          </w:p>
        </w:tc>
      </w:tr>
      <w:tr>
        <w:tblPrEx>
          <w:tblCellMar>
            <w:top w:w="0" w:type="dxa"/>
            <w:left w:w="0" w:type="dxa"/>
            <w:bottom w:w="0" w:type="dxa"/>
            <w:right w:w="0" w:type="dxa"/>
          </w:tblCellMar>
        </w:tblPrEx>
        <w:trPr>
          <w:trHeight w:val="454" w:hRule="atLeast"/>
        </w:trPr>
        <w:tc>
          <w:tcPr>
            <w:tcW w:w="451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管路</w:t>
            </w:r>
          </w:p>
        </w:tc>
        <w:tc>
          <w:tcPr>
            <w:tcW w:w="3902"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S30408</w:t>
            </w:r>
          </w:p>
        </w:tc>
      </w:tr>
      <w:tr>
        <w:tblPrEx>
          <w:tblCellMar>
            <w:top w:w="0" w:type="dxa"/>
            <w:left w:w="0" w:type="dxa"/>
            <w:bottom w:w="0" w:type="dxa"/>
            <w:right w:w="0" w:type="dxa"/>
          </w:tblCellMar>
        </w:tblPrEx>
        <w:trPr>
          <w:trHeight w:val="454" w:hRule="atLeast"/>
        </w:trPr>
        <w:tc>
          <w:tcPr>
            <w:tcW w:w="451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组架</w:t>
            </w:r>
          </w:p>
        </w:tc>
        <w:tc>
          <w:tcPr>
            <w:tcW w:w="3902"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S30408</w:t>
            </w:r>
          </w:p>
        </w:tc>
      </w:tr>
    </w:tbl>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5.4.2 技术要求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w:t>
      </w:r>
      <w:r>
        <w:rPr>
          <w:rFonts w:ascii="Times New Roman" w:hAnsi="Times New Roman" w:eastAsia="宋体" w:cs="Times New Roman"/>
          <w:sz w:val="24"/>
          <w:szCs w:val="24"/>
        </w:rPr>
        <w:t>EDI</w:t>
      </w:r>
      <w:r>
        <w:rPr>
          <w:rFonts w:hint="eastAsia" w:ascii="Times New Roman" w:hAnsi="Times New Roman" w:eastAsia="宋体" w:cs="Times New Roman"/>
          <w:sz w:val="24"/>
          <w:szCs w:val="24"/>
        </w:rPr>
        <w:t>模块应安装在机架上，机架上应配备全部管道及接头，还包括所有的支架、反法兰及其紧固件、夹具等其它附件，由卖方在工厂组装好，成套供货。</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w:t>
      </w:r>
      <w:r>
        <w:rPr>
          <w:rFonts w:ascii="Times New Roman" w:hAnsi="Times New Roman" w:eastAsia="宋体" w:cs="Times New Roman"/>
          <w:sz w:val="24"/>
          <w:szCs w:val="24"/>
        </w:rPr>
        <w:t>EDI</w:t>
      </w:r>
      <w:r>
        <w:rPr>
          <w:rFonts w:hint="eastAsia" w:ascii="Times New Roman" w:hAnsi="Times New Roman" w:eastAsia="宋体" w:cs="Times New Roman"/>
          <w:sz w:val="24"/>
          <w:szCs w:val="24"/>
        </w:rPr>
        <w:t>装置每个模块应设取样点，取样点的数量及位置应能有效地诊断并确定系统的运行状况。</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w:t>
      </w:r>
      <w:r>
        <w:rPr>
          <w:rFonts w:ascii="Times New Roman" w:hAnsi="Times New Roman" w:eastAsia="宋体" w:cs="Times New Roman"/>
          <w:sz w:val="24"/>
          <w:szCs w:val="24"/>
        </w:rPr>
        <w:t>EDI</w:t>
      </w:r>
      <w:r>
        <w:rPr>
          <w:rFonts w:hint="eastAsia" w:ascii="Times New Roman" w:hAnsi="Times New Roman" w:eastAsia="宋体" w:cs="Times New Roman"/>
          <w:sz w:val="24"/>
          <w:szCs w:val="24"/>
        </w:rPr>
        <w:t>装置机架的设计应满足厂址的抗震烈度要求和组件的膨胀要求。</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e）严格按照加工图纸及PID图纸进行加工。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5.2.5 浓水反渗透装置</w:t>
      </w: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5.2.5.1 技术数据</w:t>
      </w:r>
    </w:p>
    <w:tbl>
      <w:tblPr>
        <w:tblStyle w:val="15"/>
        <w:tblW w:w="5027" w:type="pct"/>
        <w:tblInd w:w="167" w:type="dxa"/>
        <w:tblLayout w:type="fixed"/>
        <w:tblCellMar>
          <w:top w:w="0" w:type="dxa"/>
          <w:left w:w="0" w:type="dxa"/>
          <w:bottom w:w="0" w:type="dxa"/>
          <w:right w:w="0" w:type="dxa"/>
        </w:tblCellMar>
      </w:tblPr>
      <w:tblGrid>
        <w:gridCol w:w="2816"/>
        <w:gridCol w:w="1678"/>
        <w:gridCol w:w="238"/>
        <w:gridCol w:w="1364"/>
        <w:gridCol w:w="2277"/>
      </w:tblGrid>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项目</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数据</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单位</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备注</w:t>
            </w:r>
          </w:p>
        </w:tc>
      </w:tr>
      <w:tr>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设备数量</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3</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台</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机架</w:t>
            </w:r>
            <w:r>
              <w:rPr>
                <w:rFonts w:hint="default" w:ascii="Times New Roman" w:hAnsi="Times New Roman" w:eastAsia="宋体" w:cs="Times New Roman"/>
                <w:sz w:val="24"/>
                <w:szCs w:val="20"/>
              </w:rPr>
              <w:t>尺寸</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6500*2300*5000</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mm*mm* mm</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膜元件尺寸</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8”×40”</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工作压力</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1.4</w:t>
            </w:r>
            <w:r>
              <w:rPr>
                <w:rFonts w:hint="eastAsia" w:ascii="Times New Roman" w:hAnsi="Times New Roman" w:eastAsia="宋体" w:cs="Times New Roman"/>
                <w:sz w:val="24"/>
                <w:szCs w:val="20"/>
              </w:rPr>
              <w:t>-2.3</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MPa(G)</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工作温度</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AMB</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设计压力</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2.5</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MPa(G)</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设计温度</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60</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单套膜元件数量</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180</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Pcs</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设备净重</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7000</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kg</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2814"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设备运行荷重</w:t>
            </w:r>
          </w:p>
        </w:tc>
        <w:tc>
          <w:tcPr>
            <w:tcW w:w="1915"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0"/>
              </w:rPr>
              <w:t>14000</w:t>
            </w:r>
          </w:p>
        </w:tc>
        <w:tc>
          <w:tcPr>
            <w:tcW w:w="136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kg</w:t>
            </w:r>
          </w:p>
        </w:tc>
        <w:tc>
          <w:tcPr>
            <w:tcW w:w="227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p>
        </w:tc>
      </w:tr>
      <w:tr>
        <w:tblPrEx>
          <w:tblCellMar>
            <w:top w:w="0" w:type="dxa"/>
            <w:left w:w="0" w:type="dxa"/>
            <w:bottom w:w="0" w:type="dxa"/>
            <w:right w:w="0" w:type="dxa"/>
          </w:tblCellMar>
        </w:tblPrEx>
        <w:trPr>
          <w:trHeight w:val="454" w:hRule="atLeast"/>
        </w:trPr>
        <w:tc>
          <w:tcPr>
            <w:tcW w:w="8367"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材质</w:t>
            </w:r>
          </w:p>
        </w:tc>
      </w:tr>
      <w:tr>
        <w:tblPrEx>
          <w:tblCellMar>
            <w:top w:w="0" w:type="dxa"/>
            <w:left w:w="0" w:type="dxa"/>
            <w:bottom w:w="0" w:type="dxa"/>
            <w:right w:w="0" w:type="dxa"/>
          </w:tblCellMar>
        </w:tblPrEx>
        <w:trPr>
          <w:trHeight w:val="454" w:hRule="atLeast"/>
        </w:trPr>
        <w:tc>
          <w:tcPr>
            <w:tcW w:w="449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高压管路</w:t>
            </w:r>
          </w:p>
        </w:tc>
        <w:tc>
          <w:tcPr>
            <w:tcW w:w="38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S30408</w:t>
            </w:r>
          </w:p>
        </w:tc>
      </w:tr>
      <w:tr>
        <w:tblPrEx>
          <w:tblCellMar>
            <w:top w:w="0" w:type="dxa"/>
            <w:left w:w="0" w:type="dxa"/>
            <w:bottom w:w="0" w:type="dxa"/>
            <w:right w:w="0" w:type="dxa"/>
          </w:tblCellMar>
        </w:tblPrEx>
        <w:trPr>
          <w:trHeight w:val="454" w:hRule="atLeast"/>
        </w:trPr>
        <w:tc>
          <w:tcPr>
            <w:tcW w:w="449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低压管路</w:t>
            </w:r>
          </w:p>
        </w:tc>
        <w:tc>
          <w:tcPr>
            <w:tcW w:w="38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S30408</w:t>
            </w:r>
          </w:p>
        </w:tc>
      </w:tr>
      <w:tr>
        <w:tblPrEx>
          <w:tblCellMar>
            <w:top w:w="0" w:type="dxa"/>
            <w:left w:w="0" w:type="dxa"/>
            <w:bottom w:w="0" w:type="dxa"/>
            <w:right w:w="0" w:type="dxa"/>
          </w:tblCellMar>
        </w:tblPrEx>
        <w:trPr>
          <w:trHeight w:val="454" w:hRule="atLeast"/>
        </w:trPr>
        <w:tc>
          <w:tcPr>
            <w:tcW w:w="449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膜壳</w:t>
            </w:r>
          </w:p>
        </w:tc>
        <w:tc>
          <w:tcPr>
            <w:tcW w:w="38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FRP</w:t>
            </w:r>
          </w:p>
        </w:tc>
      </w:tr>
      <w:tr>
        <w:trPr>
          <w:trHeight w:val="454" w:hRule="atLeast"/>
        </w:trPr>
        <w:tc>
          <w:tcPr>
            <w:tcW w:w="449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取样管</w:t>
            </w:r>
          </w:p>
        </w:tc>
        <w:tc>
          <w:tcPr>
            <w:tcW w:w="38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PVC</w:t>
            </w:r>
            <w:r>
              <w:rPr>
                <w:rFonts w:hint="eastAsia" w:ascii="Times New Roman" w:hAnsi="Times New Roman" w:eastAsia="宋体" w:cs="Times New Roman"/>
                <w:sz w:val="24"/>
                <w:szCs w:val="20"/>
              </w:rPr>
              <w:t>软管</w:t>
            </w:r>
          </w:p>
        </w:tc>
      </w:tr>
      <w:tr>
        <w:tblPrEx>
          <w:tblCellMar>
            <w:top w:w="0" w:type="dxa"/>
            <w:left w:w="0" w:type="dxa"/>
            <w:bottom w:w="0" w:type="dxa"/>
            <w:right w:w="0" w:type="dxa"/>
          </w:tblCellMar>
        </w:tblPrEx>
        <w:trPr>
          <w:trHeight w:val="454" w:hRule="atLeast"/>
        </w:trPr>
        <w:tc>
          <w:tcPr>
            <w:tcW w:w="449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组架</w:t>
            </w:r>
          </w:p>
        </w:tc>
        <w:tc>
          <w:tcPr>
            <w:tcW w:w="38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0"/>
              </w:rPr>
              <w:t>S30408</w:t>
            </w:r>
          </w:p>
        </w:tc>
      </w:tr>
    </w:tbl>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5.2.5.2 技术要求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a）卖方提供完整的反渗透机架系统，包括买方提供的膜元件、膜壳、配套仪表、控制装置的、所有阀门的安装以及管系（含仪表管道）、设备机架的制作及安装等。</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b）机架的设计应满足其厂址的抗震烈度要求和组件的膨胀要求。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c）反渗透装置给水总管及各段浓水管、产水进出水管上应设有足够的接口及阀门，以便清洗时与清洗液进出管相连。</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d）产水侧应设有爆破膜，除设备上安装外，还应备用 10 只。</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e）每套反渗透装置设置一台就地仪表操作盘，就地仪表盘及就地集中取样盘，并安装在反渗透装置的组架上，出厂前组装好。</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f）严格按照加工图纸及PID图纸进行加工。</w:t>
      </w: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5.2.6 絮凝剂加药装置</w:t>
      </w:r>
    </w:p>
    <w:p>
      <w:pPr>
        <w:widowControl/>
        <w:tabs>
          <w:tab w:val="left" w:pos="360"/>
        </w:tabs>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5.2.6.1 </w:t>
      </w:r>
      <w:r>
        <w:rPr>
          <w:rFonts w:ascii="Times New Roman" w:hAnsi="Times New Roman" w:eastAsia="宋体" w:cs="Times New Roman"/>
          <w:sz w:val="24"/>
          <w:szCs w:val="24"/>
        </w:rPr>
        <w:t>技术数据</w:t>
      </w:r>
    </w:p>
    <w:tbl>
      <w:tblPr>
        <w:tblStyle w:val="15"/>
        <w:tblW w:w="4998" w:type="pct"/>
        <w:tblInd w:w="8" w:type="dxa"/>
        <w:tblLayout w:type="autofit"/>
        <w:tblCellMar>
          <w:top w:w="0" w:type="dxa"/>
          <w:left w:w="0" w:type="dxa"/>
          <w:bottom w:w="0" w:type="dxa"/>
          <w:right w:w="0" w:type="dxa"/>
        </w:tblCellMar>
      </w:tblPr>
      <w:tblGrid>
        <w:gridCol w:w="3425"/>
        <w:gridCol w:w="927"/>
        <w:gridCol w:w="450"/>
        <w:gridCol w:w="1187"/>
        <w:gridCol w:w="2336"/>
      </w:tblGrid>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4000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计量泵</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絮凝剂</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380V</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搅拌器</w:t>
            </w: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转速</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120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r/min</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bookmarkStart w:id="25" w:name="_Hlk191302930"/>
            <w:r>
              <w:rPr>
                <w:rFonts w:hint="eastAsia" w:ascii="Times New Roman" w:hAnsi="Times New Roman" w:eastAsia="宋体" w:cs="Times New Roman"/>
                <w:sz w:val="21"/>
                <w:szCs w:val="21"/>
              </w:rPr>
              <w:t>S31603（</w:t>
            </w:r>
            <w:r>
              <w:rPr>
                <w:rFonts w:hint="default" w:ascii="Times New Roman" w:hAnsi="Times New Roman" w:eastAsia="宋体" w:cs="Times New Roman"/>
                <w:sz w:val="21"/>
                <w:szCs w:val="21"/>
              </w:rPr>
              <w:t>2’’</w:t>
            </w:r>
            <w:r>
              <w:rPr>
                <w:rFonts w:hint="eastAsia" w:ascii="Times New Roman" w:hAnsi="Times New Roman" w:eastAsia="宋体" w:cs="Times New Roman"/>
                <w:sz w:val="21"/>
                <w:szCs w:val="21"/>
              </w:rPr>
              <w:t>以上），</w:t>
            </w:r>
            <w:r>
              <w:rPr>
                <w:rFonts w:hint="default" w:ascii="Times New Roman" w:hAnsi="Times New Roman" w:eastAsia="宋体" w:cs="Times New Roman"/>
                <w:sz w:val="21"/>
                <w:szCs w:val="21"/>
              </w:rPr>
              <w:t>2’’</w:t>
            </w:r>
            <w:r>
              <w:rPr>
                <w:rFonts w:hint="eastAsia" w:ascii="Times New Roman" w:hAnsi="Times New Roman" w:eastAsia="宋体" w:cs="Times New Roman"/>
                <w:sz w:val="21"/>
                <w:szCs w:val="21"/>
              </w:rPr>
              <w:t xml:space="preserve">及以下采用 </w:t>
            </w:r>
            <w:r>
              <w:rPr>
                <w:rFonts w:hint="default" w:ascii="Times New Roman" w:hAnsi="Times New Roman" w:eastAsia="宋体" w:cs="Times New Roman"/>
                <w:sz w:val="21"/>
                <w:szCs w:val="21"/>
              </w:rPr>
              <w:t>UPVC</w:t>
            </w:r>
            <w:bookmarkEnd w:id="25"/>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搅拌器</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钢衬胶</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5.2.6.2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）加药装置撬装总成，包括计量泵、搅拌器、驱动机、变速箱、联轴器和护罩（如有）、溶药箱或溶液箱、公用底座、地脚螺栓、螺母、垫片和垫铁；所有与用户连接配对法兰、垫片及紧固件。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5.2.7 非氧杀菌剂加药装置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5.2.7.1 </w:t>
      </w:r>
      <w:r>
        <w:rPr>
          <w:rFonts w:ascii="Times New Roman" w:hAnsi="Times New Roman" w:eastAsia="宋体" w:cs="Times New Roman"/>
          <w:sz w:val="24"/>
          <w:szCs w:val="24"/>
        </w:rPr>
        <w:t>技术数据</w:t>
      </w:r>
    </w:p>
    <w:tbl>
      <w:tblPr>
        <w:tblStyle w:val="15"/>
        <w:tblW w:w="4998" w:type="pct"/>
        <w:tblInd w:w="8" w:type="dxa"/>
        <w:tblLayout w:type="autofit"/>
        <w:tblCellMar>
          <w:top w:w="0" w:type="dxa"/>
          <w:left w:w="0" w:type="dxa"/>
          <w:bottom w:w="0" w:type="dxa"/>
          <w:right w:w="0" w:type="dxa"/>
        </w:tblCellMar>
      </w:tblPr>
      <w:tblGrid>
        <w:gridCol w:w="3423"/>
        <w:gridCol w:w="927"/>
        <w:gridCol w:w="453"/>
        <w:gridCol w:w="1187"/>
        <w:gridCol w:w="2335"/>
      </w:tblGrid>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1500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 RO 非氧杀菌剂计量泵（变频）</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非</w:t>
            </w:r>
            <w:r>
              <w:rPr>
                <w:rFonts w:hint="default" w:ascii="Times New Roman" w:hAnsi="Times New Roman" w:eastAsia="宋体" w:cs="Times New Roman"/>
                <w:sz w:val="21"/>
                <w:szCs w:val="21"/>
              </w:rPr>
              <w:t>氧杀菌剂</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0.75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浓水 RO 非氧杀菌剂计量泵（变频）</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非</w:t>
            </w:r>
            <w:r>
              <w:rPr>
                <w:rFonts w:hint="default" w:ascii="Times New Roman" w:hAnsi="Times New Roman" w:eastAsia="宋体" w:cs="Times New Roman"/>
                <w:sz w:val="21"/>
                <w:szCs w:val="21"/>
              </w:rPr>
              <w:t>氧杀菌剂</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 RO 非氧杀菌剂计量泵（变频）</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非</w:t>
            </w:r>
            <w:r>
              <w:rPr>
                <w:rFonts w:hint="default" w:ascii="Times New Roman" w:hAnsi="Times New Roman" w:eastAsia="宋体" w:cs="Times New Roman"/>
                <w:sz w:val="21"/>
                <w:szCs w:val="21"/>
              </w:rPr>
              <w:t>氧杀菌剂</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 RO 浓水箱非氧杀菌剂计量泵（变频）</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非</w:t>
            </w:r>
            <w:r>
              <w:rPr>
                <w:rFonts w:hint="default" w:ascii="Times New Roman" w:hAnsi="Times New Roman" w:eastAsia="宋体" w:cs="Times New Roman"/>
                <w:sz w:val="21"/>
                <w:szCs w:val="21"/>
              </w:rPr>
              <w:t>氧杀菌剂</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90"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5.2.7.2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）加药装置撬装总成，包括计量泵、搅拌器、驱动机、变速箱、联轴器和护罩（如有）、溶药箱或溶液箱、公用底座、地脚螺栓、螺母、垫片和垫铁；所有与用户连接配对法兰、垫片及紧固件。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5.2.8氧化剂加药装置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5.2.8.1 </w:t>
      </w:r>
      <w:r>
        <w:rPr>
          <w:rFonts w:ascii="Times New Roman" w:hAnsi="Times New Roman" w:eastAsia="宋体" w:cs="Times New Roman"/>
          <w:sz w:val="24"/>
          <w:szCs w:val="24"/>
        </w:rPr>
        <w:t>技术数据</w:t>
      </w:r>
    </w:p>
    <w:tbl>
      <w:tblPr>
        <w:tblStyle w:val="15"/>
        <w:tblW w:w="4998" w:type="pct"/>
        <w:tblInd w:w="8" w:type="dxa"/>
        <w:tblLayout w:type="autofit"/>
        <w:tblCellMar>
          <w:top w:w="0" w:type="dxa"/>
          <w:left w:w="0" w:type="dxa"/>
          <w:bottom w:w="0" w:type="dxa"/>
          <w:right w:w="0" w:type="dxa"/>
        </w:tblCellMar>
      </w:tblPr>
      <w:tblGrid>
        <w:gridCol w:w="3423"/>
        <w:gridCol w:w="927"/>
        <w:gridCol w:w="451"/>
        <w:gridCol w:w="1187"/>
        <w:gridCol w:w="2337"/>
      </w:tblGrid>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进水氧化剂计量泵（变频）</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10%NaClO</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多介质过滤器进水氧化剂计量泵（变频）</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10%NaClO</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CEB 氧化剂计量泵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10%NaClO</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0.75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380V</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清洗氧化剂计量泵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10%NaClO</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82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PVDF</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 PTFE</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钢衬PTFE（2’’以上），2’’及以下采用</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UPVC</w:t>
            </w:r>
          </w:p>
        </w:tc>
      </w:tr>
      <w:tr>
        <w:tblPrEx>
          <w:tblCellMar>
            <w:top w:w="0" w:type="dxa"/>
            <w:left w:w="0" w:type="dxa"/>
            <w:bottom w:w="0" w:type="dxa"/>
            <w:right w:w="0" w:type="dxa"/>
          </w:tblCellMar>
        </w:tblPrEx>
        <w:trPr>
          <w:trHeight w:val="454" w:hRule="atLeast"/>
        </w:trPr>
        <w:tc>
          <w:tcPr>
            <w:tcW w:w="2613"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2387"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5.2.8.2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）加药装置撬装总成，包括计量泵、搅拌器、驱动机、变速箱、联轴器和护罩（如有）、溶药箱或溶液箱、公用底座、地脚螺栓、螺母、垫片和垫铁；所有与用户连接配对法兰、垫片及紧固件。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5.2.9 酸加药装置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5.2.9.1 </w:t>
      </w:r>
      <w:r>
        <w:rPr>
          <w:rFonts w:ascii="Times New Roman" w:hAnsi="Times New Roman" w:eastAsia="宋体" w:cs="Times New Roman"/>
          <w:sz w:val="24"/>
          <w:szCs w:val="24"/>
        </w:rPr>
        <w:t>技术数据</w:t>
      </w:r>
    </w:p>
    <w:tbl>
      <w:tblPr>
        <w:tblStyle w:val="15"/>
        <w:tblW w:w="5007" w:type="pct"/>
        <w:tblInd w:w="8" w:type="dxa"/>
        <w:tblLayout w:type="autofit"/>
        <w:tblCellMar>
          <w:top w:w="0" w:type="dxa"/>
          <w:left w:w="0" w:type="dxa"/>
          <w:bottom w:w="0" w:type="dxa"/>
          <w:right w:w="0" w:type="dxa"/>
        </w:tblCellMar>
      </w:tblPr>
      <w:tblGrid>
        <w:gridCol w:w="3356"/>
        <w:gridCol w:w="942"/>
        <w:gridCol w:w="457"/>
        <w:gridCol w:w="1206"/>
        <w:gridCol w:w="2379"/>
      </w:tblGrid>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浓水 RO 加酸计量泵（变频）</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31%HCl</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0.55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 RO浓水罐加酸计量泵（变频）</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31%HCl</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CEB 酸计量泵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250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31%HCl</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0.55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化学清洗酸计量泵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31%HCl</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0.75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83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2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57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2423"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PVDF</w:t>
            </w:r>
          </w:p>
        </w:tc>
      </w:tr>
      <w:tr>
        <w:tblPrEx>
          <w:tblCellMar>
            <w:top w:w="0" w:type="dxa"/>
            <w:left w:w="0" w:type="dxa"/>
            <w:bottom w:w="0" w:type="dxa"/>
            <w:right w:w="0" w:type="dxa"/>
          </w:tblCellMar>
        </w:tblPrEx>
        <w:trPr>
          <w:trHeight w:val="454" w:hRule="atLeast"/>
        </w:trPr>
        <w:tc>
          <w:tcPr>
            <w:tcW w:w="257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2423"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257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2423"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2”及以上采用碳钢衬 PTFE 材质，2”以下采用 UPVC材质</w:t>
            </w:r>
          </w:p>
        </w:tc>
      </w:tr>
      <w:tr>
        <w:tblPrEx>
          <w:tblCellMar>
            <w:top w:w="0" w:type="dxa"/>
            <w:left w:w="0" w:type="dxa"/>
            <w:bottom w:w="0" w:type="dxa"/>
            <w:right w:w="0" w:type="dxa"/>
          </w:tblCellMar>
        </w:tblPrEx>
        <w:trPr>
          <w:trHeight w:val="454" w:hRule="atLeast"/>
        </w:trPr>
        <w:tc>
          <w:tcPr>
            <w:tcW w:w="2577"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2423"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5.2.9.2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）加药装置撬装总成，包括计量泵、搅拌器、驱动机、变速箱、联轴器和护罩（如有）、溶药箱或溶液箱、公用底座、地脚螺栓、螺母、垫片和垫铁；所有与用户连接配对法兰、垫片及紧固件。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5.2.10 碱加药装置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5.2.10.1 </w:t>
      </w:r>
      <w:r>
        <w:rPr>
          <w:rFonts w:ascii="Times New Roman" w:hAnsi="Times New Roman" w:eastAsia="宋体" w:cs="Times New Roman"/>
          <w:sz w:val="24"/>
          <w:szCs w:val="24"/>
        </w:rPr>
        <w:t>技术数据</w:t>
      </w:r>
    </w:p>
    <w:tbl>
      <w:tblPr>
        <w:tblStyle w:val="15"/>
        <w:tblW w:w="4998" w:type="pct"/>
        <w:tblInd w:w="8" w:type="dxa"/>
        <w:tblLayout w:type="autofit"/>
        <w:tblCellMar>
          <w:top w:w="0" w:type="dxa"/>
          <w:left w:w="0" w:type="dxa"/>
          <w:bottom w:w="0" w:type="dxa"/>
          <w:right w:w="0" w:type="dxa"/>
        </w:tblCellMar>
      </w:tblPr>
      <w:tblGrid>
        <w:gridCol w:w="3350"/>
        <w:gridCol w:w="942"/>
        <w:gridCol w:w="458"/>
        <w:gridCol w:w="1205"/>
        <w:gridCol w:w="2370"/>
      </w:tblGrid>
      <w:tr>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 RO 加碱计量泵（变频）</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20%NaOH</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0.55</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CEB 碱计量泵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液压双隔膜泵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250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20%NaOH</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0.75</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化学清洗碱计量泵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隔膜泵</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20%NaOH</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0.75</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1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841"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24"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2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57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2422"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257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2422"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257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2422"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257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2422"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5.2.10.2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）加药装置撬装总成，包括计量泵、搅拌器、驱动机、变速箱、联轴器和护罩（如有）、溶药箱或溶液箱、公用底座、地脚螺栓、螺母、垫片和垫铁；所有与用户连接配对法兰、垫片及紧固件。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5.2.11 还原剂加药装置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5.2.11.1 </w:t>
      </w:r>
      <w:r>
        <w:rPr>
          <w:rFonts w:ascii="Times New Roman" w:hAnsi="Times New Roman" w:eastAsia="宋体" w:cs="Times New Roman"/>
          <w:sz w:val="24"/>
          <w:szCs w:val="24"/>
        </w:rPr>
        <w:t>技术数据</w:t>
      </w:r>
    </w:p>
    <w:tbl>
      <w:tblPr>
        <w:tblStyle w:val="15"/>
        <w:tblW w:w="5009" w:type="pct"/>
        <w:tblInd w:w="8" w:type="dxa"/>
        <w:tblLayout w:type="fixed"/>
        <w:tblCellMar>
          <w:top w:w="0" w:type="dxa"/>
          <w:left w:w="0" w:type="dxa"/>
          <w:bottom w:w="0" w:type="dxa"/>
          <w:right w:w="0" w:type="dxa"/>
        </w:tblCellMar>
      </w:tblPr>
      <w:tblGrid>
        <w:gridCol w:w="3435"/>
        <w:gridCol w:w="927"/>
        <w:gridCol w:w="454"/>
        <w:gridCol w:w="1192"/>
        <w:gridCol w:w="2335"/>
      </w:tblGrid>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6000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0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还原剂计量泵</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液压</w:t>
            </w:r>
            <w:r>
              <w:rPr>
                <w:rFonts w:hint="default" w:ascii="Times New Roman" w:hAnsi="Times New Roman" w:eastAsia="宋体" w:cs="Times New Roman"/>
                <w:sz w:val="21"/>
                <w:szCs w:val="21"/>
              </w:rPr>
              <w:t>隔膜泵</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还原剂</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0.55</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0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0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搅拌器</w:t>
            </w: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转速</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120</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r/min</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1374"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1186"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23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0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434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3963"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434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3963"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434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3963"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434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搅拌器</w:t>
            </w:r>
          </w:p>
        </w:tc>
        <w:tc>
          <w:tcPr>
            <w:tcW w:w="3963"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钢衬胶</w:t>
            </w:r>
          </w:p>
        </w:tc>
      </w:tr>
      <w:tr>
        <w:tblPrEx>
          <w:tblCellMar>
            <w:top w:w="0" w:type="dxa"/>
            <w:left w:w="0" w:type="dxa"/>
            <w:bottom w:w="0" w:type="dxa"/>
            <w:right w:w="0" w:type="dxa"/>
          </w:tblCellMar>
        </w:tblPrEx>
        <w:trPr>
          <w:trHeight w:val="454" w:hRule="atLeast"/>
        </w:trPr>
        <w:tc>
          <w:tcPr>
            <w:tcW w:w="4342"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3963"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5.2.11.2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）加药装置撬装总成，包括计量泵、搅拌器、驱动机、变速箱、联轴器和护罩（如有）、溶药箱或溶液箱、公用底座、地脚螺栓、螺母、垫片和垫铁；所有与用户连接配对法兰、垫片及紧固件。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5.2.12 阻垢剂加药装置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5.2.12.1 </w:t>
      </w:r>
      <w:r>
        <w:rPr>
          <w:rFonts w:ascii="Times New Roman" w:hAnsi="Times New Roman" w:eastAsia="宋体" w:cs="Times New Roman"/>
          <w:sz w:val="24"/>
          <w:szCs w:val="24"/>
        </w:rPr>
        <w:t>技术数据</w:t>
      </w:r>
    </w:p>
    <w:tbl>
      <w:tblPr>
        <w:tblStyle w:val="15"/>
        <w:tblW w:w="4999" w:type="pct"/>
        <w:tblInd w:w="8" w:type="dxa"/>
        <w:tblLayout w:type="autofit"/>
        <w:tblCellMar>
          <w:top w:w="0" w:type="dxa"/>
          <w:left w:w="0" w:type="dxa"/>
          <w:bottom w:w="0" w:type="dxa"/>
          <w:right w:w="0" w:type="dxa"/>
        </w:tblCellMar>
      </w:tblPr>
      <w:tblGrid>
        <w:gridCol w:w="3424"/>
        <w:gridCol w:w="929"/>
        <w:gridCol w:w="451"/>
        <w:gridCol w:w="1187"/>
        <w:gridCol w:w="2335"/>
      </w:tblGrid>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6000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 RO 阻垢剂计量泵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液压</w:t>
            </w:r>
            <w:r>
              <w:rPr>
                <w:rFonts w:hint="default" w:ascii="Times New Roman" w:hAnsi="Times New Roman" w:eastAsia="宋体" w:cs="Times New Roman"/>
                <w:sz w:val="21"/>
                <w:szCs w:val="21"/>
              </w:rPr>
              <w:t>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阻垢剂</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浓水 RO 阻垢剂计量泵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液压</w:t>
            </w:r>
            <w:r>
              <w:rPr>
                <w:rFonts w:hint="default" w:ascii="Times New Roman" w:hAnsi="Times New Roman" w:eastAsia="宋体" w:cs="Times New Roman"/>
                <w:sz w:val="21"/>
                <w:szCs w:val="21"/>
              </w:rPr>
              <w:t>隔膜泵</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L/h</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阻垢剂</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0.25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AMB</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搅拌器</w:t>
            </w: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转速</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120</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r/min</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2056"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829"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71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140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泵头</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S30408</w:t>
            </w:r>
          </w:p>
        </w:tc>
      </w:tr>
      <w:tr>
        <w:tblPrEx>
          <w:tblCellMar>
            <w:top w:w="0" w:type="dxa"/>
            <w:left w:w="0" w:type="dxa"/>
            <w:bottom w:w="0" w:type="dxa"/>
            <w:right w:w="0" w:type="dxa"/>
          </w:tblCellMar>
        </w:tblPrEx>
        <w:trPr>
          <w:trHeight w:val="454" w:hRule="atLeast"/>
        </w:trPr>
        <w:tc>
          <w:tcPr>
            <w:tcW w:w="261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2386" w:type="pct"/>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5.2.12.2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）加药装置撬装总成，包括计量泵、搅拌器、驱动机、变速箱、联轴器和护罩（如有）、溶药箱或溶液箱、公用底座、地脚螺栓、螺母、垫片和垫铁；所有与用户连接配对法兰、垫片及紧固件。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）辅助设备包括：入口过滤器；出口缓冲罐；出口安全阀；管路、管件和阀门等。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5.2.13 UF化学清洗装置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5.2.13.1 </w:t>
      </w:r>
      <w:r>
        <w:rPr>
          <w:rFonts w:ascii="Times New Roman" w:hAnsi="Times New Roman" w:eastAsia="宋体" w:cs="Times New Roman"/>
          <w:sz w:val="24"/>
          <w:szCs w:val="24"/>
        </w:rPr>
        <w:t>技术数据</w:t>
      </w:r>
    </w:p>
    <w:tbl>
      <w:tblPr>
        <w:tblStyle w:val="15"/>
        <w:tblW w:w="5018" w:type="pct"/>
        <w:tblInd w:w="8" w:type="dxa"/>
        <w:tblLayout w:type="fixed"/>
        <w:tblCellMar>
          <w:top w:w="0" w:type="dxa"/>
          <w:left w:w="0" w:type="dxa"/>
          <w:bottom w:w="0" w:type="dxa"/>
          <w:right w:w="0" w:type="dxa"/>
        </w:tblCellMar>
      </w:tblPr>
      <w:tblGrid>
        <w:gridCol w:w="3440"/>
        <w:gridCol w:w="931"/>
        <w:gridCol w:w="453"/>
        <w:gridCol w:w="1194"/>
        <w:gridCol w:w="2340"/>
      </w:tblGrid>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3500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7000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20"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清洗水泵</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离心泵</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310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清洗液</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0.02</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37</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20"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UF 清洗保安过滤器</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处理能</w:t>
            </w:r>
            <w:r>
              <w:rPr>
                <w:rFonts w:hint="eastAsia" w:ascii="Times New Roman" w:hAnsi="Times New Roman" w:eastAsia="宋体" w:cs="Times New Roman"/>
                <w:sz w:val="21"/>
                <w:szCs w:val="21"/>
              </w:rPr>
              <w:t>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超滤清洗液</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筒体壁厚</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衬胶厚度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单台额定出力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允许压损</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过滤精度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滤芯数量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支</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大流量可折叠滤芯</w:t>
            </w:r>
          </w:p>
        </w:tc>
      </w:tr>
      <w:tr>
        <w:tblPrEx>
          <w:tblCellMar>
            <w:top w:w="0" w:type="dxa"/>
            <w:left w:w="0" w:type="dxa"/>
            <w:bottom w:w="0" w:type="dxa"/>
            <w:right w:w="0" w:type="dxa"/>
          </w:tblCellMar>
        </w:tblPrEx>
        <w:trPr>
          <w:trHeight w:val="454" w:hRule="atLeast"/>
        </w:trPr>
        <w:tc>
          <w:tcPr>
            <w:tcW w:w="8320"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3300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20"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电加热器</w:t>
            </w: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25"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1188"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233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20"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泵过流材质</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保安过滤器</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钢衬 PTFE</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滤芯</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PP</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r>
        <w:tblPrEx>
          <w:tblCellMar>
            <w:top w:w="0" w:type="dxa"/>
            <w:left w:w="0" w:type="dxa"/>
            <w:bottom w:w="0" w:type="dxa"/>
            <w:right w:w="0" w:type="dxa"/>
          </w:tblCellMar>
        </w:tblPrEx>
        <w:trPr>
          <w:trHeight w:val="454" w:hRule="atLeast"/>
        </w:trPr>
        <w:tc>
          <w:tcPr>
            <w:tcW w:w="4351"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电加热器</w:t>
            </w:r>
          </w:p>
        </w:tc>
        <w:tc>
          <w:tcPr>
            <w:tcW w:w="3969"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5.2.13.2 技术要求 </w:t>
      </w:r>
    </w:p>
    <w:p>
      <w:pPr>
        <w:widowControl w:val="0"/>
        <w:spacing w:line="360" w:lineRule="auto"/>
        <w:ind w:firstLine="480" w:firstLineChars="200"/>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a</w:t>
      </w:r>
      <w:r>
        <w:rPr>
          <w:rFonts w:hint="eastAsia" w:ascii="Times New Roman" w:hAnsi="Times New Roman" w:eastAsia="宋体" w:cs="Times New Roman"/>
          <w:kern w:val="2"/>
          <w:sz w:val="24"/>
          <w:szCs w:val="24"/>
          <w:lang w:val="en-US" w:eastAsia="zh-CN" w:bidi="ar-SA"/>
        </w:rPr>
        <w:t>）清洗装置撬装总成，包括清洗泵、清洗保安过滤器、清洗溶液箱、清洗加热器、公用底座、地脚螺栓、螺母、垫片和垫铁；所有与用户连接配对法兰、垫片及紧固件，卖方需提供药剂提升装置（含PID虚线框内的气动隔膜泵、药剂罐、管道等所有物料，并成套供货），具体详见附件图纸。</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）辅助设备包括：管路、管件和阀门等。</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 w:val="left" w:pos="420"/>
        </w:tabs>
        <w:spacing w:line="360" w:lineRule="auto"/>
        <w:ind w:firstLine="0" w:firstLineChars="0"/>
        <w:jc w:val="both"/>
        <w:outlineLvl w:val="2"/>
        <w:rPr>
          <w:rFonts w:ascii="Times New Roman" w:hAnsi="Times New Roman" w:eastAsia="宋体" w:cs="微软雅黑"/>
          <w:b/>
          <w:kern w:val="2"/>
          <w:sz w:val="24"/>
          <w:szCs w:val="24"/>
          <w:lang w:val="en-US" w:eastAsia="zh-CN" w:bidi="ar-SA"/>
        </w:rPr>
      </w:pPr>
      <w:r>
        <w:rPr>
          <w:rFonts w:hint="eastAsia" w:ascii="Times New Roman" w:hAnsi="Times New Roman" w:eastAsia="宋体" w:cs="微软雅黑"/>
          <w:b/>
          <w:kern w:val="2"/>
          <w:sz w:val="24"/>
          <w:szCs w:val="24"/>
          <w:lang w:val="en-US" w:eastAsia="zh-CN" w:bidi="ar-SA"/>
        </w:rPr>
        <w:t>5.2.14 RO化学清洗装置</w:t>
      </w:r>
    </w:p>
    <w:p>
      <w:pPr>
        <w:widowControl/>
        <w:spacing w:line="360" w:lineRule="auto"/>
        <w:ind w:firstLine="0"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5.2.14.1 </w:t>
      </w:r>
      <w:r>
        <w:rPr>
          <w:rFonts w:ascii="Times New Roman" w:hAnsi="Times New Roman" w:eastAsia="宋体" w:cs="Times New Roman"/>
          <w:sz w:val="24"/>
          <w:szCs w:val="24"/>
        </w:rPr>
        <w:t>技术数据</w:t>
      </w:r>
    </w:p>
    <w:tbl>
      <w:tblPr>
        <w:tblStyle w:val="15"/>
        <w:tblW w:w="5027" w:type="pct"/>
        <w:tblInd w:w="8" w:type="dxa"/>
        <w:tblLayout w:type="fixed"/>
        <w:tblCellMar>
          <w:top w:w="0" w:type="dxa"/>
          <w:left w:w="0" w:type="dxa"/>
          <w:bottom w:w="0" w:type="dxa"/>
          <w:right w:w="0" w:type="dxa"/>
        </w:tblCellMar>
      </w:tblPr>
      <w:tblGrid>
        <w:gridCol w:w="3447"/>
        <w:gridCol w:w="932"/>
        <w:gridCol w:w="455"/>
        <w:gridCol w:w="1196"/>
        <w:gridCol w:w="2343"/>
      </w:tblGrid>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套</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设备净重</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3500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设备运行荷重</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7000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3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RO 清洗水泵</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离心泵</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350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扬程</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RO清洗液</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泵进口压力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0.05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药液静压</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泵出口压力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防护等级</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IP55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绝缘等级</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380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V</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3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RO 清洗保安过滤器</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w:t>
            </w:r>
            <w:r>
              <w:rPr>
                <w:rFonts w:hint="eastAsia" w:ascii="Times New Roman" w:hAnsi="Times New Roman" w:eastAsia="宋体" w:cs="Times New Roman"/>
                <w:sz w:val="21"/>
                <w:szCs w:val="21"/>
              </w:rPr>
              <w:t>能力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介质</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RO 清洗液</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筒体壁厚</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衬胶厚度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单台额定出力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r>
              <w:rPr>
                <w:rFonts w:hint="default" w:ascii="Times New Roman" w:hAnsi="Times New Roman" w:eastAsia="宋体" w:cs="Times New Roman"/>
                <w:sz w:val="21"/>
                <w:szCs w:val="21"/>
              </w:rPr>
              <w:t>/h</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允许压损</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过滤精度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滤芯数量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支</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大流量可折叠滤芯</w:t>
            </w:r>
          </w:p>
        </w:tc>
      </w:tr>
      <w:tr>
        <w:tblPrEx>
          <w:tblCellMar>
            <w:top w:w="0" w:type="dxa"/>
            <w:left w:w="0" w:type="dxa"/>
            <w:bottom w:w="0" w:type="dxa"/>
            <w:right w:w="0" w:type="dxa"/>
          </w:tblCellMar>
        </w:tblPrEx>
        <w:trPr>
          <w:trHeight w:val="454" w:hRule="atLeast"/>
        </w:trPr>
        <w:tc>
          <w:tcPr>
            <w:tcW w:w="833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m³</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直径</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设计压力</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ATM</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MPa(G)</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设计温度</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3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电加热器</w:t>
            </w: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设备数量</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3432"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w:t>
            </w:r>
          </w:p>
        </w:tc>
        <w:tc>
          <w:tcPr>
            <w:tcW w:w="1380"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1190"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w:t>
            </w:r>
          </w:p>
        </w:tc>
        <w:tc>
          <w:tcPr>
            <w:tcW w:w="2333" w:type="dxa"/>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p>
        </w:tc>
      </w:tr>
      <w:tr>
        <w:tblPrEx>
          <w:tblCellMar>
            <w:top w:w="0" w:type="dxa"/>
            <w:left w:w="0" w:type="dxa"/>
            <w:bottom w:w="0" w:type="dxa"/>
            <w:right w:w="0" w:type="dxa"/>
          </w:tblCellMar>
        </w:tblPrEx>
        <w:trPr>
          <w:trHeight w:val="454" w:hRule="atLeast"/>
        </w:trPr>
        <w:tc>
          <w:tcPr>
            <w:tcW w:w="8335"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材质</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泵过流材质</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S31603</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溶液箱</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保安过滤器</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 衬胶</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管线</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钢衬 PTFE</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滤芯</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PP</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公用底座、梯子、平台等</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C.S</w:t>
            </w:r>
          </w:p>
        </w:tc>
      </w:tr>
      <w:tr>
        <w:tblPrEx>
          <w:tblCellMar>
            <w:top w:w="0" w:type="dxa"/>
            <w:left w:w="0" w:type="dxa"/>
            <w:bottom w:w="0" w:type="dxa"/>
            <w:right w:w="0" w:type="dxa"/>
          </w:tblCellMar>
        </w:tblPrEx>
        <w:trPr>
          <w:trHeight w:val="454" w:hRule="atLeast"/>
        </w:trPr>
        <w:tc>
          <w:tcPr>
            <w:tcW w:w="4359" w:type="dxa"/>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电加热器</w:t>
            </w:r>
          </w:p>
        </w:tc>
        <w:tc>
          <w:tcPr>
            <w:tcW w:w="3976" w:type="dxa"/>
            <w:gridSpan w:val="3"/>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S31603</w:t>
            </w:r>
          </w:p>
        </w:tc>
      </w:tr>
    </w:tbl>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5.2.14.2 技术要求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）清洗装置撬装总成，包括清洗泵、清洗保安过滤器、清洗溶液箱、清洗加热器、公用底座、地脚螺栓、螺母、垫片和垫铁；所有与用户连接配对法兰、垫片及紧固件。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）辅助设备包括：管路、管件和阀门等。</w:t>
      </w:r>
      <w:r>
        <w:rPr>
          <w:rFonts w:ascii="Times New Roman" w:hAnsi="Times New Roman" w:eastAsia="宋体" w:cs="Times New Roman"/>
          <w:sz w:val="24"/>
          <w:szCs w:val="24"/>
        </w:rPr>
        <w:t xml:space="preserve"> </w:t>
      </w:r>
    </w:p>
    <w:p>
      <w:pPr>
        <w:keepNext/>
        <w:keepLines/>
        <w:widowControl w:val="0"/>
        <w:numPr>
          <w:ilvl w:val="0"/>
          <w:numId w:val="0"/>
        </w:numPr>
        <w:tabs>
          <w:tab w:val="left" w:pos="0"/>
          <w:tab w:val="left" w:pos="420"/>
        </w:tabs>
        <w:spacing w:line="360" w:lineRule="auto"/>
        <w:ind w:firstLine="480" w:firstLineChars="200"/>
        <w:jc w:val="both"/>
        <w:outlineLvl w:val="2"/>
        <w:rPr>
          <w:rFonts w:ascii="Times New Roman" w:hAnsi="Times New Roman" w:eastAsia="宋体" w:cs="微软雅黑"/>
          <w:b w:val="0"/>
          <w:bCs/>
          <w:kern w:val="2"/>
          <w:sz w:val="24"/>
          <w:szCs w:val="24"/>
          <w:lang w:val="en-US" w:eastAsia="zh-CN" w:bidi="ar-SA"/>
        </w:rPr>
      </w:pPr>
      <w:r>
        <w:rPr>
          <w:rFonts w:hint="eastAsia" w:ascii="Times New Roman" w:hAnsi="Times New Roman" w:eastAsia="宋体" w:cs="微软雅黑"/>
          <w:b w:val="0"/>
          <w:bCs/>
          <w:kern w:val="2"/>
          <w:sz w:val="24"/>
          <w:szCs w:val="24"/>
          <w:lang w:val="en-US" w:eastAsia="zh-CN" w:bidi="ar-SA"/>
        </w:rPr>
        <w:t>c）严格按照加工图纸及PID图纸进行加工。</w:t>
      </w:r>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5.3 补充要求</w:t>
      </w:r>
    </w:p>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5.3.1卖方在厂内进行的设备性能检测及性能试验应通知买方，买方视情况决定是否参与鉴证，如买方决定参与设备性能鉴证，卖方应配合完成此项工作且买方参与性能鉴证不免除卖方对设备性能应负的责任。</w:t>
      </w:r>
    </w:p>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5.3.2设备出厂须进行水压试验，试验压力为系统设计压力的1.5倍，试验应缓慢升压，待达到试验压力后，稳压10min，再将试验压力降至设计压力，保压30分钟无渗漏；卖方水压试验过程需做好记录，留存影像资料、试验报告等证明文件，在到货验收时按要求提交给买方。</w:t>
      </w:r>
    </w:p>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5.3.3金属管道组对、焊接及检验</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（1）卖方应将所有焊接设备和辅助设备保持在良好的工作状态，符合有关规范的规定。</w:t>
      </w:r>
    </w:p>
    <w:p>
      <w:pPr>
        <w:widowControl w:val="0"/>
        <w:spacing w:after="0" w:line="360" w:lineRule="auto"/>
        <w:ind w:left="0" w:leftChars="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参加焊接作业人员必须是持有市场监督管理局（原质监局）颁发的特种设备焊工证的焊工，并且焊工证里面合格项应包含本工程的管道材质。现场焊接应按焊接工艺评定进行，焊工资格考试按照《钢质管道焊接及验收》（GB/T 31032-2014） 的规定。</w:t>
      </w:r>
    </w:p>
    <w:p>
      <w:pPr>
        <w:widowControl w:val="0"/>
        <w:spacing w:after="0" w:line="360" w:lineRule="auto"/>
        <w:ind w:left="0" w:leftChars="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（3）焊接工艺试验和评定按照《钢质管道焊接及验收》（GB/T 31032-2014）执行。焊接工艺评定（PQR）和焊接工艺规程（WPS）/焊接作业指导书应提交买方审查，未提交买方审查同意的焊接工艺不得使用。</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（4）所有不锈钢管道管件焊接后需进行酸洗钝化。</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（5）所有不锈钢S31603管道管件、吊耳焊缝完成后进行无损检测S31603的管道要求按20%射线探伤，其他位置的焊缝要求100%渗透或着色，检测结果Ⅱ级合格。</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（6）书面焊接程序和资格鉴定测试记录应提交买方批准。</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（7）焊接只能由具有焊工资格证书的专业作员实施，焊工必须经考试合格并取得合格证书。持证焊工必须在其考试合格项目及其认可范围内施焊。</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（8）待焊接表面应无疏松鳞片、锈迹、油脂、油漆和其他异物，接缝面应无裂缝。</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（9）每个焊接在其整个长度内，其宽度和尺寸统一。每层焊接应光滑且无熔渣、裂缝、针孔和咬边，而且应完全熔化到相邻的焊缝和母材，外观质量二级。</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（10）对焊应稍微凸起，高度均匀，而且应焊透。</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（11）角焊应具有指定的尺寸。</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（12）焊接的修理、切削或磨光方式应保证不会凿伤、开槽或降低母材的厚度。</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（13）焊条、焊丝及焊剂等焊接材料与母材的匹配应符合设计要求及国家现行行业标准《钢结构焊接规范》（GB 50661-2011） 的规定。焊条、焊剂及药芯焊丝等在使用前，应按其产品说明书及焊接工艺文件的规定进行烘焙和存放。</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（14）卖方对首次采用的钢材、焊接材料、焊接方法、焊后热处理等，应进行焊接工艺的评定，并应根据评定报告确定焊接工艺。</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（15）出厂前进行钢结构件验收，对焊接工艺及钢材质量等应具有构件验收记录。</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（16）设备应标注构件、零件的名称、编号、重量、重心和吊点位置等。</w:t>
      </w:r>
    </w:p>
    <w:p>
      <w:pPr>
        <w:spacing w:line="360" w:lineRule="auto"/>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5.3.4 管道系统</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（1）管道系统的布置设计（包括合理设置的各种支吊架）应能承受各种荷载和应力。卖方应计算所有主要管道的热膨胀位移和应力，并且确保管道作用在设备上的力和力矩在各个设备厂商规定的范围之内。</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（2）所有管道系统应设计高位点排气和低位点排水措施，同一膜架内的排水、排气应统一收集排放，所有管道、仪表等的连接处均需采用标准管件连接。</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（3）超滤装置管路压力等级要求PN10或以上。</w:t>
      </w:r>
    </w:p>
    <w:p>
      <w:pPr>
        <w:widowControl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（4）反渗透装置高压管路压力等级要求</w:t>
      </w:r>
      <w:r>
        <w:rPr>
          <w:rFonts w:hint="eastAsia" w:ascii="Times New Roman" w:hAnsi="Times New Roman" w:eastAsia="宋体" w:cs="Times New Roman"/>
          <w:kern w:val="2"/>
          <w:sz w:val="24"/>
          <w:szCs w:val="24"/>
          <w:lang w:val="en-US" w:eastAsia="zh-CN" w:bidi="ar-SA"/>
        </w:rPr>
        <w:t>Class 300及</w:t>
      </w:r>
      <w:r>
        <w:rPr>
          <w:rFonts w:hint="eastAsia" w:ascii="宋体" w:hAnsi="宋体" w:eastAsia="宋体" w:cs="宋体"/>
          <w:kern w:val="2"/>
          <w:sz w:val="24"/>
          <w:szCs w:val="24"/>
          <w:lang w:val="en-US" w:eastAsia="zh-CN" w:bidi="ar-SA"/>
        </w:rPr>
        <w:t>以上，低压管路压力等级要求PN10或以上。</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（5）不允许在UPVC管道上开孔热熔焊接口径不一样的管道，卖方需全部采用标准管件进行连接。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Times New Roman" w:hAnsi="Times New Roman" w:eastAsia="宋体" w:cs="Times New Roman"/>
          <w:sz w:val="24"/>
          <w:szCs w:val="24"/>
        </w:rPr>
        <w:t>本项目化学清洗装置内涉及压力管道，DN50及以上，压力≥0.1Mpa且涉及酸、碱或腐蚀性液体的管道均视为压力管道，具体详见设备图纸，卖方负责按图纸提供相关压力管道的图纸设计及供货，管道需取得特种设备监督检验证书（压力管道元件制造），并配合本项目办理压力管道相关的监督检验手续，直至买方取得特种设备使用登记证。</w:t>
      </w:r>
    </w:p>
    <w:p>
      <w:pPr>
        <w:widowControl w:val="0"/>
        <w:spacing w:after="0"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5.3.5 管道支架的设置要求 </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除加工图上的主要支架，其余支、吊架设置制造时应根据现场设置，不得有管道下凹或影响设备功能的情况。支、吊、托架应按图纸要求现场制作，无图纸要求的则由卖方根据情况制作，没有特殊说明支架形式为承重或导向支架。</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（2）管道采用管卡搁放在支架上或吊架上。</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（3）泵进出口支架采用导向支架，管夹不能完全锁死，保证管道可以沿轴向运动，严禁通过软连接消除安装误差。</w:t>
      </w:r>
    </w:p>
    <w:p>
      <w:pPr>
        <w:widowControl w:val="0"/>
        <w:spacing w:after="0" w:line="360" w:lineRule="auto"/>
        <w:ind w:left="0" w:leftChars="0"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（4）管吊为环形，管托和管墩为 U形，两端应配固定螺栓。管吊、管托和管墩与管面的接触面至少为 180°，在支架上垫 3~5mm厚的橡皮并用螺栓固定。</w:t>
      </w:r>
    </w:p>
    <w:p>
      <w:pPr>
        <w:widowControl w:val="0"/>
        <w:spacing w:after="0" w:line="360" w:lineRule="auto"/>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★5.3.8 卖方应在投标文件中提供满足交货期的、完整的加工计划。</w:t>
      </w:r>
    </w:p>
    <w:p>
      <w:pPr>
        <w:keepNext/>
        <w:keepLines/>
        <w:widowControl w:val="0"/>
        <w:numPr>
          <w:ilvl w:val="0"/>
          <w:numId w:val="0"/>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bookmarkStart w:id="26" w:name="_Toc17987"/>
      <w:bookmarkStart w:id="27" w:name="_Toc347476370"/>
      <w:bookmarkStart w:id="28" w:name="_Toc351651545"/>
      <w:bookmarkStart w:id="29" w:name="_Toc328057179"/>
      <w:r>
        <w:rPr>
          <w:rFonts w:hint="eastAsia" w:ascii="Times New Roman" w:hAnsi="Times New Roman" w:eastAsia="微软雅黑" w:cs="Times New Roman"/>
          <w:b/>
          <w:bCs/>
          <w:kern w:val="44"/>
          <w:sz w:val="28"/>
          <w:szCs w:val="44"/>
          <w:lang w:val="en-US" w:eastAsia="zh-CN" w:bidi="ar-SA"/>
        </w:rPr>
        <w:t>六、监造、检测与试验</w:t>
      </w:r>
      <w:bookmarkEnd w:id="26"/>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bookmarkStart w:id="30" w:name="_Toc20544"/>
      <w:r>
        <w:rPr>
          <w:rFonts w:hint="eastAsia" w:ascii="Times New Roman" w:hAnsi="Times New Roman" w:eastAsia="宋体" w:cs="Times New Roman"/>
          <w:b/>
          <w:bCs/>
          <w:kern w:val="2"/>
          <w:sz w:val="28"/>
          <w:szCs w:val="32"/>
          <w:lang w:val="en-US" w:eastAsia="zh-CN" w:bidi="ar-SA"/>
        </w:rPr>
        <w:t>6.1 设备监造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6.1.1 合同生效后，卖方应向买方提供详细的设备监造内容和方案，并由买方审核和认可。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6.1.2 对设备或材料有影响的一切制造、生产、试验及检查操作，都要接受买方的监督。</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6.1.3 买方有权派代表到卖方工厂和分包及外购件工厂检查制造过程，检查按合同交付的货物质量，检验按合同交付的组件及使用材料是否符合标准及其它合同上规定的要求，并参加合同规定由卖方进行的单体试验和整个装配件的试验。卖方应提供给买方代表试验及检验所必需的仪器工具、办公用具。</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6.1.4 买方虽对卖方所供设备进行监造，但仍不能免除卖方的质量责任，凡与产品有关的质量问题，卖方仍必须解决。</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6.1.5 卖方应为买方提供以下方便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卖方应提前10天将设备监造项目及检验时间通知买方监造代表和买方，监造方式由卖方与买方协商确定，卖方应提供监造和检验所需的物资、设施及其它条件，买方监造代表在场观察检验的进行并不免除卖方所承担的责任。</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买方监造代表有权通过卖方有关部门查（借）阅合同与本合同设备有关的标准、图纸、资料、工艺及检验记录（包括之中间检验记录），如买方认为有必要复印，卖方应提供方便。</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买方人员在监造过程中如发现设备、材料缺陷或不符合规定的标准要求时，买方有权提出意见，卖方应积极采取相应改进措施，以保证设备质量。无论买方是否要求和知道，卖方均应主动及时地向买方提供设备制造过程中出现的较大的质量缺陷和问题，不得隐瞒，不得在买方不知道的情况下卖方擅自处理。</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6.1.6 卖方应允许并协助买方或第三方检查人员，在任何时间完成审查和质量控制计划中规定的未完成和已完成的随机检查。</w:t>
      </w:r>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6.2 检验与试验</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供货范围内所有设备、材料在设计、选材及制造工艺上没有缺陷；</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（2）卖方</w:t>
      </w:r>
      <w:r>
        <w:rPr>
          <w:rFonts w:ascii="Times New Roman" w:hAnsi="Times New Roman" w:eastAsia="宋体" w:cs="Times New Roman"/>
          <w:sz w:val="24"/>
          <w:szCs w:val="24"/>
        </w:rPr>
        <w:t>应保证提供符合本技术条件和最新工业标准的优质产品。若相关标准规范进行修订，应采用最新版本。</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如果需要，</w:t>
      </w:r>
      <w:r>
        <w:rPr>
          <w:rFonts w:hint="eastAsia" w:ascii="Times New Roman" w:hAnsi="Times New Roman" w:eastAsia="宋体" w:cs="Times New Roman"/>
          <w:sz w:val="24"/>
          <w:szCs w:val="24"/>
        </w:rPr>
        <w:t>买方有权</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产品进行检验、试验或抽检；如检验、试验或抽检不合格，</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应负责更换、修复并承担检验、试验等相关费用。</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（4）如果设备是完整的成品出厂，卖方必须按照国家有关规范、标准，完成设备的出厂前试验，包括水压试验等，形成相关的试验报告，试验合格后方能发货，并将试验报告提供给买方。</w:t>
      </w:r>
    </w:p>
    <w:p>
      <w:pPr>
        <w:keepNext/>
        <w:keepLines/>
        <w:widowControl w:val="0"/>
        <w:numPr>
          <w:ilvl w:val="0"/>
          <w:numId w:val="0"/>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r>
        <w:rPr>
          <w:rFonts w:hint="eastAsia" w:ascii="Times New Roman" w:hAnsi="Times New Roman" w:eastAsia="微软雅黑" w:cs="Times New Roman"/>
          <w:b/>
          <w:bCs/>
          <w:kern w:val="44"/>
          <w:sz w:val="28"/>
          <w:szCs w:val="44"/>
          <w:lang w:val="en-US" w:eastAsia="zh-CN" w:bidi="ar-SA"/>
        </w:rPr>
        <w:t>七、</w:t>
      </w:r>
      <w:r>
        <w:rPr>
          <w:rFonts w:ascii="Times New Roman" w:hAnsi="Times New Roman" w:eastAsia="微软雅黑" w:cs="Times New Roman"/>
          <w:b/>
          <w:bCs/>
          <w:kern w:val="44"/>
          <w:sz w:val="28"/>
          <w:szCs w:val="44"/>
          <w:lang w:val="en-US" w:eastAsia="zh-CN" w:bidi="ar-SA"/>
        </w:rPr>
        <w:t>标识、</w:t>
      </w:r>
      <w:bookmarkStart w:id="31" w:name="OLE_LINK36"/>
      <w:r>
        <w:rPr>
          <w:rFonts w:hint="eastAsia" w:ascii="Times New Roman" w:hAnsi="Times New Roman" w:eastAsia="微软雅黑" w:cs="Times New Roman"/>
          <w:b/>
          <w:bCs/>
          <w:kern w:val="44"/>
          <w:sz w:val="28"/>
          <w:szCs w:val="44"/>
          <w:lang w:val="en-US" w:eastAsia="zh-CN" w:bidi="ar-SA"/>
        </w:rPr>
        <w:t>包装</w:t>
      </w:r>
      <w:bookmarkEnd w:id="31"/>
      <w:r>
        <w:rPr>
          <w:rFonts w:ascii="Times New Roman" w:hAnsi="Times New Roman" w:eastAsia="微软雅黑" w:cs="Times New Roman"/>
          <w:b/>
          <w:bCs/>
          <w:kern w:val="44"/>
          <w:sz w:val="28"/>
          <w:szCs w:val="44"/>
          <w:lang w:val="en-US" w:eastAsia="zh-CN" w:bidi="ar-SA"/>
        </w:rPr>
        <w:t>、运输和存储</w:t>
      </w:r>
      <w:bookmarkEnd w:id="30"/>
    </w:p>
    <w:bookmarkEnd w:id="27"/>
    <w:bookmarkEnd w:id="28"/>
    <w:bookmarkEnd w:id="29"/>
    <w:p>
      <w:pPr>
        <w:spacing w:line="360" w:lineRule="auto"/>
        <w:ind w:firstLine="480" w:firstLineChars="200"/>
        <w:rPr>
          <w:rFonts w:ascii="Times New Roman" w:hAnsi="Times New Roman" w:eastAsia="宋体" w:cs="Times New Roman"/>
          <w:sz w:val="24"/>
          <w:szCs w:val="24"/>
        </w:rPr>
      </w:pPr>
      <w:bookmarkStart w:id="32" w:name="_Toc1534"/>
      <w:bookmarkStart w:id="33" w:name="_Toc23188"/>
      <w:bookmarkStart w:id="34" w:name="_Toc29851"/>
      <w:r>
        <w:rPr>
          <w:rFonts w:hint="eastAsia" w:ascii="Times New Roman" w:hAnsi="Times New Roman" w:eastAsia="宋体" w:cs="Times New Roman"/>
          <w:sz w:val="24"/>
          <w:szCs w:val="24"/>
        </w:rPr>
        <w:t xml:space="preserve">7.1 </w:t>
      </w:r>
      <w:r>
        <w:rPr>
          <w:rFonts w:ascii="Times New Roman" w:hAnsi="Times New Roman" w:eastAsia="宋体" w:cs="Times New Roman"/>
          <w:sz w:val="24"/>
          <w:szCs w:val="24"/>
        </w:rPr>
        <w:t>油漆</w:t>
      </w:r>
      <w:bookmarkEnd w:id="32"/>
      <w:bookmarkEnd w:id="33"/>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钢结构和电气设备等的油漆将满足有关规范和标准的要求。</w:t>
      </w:r>
    </w:p>
    <w:p>
      <w:pPr>
        <w:spacing w:line="360" w:lineRule="auto"/>
        <w:ind w:firstLine="480" w:firstLineChars="200"/>
        <w:rPr>
          <w:rFonts w:ascii="Times New Roman" w:hAnsi="Times New Roman" w:eastAsia="宋体" w:cs="Times New Roman"/>
          <w:sz w:val="24"/>
          <w:szCs w:val="24"/>
        </w:rPr>
      </w:pPr>
      <w:bookmarkStart w:id="35" w:name="_Toc7348"/>
      <w:bookmarkStart w:id="36" w:name="_Toc1220"/>
      <w:r>
        <w:rPr>
          <w:rFonts w:hint="eastAsia" w:ascii="Times New Roman" w:hAnsi="Times New Roman" w:eastAsia="宋体" w:cs="Times New Roman"/>
          <w:sz w:val="24"/>
          <w:szCs w:val="24"/>
        </w:rPr>
        <w:t xml:space="preserve">7.2 </w:t>
      </w:r>
      <w:r>
        <w:rPr>
          <w:rFonts w:ascii="Times New Roman" w:hAnsi="Times New Roman" w:eastAsia="宋体" w:cs="Times New Roman"/>
          <w:sz w:val="24"/>
          <w:szCs w:val="24"/>
        </w:rPr>
        <w:t>标志</w:t>
      </w:r>
      <w:bookmarkEnd w:id="35"/>
      <w:bookmarkEnd w:id="36"/>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卖方在各个装置框架居中位置设置明显的铭牌，铭牌上标出：</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装置名称；主要性能参数；型号或标记；制造日期或生产编号；制造厂名。</w:t>
      </w:r>
    </w:p>
    <w:p>
      <w:pPr>
        <w:spacing w:line="360" w:lineRule="auto"/>
        <w:ind w:firstLine="480" w:firstLineChars="200"/>
        <w:rPr>
          <w:rFonts w:ascii="Times New Roman" w:hAnsi="Times New Roman" w:eastAsia="宋体" w:cs="Times New Roman"/>
          <w:sz w:val="24"/>
          <w:szCs w:val="24"/>
        </w:rPr>
      </w:pPr>
      <w:bookmarkStart w:id="37" w:name="_Toc15930"/>
      <w:bookmarkStart w:id="38" w:name="_Toc8878"/>
      <w:r>
        <w:rPr>
          <w:rFonts w:hint="eastAsia" w:ascii="Times New Roman" w:hAnsi="Times New Roman" w:eastAsia="宋体" w:cs="Times New Roman"/>
          <w:sz w:val="24"/>
          <w:szCs w:val="24"/>
        </w:rPr>
        <w:t xml:space="preserve">7.3 </w:t>
      </w:r>
      <w:r>
        <w:rPr>
          <w:rFonts w:ascii="Times New Roman" w:hAnsi="Times New Roman" w:eastAsia="宋体" w:cs="Times New Roman"/>
          <w:sz w:val="24"/>
          <w:szCs w:val="24"/>
        </w:rPr>
        <w:t>包装和标识</w:t>
      </w:r>
      <w:bookmarkEnd w:id="37"/>
      <w:bookmarkEnd w:id="38"/>
    </w:p>
    <w:p>
      <w:pPr>
        <w:spacing w:line="360" w:lineRule="auto"/>
        <w:ind w:firstLine="48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对其提供的设备和材料，按要求妥加包装，以防止装运过程中的损坏和雨水及湿气的侵袭，并以合适尺寸的包装及将设备顺利运抵现场。设备的包装需适合长时间室外存放，并能保护所有设备免受长途运输过程中由于不同的运输方式可能遭受的环境影响。对于需要有特殊存放要求的设备，</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提出具体存放要求。</w:t>
      </w:r>
    </w:p>
    <w:p>
      <w:pPr>
        <w:spacing w:line="360" w:lineRule="auto"/>
        <w:ind w:firstLine="48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确保任何木制包装材料的杀虫和防霉处理。对于备件和工具还须以“备件”或“工具”等字样标示。</w:t>
      </w:r>
    </w:p>
    <w:p>
      <w:pPr>
        <w:spacing w:line="360" w:lineRule="auto"/>
        <w:ind w:firstLine="48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在每一包装箱的两面用油漆以醒目的印刷体标明以下信息：</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（1）采购订单号</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（2）装运标志</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（3）发货人</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（4）收货人</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（5）最终用户</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（6）目的港/交运地</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（7）货物的品名</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（8）箱号/包号</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（9）毛重/净重（公斤）</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（10）体积（长×宽×高 单位：厘米）</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任何装有单件重量达到或超过2T的箱子必须标明重量和吊装位置，标记应位于箱子相对的两个面，以便于装货、卸货和处理；并应在箱子醒目位置标明“小心轻放”、“注意方向”、“保持干燥”等字样。</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一个箱子内装有两件不同的货物时，必须清楚地标明主要货物的名称。</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对于裸装设备和材料，应在其标签上标明合同号、发货标记和品名。</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以下文件应附在相应的每箱设备中：</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（1）装箱单</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（2）生产厂家的质量合格证</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（3）技术文件（如设备操作手册和维护手册等）</w:t>
      </w:r>
    </w:p>
    <w:p>
      <w:pPr>
        <w:spacing w:line="360" w:lineRule="auto"/>
        <w:ind w:firstLine="480" w:firstLineChars="200"/>
        <w:rPr>
          <w:rFonts w:ascii="Times New Roman" w:hAnsi="Times New Roman" w:eastAsia="宋体" w:cs="Times New Roman"/>
          <w:sz w:val="24"/>
          <w:szCs w:val="24"/>
        </w:rPr>
      </w:pPr>
      <w:bookmarkStart w:id="39" w:name="_Toc9836"/>
      <w:bookmarkStart w:id="40" w:name="_Toc18370"/>
      <w:r>
        <w:rPr>
          <w:rFonts w:hint="eastAsia" w:ascii="Times New Roman" w:hAnsi="Times New Roman" w:eastAsia="宋体" w:cs="Times New Roman"/>
          <w:sz w:val="24"/>
          <w:szCs w:val="24"/>
        </w:rPr>
        <w:t xml:space="preserve">7.4 </w:t>
      </w:r>
      <w:r>
        <w:rPr>
          <w:rFonts w:ascii="Times New Roman" w:hAnsi="Times New Roman" w:eastAsia="宋体" w:cs="Times New Roman"/>
          <w:sz w:val="24"/>
          <w:szCs w:val="24"/>
        </w:rPr>
        <w:t>物资运输</w:t>
      </w:r>
      <w:bookmarkEnd w:id="39"/>
      <w:bookmarkEnd w:id="40"/>
    </w:p>
    <w:p>
      <w:pPr>
        <w:spacing w:line="360" w:lineRule="auto"/>
        <w:ind w:firstLine="48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执行、协调物资的运输工作以确保及时接收所有设备、材料。</w:t>
      </w:r>
    </w:p>
    <w:p>
      <w:pPr>
        <w:spacing w:line="360" w:lineRule="auto"/>
        <w:ind w:firstLine="480" w:firstLineChars="0"/>
        <w:rPr>
          <w:rFonts w:ascii="Times New Roman" w:hAnsi="Times New Roman" w:eastAsia="宋体" w:cs="Times New Roman"/>
          <w:sz w:val="24"/>
          <w:szCs w:val="24"/>
        </w:rPr>
      </w:pPr>
      <w:r>
        <w:rPr>
          <w:rFonts w:ascii="Times New Roman" w:hAnsi="Times New Roman" w:eastAsia="宋体" w:cs="Times New Roman"/>
          <w:sz w:val="24"/>
          <w:szCs w:val="24"/>
        </w:rPr>
        <w:t>对于超限物资的运输、</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制定详细的运输方案，报卖方备案。</w:t>
      </w:r>
    </w:p>
    <w:p>
      <w:pPr>
        <w:keepNext/>
        <w:keepLines/>
        <w:widowControl w:val="0"/>
        <w:numPr>
          <w:ilvl w:val="0"/>
          <w:numId w:val="0"/>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r>
        <w:rPr>
          <w:rFonts w:hint="eastAsia" w:ascii="Times New Roman" w:hAnsi="Times New Roman" w:eastAsia="微软雅黑" w:cs="Times New Roman"/>
          <w:b/>
          <w:bCs/>
          <w:kern w:val="44"/>
          <w:sz w:val="28"/>
          <w:szCs w:val="44"/>
          <w:lang w:val="en-US" w:eastAsia="zh-CN" w:bidi="ar-SA"/>
        </w:rPr>
        <w:t>八、技术文件</w:t>
      </w:r>
      <w:bookmarkEnd w:id="34"/>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 xml:space="preserve">8.1 </w:t>
      </w:r>
      <w:r>
        <w:rPr>
          <w:rFonts w:ascii="Times New Roman" w:hAnsi="Times New Roman" w:eastAsia="宋体" w:cs="Times New Roman"/>
          <w:b/>
          <w:bCs/>
          <w:kern w:val="2"/>
          <w:sz w:val="28"/>
          <w:szCs w:val="32"/>
          <w:lang w:val="en-US" w:eastAsia="zh-CN" w:bidi="ar-SA"/>
        </w:rPr>
        <w:t>制造合规性文件</w:t>
      </w:r>
      <w:r>
        <w:rPr>
          <w:rFonts w:hint="eastAsia" w:ascii="Times New Roman" w:hAnsi="Times New Roman" w:eastAsia="宋体" w:cs="Times New Roman"/>
          <w:b/>
          <w:bCs/>
          <w:kern w:val="2"/>
          <w:sz w:val="28"/>
          <w:szCs w:val="32"/>
          <w:lang w:val="en-US" w:eastAsia="zh-CN" w:bidi="ar-SA"/>
        </w:rPr>
        <w:t>（随货提供）</w:t>
      </w:r>
    </w:p>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（1）</w:t>
      </w:r>
      <w:r>
        <w:rPr>
          <w:rFonts w:ascii="Times New Roman" w:hAnsi="Times New Roman" w:eastAsia="宋体" w:cs="Times New Roman"/>
          <w:sz w:val="24"/>
          <w:szCs w:val="24"/>
        </w:rPr>
        <w:t>材料质量证明文件（质保书</w:t>
      </w:r>
      <w:r>
        <w:rPr>
          <w:rFonts w:hint="eastAsia" w:ascii="Times New Roman" w:hAnsi="Times New Roman" w:eastAsia="宋体" w:cs="Times New Roman"/>
          <w:sz w:val="24"/>
          <w:szCs w:val="24"/>
        </w:rPr>
        <w:t>或</w:t>
      </w:r>
      <w:r>
        <w:rPr>
          <w:rFonts w:ascii="Times New Roman" w:hAnsi="Times New Roman" w:eastAsia="宋体" w:cs="Times New Roman"/>
          <w:sz w:val="24"/>
          <w:szCs w:val="24"/>
        </w:rPr>
        <w:t>材质单）：‌</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‌所有承压元件</w:t>
      </w:r>
      <w:r>
        <w:rPr>
          <w:rFonts w:hint="eastAsia" w:ascii="Times New Roman" w:hAnsi="Times New Roman" w:eastAsia="宋体" w:cs="Times New Roman"/>
          <w:kern w:val="2"/>
          <w:sz w:val="24"/>
          <w:szCs w:val="24"/>
          <w:lang w:val="en-US" w:eastAsia="zh-CN" w:bidi="ar-SA"/>
        </w:rPr>
        <w:t>至少包含</w:t>
      </w:r>
      <w:r>
        <w:rPr>
          <w:rFonts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kern w:val="2"/>
          <w:sz w:val="24"/>
          <w:szCs w:val="24"/>
          <w:lang w:val="en-US" w:eastAsia="zh-CN" w:bidi="ar-SA"/>
        </w:rPr>
        <w:t>管道</w:t>
      </w:r>
      <w:r>
        <w:rPr>
          <w:rFonts w:ascii="Times New Roman" w:hAnsi="Times New Roman" w:eastAsia="宋体" w:cs="Times New Roman"/>
          <w:kern w:val="2"/>
          <w:sz w:val="24"/>
          <w:szCs w:val="24"/>
          <w:lang w:val="en-US" w:eastAsia="zh-CN" w:bidi="ar-SA"/>
        </w:rPr>
        <w:t>、法兰、锻件等的材料质量证明书原件或盖有制造商检验章的有效复印件。</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‌内容要求</w:t>
      </w:r>
      <w:r>
        <w:rPr>
          <w:rFonts w:hint="eastAsia" w:ascii="Times New Roman" w:hAnsi="Times New Roman" w:eastAsia="宋体" w:cs="Times New Roman"/>
          <w:kern w:val="2"/>
          <w:sz w:val="24"/>
          <w:szCs w:val="24"/>
          <w:lang w:val="en-US" w:eastAsia="zh-CN" w:bidi="ar-SA"/>
        </w:rPr>
        <w:t>至少包含</w:t>
      </w:r>
      <w:r>
        <w:rPr>
          <w:rFonts w:ascii="Times New Roman" w:hAnsi="Times New Roman" w:eastAsia="宋体" w:cs="Times New Roman"/>
          <w:kern w:val="2"/>
          <w:sz w:val="24"/>
          <w:szCs w:val="24"/>
          <w:lang w:val="en-US" w:eastAsia="zh-CN" w:bidi="ar-SA"/>
        </w:rPr>
        <w:t>：‌ 必须清晰标明材料牌号、规格、标准号、炉批号、化学成分、力学性能（屈服、抗拉、延伸、冲击等）、热处理状态、供货状态等，并符合设计文件要求。</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‌非承压件</w:t>
      </w:r>
      <w:r>
        <w:rPr>
          <w:rFonts w:hint="eastAsia" w:ascii="Times New Roman" w:hAnsi="Times New Roman" w:eastAsia="宋体" w:cs="Times New Roman"/>
          <w:kern w:val="2"/>
          <w:sz w:val="24"/>
          <w:szCs w:val="24"/>
          <w:lang w:val="en-US" w:eastAsia="zh-CN" w:bidi="ar-SA"/>
        </w:rPr>
        <w:t>至少包含</w:t>
      </w:r>
      <w:r>
        <w:rPr>
          <w:rFonts w:ascii="Times New Roman" w:hAnsi="Times New Roman" w:eastAsia="宋体" w:cs="Times New Roman"/>
          <w:kern w:val="2"/>
          <w:sz w:val="24"/>
          <w:szCs w:val="24"/>
          <w:lang w:val="en-US" w:eastAsia="zh-CN" w:bidi="ar-SA"/>
        </w:rPr>
        <w:t>：‌支座</w:t>
      </w:r>
      <w:r>
        <w:rPr>
          <w:rFonts w:hint="eastAsia" w:ascii="Times New Roman" w:hAnsi="Times New Roman" w:eastAsia="宋体" w:cs="Times New Roman"/>
          <w:kern w:val="2"/>
          <w:sz w:val="24"/>
          <w:szCs w:val="24"/>
          <w:lang w:val="en-US" w:eastAsia="zh-CN" w:bidi="ar-SA"/>
        </w:rPr>
        <w:t>、爬梯、吊耳等</w:t>
      </w:r>
      <w:r>
        <w:rPr>
          <w:rFonts w:ascii="Times New Roman" w:hAnsi="Times New Roman" w:eastAsia="宋体" w:cs="Times New Roman"/>
          <w:kern w:val="2"/>
          <w:sz w:val="24"/>
          <w:szCs w:val="24"/>
          <w:lang w:val="en-US" w:eastAsia="zh-CN" w:bidi="ar-SA"/>
        </w:rPr>
        <w:t>也应提供材质证明或说明。</w:t>
      </w:r>
    </w:p>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ascii="Times New Roman" w:hAnsi="Times New Roman" w:eastAsia="宋体" w:cs="Times New Roman"/>
          <w:sz w:val="24"/>
          <w:szCs w:val="24"/>
        </w:rPr>
        <w:t>焊接相关文件：‌</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 xml:space="preserve">‌焊接工艺评定报告 (PQR) 及合格的焊接工艺规程 (WPS)：‌ 覆盖容器制造中使用的所有焊接工艺。 </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‌焊接记录：‌实际施焊的焊工代号分配、焊缝位置、所用焊材批号、预热/后热温度记录等。</w:t>
      </w:r>
    </w:p>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（3）</w:t>
      </w:r>
      <w:r>
        <w:rPr>
          <w:rFonts w:ascii="Times New Roman" w:hAnsi="Times New Roman" w:eastAsia="宋体" w:cs="Times New Roman"/>
          <w:sz w:val="24"/>
          <w:szCs w:val="24"/>
        </w:rPr>
        <w:t>无损检测报告 (NDT Reports)：‌</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‌射线检测 (RT)：‌ 射线底片（或数字图像）及评定报告。</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‌超声检测 (UT)：‌ 检测报告及记录图（包括对接焊缝、堆焊层、板材、锻件等）。</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‌磁粉检测 (MT) / 渗透检测 (PT)：‌ 检测报告（用于表面缺陷检测）。</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‌检测范围、比例、标准、验收级别应符合图纸和规范要求。‌</w:t>
      </w:r>
    </w:p>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热处理报告：‌</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焊后热处理 (PWHT) 温度-时间记录曲线、升温/降温速率、保温时间等。</w:t>
      </w:r>
    </w:p>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（5）</w:t>
      </w:r>
      <w:r>
        <w:rPr>
          <w:rFonts w:ascii="Times New Roman" w:hAnsi="Times New Roman" w:eastAsia="宋体" w:cs="Times New Roman"/>
          <w:sz w:val="24"/>
          <w:szCs w:val="24"/>
        </w:rPr>
        <w:t>压力试验报告：‌</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水</w:t>
      </w:r>
      <w:r>
        <w:rPr>
          <w:rFonts w:ascii="Times New Roman" w:hAnsi="Times New Roman" w:eastAsia="宋体" w:cs="Times New Roman"/>
          <w:kern w:val="2"/>
          <w:sz w:val="24"/>
          <w:szCs w:val="24"/>
          <w:lang w:val="en-US" w:eastAsia="zh-CN" w:bidi="ar-SA"/>
        </w:rPr>
        <w:t>压试验报告：‌详细记录试验压力、保压时间、试验介质温度、环境温度、试验结果（有无泄漏、有无可见变形）。附现场试验照片</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 xml:space="preserve">试验压力应符合规范要求。 </w:t>
      </w:r>
    </w:p>
    <w:p>
      <w:pPr>
        <w:widowControl w:val="0"/>
        <w:numPr>
          <w:ilvl w:val="0"/>
          <w:numId w:val="5"/>
        </w:numPr>
        <w:tabs>
          <w:tab w:val="left" w:pos="720"/>
          <w:tab w:val="left" w:pos="1440"/>
        </w:tabs>
        <w:spacing w:line="360" w:lineRule="auto"/>
        <w:ind w:left="920" w:hanging="440" w:firstLineChars="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‌气密性试验报告：‌记录试验压力（设计压力）、方法（肥皂水检漏）、结果。</w:t>
      </w:r>
    </w:p>
    <w:p>
      <w:pPr>
        <w:keepNext/>
        <w:keepLines/>
        <w:widowControl w:val="0"/>
        <w:numPr>
          <w:ilvl w:val="0"/>
          <w:numId w:val="0"/>
        </w:numPr>
        <w:tabs>
          <w:tab w:val="left" w:pos="0"/>
        </w:tabs>
        <w:spacing w:line="360" w:lineRule="auto"/>
        <w:ind w:firstLine="0" w:firstLineChars="0"/>
        <w:jc w:val="left"/>
        <w:outlineLvl w:val="1"/>
        <w:rPr>
          <w:rFonts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 xml:space="preserve">8.2 </w:t>
      </w:r>
      <w:r>
        <w:rPr>
          <w:rFonts w:ascii="Times New Roman" w:hAnsi="Times New Roman" w:eastAsia="宋体" w:cs="Times New Roman"/>
          <w:b/>
          <w:bCs/>
          <w:kern w:val="2"/>
          <w:sz w:val="28"/>
          <w:szCs w:val="32"/>
          <w:lang w:val="en-US" w:eastAsia="zh-CN" w:bidi="ar-SA"/>
        </w:rPr>
        <w:t>产品出厂文件（交付</w:t>
      </w:r>
      <w:r>
        <w:rPr>
          <w:rFonts w:hint="eastAsia" w:ascii="Times New Roman" w:hAnsi="Times New Roman" w:eastAsia="宋体" w:cs="Times New Roman"/>
          <w:b/>
          <w:bCs/>
          <w:kern w:val="2"/>
          <w:sz w:val="28"/>
          <w:szCs w:val="32"/>
          <w:lang w:val="en-US" w:eastAsia="zh-CN" w:bidi="ar-SA"/>
        </w:rPr>
        <w:t>时提供</w:t>
      </w:r>
      <w:r>
        <w:rPr>
          <w:rFonts w:ascii="Times New Roman" w:hAnsi="Times New Roman" w:eastAsia="宋体" w:cs="Times New Roman"/>
          <w:b/>
          <w:bCs/>
          <w:kern w:val="2"/>
          <w:sz w:val="28"/>
          <w:szCs w:val="32"/>
          <w:lang w:val="en-US" w:eastAsia="zh-CN" w:bidi="ar-SA"/>
        </w:rPr>
        <w:t>）</w:t>
      </w:r>
    </w:p>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本次撬装设备应提供以下资料，卖方供货部分除外：</w:t>
      </w:r>
    </w:p>
    <w:tbl>
      <w:tblPr>
        <w:tblStyle w:val="15"/>
        <w:tblW w:w="5000" w:type="pct"/>
        <w:tblInd w:w="0" w:type="dxa"/>
        <w:tblLayout w:type="fixed"/>
        <w:tblCellMar>
          <w:top w:w="0" w:type="dxa"/>
          <w:left w:w="108" w:type="dxa"/>
          <w:bottom w:w="0" w:type="dxa"/>
          <w:right w:w="108" w:type="dxa"/>
        </w:tblCellMar>
      </w:tblPr>
      <w:tblGrid>
        <w:gridCol w:w="961"/>
        <w:gridCol w:w="1417"/>
        <w:gridCol w:w="1277"/>
        <w:gridCol w:w="4873"/>
      </w:tblGrid>
      <w:tr>
        <w:tblPrEx>
          <w:tblCellMar>
            <w:top w:w="0" w:type="dxa"/>
            <w:left w:w="108" w:type="dxa"/>
            <w:bottom w:w="0" w:type="dxa"/>
            <w:right w:w="108" w:type="dxa"/>
          </w:tblCellMar>
        </w:tblPrEx>
        <w:trPr>
          <w:trHeight w:val="350" w:hRule="atLeast"/>
        </w:trPr>
        <w:tc>
          <w:tcPr>
            <w:tcW w:w="5000" w:type="pct"/>
            <w:gridSpan w:val="4"/>
            <w:tcBorders>
              <w:top w:val="single" w:color="000000" w:sz="8" w:space="0"/>
              <w:left w:val="single" w:color="000000" w:sz="8" w:space="0"/>
              <w:bottom w:val="single" w:color="000000" w:sz="8" w:space="0"/>
              <w:right w:val="single" w:color="000000" w:sz="8" w:space="0"/>
            </w:tcBorders>
            <w:noWrap/>
            <w:vAlign w:val="bottom"/>
          </w:tcPr>
          <w:p>
            <w:pPr>
              <w:keepNext w:val="0"/>
              <w:keepLines w:val="0"/>
              <w:widowControl/>
              <w:suppressLineNumbers w:val="0"/>
              <w:spacing w:before="0" w:beforeAutospacing="0" w:after="0" w:afterAutospacing="0" w:line="240" w:lineRule="auto"/>
              <w:ind w:left="0" w:right="0" w:firstLine="0" w:firstLineChars="0"/>
              <w:jc w:val="center"/>
              <w:rPr>
                <w:rFonts w:hint="eastAsia" w:ascii="等线" w:hAnsi="等线" w:eastAsia="等线" w:cs="宋体"/>
                <w:b/>
                <w:bCs/>
                <w:color w:val="000000"/>
                <w:kern w:val="0"/>
                <w:sz w:val="21"/>
                <w:szCs w:val="21"/>
              </w:rPr>
            </w:pPr>
            <w:bookmarkStart w:id="41" w:name="RANGE!A1"/>
            <w:r>
              <w:rPr>
                <w:rFonts w:hint="eastAsia" w:ascii="等线" w:hAnsi="等线" w:eastAsia="等线" w:cs="宋体"/>
                <w:b/>
                <w:bCs/>
                <w:color w:val="000000"/>
                <w:kern w:val="0"/>
                <w:sz w:val="21"/>
                <w:szCs w:val="21"/>
              </w:rPr>
              <w:t>成套设备 DP_X_M_PAC</w:t>
            </w:r>
            <w:bookmarkEnd w:id="41"/>
          </w:p>
        </w:tc>
      </w:tr>
      <w:tr>
        <w:tblPrEx>
          <w:tblCellMar>
            <w:top w:w="0" w:type="dxa"/>
            <w:left w:w="108" w:type="dxa"/>
            <w:bottom w:w="0" w:type="dxa"/>
            <w:right w:w="108" w:type="dxa"/>
          </w:tblCellMar>
        </w:tblPrEx>
        <w:trPr>
          <w:trHeight w:val="300" w:hRule="atLeast"/>
        </w:trPr>
        <w:tc>
          <w:tcPr>
            <w:tcW w:w="563" w:type="pct"/>
            <w:tcBorders>
              <w:top w:val="single" w:color="auto" w:sz="8" w:space="0"/>
              <w:left w:val="single" w:color="auto" w:sz="8"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文档分类号</w:t>
            </w:r>
          </w:p>
        </w:tc>
        <w:tc>
          <w:tcPr>
            <w:tcW w:w="831" w:type="pct"/>
            <w:tcBorders>
              <w:top w:val="single" w:color="auto" w:sz="8" w:space="0"/>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文档分类名称</w:t>
            </w:r>
          </w:p>
        </w:tc>
        <w:tc>
          <w:tcPr>
            <w:tcW w:w="749" w:type="pct"/>
            <w:tcBorders>
              <w:top w:val="single" w:color="auto" w:sz="8" w:space="0"/>
              <w:left w:val="nil"/>
              <w:bottom w:val="single" w:color="auto" w:sz="4" w:space="0"/>
              <w:right w:val="nil"/>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文档识别号</w:t>
            </w:r>
          </w:p>
        </w:tc>
        <w:tc>
          <w:tcPr>
            <w:tcW w:w="2857" w:type="pct"/>
            <w:tcBorders>
              <w:top w:val="single" w:color="auto" w:sz="8" w:space="0"/>
              <w:left w:val="single" w:color="auto" w:sz="4" w:space="0"/>
              <w:bottom w:val="single" w:color="auto" w:sz="4" w:space="0"/>
              <w:right w:val="single" w:color="auto" w:sz="8"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文档资料名称</w:t>
            </w:r>
          </w:p>
        </w:tc>
      </w:tr>
      <w:tr>
        <w:tblPrEx>
          <w:tblCellMar>
            <w:top w:w="0" w:type="dxa"/>
            <w:left w:w="108" w:type="dxa"/>
            <w:bottom w:w="0" w:type="dxa"/>
            <w:right w:w="108" w:type="dxa"/>
          </w:tblCellMar>
        </w:tblPrEx>
        <w:trPr>
          <w:trHeight w:val="300" w:hRule="atLeast"/>
        </w:trPr>
        <w:tc>
          <w:tcPr>
            <w:tcW w:w="563" w:type="pct"/>
            <w:vMerge w:val="restart"/>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01</w:t>
            </w:r>
          </w:p>
        </w:tc>
        <w:tc>
          <w:tcPr>
            <w:tcW w:w="831" w:type="pct"/>
            <w:vMerge w:val="restar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产品质量证明资料</w:t>
            </w: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AA</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产品合格证</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AB</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材料质量证明书</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AD</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性能试验报告</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AG</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力学性能试验报告</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AI</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扭振分析报告(如有)</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AK</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无损检测报告</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AL</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数据表/规格书</w:t>
            </w:r>
          </w:p>
        </w:tc>
      </w:tr>
      <w:tr>
        <w:tblPrEx>
          <w:tblCellMar>
            <w:top w:w="0" w:type="dxa"/>
            <w:left w:w="108" w:type="dxa"/>
            <w:bottom w:w="0" w:type="dxa"/>
            <w:right w:w="108" w:type="dxa"/>
          </w:tblCellMar>
        </w:tblPrEx>
        <w:trPr>
          <w:trHeight w:val="145" w:hRule="atLeast"/>
        </w:trPr>
        <w:tc>
          <w:tcPr>
            <w:tcW w:w="563" w:type="pct"/>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02</w:t>
            </w:r>
          </w:p>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p>
            <w:pPr>
              <w:keepNext w:val="0"/>
              <w:keepLines w:val="0"/>
              <w:suppressLineNumbers w:val="0"/>
              <w:spacing w:before="0" w:beforeAutospacing="0" w:after="0" w:afterAutospacing="0" w:line="240" w:lineRule="auto"/>
              <w:ind w:left="0" w:right="0" w:firstLine="420" w:firstLineChars="20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c>
          <w:tcPr>
            <w:tcW w:w="831" w:type="pct"/>
            <w:tcBorders>
              <w:top w:val="nil"/>
              <w:left w:val="nil"/>
              <w:bottom w:val="single" w:color="auto" w:sz="4" w:space="0"/>
              <w:right w:val="single" w:color="auto" w:sz="4" w:space="0"/>
            </w:tcBorders>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产品图纸操作手册</w:t>
            </w:r>
          </w:p>
        </w:tc>
        <w:tc>
          <w:tcPr>
            <w:tcW w:w="749"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240" w:lineRule="auto"/>
              <w:ind w:left="0" w:right="0"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BF</w:t>
            </w:r>
          </w:p>
        </w:tc>
        <w:tc>
          <w:tcPr>
            <w:tcW w:w="2857" w:type="pct"/>
            <w:tcBorders>
              <w:top w:val="nil"/>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设备安装检查记录表</w:t>
            </w:r>
          </w:p>
        </w:tc>
      </w:tr>
      <w:tr>
        <w:tblPrEx>
          <w:tblCellMar>
            <w:top w:w="0" w:type="dxa"/>
            <w:left w:w="108" w:type="dxa"/>
            <w:bottom w:w="0" w:type="dxa"/>
            <w:right w:w="108" w:type="dxa"/>
          </w:tblCellMar>
        </w:tblPrEx>
        <w:trPr>
          <w:trHeight w:val="300" w:hRule="atLeast"/>
        </w:trPr>
        <w:tc>
          <w:tcPr>
            <w:tcW w:w="563" w:type="pct"/>
            <w:vMerge w:val="restart"/>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04</w:t>
            </w:r>
          </w:p>
        </w:tc>
        <w:tc>
          <w:tcPr>
            <w:tcW w:w="831" w:type="pct"/>
            <w:vMerge w:val="restart"/>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其他</w:t>
            </w: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DA</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开箱检验记录</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DB</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开工会纪要</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DC</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设备装箱清单</w:t>
            </w:r>
          </w:p>
        </w:tc>
      </w:tr>
      <w:tr>
        <w:tblPrEx>
          <w:tblCellMar>
            <w:top w:w="0" w:type="dxa"/>
            <w:left w:w="108" w:type="dxa"/>
            <w:bottom w:w="0" w:type="dxa"/>
            <w:right w:w="108" w:type="dxa"/>
          </w:tblCellMar>
        </w:tblPrEx>
        <w:trPr>
          <w:trHeight w:val="300" w:hRule="atLeast"/>
        </w:trPr>
        <w:tc>
          <w:tcPr>
            <w:tcW w:w="563" w:type="pct"/>
            <w:vMerge w:val="continue"/>
            <w:tcBorders>
              <w:top w:val="nil"/>
              <w:left w:val="single" w:color="auto" w:sz="8"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831"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000000"/>
                <w:kern w:val="0"/>
                <w:sz w:val="21"/>
                <w:szCs w:val="21"/>
              </w:rPr>
            </w:pPr>
          </w:p>
        </w:tc>
        <w:tc>
          <w:tcPr>
            <w:tcW w:w="749"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DH</w:t>
            </w:r>
          </w:p>
        </w:tc>
        <w:tc>
          <w:tcPr>
            <w:tcW w:w="2857" w:type="pct"/>
            <w:tcBorders>
              <w:top w:val="nil"/>
              <w:left w:val="single" w:color="auto" w:sz="4" w:space="0"/>
              <w:bottom w:val="single" w:color="auto" w:sz="4" w:space="0"/>
              <w:right w:val="single" w:color="auto" w:sz="8"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设备/材料变更、代用单</w:t>
            </w:r>
          </w:p>
        </w:tc>
      </w:tr>
    </w:tbl>
    <w:p>
      <w:pPr>
        <w:tabs>
          <w:tab w:val="left" w:pos="72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其他应交付资料详见《PR-8820-00000-0007_v0  供应商文档交付范围》。</w:t>
      </w:r>
    </w:p>
    <w:p>
      <w:pPr>
        <w:keepNext/>
        <w:keepLines/>
        <w:widowControl w:val="0"/>
        <w:numPr>
          <w:ilvl w:val="0"/>
          <w:numId w:val="0"/>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bookmarkStart w:id="42" w:name="_Toc3574"/>
      <w:r>
        <w:rPr>
          <w:rFonts w:hint="eastAsia" w:ascii="Times New Roman" w:hAnsi="Times New Roman" w:eastAsia="微软雅黑" w:cs="Times New Roman"/>
          <w:b/>
          <w:bCs/>
          <w:kern w:val="44"/>
          <w:sz w:val="28"/>
          <w:szCs w:val="44"/>
          <w:lang w:val="en-US" w:eastAsia="zh-CN" w:bidi="ar-SA"/>
        </w:rPr>
        <w:t>九、</w:t>
      </w:r>
      <w:r>
        <w:rPr>
          <w:rFonts w:ascii="Times New Roman" w:hAnsi="Times New Roman" w:eastAsia="微软雅黑" w:cs="Times New Roman"/>
          <w:b/>
          <w:bCs/>
          <w:kern w:val="44"/>
          <w:sz w:val="28"/>
          <w:szCs w:val="44"/>
          <w:lang w:val="en-US" w:eastAsia="zh-CN" w:bidi="ar-SA"/>
        </w:rPr>
        <w:t>技术</w:t>
      </w:r>
      <w:r>
        <w:rPr>
          <w:rFonts w:hint="eastAsia" w:ascii="Times New Roman" w:hAnsi="Times New Roman" w:eastAsia="微软雅黑" w:cs="Times New Roman"/>
          <w:b/>
          <w:bCs/>
          <w:kern w:val="44"/>
          <w:sz w:val="28"/>
          <w:szCs w:val="44"/>
          <w:lang w:val="en-US" w:eastAsia="zh-CN" w:bidi="ar-SA"/>
        </w:rPr>
        <w:t>支持</w:t>
      </w:r>
      <w:r>
        <w:rPr>
          <w:rFonts w:ascii="Times New Roman" w:hAnsi="Times New Roman" w:eastAsia="微软雅黑" w:cs="Times New Roman"/>
          <w:b/>
          <w:bCs/>
          <w:kern w:val="44"/>
          <w:sz w:val="28"/>
          <w:szCs w:val="44"/>
          <w:lang w:val="en-US" w:eastAsia="zh-CN" w:bidi="ar-SA"/>
        </w:rPr>
        <w:t>与</w:t>
      </w:r>
      <w:r>
        <w:rPr>
          <w:rFonts w:hint="eastAsia" w:ascii="Times New Roman" w:hAnsi="Times New Roman" w:eastAsia="微软雅黑" w:cs="Times New Roman"/>
          <w:b/>
          <w:bCs/>
          <w:kern w:val="44"/>
          <w:sz w:val="28"/>
          <w:szCs w:val="44"/>
          <w:lang w:val="en-US" w:eastAsia="zh-CN" w:bidi="ar-SA"/>
        </w:rPr>
        <w:t>服务</w:t>
      </w:r>
      <w:bookmarkEnd w:id="42"/>
    </w:p>
    <w:p>
      <w:pPr>
        <w:tabs>
          <w:tab w:val="left" w:pos="720"/>
        </w:tabs>
        <w:spacing w:line="360" w:lineRule="auto"/>
        <w:ind w:firstLine="480" w:firstLineChars="200"/>
        <w:rPr>
          <w:rFonts w:ascii="Times New Roman" w:hAnsi="Times New Roman" w:eastAsia="宋体" w:cs="Times New Roman"/>
          <w:sz w:val="24"/>
          <w:szCs w:val="24"/>
        </w:rPr>
      </w:pPr>
      <w:bookmarkStart w:id="43" w:name="_Toc7296"/>
      <w:bookmarkStart w:id="44" w:name="_Toc364349517"/>
      <w:r>
        <w:rPr>
          <w:rFonts w:hint="eastAsia" w:ascii="Times New Roman" w:hAnsi="Times New Roman" w:eastAsia="宋体" w:cs="Times New Roman"/>
          <w:sz w:val="24"/>
          <w:szCs w:val="24"/>
        </w:rPr>
        <w:t>（1）卖方</w:t>
      </w:r>
      <w:r>
        <w:rPr>
          <w:rFonts w:ascii="Times New Roman" w:hAnsi="Times New Roman" w:eastAsia="宋体" w:cs="Times New Roman"/>
          <w:sz w:val="24"/>
          <w:szCs w:val="24"/>
        </w:rPr>
        <w:t>应有一套完整的质量保证体系以确保产品质量和服务工作符合本技术说明书规定的要求。</w:t>
      </w:r>
    </w:p>
    <w:p>
      <w:pPr>
        <w:tabs>
          <w:tab w:val="left" w:pos="72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（2）卖方</w:t>
      </w:r>
      <w:r>
        <w:rPr>
          <w:rFonts w:ascii="Times New Roman" w:hAnsi="Times New Roman" w:eastAsia="宋体" w:cs="Times New Roman"/>
          <w:sz w:val="24"/>
          <w:szCs w:val="24"/>
        </w:rPr>
        <w:t>现场服务人员的任务主要包括货物的开箱检验、设备质量问题的处理、指导安装和调试、参加试运</w:t>
      </w:r>
      <w:r>
        <w:rPr>
          <w:rFonts w:hint="eastAsia" w:ascii="Times New Roman" w:hAnsi="Times New Roman" w:eastAsia="宋体" w:cs="Times New Roman"/>
          <w:sz w:val="24"/>
          <w:szCs w:val="24"/>
        </w:rPr>
        <w:t>行</w:t>
      </w:r>
      <w:r>
        <w:rPr>
          <w:rFonts w:ascii="Times New Roman" w:hAnsi="Times New Roman" w:eastAsia="宋体" w:cs="Times New Roman"/>
          <w:sz w:val="24"/>
          <w:szCs w:val="24"/>
        </w:rPr>
        <w:t>和性能验收试验；在安装和调试前，</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技术服务人员应向</w:t>
      </w:r>
      <w:r>
        <w:rPr>
          <w:rFonts w:hint="eastAsia" w:ascii="Times New Roman" w:hAnsi="Times New Roman" w:eastAsia="宋体" w:cs="Times New Roman"/>
          <w:sz w:val="24"/>
          <w:szCs w:val="24"/>
        </w:rPr>
        <w:t>买方</w:t>
      </w:r>
      <w:r>
        <w:rPr>
          <w:rFonts w:ascii="Times New Roman" w:hAnsi="Times New Roman" w:eastAsia="宋体" w:cs="Times New Roman"/>
          <w:sz w:val="24"/>
          <w:szCs w:val="24"/>
        </w:rPr>
        <w:t>进行技术交底。</w:t>
      </w:r>
    </w:p>
    <w:p>
      <w:pPr>
        <w:tabs>
          <w:tab w:val="left" w:pos="72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设备在安装调试、现场测试、试运行、终验后的保修期内，因</w:t>
      </w:r>
      <w:r>
        <w:rPr>
          <w:rFonts w:hint="eastAsia" w:ascii="Times New Roman" w:hAnsi="Times New Roman" w:eastAsia="宋体" w:cs="Times New Roman"/>
          <w:sz w:val="24"/>
          <w:szCs w:val="24"/>
        </w:rPr>
        <w:t>机架</w:t>
      </w:r>
      <w:r>
        <w:rPr>
          <w:rFonts w:ascii="Times New Roman" w:hAnsi="Times New Roman" w:eastAsia="宋体" w:cs="Times New Roman"/>
          <w:sz w:val="24"/>
          <w:szCs w:val="24"/>
        </w:rPr>
        <w:t>质量等问题,而影响系统正常运行或出现用户无法自行处理的问题，</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必须提供及时的技术支持。必须在8小时内答复，需要现场处理的问题必须在24小时内赶到现场，并在48小时内排除故障。</w:t>
      </w:r>
    </w:p>
    <w:p>
      <w:pPr>
        <w:tabs>
          <w:tab w:val="left" w:pos="72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如现场发生质量问题，</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要在</w:t>
      </w:r>
      <w:r>
        <w:rPr>
          <w:rFonts w:hint="eastAsia" w:ascii="Times New Roman" w:hAnsi="Times New Roman" w:eastAsia="宋体" w:cs="Times New Roman"/>
          <w:sz w:val="24"/>
          <w:szCs w:val="24"/>
        </w:rPr>
        <w:t>买方</w:t>
      </w:r>
      <w:r>
        <w:rPr>
          <w:rFonts w:ascii="Times New Roman" w:hAnsi="Times New Roman" w:eastAsia="宋体" w:cs="Times New Roman"/>
          <w:sz w:val="24"/>
          <w:szCs w:val="24"/>
        </w:rPr>
        <w:t>规定的时间内处理解决。属</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的质量问题由</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免费无偿更换，并提供质保。</w:t>
      </w:r>
    </w:p>
    <w:p>
      <w:pPr>
        <w:tabs>
          <w:tab w:val="left" w:pos="72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w:t>
      </w:r>
      <w:r>
        <w:rPr>
          <w:rFonts w:ascii="Times New Roman" w:hAnsi="Times New Roman" w:eastAsia="宋体" w:cs="Times New Roman"/>
          <w:sz w:val="24"/>
          <w:szCs w:val="24"/>
        </w:rPr>
        <w:t>在质保期内，</w:t>
      </w:r>
      <w:r>
        <w:rPr>
          <w:rFonts w:hint="eastAsia" w:ascii="Times New Roman" w:hAnsi="Times New Roman" w:eastAsia="宋体" w:cs="Times New Roman"/>
          <w:sz w:val="24"/>
          <w:szCs w:val="24"/>
        </w:rPr>
        <w:t>卖方</w:t>
      </w:r>
      <w:r>
        <w:rPr>
          <w:rFonts w:ascii="Times New Roman" w:hAnsi="Times New Roman" w:eastAsia="宋体" w:cs="Times New Roman"/>
          <w:sz w:val="24"/>
          <w:szCs w:val="24"/>
        </w:rPr>
        <w:t>应负责修理和替换不合格的部件并承担发生的所有费用。</w:t>
      </w:r>
    </w:p>
    <w:p>
      <w:pPr>
        <w:keepNext/>
        <w:keepLines/>
        <w:widowControl w:val="0"/>
        <w:numPr>
          <w:ilvl w:val="0"/>
          <w:numId w:val="0"/>
        </w:numPr>
        <w:tabs>
          <w:tab w:val="left" w:pos="0"/>
        </w:tabs>
        <w:spacing w:line="360" w:lineRule="auto"/>
        <w:ind w:left="0" w:firstLine="0" w:firstLineChars="0"/>
        <w:jc w:val="left"/>
        <w:outlineLvl w:val="0"/>
        <w:rPr>
          <w:rFonts w:ascii="Times New Roman" w:hAnsi="Times New Roman" w:eastAsia="微软雅黑" w:cs="Times New Roman"/>
          <w:b/>
          <w:bCs/>
          <w:kern w:val="44"/>
          <w:sz w:val="28"/>
          <w:szCs w:val="44"/>
          <w:lang w:val="en-US" w:eastAsia="zh-CN" w:bidi="ar-SA"/>
        </w:rPr>
      </w:pPr>
      <w:r>
        <w:rPr>
          <w:rFonts w:hint="eastAsia" w:ascii="Times New Roman" w:hAnsi="Times New Roman" w:eastAsia="微软雅黑" w:cs="Times New Roman"/>
          <w:b/>
          <w:bCs/>
          <w:kern w:val="44"/>
          <w:sz w:val="28"/>
          <w:szCs w:val="44"/>
          <w:lang w:val="en-US" w:eastAsia="zh-CN" w:bidi="ar-SA"/>
        </w:rPr>
        <w:t>十、质量保证</w:t>
      </w:r>
      <w:bookmarkEnd w:id="43"/>
    </w:p>
    <w:bookmarkEnd w:id="44"/>
    <w:p>
      <w:pPr>
        <w:tabs>
          <w:tab w:val="left" w:pos="720"/>
        </w:tabs>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（1）质保期：货到现场18个月或</w:t>
      </w:r>
      <w:r>
        <w:rPr>
          <w:rFonts w:ascii="Times New Roman" w:hAnsi="Times New Roman" w:eastAsia="宋体" w:cs="Times New Roman"/>
          <w:sz w:val="24"/>
          <w:szCs w:val="24"/>
        </w:rPr>
        <w:t>产品验收合格</w:t>
      </w:r>
      <w:r>
        <w:rPr>
          <w:rFonts w:hint="eastAsia" w:ascii="Times New Roman" w:hAnsi="Times New Roman" w:eastAsia="宋体" w:cs="Times New Roman"/>
          <w:sz w:val="24"/>
          <w:szCs w:val="24"/>
        </w:rPr>
        <w:t>后</w:t>
      </w:r>
      <w:r>
        <w:rPr>
          <w:rFonts w:ascii="Times New Roman" w:hAnsi="Times New Roman" w:eastAsia="宋体" w:cs="Times New Roman"/>
          <w:sz w:val="24"/>
          <w:szCs w:val="24"/>
        </w:rPr>
        <w:t>12个月</w:t>
      </w:r>
      <w:r>
        <w:rPr>
          <w:rFonts w:hint="eastAsia" w:ascii="Times New Roman" w:hAnsi="Times New Roman" w:eastAsia="宋体" w:cs="Times New Roman"/>
          <w:sz w:val="24"/>
          <w:szCs w:val="24"/>
        </w:rPr>
        <w:t>，以先到为准。</w:t>
      </w:r>
    </w:p>
    <w:p>
      <w:pPr>
        <w:widowControl w:val="0"/>
        <w:spacing w:after="0" w:line="360" w:lineRule="auto"/>
        <w:ind w:firstLine="480" w:firstLineChars="20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（2）技术响应：在质保期内发生产品质量问题，卖方技术人员必须8小时给予答复，24小时内到达现场解决问题。</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（3）验收前所有形式的损坏均为卖方责任，所有损失由卖方承担，买方不做验收入库，直至卖方处理好为止。</w:t>
      </w: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360" w:firstLineChars="20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0" w:firstLineChars="0"/>
        <w:jc w:val="both"/>
        <w:rPr>
          <w:rFonts w:ascii="Times New Roman" w:hAnsi="Times New Roman" w:eastAsia="宋体" w:cs="Times New Roman"/>
          <w:kern w:val="2"/>
          <w:sz w:val="18"/>
          <w:szCs w:val="18"/>
          <w:lang w:val="en-US" w:eastAsia="zh-CN" w:bidi="ar-SA"/>
        </w:rPr>
      </w:pPr>
    </w:p>
    <w:p>
      <w:pPr>
        <w:widowControl w:val="0"/>
        <w:tabs>
          <w:tab w:val="center" w:pos="4153"/>
          <w:tab w:val="right" w:pos="8306"/>
        </w:tabs>
        <w:snapToGrid w:val="0"/>
        <w:spacing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附件一：《工艺PID流程图》</w:t>
      </w:r>
    </w:p>
    <w:p>
      <w:pPr>
        <w:widowControl w:val="0"/>
        <w:tabs>
          <w:tab w:val="center" w:pos="4153"/>
          <w:tab w:val="right" w:pos="8306"/>
        </w:tabs>
        <w:snapToGrid w:val="0"/>
        <w:spacing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附件二：《三维加工图》</w:t>
      </w:r>
    </w:p>
    <w:p>
      <w:pPr>
        <w:widowControl w:val="0"/>
        <w:tabs>
          <w:tab w:val="center" w:pos="4153"/>
          <w:tab w:val="right" w:pos="8306"/>
        </w:tabs>
        <w:snapToGrid w:val="0"/>
        <w:spacing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附件三：《材料清单》</w:t>
      </w:r>
    </w:p>
    <w:p>
      <w:pPr>
        <w:widowControl w:val="0"/>
        <w:tabs>
          <w:tab w:val="center" w:pos="4153"/>
          <w:tab w:val="right" w:pos="8306"/>
        </w:tabs>
        <w:snapToGrid w:val="0"/>
        <w:spacing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附件四：《设备、管道、钢结构表面色和标志统一规定》</w:t>
      </w:r>
    </w:p>
    <w:p>
      <w:pPr>
        <w:widowControl w:val="0"/>
        <w:tabs>
          <w:tab w:val="center" w:pos="4153"/>
          <w:tab w:val="right" w:pos="8306"/>
        </w:tabs>
        <w:snapToGrid w:val="0"/>
        <w:spacing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附件五：《设备和管道涂漆设计规定》</w:t>
      </w:r>
    </w:p>
    <w:p>
      <w:pPr>
        <w:widowControl w:val="0"/>
        <w:tabs>
          <w:tab w:val="center" w:pos="4153"/>
          <w:tab w:val="right" w:pos="8306"/>
        </w:tabs>
        <w:snapToGrid w:val="0"/>
        <w:spacing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附件六：《设备采办数字化交付技术要求》</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
      <w:pPr>
        <w:keepNext w:val="0"/>
        <w:keepLines w:val="0"/>
        <w:pageBreakBefore w:val="0"/>
        <w:widowControl/>
        <w:kinsoku/>
        <w:wordWrap/>
        <w:overflowPunct/>
        <w:topLinePunct w:val="0"/>
        <w:autoSpaceDE/>
        <w:autoSpaceDN/>
        <w:bidi w:val="0"/>
        <w:adjustRightInd/>
        <w:snapToGrid/>
        <w:textAlignment w:val="auto"/>
        <w:outlineLvl w:val="9"/>
        <w:rPr>
          <w:rFonts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3： </w:t>
      </w:r>
      <w:r>
        <w:rPr>
          <w:rFonts w:hint="eastAsia" w:ascii="黑体" w:hAnsi="黑体" w:eastAsia="黑体"/>
          <w:b/>
          <w:bCs/>
          <w:color w:val="000000" w:themeColor="text1"/>
          <w:sz w:val="24"/>
          <w:szCs w:val="24"/>
          <w:highlight w:val="none"/>
          <w14:textFill>
            <w14:solidFill>
              <w14:schemeClr w14:val="tx1"/>
            </w14:solidFill>
          </w14:textFill>
        </w:rPr>
        <w:t>合同</w:t>
      </w:r>
      <w:r>
        <w:rPr>
          <w:rFonts w:ascii="黑体" w:hAnsi="黑体" w:eastAsia="黑体"/>
          <w:b/>
          <w:bCs/>
          <w:color w:val="000000" w:themeColor="text1"/>
          <w:sz w:val="24"/>
          <w:szCs w:val="24"/>
          <w:highlight w:val="none"/>
          <w14:textFill>
            <w14:solidFill>
              <w14:schemeClr w14:val="tx1"/>
            </w14:solidFill>
          </w14:textFill>
        </w:rPr>
        <w:t>文本</w:t>
      </w:r>
    </w:p>
    <w:p>
      <w:pPr>
        <w:spacing w:before="72" w:beforeLines="30" w:after="72" w:afterLines="30"/>
        <w:jc w:val="center"/>
        <w:rPr>
          <w:rFonts w:hAnsi="宋体"/>
          <w:b/>
          <w:bCs/>
          <w:color w:val="auto"/>
          <w:sz w:val="36"/>
          <w:szCs w:val="36"/>
          <w:highlight w:val="none"/>
        </w:rPr>
      </w:pPr>
      <w:r>
        <w:rPr>
          <w:rFonts w:hint="eastAsia" w:ascii="Times New Roman" w:hAnsi="宋体" w:eastAsia="宋体" w:cs="Times New Roman"/>
          <w:b/>
          <w:bCs/>
          <w:color w:val="auto"/>
          <w:sz w:val="36"/>
          <w:szCs w:val="36"/>
          <w:highlight w:val="none"/>
          <w:lang w:val="en-US" w:eastAsia="zh-CN"/>
        </w:rPr>
        <w:t>采购合同</w:t>
      </w:r>
    </w:p>
    <w:p>
      <w:pPr>
        <w:spacing w:after="100" w:afterAutospacing="1"/>
        <w:jc w:val="right"/>
        <w:rPr>
          <w:rFonts w:hint="default" w:hAnsi="宋体"/>
          <w:bCs/>
          <w:color w:val="auto"/>
          <w:szCs w:val="21"/>
          <w:highlight w:val="none"/>
          <w:u w:val="single"/>
          <w:lang w:val="en-US"/>
        </w:rPr>
      </w:pPr>
      <w:r>
        <w:rPr>
          <w:rFonts w:hint="eastAsia" w:hAnsi="宋体"/>
          <w:bCs/>
          <w:color w:val="auto"/>
          <w:szCs w:val="21"/>
          <w:highlight w:val="none"/>
        </w:rPr>
        <w:t>合同编号：</w:t>
      </w:r>
    </w:p>
    <w:p>
      <w:pPr>
        <w:pStyle w:val="11"/>
        <w:spacing w:before="72" w:beforeLines="30" w:after="72" w:afterLines="30"/>
        <w:rPr>
          <w:rFonts w:hint="eastAsia" w:ascii="Times New Roman" w:hAnsi="Times New Roman" w:eastAsia="宋体" w:cs="Times New Roman"/>
          <w:color w:val="auto"/>
          <w:sz w:val="24"/>
          <w:highlight w:val="none"/>
        </w:rPr>
      </w:pPr>
      <w:r>
        <w:rPr>
          <w:rFonts w:hint="eastAsia"/>
          <w:color w:val="auto"/>
          <w:sz w:val="24"/>
          <w:highlight w:val="none"/>
        </w:rPr>
        <w:t>本货物买卖合同（</w:t>
      </w:r>
      <w:r>
        <w:rPr>
          <w:rFonts w:hint="eastAsia" w:ascii="Times New Roman" w:hAnsi="Times New Roman" w:eastAsia="宋体" w:cs="Times New Roman"/>
          <w:color w:val="auto"/>
          <w:sz w:val="24"/>
          <w:highlight w:val="none"/>
        </w:rPr>
        <w:t>以下称“合同”或“本合同”）由以下双方于【</w:t>
      </w:r>
      <w:r>
        <w:rPr>
          <w:rFonts w:hint="eastAsia" w:ascii="Times New Roman" w:hAnsi="Times New Roman" w:eastAsia="宋体" w:cs="Times New Roman"/>
          <w:i w:val="0"/>
          <w:color w:val="auto"/>
          <w:sz w:val="24"/>
          <w:highlight w:val="none"/>
          <w:lang w:val="en-US" w:eastAsia="zh-CN"/>
        </w:rPr>
        <w:t>202</w:t>
      </w:r>
      <w:r>
        <w:rPr>
          <w:rFonts w:hint="eastAsia" w:cs="Times New Roman"/>
          <w:i w:val="0"/>
          <w:color w:val="auto"/>
          <w:sz w:val="24"/>
          <w:highlight w:val="none"/>
          <w:lang w:val="en-US" w:eastAsia="zh-CN"/>
        </w:rPr>
        <w:t>5</w:t>
      </w:r>
      <w:r>
        <w:rPr>
          <w:rFonts w:hint="eastAsia" w:ascii="Times New Roman" w:hAnsi="Times New Roman" w:eastAsia="宋体" w:cs="Times New Roman"/>
          <w:i w:val="0"/>
          <w:color w:val="auto"/>
          <w:sz w:val="24"/>
          <w:highlight w:val="none"/>
          <w:lang w:val="en-US" w:eastAsia="zh-CN"/>
        </w:rPr>
        <w:t>年</w:t>
      </w:r>
      <w:r>
        <w:rPr>
          <w:rFonts w:hint="eastAsia" w:cs="Times New Roman"/>
          <w:i w:val="0"/>
          <w:color w:val="auto"/>
          <w:sz w:val="24"/>
          <w:highlight w:val="none"/>
          <w:lang w:val="en-US" w:eastAsia="zh-CN"/>
        </w:rPr>
        <w:t>**</w:t>
      </w:r>
      <w:r>
        <w:rPr>
          <w:rFonts w:hint="eastAsia" w:ascii="Times New Roman" w:hAnsi="Times New Roman" w:eastAsia="宋体" w:cs="Times New Roman"/>
          <w:i w:val="0"/>
          <w:color w:val="auto"/>
          <w:sz w:val="24"/>
          <w:highlight w:val="none"/>
          <w:lang w:val="en-US" w:eastAsia="zh-CN"/>
        </w:rPr>
        <w:t>月</w:t>
      </w:r>
      <w:r>
        <w:rPr>
          <w:rFonts w:hint="eastAsia" w:ascii="Times New Roman" w:hAnsi="Times New Roman" w:eastAsia="宋体" w:cs="Times New Roman"/>
          <w:color w:val="auto"/>
          <w:sz w:val="24"/>
          <w:highlight w:val="none"/>
        </w:rPr>
        <w:t>】在【</w:t>
      </w:r>
      <w:r>
        <w:rPr>
          <w:rFonts w:hint="eastAsia" w:ascii="Times New Roman" w:hAnsi="Times New Roman" w:eastAsia="宋体" w:cs="Times New Roman"/>
          <w:i w:val="0"/>
          <w:color w:val="auto"/>
          <w:sz w:val="24"/>
          <w:highlight w:val="none"/>
          <w:lang w:val="en-US" w:eastAsia="zh-CN"/>
        </w:rPr>
        <w:t>**</w:t>
      </w:r>
      <w:r>
        <w:rPr>
          <w:rFonts w:hint="eastAsia" w:ascii="Times New Roman" w:hAnsi="Times New Roman" w:eastAsia="宋体" w:cs="Times New Roman"/>
          <w:color w:val="auto"/>
          <w:sz w:val="24"/>
          <w:highlight w:val="none"/>
        </w:rPr>
        <w:t>】签署。</w:t>
      </w:r>
    </w:p>
    <w:p>
      <w:pPr>
        <w:tabs>
          <w:tab w:val="left" w:pos="3060"/>
        </w:tabs>
        <w:spacing w:line="360" w:lineRule="auto"/>
        <w:ind w:firstLine="426" w:firstLineChars="177"/>
        <w:rPr>
          <w:rFonts w:hint="default" w:asciiTheme="minorEastAsia" w:hAnsiTheme="minorEastAsia" w:eastAsiaTheme="minorEastAsia"/>
          <w:color w:val="auto"/>
          <w:sz w:val="24"/>
          <w:highlight w:val="none"/>
          <w:lang w:val="en-US"/>
        </w:rPr>
      </w:pPr>
      <w:r>
        <w:rPr>
          <w:rFonts w:hint="eastAsia" w:asciiTheme="minorEastAsia" w:hAnsiTheme="minorEastAsia" w:eastAsiaTheme="minorEastAsia"/>
          <w:b/>
          <w:color w:val="auto"/>
          <w:sz w:val="24"/>
          <w:highlight w:val="none"/>
        </w:rPr>
        <w:t>买</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方：</w:t>
      </w:r>
      <w:r>
        <w:rPr>
          <w:rFonts w:hint="eastAsia" w:ascii="宋体" w:hAnsi="宋体" w:eastAsia="宋体" w:cs="Times New Roman"/>
          <w:b/>
          <w:bCs/>
          <w:color w:val="auto"/>
          <w:sz w:val="24"/>
          <w:highlight w:val="none"/>
          <w:u w:val="single"/>
          <w:lang w:val="en-US" w:eastAsia="zh-CN"/>
        </w:rPr>
        <w:t>***</w:t>
      </w:r>
    </w:p>
    <w:p>
      <w:pPr>
        <w:spacing w:line="360" w:lineRule="auto"/>
        <w:ind w:left="357" w:leftChars="170"/>
        <w:rPr>
          <w:rFonts w:hint="default" w:ascii="宋体" w:hAnsi="宋体" w:eastAsiaTheme="minorEastAsia"/>
          <w:b/>
          <w:color w:val="auto"/>
          <w:sz w:val="24"/>
          <w:highlight w:val="none"/>
          <w:lang w:val="en-US" w:eastAsia="zh-CN"/>
        </w:rPr>
      </w:pPr>
      <w:r>
        <w:rPr>
          <w:rFonts w:hint="eastAsia" w:asciiTheme="minorEastAsia" w:hAnsiTheme="minorEastAsia" w:eastAsiaTheme="minorEastAsia"/>
          <w:color w:val="auto"/>
          <w:sz w:val="24"/>
          <w:highlight w:val="none"/>
        </w:rPr>
        <w:t>地址：</w:t>
      </w:r>
      <w:r>
        <w:rPr>
          <w:rFonts w:hint="eastAsia" w:ascii="宋体" w:hAnsi="宋体" w:eastAsia="宋体"/>
          <w:color w:val="auto"/>
          <w:sz w:val="24"/>
          <w:highlight w:val="none"/>
          <w:lang w:val="en-US" w:eastAsia="zh-CN"/>
        </w:rPr>
        <w:t>***</w:t>
      </w:r>
    </w:p>
    <w:p>
      <w:pPr>
        <w:tabs>
          <w:tab w:val="left" w:pos="3060"/>
        </w:tabs>
        <w:spacing w:line="360" w:lineRule="auto"/>
        <w:ind w:firstLine="426" w:firstLineChars="177"/>
        <w:rPr>
          <w:rFonts w:hint="default" w:ascii="宋体" w:hAnsi="宋体" w:eastAsia="宋体" w:cs="Times New Roman"/>
          <w:b/>
          <w:bCs/>
          <w:color w:val="auto"/>
          <w:sz w:val="24"/>
          <w:highlight w:val="none"/>
          <w:u w:val="single"/>
          <w:lang w:val="en-US" w:eastAsia="zh-CN"/>
        </w:rPr>
      </w:pPr>
      <w:r>
        <w:rPr>
          <w:rFonts w:hint="eastAsia" w:asciiTheme="minorEastAsia" w:hAnsiTheme="minorEastAsia" w:eastAsiaTheme="minorEastAsia"/>
          <w:b/>
          <w:color w:val="auto"/>
          <w:sz w:val="24"/>
          <w:highlight w:val="none"/>
        </w:rPr>
        <w:t>卖</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方：</w:t>
      </w:r>
      <w:r>
        <w:rPr>
          <w:rFonts w:hint="eastAsia" w:ascii="宋体" w:hAnsi="宋体" w:eastAsia="宋体" w:cs="Times New Roman"/>
          <w:b/>
          <w:bCs/>
          <w:color w:val="auto"/>
          <w:sz w:val="24"/>
          <w:highlight w:val="none"/>
          <w:u w:val="single"/>
          <w:lang w:val="en-US" w:eastAsia="zh-CN"/>
        </w:rPr>
        <w:t>****</w:t>
      </w:r>
    </w:p>
    <w:p>
      <w:pPr>
        <w:spacing w:line="360" w:lineRule="auto"/>
        <w:ind w:left="357" w:leftChars="170"/>
        <w:rPr>
          <w:rFonts w:hint="default"/>
          <w:color w:val="auto"/>
          <w:highlight w:val="none"/>
          <w:lang w:val="en-US"/>
        </w:rPr>
      </w:pPr>
      <w:r>
        <w:rPr>
          <w:rFonts w:hint="eastAsia" w:asciiTheme="minorEastAsia" w:hAnsiTheme="minorEastAsia" w:eastAsiaTheme="minorEastAsia"/>
          <w:color w:val="auto"/>
          <w:sz w:val="24"/>
          <w:highlight w:val="none"/>
        </w:rPr>
        <w:t>地址：</w:t>
      </w:r>
      <w:r>
        <w:rPr>
          <w:rFonts w:hint="eastAsia" w:ascii="宋体" w:hAnsi="宋体" w:eastAsia="宋体"/>
          <w:color w:val="auto"/>
          <w:sz w:val="24"/>
          <w:highlight w:val="none"/>
          <w:lang w:val="en-US" w:eastAsia="zh-CN"/>
        </w:rPr>
        <w:t>****</w:t>
      </w:r>
    </w:p>
    <w:p>
      <w:pPr>
        <w:rPr>
          <w:rFonts w:hint="eastAsia" w:asciiTheme="minorEastAsia" w:hAnsiTheme="minorEastAsia" w:eastAsiaTheme="minorEastAsia" w:cstheme="minorEastAsia"/>
          <w:color w:val="auto"/>
          <w:sz w:val="24"/>
          <w:szCs w:val="24"/>
          <w:highlight w:val="none"/>
        </w:rPr>
      </w:pPr>
    </w:p>
    <w:p>
      <w:pPr>
        <w:pStyle w:val="11"/>
        <w:spacing w:before="72" w:beforeLines="30" w:after="72" w:afterLines="30"/>
        <w:rPr>
          <w:color w:val="auto"/>
          <w:sz w:val="24"/>
          <w:highlight w:val="none"/>
        </w:rPr>
      </w:pPr>
      <w:r>
        <w:rPr>
          <w:rFonts w:hint="eastAsia" w:hAnsi="宋体"/>
          <w:color w:val="auto"/>
          <w:sz w:val="24"/>
          <w:highlight w:val="none"/>
        </w:rPr>
        <w:t>根据《中华人民共和国民法典》及相关法律法规的规定，就【</w:t>
      </w:r>
      <w:r>
        <w:rPr>
          <w:rFonts w:hint="eastAsia" w:hAnsi="宋体"/>
          <w:color w:val="auto"/>
          <w:sz w:val="24"/>
          <w:highlight w:val="none"/>
          <w:lang w:val="en-US" w:eastAsia="zh-CN"/>
        </w:rPr>
        <w:t>****</w:t>
      </w:r>
      <w:r>
        <w:rPr>
          <w:rFonts w:hint="eastAsia" w:hAnsi="宋体"/>
          <w:color w:val="auto"/>
          <w:sz w:val="24"/>
          <w:highlight w:val="none"/>
        </w:rPr>
        <w:t>】的采购和销售及</w:t>
      </w:r>
      <w:r>
        <w:rPr>
          <w:rFonts w:hAnsi="宋体"/>
          <w:color w:val="auto"/>
          <w:sz w:val="24"/>
          <w:highlight w:val="none"/>
        </w:rPr>
        <w:t>相关事宜，</w:t>
      </w:r>
      <w:r>
        <w:rPr>
          <w:rFonts w:hint="eastAsia" w:hAnsi="宋体"/>
          <w:color w:val="auto"/>
          <w:sz w:val="24"/>
          <w:highlight w:val="none"/>
        </w:rPr>
        <w:t>经协商一致，双方</w:t>
      </w:r>
      <w:r>
        <w:rPr>
          <w:rFonts w:hAnsi="宋体"/>
          <w:color w:val="auto"/>
          <w:sz w:val="24"/>
          <w:highlight w:val="none"/>
        </w:rPr>
        <w:t>达成如下</w:t>
      </w:r>
      <w:r>
        <w:rPr>
          <w:rFonts w:hint="eastAsia" w:hAnsi="宋体"/>
          <w:color w:val="auto"/>
          <w:sz w:val="24"/>
          <w:highlight w:val="none"/>
        </w:rPr>
        <w:t>合同条款，以兹共同遵守。</w:t>
      </w:r>
    </w:p>
    <w:p>
      <w:pPr>
        <w:pStyle w:val="13"/>
        <w:numPr>
          <w:ilvl w:val="0"/>
          <w:numId w:val="6"/>
        </w:numPr>
        <w:spacing w:before="72" w:beforeLines="30" w:after="72" w:afterLines="30" w:line="360" w:lineRule="auto"/>
        <w:ind w:left="851" w:hanging="851"/>
        <w:jc w:val="left"/>
        <w:rPr>
          <w:color w:val="auto"/>
          <w:sz w:val="24"/>
          <w:highlight w:val="none"/>
        </w:rPr>
      </w:pPr>
      <w:r>
        <w:rPr>
          <w:color w:val="auto"/>
          <w:sz w:val="24"/>
          <w:szCs w:val="24"/>
          <w:highlight w:val="none"/>
        </w:rPr>
        <w:t>合同标的</w:t>
      </w:r>
    </w:p>
    <w:p>
      <w:pPr>
        <w:numPr>
          <w:ilvl w:val="0"/>
          <w:numId w:val="7"/>
        </w:numPr>
        <w:tabs>
          <w:tab w:val="left" w:pos="567"/>
          <w:tab w:val="clear" w:pos="2278"/>
        </w:tabs>
        <w:spacing w:before="72" w:beforeLines="30" w:after="72" w:afterLines="30" w:line="360" w:lineRule="auto"/>
        <w:ind w:left="567" w:hanging="567"/>
        <w:rPr>
          <w:rFonts w:hAnsi="宋体"/>
          <w:color w:val="auto"/>
          <w:sz w:val="24"/>
          <w:highlight w:val="none"/>
        </w:rPr>
      </w:pPr>
      <w:r>
        <w:rPr>
          <w:rFonts w:hint="eastAsia"/>
          <w:color w:val="auto"/>
          <w:sz w:val="24"/>
          <w:highlight w:val="none"/>
        </w:rPr>
        <w:t>卖方向买方供应的货物的名称、数量、型号、规格、单价、原产地等（详见附件一 价格明细表）</w:t>
      </w:r>
    </w:p>
    <w:p>
      <w:pPr>
        <w:numPr>
          <w:ilvl w:val="0"/>
          <w:numId w:val="7"/>
        </w:numPr>
        <w:tabs>
          <w:tab w:val="left" w:pos="567"/>
          <w:tab w:val="clear" w:pos="2278"/>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买方应根据本合同的规定向卖方购买货物，并支付合同总价，卖方应根据本合同的规定向买方出售、交付货物并提供与货物使用和安装相关的技术资料和技术服务。</w:t>
      </w:r>
    </w:p>
    <w:p>
      <w:pPr>
        <w:numPr>
          <w:ilvl w:val="0"/>
          <w:numId w:val="7"/>
        </w:numPr>
        <w:tabs>
          <w:tab w:val="left" w:pos="567"/>
          <w:tab w:val="clear" w:pos="2278"/>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货物</w:t>
      </w:r>
      <w:r>
        <w:rPr>
          <w:rFonts w:hAnsi="宋体"/>
          <w:color w:val="auto"/>
          <w:sz w:val="24"/>
          <w:highlight w:val="none"/>
        </w:rPr>
        <w:t>将用</w:t>
      </w:r>
      <w:r>
        <w:rPr>
          <w:rFonts w:hint="eastAsia" w:ascii="Times New Roman" w:hAnsi="宋体" w:eastAsia="宋体" w:cs="Times New Roman"/>
          <w:color w:val="auto"/>
          <w:sz w:val="24"/>
          <w:highlight w:val="none"/>
        </w:rPr>
        <w:t>于【</w:t>
      </w:r>
      <w:r>
        <w:rPr>
          <w:rFonts w:hint="eastAsia" w:hAnsi="宋体"/>
          <w:color w:val="auto"/>
          <w:sz w:val="24"/>
          <w:highlight w:val="none"/>
          <w:lang w:val="en-US" w:eastAsia="zh-CN"/>
        </w:rPr>
        <w:t>***</w:t>
      </w:r>
      <w:r>
        <w:rPr>
          <w:rFonts w:hint="eastAsia" w:ascii="Times New Roman" w:hAnsi="宋体" w:eastAsia="宋体" w:cs="Times New Roman"/>
          <w:color w:val="auto"/>
          <w:sz w:val="24"/>
          <w:highlight w:val="none"/>
        </w:rPr>
        <w:t>】。</w:t>
      </w:r>
    </w:p>
    <w:p>
      <w:pPr>
        <w:numPr>
          <w:ilvl w:val="0"/>
          <w:numId w:val="7"/>
        </w:numPr>
        <w:shd w:val="clear"/>
        <w:tabs>
          <w:tab w:val="left" w:pos="567"/>
          <w:tab w:val="clear" w:pos="2278"/>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技术要求详见【附件二 技术规格书】</w:t>
      </w:r>
    </w:p>
    <w:p>
      <w:pPr>
        <w:numPr>
          <w:ilvl w:val="0"/>
          <w:numId w:val="7"/>
        </w:numPr>
        <w:shd w:val="clear"/>
        <w:tabs>
          <w:tab w:val="left" w:pos="567"/>
          <w:tab w:val="clear" w:pos="2278"/>
        </w:tabs>
        <w:spacing w:before="72" w:beforeLines="30" w:after="72" w:afterLines="30" w:line="360" w:lineRule="auto"/>
        <w:ind w:left="567" w:hanging="567"/>
        <w:rPr>
          <w:rFonts w:hint="eastAsia" w:ascii="Times New Roman" w:hAnsi="宋体" w:eastAsia="宋体" w:cs="Times New Roman"/>
          <w:color w:val="auto"/>
          <w:sz w:val="24"/>
          <w:highlight w:val="none"/>
        </w:rPr>
      </w:pPr>
      <w:r>
        <w:rPr>
          <w:rFonts w:hint="eastAsia" w:ascii="Times New Roman" w:hAnsi="宋体" w:eastAsia="宋体" w:cs="Times New Roman"/>
          <w:color w:val="auto"/>
          <w:sz w:val="24"/>
          <w:highlight w:val="none"/>
        </w:rPr>
        <w:t>廉洁承诺书详见【附件</w:t>
      </w:r>
      <w:r>
        <w:rPr>
          <w:rFonts w:hint="eastAsia" w:hAnsi="宋体" w:cs="Times New Roman"/>
          <w:color w:val="auto"/>
          <w:sz w:val="24"/>
          <w:highlight w:val="none"/>
          <w:lang w:val="en-US" w:eastAsia="zh-CN"/>
        </w:rPr>
        <w:t>三</w:t>
      </w:r>
      <w:r>
        <w:rPr>
          <w:rFonts w:hint="eastAsia" w:ascii="Times New Roman" w:hAnsi="宋体" w:eastAsia="宋体" w:cs="Times New Roman"/>
          <w:color w:val="auto"/>
          <w:sz w:val="24"/>
          <w:highlight w:val="none"/>
        </w:rPr>
        <w:t>】</w:t>
      </w:r>
    </w:p>
    <w:p>
      <w:pPr>
        <w:pStyle w:val="13"/>
        <w:numPr>
          <w:ilvl w:val="0"/>
          <w:numId w:val="6"/>
        </w:numPr>
        <w:spacing w:before="72" w:beforeLines="30" w:after="72" w:afterLines="30" w:line="360" w:lineRule="auto"/>
        <w:ind w:left="851" w:hanging="851"/>
        <w:jc w:val="left"/>
        <w:rPr>
          <w:color w:val="auto"/>
          <w:sz w:val="24"/>
          <w:szCs w:val="24"/>
          <w:highlight w:val="none"/>
        </w:rPr>
      </w:pPr>
      <w:r>
        <w:rPr>
          <w:color w:val="auto"/>
          <w:sz w:val="24"/>
          <w:szCs w:val="24"/>
          <w:highlight w:val="none"/>
        </w:rPr>
        <w:t>合同</w:t>
      </w:r>
      <w:r>
        <w:rPr>
          <w:rFonts w:hint="eastAsia"/>
          <w:color w:val="auto"/>
          <w:sz w:val="24"/>
          <w:szCs w:val="24"/>
          <w:highlight w:val="none"/>
        </w:rPr>
        <w:t>总价</w:t>
      </w:r>
    </w:p>
    <w:p>
      <w:pPr>
        <w:numPr>
          <w:ilvl w:val="0"/>
          <w:numId w:val="8"/>
        </w:numPr>
        <w:tabs>
          <w:tab w:val="left" w:pos="567"/>
          <w:tab w:val="clear" w:pos="840"/>
        </w:tabs>
        <w:spacing w:before="72" w:beforeLines="30" w:after="72" w:afterLines="30" w:line="360" w:lineRule="auto"/>
        <w:ind w:left="567" w:hanging="567"/>
        <w:rPr>
          <w:color w:val="auto"/>
          <w:sz w:val="24"/>
          <w:highlight w:val="none"/>
        </w:rPr>
      </w:pPr>
      <w:r>
        <w:rPr>
          <w:rFonts w:hint="eastAsia"/>
          <w:color w:val="auto"/>
          <w:sz w:val="24"/>
          <w:highlight w:val="none"/>
        </w:rPr>
        <w:t>双方经协商一致，最终确定合同</w:t>
      </w:r>
      <w:r>
        <w:rPr>
          <w:rFonts w:hint="eastAsia" w:ascii="Times New Roman" w:hAnsi="Times New Roman" w:eastAsia="宋体" w:cs="Times New Roman"/>
          <w:color w:val="auto"/>
          <w:sz w:val="24"/>
          <w:highlight w:val="none"/>
          <w:lang w:val="en-US" w:eastAsia="zh-CN"/>
        </w:rPr>
        <w:t>总价为【RMB****（大写：【人民币****）。合同总价为含税（包括增值税）总金额。其中，不含增值税合同价款为【RMB（大写：人民币***），税额为RMB****元（大写：人民币），增值税</w:t>
      </w:r>
      <w:r>
        <w:rPr>
          <w:rFonts w:hint="eastAsia" w:eastAsia="宋体"/>
          <w:color w:val="auto"/>
          <w:sz w:val="24"/>
          <w:highlight w:val="none"/>
          <w:lang w:val="en-US" w:eastAsia="zh-CN"/>
        </w:rPr>
        <w:t>税率为【</w:t>
      </w:r>
      <w:r>
        <w:rPr>
          <w:rFonts w:hint="eastAsia" w:ascii="Times New Roman" w:hAnsi="Times New Roman" w:eastAsia="宋体" w:cs="Times New Roman"/>
          <w:color w:val="auto"/>
          <w:sz w:val="24"/>
          <w:highlight w:val="none"/>
          <w:lang w:val="en-US" w:eastAsia="zh-CN"/>
        </w:rPr>
        <w:t>**】%。合同总价的各分项价格和组成：【详见本合同附件一</w:t>
      </w:r>
      <w:r>
        <w:rPr>
          <w:rFonts w:hint="eastAsia" w:ascii="Times New Roman" w:hAnsi="Times New Roman" w:eastAsia="宋体" w:cs="Times New Roman"/>
          <w:color w:val="auto"/>
          <w:sz w:val="24"/>
          <w:highlight w:val="none"/>
        </w:rPr>
        <w:t>】。</w:t>
      </w:r>
    </w:p>
    <w:p>
      <w:pPr>
        <w:numPr>
          <w:ilvl w:val="0"/>
          <w:numId w:val="8"/>
        </w:numPr>
        <w:tabs>
          <w:tab w:val="left" w:pos="567"/>
          <w:tab w:val="clear" w:pos="840"/>
        </w:tabs>
        <w:spacing w:before="72" w:beforeLines="30" w:after="72" w:afterLines="30" w:line="360" w:lineRule="auto"/>
        <w:ind w:left="567" w:hanging="567"/>
        <w:rPr>
          <w:color w:val="auto"/>
          <w:sz w:val="24"/>
          <w:szCs w:val="24"/>
          <w:highlight w:val="none"/>
        </w:rPr>
      </w:pPr>
      <w:r>
        <w:rPr>
          <w:rFonts w:hint="eastAsia" w:ascii="Arial" w:hAnsi="Arial" w:cs="Arial"/>
          <w:color w:val="auto"/>
          <w:sz w:val="24"/>
          <w:highlight w:val="none"/>
        </w:rPr>
        <w:t>合同总价系卖方交付全部货物，完成全部工作，完整履行本合同，买方应当支付的全部金额。合同总价为无条件最终封顶价格。除根据本合同规定因工作变更或国家增值税税率调整引起合同总价调整外，不受通货膨胀、利率、汇率、税费、成本及市场等因素变化的影响。合同总价包括货物成本、货物资料的费用；税费（包括关税、增值税等）；运输、储存、包装、维修、搬运、交付费用；管理费和利润；直接成本、间接成本、人力成本；技术服务费用；质保期费用；或有费用及合同没有列明但系为实现合同目的所必需的工作和服务的费用；卖方所有的风险、义务和责任，以及合同中明确说明由卖方承担的成本与费用等。除买方同意某项费用属于额外的工作项目需另行支付费用外，买方不向卖方支付任何超出合同总价的款项。为免疑义，如果增值税税率因国家增值税税率调整而发生变化，合同总价自动调整，但不含增值税的合同价款保持不变。为免疑义，如果增值税税率因国家增值税税率调整而发生变化，合同总价自动调整，但不含增值税的合同价款保持不变。卖方应以含税金额开票，不含税金额及增值税额以税控系统实际计算为准。</w:t>
      </w:r>
    </w:p>
    <w:p>
      <w:pPr>
        <w:numPr>
          <w:ilvl w:val="0"/>
          <w:numId w:val="8"/>
        </w:numPr>
        <w:tabs>
          <w:tab w:val="left" w:pos="567"/>
          <w:tab w:val="clear" w:pos="840"/>
        </w:tabs>
        <w:spacing w:before="72" w:beforeLines="30" w:after="72" w:afterLines="30" w:line="360" w:lineRule="auto"/>
        <w:ind w:left="567" w:hanging="567"/>
        <w:rPr>
          <w:color w:val="auto"/>
          <w:sz w:val="24"/>
          <w:highlight w:val="none"/>
        </w:rPr>
      </w:pPr>
      <w:r>
        <w:rPr>
          <w:rFonts w:hint="eastAsia" w:ascii="Arial" w:hAnsi="Arial" w:cs="Arial"/>
          <w:color w:val="auto"/>
          <w:sz w:val="24"/>
          <w:highlight w:val="none"/>
        </w:rPr>
        <w:t>双方应根据法律法规各自承担其应承担的与本合同有关的所有税费。</w:t>
      </w:r>
      <w:r>
        <w:rPr>
          <w:rFonts w:hint="eastAsia"/>
          <w:color w:val="auto"/>
          <w:sz w:val="24"/>
          <w:highlight w:val="none"/>
        </w:rPr>
        <w:t>买方有权根据法律法规和本合同的规定从应支付给卖方的合同总价中扣除应由买方代扣、代缴的卖方应付税费，但应向卖方提供完税证明。</w:t>
      </w:r>
    </w:p>
    <w:p>
      <w:pPr>
        <w:pStyle w:val="13"/>
        <w:numPr>
          <w:ilvl w:val="0"/>
          <w:numId w:val="6"/>
        </w:numPr>
        <w:spacing w:before="72" w:beforeLines="30" w:after="72" w:afterLines="30" w:line="360" w:lineRule="auto"/>
        <w:ind w:left="709" w:hanging="709"/>
        <w:jc w:val="left"/>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olor w:val="auto"/>
          <w:sz w:val="24"/>
          <w:szCs w:val="24"/>
          <w:highlight w:val="none"/>
        </w:rPr>
        <w:t>付款</w:t>
      </w:r>
    </w:p>
    <w:p>
      <w:pPr>
        <w:numPr>
          <w:ilvl w:val="0"/>
          <w:numId w:val="9"/>
        </w:numPr>
        <w:tabs>
          <w:tab w:val="left" w:pos="567"/>
          <w:tab w:val="clear" w:pos="840"/>
        </w:tabs>
        <w:spacing w:before="72" w:beforeLines="30" w:after="72" w:afterLines="30" w:line="360" w:lineRule="auto"/>
        <w:ind w:left="567" w:hanging="567"/>
        <w:rPr>
          <w:color w:val="auto"/>
          <w:sz w:val="24"/>
          <w:highlight w:val="none"/>
        </w:rPr>
      </w:pPr>
      <w:r>
        <w:rPr>
          <w:rFonts w:hint="eastAsia" w:ascii="Times New Roman" w:hAnsi="Times New Roman" w:eastAsia="宋体" w:cs="Times New Roman"/>
          <w:b w:val="0"/>
          <w:bCs w:val="0"/>
          <w:color w:val="auto"/>
          <w:kern w:val="2"/>
          <w:sz w:val="24"/>
          <w:szCs w:val="24"/>
          <w:highlight w:val="none"/>
          <w:lang w:val="en-US" w:eastAsia="zh-CN" w:bidi="ar-SA"/>
        </w:rPr>
        <w:t>本合同项下的付款方式为：</w:t>
      </w:r>
      <w:r>
        <w:rPr>
          <w:rFonts w:asciiTheme="minorEastAsia" w:hAnsiTheme="minorEastAsia" w:eastAsiaTheme="minorEastAsia"/>
          <w:color w:val="auto"/>
          <w:sz w:val="24"/>
          <w:highlight w:val="none"/>
        </w:rPr>
        <w:t>银行电汇</w:t>
      </w:r>
      <w:r>
        <w:rPr>
          <w:rFonts w:hint="eastAsia" w:ascii="Times New Roman" w:hAnsi="Times New Roman" w:eastAsia="宋体" w:cs="Times New Roman"/>
          <w:b w:val="0"/>
          <w:bCs w:val="0"/>
          <w:color w:val="auto"/>
          <w:kern w:val="2"/>
          <w:sz w:val="24"/>
          <w:szCs w:val="24"/>
          <w:highlight w:val="none"/>
          <w:lang w:val="en-US" w:eastAsia="zh-CN" w:bidi="ar-SA"/>
        </w:rPr>
        <w:t>。</w:t>
      </w:r>
    </w:p>
    <w:p>
      <w:pPr>
        <w:numPr>
          <w:ilvl w:val="0"/>
          <w:numId w:val="9"/>
        </w:numPr>
        <w:tabs>
          <w:tab w:val="left" w:pos="567"/>
        </w:tabs>
        <w:spacing w:before="72" w:beforeLines="30" w:after="72" w:afterLines="30" w:line="360" w:lineRule="auto"/>
        <w:ind w:left="567" w:hanging="567"/>
        <w:rPr>
          <w:rFonts w:hint="eastAsia"/>
          <w:color w:val="auto"/>
          <w:sz w:val="24"/>
          <w:highlight w:val="none"/>
        </w:rPr>
      </w:pPr>
      <w:r>
        <w:rPr>
          <w:rFonts w:hint="eastAsia"/>
          <w:color w:val="auto"/>
          <w:sz w:val="24"/>
          <w:highlight w:val="none"/>
        </w:rPr>
        <w:t>付款进度</w:t>
      </w:r>
    </w:p>
    <w:p>
      <w:pPr>
        <w:pStyle w:val="20"/>
        <w:numPr>
          <w:ilvl w:val="0"/>
          <w:numId w:val="0"/>
        </w:numPr>
        <w:tabs>
          <w:tab w:val="left" w:pos="567"/>
        </w:tabs>
        <w:spacing w:before="72" w:beforeLines="30" w:after="72" w:afterLines="30" w:line="360" w:lineRule="auto"/>
        <w:ind w:left="567" w:leftChars="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w:t>
      </w:r>
    </w:p>
    <w:p>
      <w:pPr>
        <w:numPr>
          <w:ilvl w:val="0"/>
          <w:numId w:val="9"/>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卖方应根据合同规定的付款条件和进度，提前向买方开具符合中国法律法规要求的发票并提供相关支持文件。如</w:t>
      </w:r>
      <w:r>
        <w:rPr>
          <w:rFonts w:hint="eastAsia"/>
          <w:color w:val="auto"/>
          <w:sz w:val="24"/>
          <w:highlight w:val="none"/>
          <w:lang w:eastAsia="zh-CN"/>
        </w:rPr>
        <w:t>卖方</w:t>
      </w:r>
      <w:r>
        <w:rPr>
          <w:rFonts w:hint="eastAsia"/>
          <w:color w:val="auto"/>
          <w:sz w:val="24"/>
          <w:highlight w:val="none"/>
        </w:rPr>
        <w:t>提供的服务属于增值税应税范围，</w:t>
      </w:r>
      <w:r>
        <w:rPr>
          <w:rFonts w:hint="eastAsia"/>
          <w:color w:val="auto"/>
          <w:sz w:val="24"/>
          <w:highlight w:val="none"/>
          <w:lang w:eastAsia="zh-CN"/>
        </w:rPr>
        <w:t>卖方</w:t>
      </w:r>
      <w:r>
        <w:rPr>
          <w:rFonts w:hint="eastAsia"/>
          <w:color w:val="auto"/>
          <w:sz w:val="24"/>
          <w:highlight w:val="none"/>
        </w:rPr>
        <w:t>应为</w:t>
      </w:r>
      <w:r>
        <w:rPr>
          <w:rFonts w:hint="eastAsia"/>
          <w:color w:val="auto"/>
          <w:sz w:val="24"/>
          <w:highlight w:val="none"/>
          <w:lang w:eastAsia="zh-CN"/>
        </w:rPr>
        <w:t>买方</w:t>
      </w:r>
      <w:r>
        <w:rPr>
          <w:rFonts w:hint="eastAsia"/>
          <w:color w:val="auto"/>
          <w:sz w:val="24"/>
          <w:highlight w:val="none"/>
        </w:rPr>
        <w:t>开具增值税专用发票。发票抬头应为：【</w:t>
      </w:r>
      <w:r>
        <w:rPr>
          <w:rFonts w:hint="eastAsia" w:ascii="宋体" w:hAnsi="宋体" w:eastAsia="宋体" w:cs="Times New Roman"/>
          <w:b/>
          <w:bCs/>
          <w:color w:val="auto"/>
          <w:sz w:val="24"/>
          <w:highlight w:val="none"/>
          <w:u w:val="single"/>
          <w:lang w:val="en-US" w:eastAsia="zh-CN"/>
        </w:rPr>
        <w:t>******</w:t>
      </w:r>
      <w:r>
        <w:rPr>
          <w:rFonts w:hint="eastAsia"/>
          <w:color w:val="auto"/>
          <w:sz w:val="24"/>
          <w:highlight w:val="none"/>
        </w:rPr>
        <w:t>】。</w:t>
      </w:r>
      <w:r>
        <w:rPr>
          <w:rFonts w:hint="eastAsia" w:ascii="Times New Roman" w:hAnsi="Times New Roman" w:eastAsia="宋体" w:cs="Times New Roman"/>
          <w:color w:val="auto"/>
          <w:sz w:val="24"/>
          <w:highlight w:val="none"/>
        </w:rPr>
        <w:t>如</w:t>
      </w:r>
      <w:r>
        <w:rPr>
          <w:rFonts w:hint="eastAsia"/>
          <w:color w:val="auto"/>
          <w:sz w:val="24"/>
          <w:highlight w:val="none"/>
        </w:rPr>
        <w:t>卖方未开具上述发票并提供相关支持文件，买方有权拒付相关合同价款。如果买方对卖方出具的该等发票和提供的相关支持文件无异议，应</w:t>
      </w:r>
      <w:r>
        <w:rPr>
          <w:rFonts w:hint="eastAsia"/>
          <w:color w:val="auto"/>
          <w:sz w:val="24"/>
          <w:highlight w:val="none"/>
          <w:lang w:val="en-US" w:eastAsia="zh-CN"/>
        </w:rPr>
        <w:t>根据合同付款进度条款中相关要求</w:t>
      </w:r>
      <w:r>
        <w:rPr>
          <w:rFonts w:hint="eastAsia"/>
          <w:color w:val="auto"/>
          <w:sz w:val="24"/>
          <w:highlight w:val="none"/>
        </w:rPr>
        <w:t>向卖方付款。如</w:t>
      </w:r>
      <w:r>
        <w:rPr>
          <w:rFonts w:hint="eastAsia"/>
          <w:color w:val="auto"/>
          <w:sz w:val="24"/>
          <w:szCs w:val="24"/>
          <w:highlight w:val="none"/>
        </w:rPr>
        <w:t>付款到期日非为银行工作日，则付款到期日顺延至下一个银行工作日。</w:t>
      </w:r>
      <w:r>
        <w:rPr>
          <w:rFonts w:hint="eastAsia" w:ascii="Times New Roman" w:hAnsi="Times New Roman" w:eastAsia="宋体" w:cs="Times New Roman"/>
          <w:color w:val="auto"/>
          <w:sz w:val="24"/>
          <w:highlight w:val="none"/>
        </w:rPr>
        <w:t>如</w:t>
      </w:r>
      <w:r>
        <w:rPr>
          <w:rFonts w:hint="eastAsia" w:cs="Times New Roman"/>
          <w:color w:val="auto"/>
          <w:sz w:val="24"/>
          <w:highlight w:val="none"/>
          <w:lang w:eastAsia="zh-CN"/>
        </w:rPr>
        <w:t>买方</w:t>
      </w:r>
      <w:r>
        <w:rPr>
          <w:rFonts w:hint="eastAsia" w:ascii="Times New Roman" w:hAnsi="Times New Roman" w:eastAsia="宋体" w:cs="Times New Roman"/>
          <w:color w:val="auto"/>
          <w:sz w:val="24"/>
          <w:highlight w:val="none"/>
        </w:rPr>
        <w:t>对</w:t>
      </w:r>
      <w:r>
        <w:rPr>
          <w:rFonts w:hint="eastAsia" w:cs="Times New Roman"/>
          <w:color w:val="auto"/>
          <w:sz w:val="24"/>
          <w:highlight w:val="none"/>
          <w:lang w:eastAsia="zh-CN"/>
        </w:rPr>
        <w:t>卖方</w:t>
      </w:r>
      <w:r>
        <w:rPr>
          <w:rFonts w:hint="eastAsia" w:ascii="Times New Roman" w:hAnsi="Times New Roman" w:eastAsia="宋体" w:cs="Times New Roman"/>
          <w:color w:val="auto"/>
          <w:sz w:val="24"/>
          <w:highlight w:val="none"/>
        </w:rPr>
        <w:t>开具的该等发票和相关支持文件有异议，应于收到发票及相关支持文件后【十（10）】日内通知</w:t>
      </w:r>
      <w:r>
        <w:rPr>
          <w:rFonts w:hint="eastAsia" w:cs="Times New Roman"/>
          <w:color w:val="auto"/>
          <w:sz w:val="24"/>
          <w:highlight w:val="none"/>
          <w:lang w:eastAsia="zh-CN"/>
        </w:rPr>
        <w:t>卖方</w:t>
      </w:r>
      <w:r>
        <w:rPr>
          <w:rFonts w:hint="eastAsia"/>
          <w:color w:val="auto"/>
          <w:sz w:val="24"/>
          <w:highlight w:val="none"/>
        </w:rPr>
        <w:t>，</w:t>
      </w:r>
      <w:r>
        <w:rPr>
          <w:rFonts w:hint="eastAsia"/>
          <w:color w:val="auto"/>
          <w:sz w:val="24"/>
          <w:highlight w:val="none"/>
          <w:lang w:eastAsia="zh-CN"/>
        </w:rPr>
        <w:t>卖方</w:t>
      </w:r>
      <w:r>
        <w:rPr>
          <w:rFonts w:hint="eastAsia"/>
          <w:color w:val="auto"/>
          <w:sz w:val="24"/>
          <w:highlight w:val="none"/>
        </w:rPr>
        <w:t>应重新开具发票和相关支持文件，买方应于收到卖方重新开具的发票和相关支持文件之日</w:t>
      </w:r>
      <w:r>
        <w:rPr>
          <w:rFonts w:hint="eastAsia" w:ascii="Times New Roman" w:hAnsi="Times New Roman" w:eastAsia="宋体" w:cs="Times New Roman"/>
          <w:color w:val="auto"/>
          <w:sz w:val="24"/>
          <w:highlight w:val="none"/>
        </w:rPr>
        <w:t>起</w:t>
      </w:r>
      <w:r>
        <w:rPr>
          <w:rFonts w:hint="eastAsia" w:ascii="Times New Roman" w:hAnsi="Times New Roman" w:eastAsia="宋体" w:cs="Times New Roman"/>
          <w:color w:val="auto"/>
          <w:sz w:val="24"/>
          <w:highlight w:val="none"/>
          <w:lang w:val="en-US" w:eastAsia="zh-CN"/>
        </w:rPr>
        <w:t>重新计算，并根据合同付款进度条款中相关要求</w:t>
      </w:r>
      <w:r>
        <w:rPr>
          <w:rFonts w:hint="eastAsia" w:ascii="Times New Roman" w:hAnsi="Times New Roman" w:eastAsia="宋体" w:cs="Times New Roman"/>
          <w:color w:val="auto"/>
          <w:sz w:val="24"/>
          <w:highlight w:val="none"/>
        </w:rPr>
        <w:t>向卖方付款</w:t>
      </w:r>
      <w:r>
        <w:rPr>
          <w:rFonts w:hint="eastAsia"/>
          <w:color w:val="auto"/>
          <w:sz w:val="24"/>
          <w:highlight w:val="none"/>
        </w:rPr>
        <w:t>。</w:t>
      </w:r>
    </w:p>
    <w:p>
      <w:pPr>
        <w:numPr>
          <w:ilvl w:val="0"/>
          <w:numId w:val="9"/>
        </w:numPr>
        <w:tabs>
          <w:tab w:val="left" w:pos="567"/>
        </w:tabs>
        <w:spacing w:line="360" w:lineRule="auto"/>
        <w:ind w:left="709" w:hanging="709"/>
        <w:rPr>
          <w:color w:val="auto"/>
          <w:highlight w:val="none"/>
        </w:rPr>
      </w:pPr>
      <w:r>
        <w:rPr>
          <w:rFonts w:hint="eastAsia" w:ascii="宋体" w:hAnsi="宋体"/>
          <w:color w:val="auto"/>
          <w:sz w:val="24"/>
          <w:highlight w:val="none"/>
          <w:lang w:eastAsia="zh-CN"/>
        </w:rPr>
        <w:t>买卖</w:t>
      </w:r>
      <w:r>
        <w:rPr>
          <w:rFonts w:hint="eastAsia" w:ascii="宋体" w:hAnsi="宋体"/>
          <w:color w:val="auto"/>
          <w:sz w:val="24"/>
          <w:highlight w:val="none"/>
        </w:rPr>
        <w:t>双方银行账户信息</w:t>
      </w:r>
      <w:r>
        <w:rPr>
          <w:rFonts w:hint="eastAsia" w:ascii="宋体" w:hAnsi="宋体"/>
          <w:color w:val="auto"/>
          <w:sz w:val="24"/>
          <w:highlight w:val="none"/>
          <w:lang w:val="en-US" w:eastAsia="zh-CN"/>
        </w:rPr>
        <w:t>:</w:t>
      </w:r>
    </w:p>
    <w:p>
      <w:pPr>
        <w:pStyle w:val="20"/>
        <w:widowControl/>
        <w:numPr>
          <w:ilvl w:val="0"/>
          <w:numId w:val="10"/>
        </w:numPr>
        <w:tabs>
          <w:tab w:val="left" w:pos="567"/>
          <w:tab w:val="left" w:pos="630"/>
          <w:tab w:val="left" w:pos="1418"/>
        </w:tabs>
        <w:spacing w:before="93" w:beforeLines="30" w:after="93" w:afterLines="30" w:line="360" w:lineRule="auto"/>
        <w:ind w:left="640" w:leftChars="0" w:right="88" w:rightChars="42" w:hanging="64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买方银行账户信息：</w:t>
      </w:r>
    </w:p>
    <w:p>
      <w:pPr>
        <w:tabs>
          <w:tab w:val="left" w:pos="709"/>
          <w:tab w:val="left" w:pos="1418"/>
        </w:tabs>
        <w:adjustRightInd w:val="0"/>
        <w:snapToGrid w:val="0"/>
        <w:spacing w:before="93" w:beforeLines="30" w:after="93" w:afterLines="30" w:line="360" w:lineRule="auto"/>
        <w:ind w:left="708" w:leftChars="337"/>
        <w:rPr>
          <w:rFonts w:ascii="宋体" w:hAnsi="宋体"/>
          <w:color w:val="auto"/>
          <w:sz w:val="24"/>
          <w:highlight w:val="none"/>
        </w:rPr>
      </w:pPr>
      <w:r>
        <w:rPr>
          <w:rFonts w:hint="eastAsia" w:ascii="宋体" w:hAnsi="宋体"/>
          <w:color w:val="auto"/>
          <w:sz w:val="24"/>
          <w:highlight w:val="none"/>
          <w:lang w:eastAsia="zh-CN"/>
        </w:rPr>
        <w:t>买</w:t>
      </w:r>
      <w:r>
        <w:rPr>
          <w:rFonts w:hint="eastAsia" w:ascii="宋体" w:hAnsi="宋体"/>
          <w:color w:val="auto"/>
          <w:sz w:val="24"/>
          <w:highlight w:val="none"/>
        </w:rPr>
        <w:t>方</w:t>
      </w:r>
      <w:r>
        <w:rPr>
          <w:rFonts w:ascii="宋体" w:hAnsi="宋体"/>
          <w:color w:val="auto"/>
          <w:sz w:val="24"/>
          <w:highlight w:val="none"/>
        </w:rPr>
        <w:t>名称：</w:t>
      </w:r>
    </w:p>
    <w:p>
      <w:pPr>
        <w:tabs>
          <w:tab w:val="left" w:pos="709"/>
          <w:tab w:val="left" w:pos="1418"/>
        </w:tabs>
        <w:adjustRightInd w:val="0"/>
        <w:snapToGrid w:val="0"/>
        <w:spacing w:before="93" w:beforeLines="30" w:after="93" w:afterLines="30" w:line="360" w:lineRule="auto"/>
        <w:ind w:left="708" w:leftChars="337"/>
        <w:rPr>
          <w:rFonts w:hint="eastAsia" w:ascii="宋体" w:hAnsi="宋体" w:eastAsia="宋体"/>
          <w:color w:val="auto"/>
          <w:sz w:val="24"/>
          <w:szCs w:val="24"/>
          <w:highlight w:val="none"/>
        </w:rPr>
      </w:pPr>
      <w:r>
        <w:rPr>
          <w:rFonts w:hint="eastAsia" w:ascii="宋体" w:hAnsi="宋体"/>
          <w:color w:val="auto"/>
          <w:sz w:val="24"/>
          <w:highlight w:val="none"/>
        </w:rPr>
        <w:t>开户行名称：</w:t>
      </w:r>
    </w:p>
    <w:p>
      <w:pPr>
        <w:tabs>
          <w:tab w:val="left" w:pos="709"/>
          <w:tab w:val="left" w:pos="1418"/>
        </w:tabs>
        <w:adjustRightInd w:val="0"/>
        <w:snapToGrid w:val="0"/>
        <w:spacing w:before="93" w:beforeLines="30" w:after="93" w:afterLines="30" w:line="360" w:lineRule="auto"/>
        <w:ind w:left="708" w:leftChars="337"/>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银行账号：</w:t>
      </w:r>
    </w:p>
    <w:p>
      <w:pPr>
        <w:tabs>
          <w:tab w:val="left" w:pos="709"/>
          <w:tab w:val="left" w:pos="1418"/>
        </w:tabs>
        <w:adjustRightInd w:val="0"/>
        <w:snapToGrid w:val="0"/>
        <w:spacing w:before="93" w:beforeLines="30" w:after="93" w:afterLines="30" w:line="360" w:lineRule="auto"/>
        <w:ind w:left="708" w:leftChars="337"/>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税务登记证号(统一社会信用代码)：</w:t>
      </w:r>
    </w:p>
    <w:p>
      <w:pPr>
        <w:tabs>
          <w:tab w:val="left" w:pos="709"/>
          <w:tab w:val="left" w:pos="1418"/>
        </w:tabs>
        <w:adjustRightInd w:val="0"/>
        <w:snapToGrid w:val="0"/>
        <w:spacing w:before="93" w:beforeLines="30" w:after="93" w:afterLines="30" w:line="360" w:lineRule="auto"/>
        <w:ind w:left="708" w:leftChars="337"/>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地址：</w:t>
      </w:r>
    </w:p>
    <w:p>
      <w:pPr>
        <w:tabs>
          <w:tab w:val="left" w:pos="709"/>
          <w:tab w:val="left" w:pos="1418"/>
        </w:tabs>
        <w:adjustRightInd w:val="0"/>
        <w:snapToGrid w:val="0"/>
        <w:spacing w:before="93" w:beforeLines="30" w:after="93" w:afterLines="30" w:line="360" w:lineRule="auto"/>
        <w:ind w:left="708" w:leftChars="337"/>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eastAsia="zh-CN"/>
        </w:rPr>
        <w:t>联系电话：</w:t>
      </w:r>
    </w:p>
    <w:p>
      <w:pPr>
        <w:pStyle w:val="20"/>
        <w:widowControl/>
        <w:numPr>
          <w:ilvl w:val="0"/>
          <w:numId w:val="10"/>
        </w:numPr>
        <w:tabs>
          <w:tab w:val="left" w:pos="567"/>
          <w:tab w:val="left" w:pos="630"/>
          <w:tab w:val="left" w:pos="1418"/>
        </w:tabs>
        <w:spacing w:before="93" w:beforeLines="30" w:after="93" w:afterLines="30" w:line="360" w:lineRule="auto"/>
        <w:ind w:left="640" w:leftChars="0" w:right="88" w:rightChars="42" w:hanging="64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 卖方银行账户信息，卖方应通过如下账户收取合同总价及其它款项，并通过该账户向买方支付与合同有关的任何款项：</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rPr>
      </w:pPr>
      <w:r>
        <w:rPr>
          <w:rFonts w:hint="eastAsia" w:cs="Times New Roman" w:asciiTheme="minorEastAsia" w:hAnsiTheme="minorEastAsia" w:eastAsiaTheme="minorEastAsia"/>
          <w:color w:val="auto"/>
          <w:sz w:val="24"/>
          <w:highlight w:val="none"/>
        </w:rPr>
        <w:t>卖方名称：</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rPr>
      </w:pPr>
      <w:r>
        <w:rPr>
          <w:rFonts w:hint="eastAsia" w:cs="Times New Roman" w:asciiTheme="minorEastAsia" w:hAnsiTheme="minorEastAsia" w:eastAsiaTheme="minorEastAsia"/>
          <w:color w:val="auto"/>
          <w:sz w:val="24"/>
          <w:highlight w:val="none"/>
        </w:rPr>
        <w:t>统一社会信用代码：</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rPr>
      </w:pPr>
      <w:r>
        <w:rPr>
          <w:rFonts w:hint="eastAsia" w:cs="Times New Roman" w:asciiTheme="minorEastAsia" w:hAnsiTheme="minorEastAsia" w:eastAsiaTheme="minorEastAsia"/>
          <w:color w:val="auto"/>
          <w:sz w:val="24"/>
          <w:highlight w:val="none"/>
        </w:rPr>
        <w:t>开户银行：</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rPr>
      </w:pPr>
      <w:r>
        <w:rPr>
          <w:rFonts w:hint="eastAsia" w:cs="Times New Roman" w:asciiTheme="minorEastAsia" w:hAnsiTheme="minorEastAsia" w:eastAsiaTheme="minorEastAsia"/>
          <w:color w:val="auto"/>
          <w:sz w:val="24"/>
          <w:highlight w:val="none"/>
        </w:rPr>
        <w:t>银行账号：</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lang w:val="en-US" w:eastAsia="zh-CN"/>
        </w:rPr>
      </w:pPr>
      <w:r>
        <w:rPr>
          <w:rFonts w:hint="eastAsia" w:cs="Times New Roman" w:asciiTheme="minorEastAsia" w:hAnsiTheme="minorEastAsia" w:eastAsiaTheme="minorEastAsia"/>
          <w:color w:val="auto"/>
          <w:sz w:val="24"/>
          <w:highlight w:val="none"/>
          <w:lang w:eastAsia="zh-CN"/>
        </w:rPr>
        <w:t>联系人：</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lang w:val="en-US" w:eastAsia="zh-CN"/>
        </w:rPr>
      </w:pPr>
      <w:r>
        <w:rPr>
          <w:rFonts w:hint="eastAsia" w:cs="Times New Roman" w:asciiTheme="minorEastAsia" w:hAnsiTheme="minorEastAsia" w:eastAsiaTheme="minorEastAsia"/>
          <w:color w:val="auto"/>
          <w:sz w:val="24"/>
          <w:highlight w:val="none"/>
          <w:lang w:val="en-US" w:eastAsia="zh-CN"/>
        </w:rPr>
        <w:t>联系电话：</w:t>
      </w:r>
    </w:p>
    <w:p>
      <w:pPr>
        <w:tabs>
          <w:tab w:val="left" w:pos="567"/>
          <w:tab w:val="left" w:pos="1418"/>
        </w:tabs>
        <w:spacing w:line="360" w:lineRule="auto"/>
        <w:ind w:left="565" w:leftChars="269"/>
        <w:rPr>
          <w:rFonts w:hint="eastAsia" w:cs="Times New Roman" w:asciiTheme="minorEastAsia" w:hAnsiTheme="minorEastAsia" w:eastAsiaTheme="minorEastAsia"/>
          <w:color w:val="auto"/>
          <w:sz w:val="24"/>
          <w:highlight w:val="none"/>
          <w:lang w:val="en-US" w:eastAsia="zh-CN"/>
        </w:rPr>
      </w:pPr>
      <w:r>
        <w:rPr>
          <w:rFonts w:hint="eastAsia" w:cs="Times New Roman" w:asciiTheme="minorEastAsia" w:hAnsiTheme="minorEastAsia" w:eastAsiaTheme="minorEastAsia"/>
          <w:color w:val="auto"/>
          <w:sz w:val="24"/>
          <w:highlight w:val="none"/>
          <w:lang w:val="en-US" w:eastAsia="zh-CN"/>
        </w:rPr>
        <w:t>邮箱：</w:t>
      </w:r>
    </w:p>
    <w:p>
      <w:pPr>
        <w:numPr>
          <w:ilvl w:val="0"/>
          <w:numId w:val="0"/>
        </w:numPr>
        <w:tabs>
          <w:tab w:val="left" w:pos="567"/>
        </w:tabs>
        <w:spacing w:line="360" w:lineRule="auto"/>
        <w:ind w:leftChars="0" w:firstLine="480" w:firstLineChars="200"/>
        <w:rPr>
          <w:rFonts w:asciiTheme="minorEastAsia" w:hAnsiTheme="minorEastAsia" w:eastAsiaTheme="minorEastAsia"/>
          <w:color w:val="auto"/>
          <w:sz w:val="24"/>
          <w:highlight w:val="none"/>
        </w:rPr>
      </w:pPr>
      <w:r>
        <w:rPr>
          <w:rFonts w:hint="eastAsia" w:hAnsi="宋体"/>
          <w:color w:val="auto"/>
          <w:sz w:val="24"/>
          <w:highlight w:val="none"/>
        </w:rPr>
        <w:t>若卖方银行资料有变更，变更资料应连同发票一起提交买方。因卖方提供的上述银行账号信息不符致使买方付款延迟或付款错误，所造成的损失由卖方承担。</w:t>
      </w:r>
    </w:p>
    <w:p>
      <w:pPr>
        <w:pStyle w:val="13"/>
        <w:numPr>
          <w:ilvl w:val="0"/>
          <w:numId w:val="6"/>
        </w:numPr>
        <w:spacing w:before="72" w:beforeLines="30" w:after="72" w:afterLines="30" w:line="360" w:lineRule="auto"/>
        <w:ind w:left="851" w:hanging="851"/>
        <w:jc w:val="left"/>
        <w:rPr>
          <w:color w:val="auto"/>
          <w:sz w:val="24"/>
          <w:szCs w:val="24"/>
          <w:highlight w:val="none"/>
        </w:rPr>
      </w:pPr>
      <w:r>
        <w:rPr>
          <w:rFonts w:hint="eastAsia"/>
          <w:color w:val="auto"/>
          <w:sz w:val="24"/>
          <w:szCs w:val="24"/>
          <w:highlight w:val="none"/>
        </w:rPr>
        <w:t>货物交付</w:t>
      </w:r>
    </w:p>
    <w:p>
      <w:pPr>
        <w:numPr>
          <w:ilvl w:val="0"/>
          <w:numId w:val="11"/>
        </w:numPr>
        <w:tabs>
          <w:tab w:val="left" w:pos="567"/>
          <w:tab w:val="clear" w:pos="562"/>
        </w:tabs>
        <w:spacing w:before="72" w:beforeLines="30" w:after="72" w:afterLines="30" w:line="360" w:lineRule="auto"/>
        <w:ind w:left="567" w:hanging="567"/>
        <w:outlineLvl w:val="0"/>
        <w:rPr>
          <w:b/>
          <w:color w:val="auto"/>
          <w:sz w:val="24"/>
          <w:highlight w:val="none"/>
        </w:rPr>
      </w:pPr>
      <w:r>
        <w:rPr>
          <w:rFonts w:hAnsi="宋体"/>
          <w:b/>
          <w:color w:val="auto"/>
          <w:sz w:val="24"/>
          <w:highlight w:val="none"/>
        </w:rPr>
        <w:t>交货日期</w:t>
      </w:r>
    </w:p>
    <w:p>
      <w:pPr>
        <w:pStyle w:val="20"/>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hAnsi="宋体"/>
          <w:color w:val="auto"/>
          <w:sz w:val="24"/>
          <w:highlight w:val="none"/>
          <w:lang w:val="en-US" w:eastAsia="zh-CN"/>
        </w:rPr>
      </w:pPr>
      <w:r>
        <w:rPr>
          <w:rFonts w:hint="eastAsia" w:ascii="宋体" w:hAnsi="宋体" w:eastAsia="宋体" w:cs="宋体"/>
          <w:sz w:val="24"/>
          <w:szCs w:val="24"/>
          <w:lang w:val="en-US" w:eastAsia="zh-CN"/>
        </w:rPr>
        <w:t>交货日期：*****</w:t>
      </w:r>
    </w:p>
    <w:p>
      <w:pPr>
        <w:numPr>
          <w:ilvl w:val="0"/>
          <w:numId w:val="0"/>
        </w:numPr>
        <w:tabs>
          <w:tab w:val="left" w:pos="567"/>
        </w:tabs>
        <w:spacing w:line="360" w:lineRule="auto"/>
        <w:ind w:leftChars="0" w:firstLine="480" w:firstLineChars="200"/>
        <w:rPr>
          <w:rFonts w:hint="eastAsia" w:hAnsi="宋体"/>
          <w:color w:val="auto"/>
          <w:sz w:val="24"/>
          <w:highlight w:val="none"/>
          <w:lang w:val="en-US" w:eastAsia="zh-CN"/>
        </w:rPr>
      </w:pPr>
      <w:r>
        <w:rPr>
          <w:rFonts w:hint="eastAsia" w:hAnsi="宋体"/>
          <w:color w:val="auto"/>
          <w:sz w:val="24"/>
          <w:highlight w:val="none"/>
          <w:lang w:val="en-US" w:eastAsia="zh-CN"/>
        </w:rPr>
        <w:t>供货地点：</w:t>
      </w:r>
    </w:p>
    <w:p>
      <w:pPr>
        <w:numPr>
          <w:ilvl w:val="0"/>
          <w:numId w:val="0"/>
        </w:numPr>
        <w:tabs>
          <w:tab w:val="left" w:pos="567"/>
        </w:tabs>
        <w:spacing w:line="360" w:lineRule="auto"/>
        <w:ind w:leftChars="0" w:firstLine="480" w:firstLineChars="200"/>
        <w:rPr>
          <w:rFonts w:hint="eastAsia" w:hAnsi="宋体"/>
          <w:color w:val="auto"/>
          <w:sz w:val="24"/>
          <w:highlight w:val="none"/>
        </w:rPr>
      </w:pPr>
      <w:r>
        <w:rPr>
          <w:rFonts w:hint="eastAsia" w:hAnsi="宋体"/>
          <w:color w:val="auto"/>
          <w:sz w:val="24"/>
          <w:highlight w:val="none"/>
          <w:lang w:val="en-US" w:eastAsia="zh-CN"/>
        </w:rPr>
        <w:t>联系人：  电话：  邮箱：</w:t>
      </w:r>
    </w:p>
    <w:p>
      <w:pPr>
        <w:numPr>
          <w:ilvl w:val="0"/>
          <w:numId w:val="11"/>
        </w:numPr>
        <w:tabs>
          <w:tab w:val="left" w:pos="709"/>
        </w:tabs>
        <w:spacing w:before="72" w:beforeLines="30" w:after="72" w:afterLines="30" w:line="360" w:lineRule="auto"/>
        <w:ind w:left="567" w:hanging="567"/>
        <w:outlineLvl w:val="0"/>
        <w:rPr>
          <w:color w:val="auto"/>
          <w:sz w:val="24"/>
          <w:szCs w:val="24"/>
          <w:highlight w:val="none"/>
        </w:rPr>
      </w:pPr>
      <w:r>
        <w:rPr>
          <w:rFonts w:hAnsi="宋体"/>
          <w:color w:val="auto"/>
          <w:sz w:val="24"/>
          <w:szCs w:val="24"/>
          <w:highlight w:val="none"/>
        </w:rPr>
        <w:t>每批</w:t>
      </w:r>
      <w:r>
        <w:rPr>
          <w:rFonts w:hint="eastAsia" w:hAnsi="宋体"/>
          <w:color w:val="auto"/>
          <w:sz w:val="24"/>
          <w:szCs w:val="24"/>
          <w:highlight w:val="none"/>
        </w:rPr>
        <w:t>货</w:t>
      </w:r>
      <w:r>
        <w:rPr>
          <w:rFonts w:hint="eastAsia"/>
          <w:color w:val="auto"/>
          <w:sz w:val="24"/>
          <w:szCs w:val="24"/>
          <w:highlight w:val="none"/>
        </w:rPr>
        <w:t>物</w:t>
      </w:r>
      <w:r>
        <w:rPr>
          <w:color w:val="auto"/>
          <w:sz w:val="24"/>
          <w:szCs w:val="24"/>
          <w:highlight w:val="none"/>
        </w:rPr>
        <w:t>交付运</w:t>
      </w:r>
      <w:r>
        <w:rPr>
          <w:rFonts w:ascii="Times New Roman" w:hAnsi="Times New Roman" w:eastAsia="宋体" w:cs="Times New Roman"/>
          <w:color w:val="auto"/>
          <w:sz w:val="24"/>
          <w:szCs w:val="24"/>
          <w:highlight w:val="none"/>
        </w:rPr>
        <w:t>输后</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小</w:t>
      </w:r>
      <w:r>
        <w:rPr>
          <w:color w:val="auto"/>
          <w:sz w:val="24"/>
          <w:szCs w:val="24"/>
          <w:highlight w:val="none"/>
        </w:rPr>
        <w:t>时内，卖方应通过将下列</w:t>
      </w:r>
      <w:r>
        <w:rPr>
          <w:rFonts w:hint="eastAsia"/>
          <w:color w:val="auto"/>
          <w:sz w:val="24"/>
          <w:szCs w:val="24"/>
          <w:highlight w:val="none"/>
        </w:rPr>
        <w:t>材料、</w:t>
      </w:r>
      <w:r>
        <w:rPr>
          <w:color w:val="auto"/>
          <w:sz w:val="24"/>
          <w:szCs w:val="24"/>
          <w:highlight w:val="none"/>
        </w:rPr>
        <w:t>信息通知买方</w:t>
      </w:r>
      <w:r>
        <w:rPr>
          <w:rFonts w:hint="eastAsia"/>
          <w:color w:val="auto"/>
          <w:sz w:val="24"/>
          <w:szCs w:val="24"/>
          <w:highlight w:val="none"/>
        </w:rPr>
        <w:t>：</w:t>
      </w:r>
      <w:r>
        <w:rPr>
          <w:color w:val="auto"/>
          <w:sz w:val="24"/>
          <w:szCs w:val="24"/>
          <w:highlight w:val="none"/>
        </w:rPr>
        <w:t>合同号</w:t>
      </w:r>
      <w:r>
        <w:rPr>
          <w:rFonts w:hint="eastAsia"/>
          <w:color w:val="auto"/>
          <w:sz w:val="24"/>
          <w:szCs w:val="24"/>
          <w:highlight w:val="none"/>
        </w:rPr>
        <w:t>、</w:t>
      </w:r>
      <w:r>
        <w:rPr>
          <w:color w:val="auto"/>
          <w:sz w:val="24"/>
          <w:szCs w:val="24"/>
          <w:highlight w:val="none"/>
        </w:rPr>
        <w:t>货物名称及编号</w:t>
      </w:r>
      <w:r>
        <w:rPr>
          <w:rFonts w:hint="eastAsia"/>
          <w:color w:val="auto"/>
          <w:sz w:val="24"/>
          <w:szCs w:val="24"/>
          <w:highlight w:val="none"/>
        </w:rPr>
        <w:t>、货物数量、</w:t>
      </w:r>
      <w:r>
        <w:rPr>
          <w:color w:val="auto"/>
          <w:sz w:val="24"/>
          <w:szCs w:val="24"/>
          <w:highlight w:val="none"/>
        </w:rPr>
        <w:t>货物总重量</w:t>
      </w:r>
      <w:r>
        <w:rPr>
          <w:rFonts w:hint="eastAsia"/>
          <w:color w:val="auto"/>
          <w:sz w:val="24"/>
          <w:szCs w:val="24"/>
          <w:highlight w:val="none"/>
        </w:rPr>
        <w:t>和货运单号等。</w:t>
      </w:r>
    </w:p>
    <w:p>
      <w:pPr>
        <w:numPr>
          <w:ilvl w:val="0"/>
          <w:numId w:val="11"/>
        </w:numPr>
        <w:tabs>
          <w:tab w:val="left" w:pos="567"/>
          <w:tab w:val="left" w:pos="709"/>
          <w:tab w:val="clear" w:pos="562"/>
        </w:tabs>
        <w:spacing w:before="72" w:beforeLines="30" w:after="72" w:afterLines="30" w:line="360" w:lineRule="auto"/>
        <w:ind w:left="567" w:hanging="567"/>
        <w:outlineLvl w:val="0"/>
        <w:rPr>
          <w:b/>
          <w:color w:val="auto"/>
          <w:sz w:val="24"/>
          <w:highlight w:val="none"/>
        </w:rPr>
      </w:pPr>
      <w:r>
        <w:rPr>
          <w:rFonts w:hint="eastAsia"/>
          <w:b/>
          <w:color w:val="auto"/>
          <w:sz w:val="24"/>
          <w:highlight w:val="none"/>
        </w:rPr>
        <w:t>包装</w:t>
      </w:r>
    </w:p>
    <w:p>
      <w:pPr>
        <w:pStyle w:val="20"/>
        <w:spacing w:line="360" w:lineRule="auto"/>
        <w:ind w:left="567" w:leftChars="270" w:firstLine="0" w:firstLineChars="0"/>
        <w:rPr>
          <w:rFonts w:hAnsi="宋体"/>
          <w:color w:val="auto"/>
          <w:sz w:val="24"/>
          <w:highlight w:val="none"/>
        </w:rPr>
      </w:pPr>
      <w:r>
        <w:rPr>
          <w:rFonts w:hAnsi="宋体"/>
          <w:color w:val="auto"/>
          <w:sz w:val="24"/>
          <w:highlight w:val="none"/>
        </w:rPr>
        <w:t>卖方应提供将货物</w:t>
      </w:r>
      <w:r>
        <w:rPr>
          <w:rFonts w:hint="eastAsia" w:hAnsi="宋体"/>
          <w:color w:val="auto"/>
          <w:sz w:val="24"/>
          <w:highlight w:val="none"/>
        </w:rPr>
        <w:t>、货物资料</w:t>
      </w:r>
      <w:r>
        <w:rPr>
          <w:rFonts w:hAnsi="宋体"/>
          <w:color w:val="auto"/>
          <w:sz w:val="24"/>
          <w:highlight w:val="none"/>
        </w:rPr>
        <w:t>运至</w:t>
      </w:r>
      <w:r>
        <w:rPr>
          <w:rFonts w:hint="eastAsia" w:hAnsi="宋体"/>
          <w:color w:val="auto"/>
          <w:sz w:val="24"/>
          <w:highlight w:val="none"/>
        </w:rPr>
        <w:t>交货</w:t>
      </w:r>
      <w:r>
        <w:rPr>
          <w:rFonts w:hAnsi="宋体"/>
          <w:color w:val="auto"/>
          <w:sz w:val="24"/>
          <w:highlight w:val="none"/>
        </w:rPr>
        <w:t>地点所需要的包装，以防止货物</w:t>
      </w:r>
      <w:r>
        <w:rPr>
          <w:rFonts w:hint="eastAsia" w:hAnsi="宋体"/>
          <w:color w:val="auto"/>
          <w:sz w:val="24"/>
          <w:highlight w:val="none"/>
        </w:rPr>
        <w:t>、货物资料</w:t>
      </w:r>
      <w:r>
        <w:rPr>
          <w:rFonts w:hAnsi="宋体"/>
          <w:color w:val="auto"/>
          <w:sz w:val="24"/>
          <w:highlight w:val="none"/>
        </w:rPr>
        <w:t>在运输中损坏或变质。货物</w:t>
      </w:r>
      <w:r>
        <w:rPr>
          <w:rFonts w:hint="eastAsia" w:hAnsi="宋体"/>
          <w:color w:val="auto"/>
          <w:sz w:val="24"/>
          <w:highlight w:val="none"/>
        </w:rPr>
        <w:t>、货物资料</w:t>
      </w:r>
      <w:r>
        <w:rPr>
          <w:rFonts w:hAnsi="宋体"/>
          <w:color w:val="auto"/>
          <w:sz w:val="24"/>
          <w:highlight w:val="none"/>
        </w:rPr>
        <w:t>的包装应采用防潮、防晒、防锈、防腐蚀、防震动、防野蛮装卸及防止其它损坏的必要保护措施，保护货物</w:t>
      </w:r>
      <w:r>
        <w:rPr>
          <w:rFonts w:hint="eastAsia" w:hAnsi="宋体"/>
          <w:color w:val="auto"/>
          <w:sz w:val="24"/>
          <w:highlight w:val="none"/>
        </w:rPr>
        <w:t>、货物资料</w:t>
      </w:r>
      <w:r>
        <w:rPr>
          <w:rFonts w:hAnsi="宋体"/>
          <w:color w:val="auto"/>
          <w:sz w:val="24"/>
          <w:highlight w:val="none"/>
        </w:rPr>
        <w:t>能够经受多次搬运、装卸及远洋和内陆长途运输。</w:t>
      </w:r>
    </w:p>
    <w:p>
      <w:pPr>
        <w:numPr>
          <w:ilvl w:val="0"/>
          <w:numId w:val="11"/>
        </w:numPr>
        <w:tabs>
          <w:tab w:val="left" w:pos="567"/>
          <w:tab w:val="left" w:pos="709"/>
          <w:tab w:val="clear" w:pos="562"/>
        </w:tabs>
        <w:spacing w:before="72" w:beforeLines="30" w:after="72" w:afterLines="30" w:line="360" w:lineRule="auto"/>
        <w:ind w:left="567" w:hanging="567"/>
        <w:outlineLvl w:val="0"/>
        <w:rPr>
          <w:b/>
          <w:color w:val="auto"/>
          <w:sz w:val="24"/>
          <w:highlight w:val="none"/>
        </w:rPr>
      </w:pPr>
      <w:r>
        <w:rPr>
          <w:rFonts w:hint="eastAsia"/>
          <w:b/>
          <w:color w:val="auto"/>
          <w:sz w:val="24"/>
          <w:highlight w:val="none"/>
        </w:rPr>
        <w:t>货物资料的交付</w:t>
      </w:r>
    </w:p>
    <w:p>
      <w:pPr>
        <w:pStyle w:val="20"/>
        <w:numPr>
          <w:ilvl w:val="0"/>
          <w:numId w:val="12"/>
        </w:numPr>
        <w:tabs>
          <w:tab w:val="left" w:pos="709"/>
        </w:tabs>
        <w:spacing w:before="72" w:beforeLines="30" w:after="72" w:afterLines="30" w:line="360" w:lineRule="auto"/>
        <w:ind w:firstLineChars="0"/>
        <w:outlineLvl w:val="0"/>
        <w:rPr>
          <w:color w:val="auto"/>
          <w:sz w:val="24"/>
          <w:highlight w:val="none"/>
        </w:rPr>
      </w:pPr>
      <w:r>
        <w:rPr>
          <w:rFonts w:hint="eastAsia"/>
          <w:color w:val="auto"/>
          <w:sz w:val="24"/>
          <w:highlight w:val="none"/>
        </w:rPr>
        <w:t>卖方应根据如下规定向买方交付与货物有关的资料。卖方交付的货物资料应当完整、正确、整洁、书写明确、质量完好，符合行业标准或惯例，并能满足买方正常使用与维护货物之需要。 卖方向买方交付货物、买方验收货物以卖方在交货日将全部货物资料交付买方为前提条件。</w:t>
      </w:r>
      <w:r>
        <w:rPr>
          <w:color w:val="auto"/>
          <w:sz w:val="24"/>
          <w:highlight w:val="none"/>
        </w:rPr>
        <w:t>如买方发现货物资料存在任何</w:t>
      </w:r>
      <w:r>
        <w:rPr>
          <w:rFonts w:hint="eastAsia"/>
          <w:color w:val="auto"/>
          <w:sz w:val="24"/>
          <w:highlight w:val="none"/>
        </w:rPr>
        <w:t>错漏、</w:t>
      </w:r>
      <w:r>
        <w:rPr>
          <w:color w:val="auto"/>
          <w:sz w:val="24"/>
          <w:highlight w:val="none"/>
        </w:rPr>
        <w:t>短缺、损坏、遗失，买方应于收到之日起</w:t>
      </w:r>
      <w:r>
        <w:rPr>
          <w:rFonts w:hint="eastAsia" w:hAnsi="宋体"/>
          <w:color w:val="auto"/>
          <w:sz w:val="24"/>
          <w:highlight w:val="none"/>
        </w:rPr>
        <w:t>合理期限</w:t>
      </w:r>
      <w:r>
        <w:rPr>
          <w:color w:val="auto"/>
          <w:sz w:val="24"/>
          <w:highlight w:val="none"/>
        </w:rPr>
        <w:t>内通知卖方；卖方收到通知</w:t>
      </w:r>
      <w:r>
        <w:rPr>
          <w:rFonts w:hint="eastAsia" w:ascii="Times New Roman" w:hAnsi="宋体" w:eastAsia="宋体" w:cs="Times New Roman"/>
          <w:color w:val="auto"/>
          <w:sz w:val="24"/>
          <w:highlight w:val="none"/>
        </w:rPr>
        <w:t>后【</w:t>
      </w:r>
      <w:r>
        <w:rPr>
          <w:rFonts w:hint="eastAsia" w:ascii="Times New Roman" w:hAnsi="宋体" w:eastAsia="宋体" w:cs="Times New Roman"/>
          <w:color w:val="auto"/>
          <w:sz w:val="24"/>
          <w:highlight w:val="none"/>
          <w:lang w:val="en-US" w:eastAsia="zh-CN"/>
        </w:rPr>
        <w:t>3</w:t>
      </w:r>
      <w:r>
        <w:rPr>
          <w:rFonts w:hint="eastAsia" w:ascii="Times New Roman" w:hAnsi="宋体" w:eastAsia="宋体" w:cs="Times New Roman"/>
          <w:color w:val="auto"/>
          <w:sz w:val="24"/>
          <w:highlight w:val="none"/>
        </w:rPr>
        <w:t>】</w:t>
      </w:r>
      <w:r>
        <w:rPr>
          <w:color w:val="auto"/>
          <w:sz w:val="24"/>
          <w:highlight w:val="none"/>
        </w:rPr>
        <w:t>日内应</w:t>
      </w:r>
      <w:r>
        <w:rPr>
          <w:rFonts w:hint="eastAsia"/>
          <w:color w:val="auto"/>
          <w:sz w:val="24"/>
          <w:highlight w:val="none"/>
        </w:rPr>
        <w:t>自行承担费用</w:t>
      </w:r>
      <w:r>
        <w:rPr>
          <w:color w:val="auto"/>
          <w:sz w:val="24"/>
          <w:highlight w:val="none"/>
        </w:rPr>
        <w:t>将补充或替换的货物资料送达买方，</w:t>
      </w:r>
      <w:r>
        <w:rPr>
          <w:rFonts w:hint="eastAsia"/>
          <w:color w:val="auto"/>
          <w:sz w:val="24"/>
          <w:highlight w:val="none"/>
        </w:rPr>
        <w:t>并</w:t>
      </w:r>
      <w:r>
        <w:rPr>
          <w:color w:val="auto"/>
          <w:sz w:val="24"/>
          <w:highlight w:val="none"/>
        </w:rPr>
        <w:t>不得因此影响交货进度</w:t>
      </w:r>
      <w:r>
        <w:rPr>
          <w:rFonts w:hint="eastAsia"/>
          <w:color w:val="auto"/>
          <w:sz w:val="24"/>
          <w:highlight w:val="none"/>
        </w:rPr>
        <w:t>。</w:t>
      </w:r>
    </w:p>
    <w:p>
      <w:pPr>
        <w:pStyle w:val="20"/>
        <w:numPr>
          <w:ilvl w:val="0"/>
          <w:numId w:val="12"/>
        </w:numPr>
        <w:tabs>
          <w:tab w:val="left" w:pos="709"/>
        </w:tabs>
        <w:spacing w:before="72" w:beforeLines="30" w:after="72" w:afterLines="30" w:line="360" w:lineRule="auto"/>
        <w:ind w:firstLineChars="0"/>
        <w:outlineLvl w:val="0"/>
        <w:rPr>
          <w:rFonts w:hint="eastAsia" w:ascii="Times New Roman" w:hAnsi="Times New Roman" w:eastAsia="宋体" w:cs="Times New Roman"/>
          <w:color w:val="auto"/>
          <w:sz w:val="24"/>
          <w:highlight w:val="none"/>
        </w:rPr>
      </w:pPr>
      <w:r>
        <w:rPr>
          <w:rFonts w:hint="eastAsia"/>
          <w:color w:val="auto"/>
          <w:sz w:val="24"/>
          <w:highlight w:val="none"/>
        </w:rPr>
        <w:t>货物资料的名称、数量及交付时间为：【按买方要求随货物一同交付】。</w:t>
      </w:r>
    </w:p>
    <w:p>
      <w:pPr>
        <w:pStyle w:val="13"/>
        <w:numPr>
          <w:ilvl w:val="0"/>
          <w:numId w:val="6"/>
        </w:numPr>
        <w:tabs>
          <w:tab w:val="left" w:pos="567"/>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货物要求</w:t>
      </w:r>
    </w:p>
    <w:p>
      <w:pPr>
        <w:pStyle w:val="20"/>
        <w:numPr>
          <w:ilvl w:val="0"/>
          <w:numId w:val="13"/>
        </w:numPr>
        <w:spacing w:before="72" w:beforeLines="30" w:after="72" w:afterLines="30" w:line="360" w:lineRule="auto"/>
        <w:ind w:left="567" w:hanging="567" w:firstLineChars="0"/>
        <w:outlineLvl w:val="0"/>
        <w:rPr>
          <w:rFonts w:hAnsi="宋体"/>
          <w:color w:val="auto"/>
          <w:sz w:val="24"/>
          <w:highlight w:val="none"/>
        </w:rPr>
      </w:pPr>
      <w:r>
        <w:rPr>
          <w:rFonts w:hAnsi="宋体"/>
          <w:color w:val="auto"/>
          <w:sz w:val="24"/>
          <w:highlight w:val="none"/>
        </w:rPr>
        <w:t>卖方应根据合同规定</w:t>
      </w:r>
      <w:r>
        <w:rPr>
          <w:rFonts w:hint="eastAsia" w:hAnsi="宋体"/>
          <w:color w:val="auto"/>
          <w:sz w:val="24"/>
          <w:highlight w:val="none"/>
        </w:rPr>
        <w:t>提供</w:t>
      </w:r>
      <w:r>
        <w:rPr>
          <w:rFonts w:hAnsi="宋体"/>
          <w:color w:val="auto"/>
          <w:sz w:val="24"/>
          <w:highlight w:val="none"/>
        </w:rPr>
        <w:t>货物，其提供的货物应符合合同规定的质量、规格及其它要求。如合同未就货物相关环节的质量、规格等予以明确规定，则应符合国家标准。如无国家标准，则应符合行业标准；如无行业标准，应</w:t>
      </w:r>
      <w:r>
        <w:rPr>
          <w:rFonts w:hint="eastAsia" w:hAnsi="宋体"/>
          <w:color w:val="auto"/>
          <w:sz w:val="24"/>
          <w:highlight w:val="none"/>
        </w:rPr>
        <w:t>适用</w:t>
      </w:r>
      <w:r>
        <w:rPr>
          <w:rFonts w:hAnsi="宋体"/>
          <w:color w:val="auto"/>
          <w:sz w:val="24"/>
          <w:highlight w:val="none"/>
        </w:rPr>
        <w:t>符合本合同目的的标准。</w:t>
      </w:r>
    </w:p>
    <w:p>
      <w:pPr>
        <w:pStyle w:val="20"/>
        <w:numPr>
          <w:ilvl w:val="0"/>
          <w:numId w:val="13"/>
        </w:numPr>
        <w:spacing w:before="72" w:beforeLines="30" w:after="72" w:afterLines="30" w:line="360" w:lineRule="auto"/>
        <w:ind w:left="567" w:hanging="567" w:firstLineChars="0"/>
        <w:outlineLvl w:val="0"/>
        <w:rPr>
          <w:rFonts w:hAnsi="宋体"/>
          <w:color w:val="auto"/>
          <w:sz w:val="24"/>
          <w:highlight w:val="none"/>
        </w:rPr>
      </w:pPr>
      <w:r>
        <w:rPr>
          <w:rFonts w:hAnsi="宋体"/>
          <w:color w:val="auto"/>
          <w:sz w:val="24"/>
          <w:highlight w:val="none"/>
        </w:rPr>
        <w:t>在履行合同过程中，买方接受卖方的有关货物的建议和要求或买方的任何批准、认可不得免除卖方</w:t>
      </w:r>
      <w:r>
        <w:rPr>
          <w:rFonts w:hint="eastAsia" w:hAnsi="宋体"/>
          <w:color w:val="auto"/>
          <w:sz w:val="24"/>
          <w:highlight w:val="none"/>
        </w:rPr>
        <w:t>在本合同项下的任何</w:t>
      </w:r>
      <w:r>
        <w:rPr>
          <w:rFonts w:hAnsi="宋体"/>
          <w:color w:val="auto"/>
          <w:sz w:val="24"/>
          <w:highlight w:val="none"/>
        </w:rPr>
        <w:t>义务（包括卖方对货物应符合本合同</w:t>
      </w:r>
      <w:r>
        <w:rPr>
          <w:rFonts w:hint="eastAsia" w:hAnsi="宋体"/>
          <w:color w:val="auto"/>
          <w:sz w:val="24"/>
          <w:highlight w:val="none"/>
        </w:rPr>
        <w:t>规定的</w:t>
      </w:r>
      <w:r>
        <w:rPr>
          <w:rFonts w:hAnsi="宋体"/>
          <w:color w:val="auto"/>
          <w:sz w:val="24"/>
          <w:highlight w:val="none"/>
        </w:rPr>
        <w:t>质量和规格</w:t>
      </w:r>
      <w:r>
        <w:rPr>
          <w:rFonts w:hint="eastAsia" w:hAnsi="宋体"/>
          <w:color w:val="auto"/>
          <w:sz w:val="24"/>
          <w:highlight w:val="none"/>
        </w:rPr>
        <w:t>等</w:t>
      </w:r>
      <w:r>
        <w:rPr>
          <w:rFonts w:hAnsi="宋体"/>
          <w:color w:val="auto"/>
          <w:sz w:val="24"/>
          <w:highlight w:val="none"/>
        </w:rPr>
        <w:t>要求应承担的责任）。</w:t>
      </w:r>
    </w:p>
    <w:p>
      <w:pPr>
        <w:pStyle w:val="13"/>
        <w:numPr>
          <w:ilvl w:val="0"/>
          <w:numId w:val="6"/>
        </w:numPr>
        <w:tabs>
          <w:tab w:val="left" w:pos="567"/>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运输和保险</w:t>
      </w:r>
    </w:p>
    <w:p>
      <w:pPr>
        <w:pStyle w:val="20"/>
        <w:numPr>
          <w:ilvl w:val="0"/>
          <w:numId w:val="14"/>
        </w:numPr>
        <w:spacing w:before="72" w:beforeLines="30" w:after="72" w:afterLines="30" w:line="360" w:lineRule="auto"/>
        <w:ind w:left="567" w:hanging="567" w:firstLineChars="0"/>
        <w:outlineLvl w:val="0"/>
        <w:rPr>
          <w:color w:val="auto"/>
          <w:sz w:val="24"/>
          <w:highlight w:val="none"/>
        </w:rPr>
      </w:pPr>
      <w:r>
        <w:rPr>
          <w:color w:val="auto"/>
          <w:sz w:val="24"/>
          <w:highlight w:val="none"/>
        </w:rPr>
        <w:t>运输</w:t>
      </w:r>
      <w:r>
        <w:rPr>
          <w:rFonts w:hint="eastAsia"/>
          <w:color w:val="auto"/>
          <w:sz w:val="24"/>
          <w:highlight w:val="none"/>
        </w:rPr>
        <w:t>方式</w:t>
      </w:r>
      <w:r>
        <w:rPr>
          <w:rFonts w:hint="eastAsia" w:ascii="Times New Roman" w:hAnsi="宋体" w:eastAsia="宋体" w:cs="Times New Roman"/>
          <w:color w:val="auto"/>
          <w:sz w:val="24"/>
          <w:highlight w:val="none"/>
        </w:rPr>
        <w:t>：【</w:t>
      </w:r>
      <w:r>
        <w:rPr>
          <w:rFonts w:hint="eastAsia" w:hAnsi="宋体" w:cs="Times New Roman"/>
          <w:color w:val="auto"/>
          <w:sz w:val="24"/>
          <w:highlight w:val="none"/>
          <w:lang w:val="en-US" w:eastAsia="zh-CN"/>
        </w:rPr>
        <w:t>卖方自行决定</w:t>
      </w:r>
      <w:r>
        <w:rPr>
          <w:rFonts w:hint="eastAsia" w:ascii="Times New Roman" w:hAnsi="宋体" w:eastAsia="宋体" w:cs="Times New Roman"/>
          <w:color w:val="auto"/>
          <w:sz w:val="24"/>
          <w:highlight w:val="none"/>
        </w:rPr>
        <w:t>】。</w:t>
      </w:r>
    </w:p>
    <w:p>
      <w:pPr>
        <w:pStyle w:val="20"/>
        <w:numPr>
          <w:ilvl w:val="0"/>
          <w:numId w:val="14"/>
        </w:numPr>
        <w:spacing w:before="72" w:beforeLines="30" w:after="72" w:afterLines="30" w:line="360" w:lineRule="auto"/>
        <w:ind w:left="567" w:hanging="567" w:firstLineChars="0"/>
        <w:outlineLvl w:val="0"/>
        <w:rPr>
          <w:rFonts w:hAnsi="宋体"/>
          <w:color w:val="auto"/>
          <w:sz w:val="24"/>
          <w:highlight w:val="none"/>
        </w:rPr>
      </w:pPr>
      <w:r>
        <w:rPr>
          <w:rFonts w:hint="eastAsia"/>
          <w:color w:val="auto"/>
          <w:sz w:val="24"/>
          <w:highlight w:val="none"/>
        </w:rPr>
        <w:t>除非本合同另有明确规定，</w:t>
      </w:r>
      <w:r>
        <w:rPr>
          <w:rFonts w:hAnsi="宋体"/>
          <w:color w:val="auto"/>
          <w:sz w:val="24"/>
          <w:highlight w:val="none"/>
        </w:rPr>
        <w:t>卖方负责将货物</w:t>
      </w:r>
      <w:r>
        <w:rPr>
          <w:rFonts w:hint="eastAsia" w:hAnsi="宋体"/>
          <w:color w:val="auto"/>
          <w:sz w:val="24"/>
          <w:highlight w:val="none"/>
        </w:rPr>
        <w:t>及配套软件、货物资料</w:t>
      </w:r>
      <w:r>
        <w:rPr>
          <w:rFonts w:hAnsi="宋体"/>
          <w:color w:val="auto"/>
          <w:sz w:val="24"/>
          <w:highlight w:val="none"/>
        </w:rPr>
        <w:t>运至交货地点，运输</w:t>
      </w:r>
      <w:r>
        <w:rPr>
          <w:rFonts w:hint="eastAsia" w:ascii="Times New Roman" w:hAnsi="宋体" w:eastAsia="宋体" w:cs="Times New Roman"/>
          <w:color w:val="auto"/>
          <w:sz w:val="24"/>
          <w:highlight w:val="none"/>
        </w:rPr>
        <w:t>费用全部包含于合同总价中。如卖方需改变本合同规定的运输方式，卖方应提前【</w:t>
      </w:r>
      <w:r>
        <w:rPr>
          <w:rFonts w:hint="eastAsia" w:ascii="Times New Roman" w:hAnsi="宋体" w:eastAsia="宋体" w:cs="Times New Roman"/>
          <w:color w:val="auto"/>
          <w:sz w:val="24"/>
          <w:highlight w:val="none"/>
          <w:lang w:val="en-US" w:eastAsia="zh-CN"/>
        </w:rPr>
        <w:t>3日</w:t>
      </w:r>
      <w:r>
        <w:rPr>
          <w:rFonts w:hint="eastAsia" w:ascii="Times New Roman" w:hAnsi="宋体" w:eastAsia="宋体" w:cs="Times New Roman"/>
          <w:color w:val="auto"/>
          <w:sz w:val="24"/>
          <w:highlight w:val="none"/>
        </w:rPr>
        <w:t>】通知买</w:t>
      </w:r>
      <w:r>
        <w:rPr>
          <w:rFonts w:hAnsi="宋体"/>
          <w:color w:val="auto"/>
          <w:sz w:val="24"/>
          <w:highlight w:val="none"/>
        </w:rPr>
        <w:t>方，并获得买方的书面认可</w:t>
      </w:r>
      <w:r>
        <w:rPr>
          <w:rFonts w:hint="eastAsia" w:hAnsi="宋体"/>
          <w:color w:val="auto"/>
          <w:sz w:val="24"/>
          <w:highlight w:val="none"/>
        </w:rPr>
        <w:t>。</w:t>
      </w:r>
    </w:p>
    <w:p>
      <w:pPr>
        <w:pStyle w:val="20"/>
        <w:numPr>
          <w:ilvl w:val="0"/>
          <w:numId w:val="14"/>
        </w:numPr>
        <w:spacing w:before="72" w:beforeLines="30" w:after="72" w:afterLines="30" w:line="360" w:lineRule="auto"/>
        <w:ind w:left="567" w:hanging="567" w:firstLineChars="0"/>
        <w:outlineLvl w:val="0"/>
        <w:rPr>
          <w:rFonts w:hAnsi="宋体"/>
          <w:color w:val="auto"/>
          <w:sz w:val="24"/>
          <w:highlight w:val="none"/>
        </w:rPr>
      </w:pPr>
      <w:r>
        <w:rPr>
          <w:rFonts w:hint="eastAsia" w:hAnsi="宋体"/>
          <w:color w:val="auto"/>
          <w:sz w:val="24"/>
          <w:highlight w:val="none"/>
          <w:lang w:val="en-US" w:eastAsia="zh-CN"/>
        </w:rPr>
        <w:t xml:space="preserve"> </w:t>
      </w:r>
      <w:r>
        <w:rPr>
          <w:rFonts w:hAnsi="宋体"/>
          <w:color w:val="auto"/>
          <w:sz w:val="24"/>
          <w:highlight w:val="none"/>
        </w:rPr>
        <w:t>货物在交货地点的卸货由卖方负责，卸货费用由卖方承担，卖方应在买方指定的地点卸货，且遵守买方有关卸货的指示</w:t>
      </w:r>
      <w:r>
        <w:rPr>
          <w:rFonts w:hint="eastAsia" w:hAnsi="宋体"/>
          <w:color w:val="auto"/>
          <w:sz w:val="24"/>
          <w:highlight w:val="none"/>
        </w:rPr>
        <w:t>。</w:t>
      </w:r>
    </w:p>
    <w:p>
      <w:pPr>
        <w:pStyle w:val="20"/>
        <w:numPr>
          <w:ilvl w:val="0"/>
          <w:numId w:val="14"/>
        </w:numPr>
        <w:spacing w:before="72" w:beforeLines="30" w:after="72" w:afterLines="30" w:line="360" w:lineRule="auto"/>
        <w:ind w:left="567" w:hanging="567" w:firstLineChars="0"/>
        <w:outlineLvl w:val="0"/>
        <w:rPr>
          <w:rFonts w:hAnsi="宋体"/>
          <w:color w:val="auto"/>
          <w:sz w:val="24"/>
          <w:highlight w:val="none"/>
        </w:rPr>
      </w:pPr>
      <w:r>
        <w:rPr>
          <w:rFonts w:hint="eastAsia" w:hAnsi="宋体"/>
          <w:color w:val="auto"/>
          <w:sz w:val="24"/>
          <w:highlight w:val="none"/>
          <w:lang w:val="en-US" w:eastAsia="zh-CN"/>
        </w:rPr>
        <w:t xml:space="preserve"> </w:t>
      </w:r>
      <w:r>
        <w:rPr>
          <w:rFonts w:hAnsi="宋体"/>
          <w:color w:val="auto"/>
          <w:sz w:val="24"/>
          <w:highlight w:val="none"/>
        </w:rPr>
        <w:t>卖方承担与货物</w:t>
      </w:r>
      <w:r>
        <w:rPr>
          <w:rFonts w:hint="eastAsia" w:hAnsi="宋体"/>
          <w:color w:val="auto"/>
          <w:sz w:val="24"/>
          <w:highlight w:val="none"/>
        </w:rPr>
        <w:t>和货物资料</w:t>
      </w:r>
      <w:r>
        <w:rPr>
          <w:rFonts w:hAnsi="宋体"/>
          <w:color w:val="auto"/>
          <w:sz w:val="24"/>
          <w:highlight w:val="none"/>
        </w:rPr>
        <w:t>运输相关的全部费用，该等费用已包含于合同总价中。</w:t>
      </w:r>
    </w:p>
    <w:p>
      <w:pPr>
        <w:pStyle w:val="20"/>
        <w:numPr>
          <w:ilvl w:val="0"/>
          <w:numId w:val="14"/>
        </w:numPr>
        <w:spacing w:line="360" w:lineRule="auto"/>
        <w:ind w:left="567" w:hanging="567" w:firstLineChars="0"/>
        <w:rPr>
          <w:color w:val="auto"/>
          <w:sz w:val="24"/>
          <w:highlight w:val="none"/>
        </w:rPr>
      </w:pPr>
      <w:r>
        <w:rPr>
          <w:rFonts w:hint="eastAsia"/>
          <w:color w:val="auto"/>
          <w:sz w:val="24"/>
          <w:highlight w:val="none"/>
        </w:rPr>
        <w:t>运输保险</w:t>
      </w:r>
    </w:p>
    <w:p>
      <w:pPr>
        <w:pStyle w:val="20"/>
        <w:spacing w:line="360" w:lineRule="auto"/>
        <w:ind w:left="567" w:firstLine="0" w:firstLineChars="0"/>
        <w:rPr>
          <w:rFonts w:hAnsi="宋体"/>
          <w:bCs/>
          <w:color w:val="auto"/>
          <w:sz w:val="24"/>
          <w:highlight w:val="none"/>
        </w:rPr>
      </w:pPr>
      <w:r>
        <w:rPr>
          <w:rFonts w:hAnsi="宋体"/>
          <w:color w:val="auto"/>
          <w:sz w:val="24"/>
          <w:highlight w:val="none"/>
        </w:rPr>
        <w:t>卖方应</w:t>
      </w:r>
      <w:r>
        <w:rPr>
          <w:rFonts w:hAnsi="宋体"/>
          <w:bCs/>
          <w:color w:val="auto"/>
          <w:sz w:val="24"/>
          <w:highlight w:val="none"/>
        </w:rPr>
        <w:t>根据运输方式，向</w:t>
      </w:r>
      <w:r>
        <w:rPr>
          <w:rFonts w:hint="eastAsia" w:hAnsi="宋体"/>
          <w:bCs/>
          <w:color w:val="auto"/>
          <w:sz w:val="24"/>
          <w:highlight w:val="none"/>
        </w:rPr>
        <w:t>买方认可的、拥有合法资质的著名保险公司投保货物运输一切险或综合险，保险</w:t>
      </w:r>
      <w:r>
        <w:rPr>
          <w:rFonts w:hAnsi="宋体"/>
          <w:bCs/>
          <w:color w:val="auto"/>
          <w:sz w:val="24"/>
          <w:highlight w:val="none"/>
        </w:rPr>
        <w:t>金额不低于合同总价，</w:t>
      </w:r>
      <w:r>
        <w:rPr>
          <w:rFonts w:hint="eastAsia" w:hAnsi="宋体"/>
          <w:bCs/>
          <w:color w:val="auto"/>
          <w:sz w:val="24"/>
          <w:highlight w:val="none"/>
        </w:rPr>
        <w:t>并将买方列为共同被保险人或受益人。保障</w:t>
      </w:r>
      <w:r>
        <w:rPr>
          <w:rFonts w:hAnsi="宋体"/>
          <w:bCs/>
          <w:color w:val="auto"/>
          <w:sz w:val="24"/>
          <w:highlight w:val="none"/>
        </w:rPr>
        <w:t>区段为卖方制造厂存储货物的仓库到项目现场用于存储货物的仓库，</w:t>
      </w:r>
      <w:r>
        <w:rPr>
          <w:rFonts w:hint="eastAsia" w:hAnsi="宋体"/>
          <w:bCs/>
          <w:color w:val="auto"/>
          <w:sz w:val="24"/>
          <w:highlight w:val="none"/>
        </w:rPr>
        <w:t>保险期限</w:t>
      </w:r>
      <w:r>
        <w:rPr>
          <w:rFonts w:hAnsi="宋体"/>
          <w:bCs/>
          <w:color w:val="auto"/>
          <w:sz w:val="24"/>
          <w:highlight w:val="none"/>
        </w:rPr>
        <w:t>始于装货（含装货）止</w:t>
      </w:r>
      <w:r>
        <w:rPr>
          <w:rFonts w:ascii="Times New Roman" w:hAnsi="宋体" w:eastAsia="宋体" w:cs="Times New Roman"/>
          <w:bCs/>
          <w:color w:val="auto"/>
          <w:sz w:val="24"/>
          <w:highlight w:val="none"/>
        </w:rPr>
        <w:t>于</w:t>
      </w:r>
      <w:r>
        <w:rPr>
          <w:rFonts w:hint="eastAsia" w:ascii="Times New Roman" w:hAnsi="宋体" w:eastAsia="宋体" w:cs="Times New Roman"/>
          <w:bCs/>
          <w:color w:val="auto"/>
          <w:sz w:val="24"/>
          <w:highlight w:val="none"/>
        </w:rPr>
        <w:t>【</w:t>
      </w:r>
      <w:r>
        <w:rPr>
          <w:rFonts w:ascii="Times New Roman" w:hAnsi="宋体" w:eastAsia="宋体" w:cs="Times New Roman"/>
          <w:bCs/>
          <w:color w:val="auto"/>
          <w:sz w:val="24"/>
          <w:highlight w:val="none"/>
        </w:rPr>
        <w:t>卸货后</w:t>
      </w:r>
      <w:r>
        <w:rPr>
          <w:rFonts w:hint="eastAsia" w:hAnsi="宋体"/>
          <w:bCs/>
          <w:color w:val="auto"/>
          <w:sz w:val="24"/>
          <w:highlight w:val="none"/>
        </w:rPr>
        <w:t>三十（30）</w:t>
      </w:r>
      <w:r>
        <w:rPr>
          <w:rFonts w:hAnsi="宋体"/>
          <w:bCs/>
          <w:color w:val="auto"/>
          <w:sz w:val="24"/>
          <w:highlight w:val="none"/>
        </w:rPr>
        <w:t>日。</w:t>
      </w:r>
    </w:p>
    <w:p>
      <w:pPr>
        <w:pStyle w:val="20"/>
        <w:numPr>
          <w:ilvl w:val="0"/>
          <w:numId w:val="14"/>
        </w:numPr>
        <w:spacing w:line="360" w:lineRule="auto"/>
        <w:ind w:left="420" w:leftChars="0" w:hanging="420" w:firstLineChars="0"/>
        <w:rPr>
          <w:color w:val="auto"/>
          <w:sz w:val="24"/>
          <w:szCs w:val="24"/>
          <w:highlight w:val="none"/>
        </w:rPr>
      </w:pPr>
      <w:r>
        <w:rPr>
          <w:rFonts w:hint="eastAsia"/>
          <w:color w:val="auto"/>
          <w:sz w:val="24"/>
          <w:szCs w:val="24"/>
          <w:highlight w:val="none"/>
        </w:rPr>
        <w:t>关于运输、卸货等内容的特别约定：</w:t>
      </w:r>
      <w:r>
        <w:rPr>
          <w:rFonts w:hint="eastAsia" w:asciiTheme="minorEastAsia" w:hAnsiTheme="minorEastAsia" w:eastAsiaTheme="minorEastAsia" w:cstheme="minorEastAsia"/>
          <w:color w:val="auto"/>
          <w:sz w:val="24"/>
          <w:szCs w:val="24"/>
          <w:highlight w:val="none"/>
          <w:lang w:eastAsia="zh-CN"/>
        </w:rPr>
        <w:t>送货至厂区指定卸货地点，需至少提前2天上报车辆及司机相关信息，进厂区后遵守国家管网QHSE管理要求等。</w:t>
      </w:r>
    </w:p>
    <w:p>
      <w:pPr>
        <w:pStyle w:val="13"/>
        <w:numPr>
          <w:ilvl w:val="0"/>
          <w:numId w:val="6"/>
        </w:numPr>
        <w:tabs>
          <w:tab w:val="left" w:pos="567"/>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验收</w:t>
      </w:r>
    </w:p>
    <w:p>
      <w:pPr>
        <w:numPr>
          <w:ilvl w:val="0"/>
          <w:numId w:val="15"/>
        </w:numPr>
        <w:tabs>
          <w:tab w:val="left" w:pos="567"/>
          <w:tab w:val="left" w:pos="709"/>
          <w:tab w:val="clear" w:pos="1860"/>
        </w:tabs>
        <w:snapToGrid w:val="0"/>
        <w:spacing w:before="72" w:beforeLines="30" w:after="72" w:afterLines="30" w:line="360" w:lineRule="auto"/>
        <w:ind w:left="567" w:hanging="567"/>
        <w:rPr>
          <w:b/>
          <w:color w:val="auto"/>
          <w:sz w:val="24"/>
          <w:highlight w:val="none"/>
        </w:rPr>
      </w:pPr>
      <w:r>
        <w:rPr>
          <w:rFonts w:hint="eastAsia"/>
          <w:color w:val="auto"/>
          <w:sz w:val="24"/>
          <w:highlight w:val="none"/>
        </w:rPr>
        <w:t>合同货物交付前，卖方应对其进行全面检验，并在交付货物时向买方提交货物的质量合格证书。</w:t>
      </w:r>
    </w:p>
    <w:p>
      <w:pPr>
        <w:numPr>
          <w:ilvl w:val="0"/>
          <w:numId w:val="15"/>
        </w:numPr>
        <w:tabs>
          <w:tab w:val="left" w:pos="567"/>
          <w:tab w:val="left" w:pos="709"/>
          <w:tab w:val="clear" w:pos="1860"/>
        </w:tabs>
        <w:snapToGrid w:val="0"/>
        <w:spacing w:before="72" w:beforeLines="30" w:after="72" w:afterLines="30" w:line="360" w:lineRule="auto"/>
        <w:ind w:left="567" w:hanging="567"/>
        <w:rPr>
          <w:b/>
          <w:color w:val="auto"/>
          <w:sz w:val="24"/>
          <w:highlight w:val="none"/>
        </w:rPr>
      </w:pPr>
      <w:r>
        <w:rPr>
          <w:rFonts w:hint="eastAsia" w:hAnsi="宋体"/>
          <w:color w:val="auto"/>
          <w:sz w:val="24"/>
          <w:highlight w:val="none"/>
        </w:rPr>
        <w:t>货物运抵交货地点时，双方应共同对货物进行验收。如果货物通过验收，买方向卖方签发验收证明。如货物不符合本合同的规定，买方有权拒绝接受货物。</w:t>
      </w:r>
    </w:p>
    <w:p>
      <w:pPr>
        <w:numPr>
          <w:ilvl w:val="0"/>
          <w:numId w:val="15"/>
        </w:numPr>
        <w:tabs>
          <w:tab w:val="left" w:pos="567"/>
          <w:tab w:val="left" w:pos="709"/>
          <w:tab w:val="clear" w:pos="1860"/>
        </w:tabs>
        <w:snapToGrid w:val="0"/>
        <w:spacing w:before="72" w:beforeLines="30" w:after="72" w:afterLines="30" w:line="360" w:lineRule="auto"/>
        <w:ind w:left="567" w:hanging="567"/>
        <w:rPr>
          <w:color w:val="auto"/>
          <w:sz w:val="24"/>
          <w:highlight w:val="none"/>
        </w:rPr>
      </w:pPr>
      <w:r>
        <w:rPr>
          <w:rFonts w:hint="eastAsia" w:hAnsi="宋体"/>
          <w:color w:val="auto"/>
          <w:sz w:val="24"/>
          <w:highlight w:val="none"/>
        </w:rPr>
        <w:t>买方验收货物不减少、免除卖方在本合同项下的任何义务（包括卖方对货物应符合本合同质量、规格要求应承担的责任）。</w:t>
      </w:r>
    </w:p>
    <w:p>
      <w:pPr>
        <w:pStyle w:val="13"/>
        <w:numPr>
          <w:ilvl w:val="0"/>
          <w:numId w:val="6"/>
        </w:numPr>
        <w:tabs>
          <w:tab w:val="left" w:pos="567"/>
        </w:tabs>
        <w:spacing w:before="72" w:beforeLines="30" w:after="72" w:afterLines="30" w:line="360" w:lineRule="auto"/>
        <w:ind w:left="567" w:hanging="567"/>
        <w:jc w:val="left"/>
        <w:rPr>
          <w:rFonts w:ascii="Times New Roman" w:hAnsi="Times New Roman"/>
          <w:color w:val="auto"/>
          <w:sz w:val="24"/>
          <w:szCs w:val="24"/>
          <w:highlight w:val="none"/>
        </w:rPr>
      </w:pPr>
      <w:r>
        <w:rPr>
          <w:rFonts w:ascii="Times New Roman" w:hAnsi="Times New Roman"/>
          <w:color w:val="auto"/>
          <w:sz w:val="24"/>
          <w:szCs w:val="24"/>
          <w:highlight w:val="none"/>
        </w:rPr>
        <w:t>风险和</w:t>
      </w:r>
      <w:r>
        <w:rPr>
          <w:rFonts w:hint="eastAsia" w:ascii="Times New Roman" w:hAnsi="Times New Roman"/>
          <w:color w:val="auto"/>
          <w:sz w:val="24"/>
          <w:szCs w:val="24"/>
          <w:highlight w:val="none"/>
        </w:rPr>
        <w:t>所有</w:t>
      </w:r>
      <w:r>
        <w:rPr>
          <w:rFonts w:ascii="Times New Roman" w:hAnsi="Times New Roman"/>
          <w:color w:val="auto"/>
          <w:sz w:val="24"/>
          <w:szCs w:val="24"/>
          <w:highlight w:val="none"/>
        </w:rPr>
        <w:t>权的转移</w:t>
      </w:r>
    </w:p>
    <w:p>
      <w:pPr>
        <w:numPr>
          <w:ilvl w:val="0"/>
          <w:numId w:val="16"/>
        </w:numPr>
        <w:tabs>
          <w:tab w:val="left" w:pos="567"/>
          <w:tab w:val="left" w:pos="709"/>
          <w:tab w:val="left" w:pos="3060"/>
        </w:tabs>
        <w:spacing w:before="72" w:beforeLines="30" w:after="72" w:afterLines="30" w:line="360" w:lineRule="auto"/>
        <w:ind w:left="567" w:hanging="567"/>
        <w:rPr>
          <w:color w:val="auto"/>
          <w:sz w:val="24"/>
          <w:highlight w:val="none"/>
        </w:rPr>
      </w:pPr>
      <w:r>
        <w:rPr>
          <w:color w:val="auto"/>
          <w:sz w:val="24"/>
          <w:highlight w:val="none"/>
        </w:rPr>
        <w:t>除非本合同另有明确规定，</w:t>
      </w:r>
      <w:r>
        <w:rPr>
          <w:rFonts w:hint="eastAsia"/>
          <w:color w:val="auto"/>
          <w:sz w:val="24"/>
          <w:highlight w:val="none"/>
        </w:rPr>
        <w:t>卖方</w:t>
      </w:r>
      <w:r>
        <w:rPr>
          <w:color w:val="auto"/>
          <w:sz w:val="24"/>
          <w:highlight w:val="none"/>
        </w:rPr>
        <w:t>在指定交货地点</w:t>
      </w:r>
      <w:r>
        <w:rPr>
          <w:rFonts w:hint="eastAsia"/>
          <w:color w:val="auto"/>
          <w:sz w:val="24"/>
          <w:highlight w:val="none"/>
        </w:rPr>
        <w:t>将货物交付给买方且买方签收货物之</w:t>
      </w:r>
      <w:r>
        <w:rPr>
          <w:color w:val="auto"/>
          <w:sz w:val="24"/>
          <w:highlight w:val="none"/>
        </w:rPr>
        <w:t>前</w:t>
      </w:r>
      <w:r>
        <w:rPr>
          <w:rFonts w:hint="eastAsia"/>
          <w:color w:val="auto"/>
          <w:sz w:val="24"/>
          <w:highlight w:val="none"/>
        </w:rPr>
        <w:t>，货物的一切</w:t>
      </w:r>
      <w:r>
        <w:rPr>
          <w:color w:val="auto"/>
          <w:sz w:val="24"/>
          <w:highlight w:val="none"/>
        </w:rPr>
        <w:t>风险</w:t>
      </w:r>
      <w:r>
        <w:rPr>
          <w:rFonts w:hint="eastAsia"/>
          <w:color w:val="auto"/>
          <w:sz w:val="24"/>
          <w:highlight w:val="none"/>
        </w:rPr>
        <w:t>（</w:t>
      </w:r>
      <w:r>
        <w:rPr>
          <w:color w:val="auto"/>
          <w:sz w:val="24"/>
          <w:highlight w:val="none"/>
        </w:rPr>
        <w:t>包括</w:t>
      </w:r>
      <w:r>
        <w:rPr>
          <w:rFonts w:hint="eastAsia"/>
          <w:color w:val="auto"/>
          <w:sz w:val="24"/>
          <w:highlight w:val="none"/>
        </w:rPr>
        <w:t>货物</w:t>
      </w:r>
      <w:r>
        <w:rPr>
          <w:color w:val="auto"/>
          <w:sz w:val="24"/>
          <w:highlight w:val="none"/>
        </w:rPr>
        <w:t>在制造、储存和</w:t>
      </w:r>
      <w:r>
        <w:rPr>
          <w:rFonts w:hint="eastAsia"/>
          <w:color w:val="auto"/>
          <w:sz w:val="24"/>
          <w:highlight w:val="none"/>
        </w:rPr>
        <w:t>自</w:t>
      </w:r>
      <w:r>
        <w:rPr>
          <w:color w:val="auto"/>
          <w:sz w:val="24"/>
          <w:highlight w:val="none"/>
        </w:rPr>
        <w:t>发货地点至指定</w:t>
      </w:r>
      <w:r>
        <w:rPr>
          <w:rFonts w:hint="eastAsia"/>
          <w:color w:val="auto"/>
          <w:sz w:val="24"/>
          <w:highlight w:val="none"/>
        </w:rPr>
        <w:t>交</w:t>
      </w:r>
      <w:r>
        <w:rPr>
          <w:color w:val="auto"/>
          <w:sz w:val="24"/>
          <w:highlight w:val="none"/>
        </w:rPr>
        <w:t>货地点运输</w:t>
      </w:r>
      <w:r>
        <w:rPr>
          <w:rFonts w:hint="eastAsia"/>
          <w:color w:val="auto"/>
          <w:sz w:val="24"/>
          <w:highlight w:val="none"/>
        </w:rPr>
        <w:t>及装卸货</w:t>
      </w:r>
      <w:r>
        <w:rPr>
          <w:color w:val="auto"/>
          <w:sz w:val="24"/>
          <w:highlight w:val="none"/>
        </w:rPr>
        <w:t>过程中</w:t>
      </w:r>
      <w:r>
        <w:rPr>
          <w:rFonts w:hint="eastAsia"/>
          <w:color w:val="auto"/>
          <w:sz w:val="24"/>
          <w:highlight w:val="none"/>
        </w:rPr>
        <w:t>毁损、灭失的</w:t>
      </w:r>
      <w:r>
        <w:rPr>
          <w:color w:val="auto"/>
          <w:sz w:val="24"/>
          <w:highlight w:val="none"/>
        </w:rPr>
        <w:t>风险</w:t>
      </w:r>
      <w:r>
        <w:rPr>
          <w:rFonts w:hint="eastAsia"/>
          <w:color w:val="auto"/>
          <w:sz w:val="24"/>
          <w:highlight w:val="none"/>
        </w:rPr>
        <w:t>）由卖方承担。卖方在指定交货地点将货物交付给买方且买方签收货物之后，货物</w:t>
      </w:r>
      <w:r>
        <w:rPr>
          <w:color w:val="auto"/>
          <w:sz w:val="24"/>
          <w:highlight w:val="none"/>
        </w:rPr>
        <w:t>的</w:t>
      </w:r>
      <w:r>
        <w:rPr>
          <w:rFonts w:hint="eastAsia"/>
          <w:color w:val="auto"/>
          <w:sz w:val="24"/>
          <w:highlight w:val="none"/>
        </w:rPr>
        <w:t>一切</w:t>
      </w:r>
      <w:r>
        <w:rPr>
          <w:color w:val="auto"/>
          <w:sz w:val="24"/>
          <w:highlight w:val="none"/>
        </w:rPr>
        <w:t>风险</w:t>
      </w:r>
      <w:r>
        <w:rPr>
          <w:rFonts w:hint="eastAsia"/>
          <w:color w:val="auto"/>
          <w:sz w:val="24"/>
          <w:highlight w:val="none"/>
        </w:rPr>
        <w:t>由买</w:t>
      </w:r>
      <w:r>
        <w:rPr>
          <w:color w:val="auto"/>
          <w:sz w:val="24"/>
          <w:highlight w:val="none"/>
        </w:rPr>
        <w:t>方</w:t>
      </w:r>
      <w:r>
        <w:rPr>
          <w:rFonts w:hint="eastAsia"/>
          <w:color w:val="auto"/>
          <w:sz w:val="24"/>
          <w:highlight w:val="none"/>
        </w:rPr>
        <w:t>承担</w:t>
      </w:r>
      <w:r>
        <w:rPr>
          <w:color w:val="auto"/>
          <w:sz w:val="24"/>
          <w:highlight w:val="none"/>
        </w:rPr>
        <w:t>。</w:t>
      </w:r>
    </w:p>
    <w:p>
      <w:pPr>
        <w:numPr>
          <w:ilvl w:val="0"/>
          <w:numId w:val="16"/>
        </w:numPr>
        <w:tabs>
          <w:tab w:val="left" w:pos="567"/>
          <w:tab w:val="left" w:pos="709"/>
          <w:tab w:val="left" w:pos="3060"/>
        </w:tabs>
        <w:spacing w:before="72" w:beforeLines="30" w:after="72" w:afterLines="30" w:line="360" w:lineRule="auto"/>
        <w:ind w:left="567" w:hanging="567"/>
        <w:rPr>
          <w:color w:val="auto"/>
          <w:sz w:val="24"/>
          <w:highlight w:val="none"/>
        </w:rPr>
      </w:pPr>
      <w:r>
        <w:rPr>
          <w:rFonts w:hint="eastAsia"/>
          <w:color w:val="auto"/>
          <w:sz w:val="24"/>
          <w:highlight w:val="none"/>
        </w:rPr>
        <w:t>未经买方同意，卖方将货物留置或自行处置，不得视为货物合法、有效地交付买方。未经合法、有效交付，货物的风险仍由卖方承担。</w:t>
      </w:r>
    </w:p>
    <w:p>
      <w:pPr>
        <w:numPr>
          <w:ilvl w:val="0"/>
          <w:numId w:val="16"/>
        </w:numPr>
        <w:tabs>
          <w:tab w:val="left" w:pos="567"/>
          <w:tab w:val="left" w:pos="709"/>
          <w:tab w:val="left" w:pos="3060"/>
        </w:tabs>
        <w:spacing w:before="72" w:beforeLines="30" w:after="72" w:afterLines="30" w:line="360" w:lineRule="auto"/>
        <w:ind w:left="567" w:hanging="567"/>
        <w:rPr>
          <w:color w:val="auto"/>
          <w:sz w:val="24"/>
          <w:highlight w:val="none"/>
        </w:rPr>
      </w:pPr>
      <w:r>
        <w:rPr>
          <w:rFonts w:hint="eastAsia"/>
          <w:color w:val="auto"/>
          <w:sz w:val="24"/>
          <w:highlight w:val="none"/>
        </w:rPr>
        <w:t>虽然有前述规定，但是，如果货物的风险系因卖方违反合同规定、卖方的过错或者其它可归咎于卖方的原因造成的，货物的风险由卖方承担。</w:t>
      </w:r>
    </w:p>
    <w:p>
      <w:pPr>
        <w:numPr>
          <w:ilvl w:val="0"/>
          <w:numId w:val="16"/>
        </w:numPr>
        <w:tabs>
          <w:tab w:val="left" w:pos="567"/>
          <w:tab w:val="left" w:pos="709"/>
          <w:tab w:val="left" w:pos="3060"/>
        </w:tabs>
        <w:spacing w:before="72" w:beforeLines="30" w:after="72" w:afterLines="30" w:line="360" w:lineRule="auto"/>
        <w:ind w:left="567" w:hanging="567"/>
        <w:rPr>
          <w:color w:val="auto"/>
          <w:sz w:val="24"/>
          <w:highlight w:val="none"/>
        </w:rPr>
      </w:pPr>
      <w:r>
        <w:rPr>
          <w:color w:val="auto"/>
          <w:sz w:val="24"/>
          <w:highlight w:val="none"/>
        </w:rPr>
        <w:t>卖方在</w:t>
      </w:r>
      <w:r>
        <w:rPr>
          <w:rFonts w:hint="eastAsia"/>
          <w:color w:val="auto"/>
          <w:sz w:val="24"/>
          <w:highlight w:val="none"/>
        </w:rPr>
        <w:t>约定</w:t>
      </w:r>
      <w:r>
        <w:rPr>
          <w:color w:val="auto"/>
          <w:sz w:val="24"/>
          <w:highlight w:val="none"/>
        </w:rPr>
        <w:t>交货地点交货后，</w:t>
      </w:r>
      <w:r>
        <w:rPr>
          <w:rFonts w:hint="eastAsia"/>
          <w:color w:val="auto"/>
          <w:sz w:val="24"/>
          <w:highlight w:val="none"/>
        </w:rPr>
        <w:t>货物</w:t>
      </w:r>
      <w:r>
        <w:rPr>
          <w:color w:val="auto"/>
          <w:sz w:val="24"/>
          <w:highlight w:val="none"/>
        </w:rPr>
        <w:t>的</w:t>
      </w:r>
      <w:r>
        <w:rPr>
          <w:rFonts w:hint="eastAsia"/>
          <w:color w:val="auto"/>
          <w:sz w:val="24"/>
          <w:highlight w:val="none"/>
        </w:rPr>
        <w:t>所有</w:t>
      </w:r>
      <w:r>
        <w:rPr>
          <w:color w:val="auto"/>
          <w:sz w:val="24"/>
          <w:highlight w:val="none"/>
        </w:rPr>
        <w:t>权转移</w:t>
      </w:r>
      <w:r>
        <w:rPr>
          <w:rFonts w:hint="eastAsia"/>
          <w:color w:val="auto"/>
          <w:sz w:val="24"/>
          <w:highlight w:val="none"/>
        </w:rPr>
        <w:t>至</w:t>
      </w:r>
      <w:r>
        <w:rPr>
          <w:color w:val="auto"/>
          <w:sz w:val="24"/>
          <w:highlight w:val="none"/>
        </w:rPr>
        <w:t>买方。</w:t>
      </w:r>
    </w:p>
    <w:p>
      <w:pPr>
        <w:pStyle w:val="13"/>
        <w:numPr>
          <w:ilvl w:val="0"/>
          <w:numId w:val="6"/>
        </w:numPr>
        <w:tabs>
          <w:tab w:val="left" w:pos="993"/>
        </w:tabs>
        <w:spacing w:before="72" w:beforeLines="30" w:after="72" w:afterLines="30" w:line="360" w:lineRule="auto"/>
        <w:ind w:left="567" w:hanging="567"/>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技术服务</w:t>
      </w:r>
    </w:p>
    <w:p>
      <w:pPr>
        <w:numPr>
          <w:ilvl w:val="0"/>
          <w:numId w:val="17"/>
        </w:numPr>
        <w:tabs>
          <w:tab w:val="left" w:pos="567"/>
          <w:tab w:val="clear" w:pos="1860"/>
        </w:tabs>
        <w:snapToGrid w:val="0"/>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卖方应根据本合同的规定提供技术服务。相关费用已经包含在合同总价中，技术服务的内容和具体要求【</w:t>
      </w:r>
      <w:r>
        <w:rPr>
          <w:rFonts w:hint="eastAsia" w:hAnsi="宋体"/>
          <w:i/>
          <w:color w:val="auto"/>
          <w:sz w:val="24"/>
          <w:highlight w:val="none"/>
        </w:rPr>
        <w:t>详见本合同附件二</w:t>
      </w:r>
      <w:r>
        <w:rPr>
          <w:rFonts w:hint="eastAsia" w:hAnsi="宋体"/>
          <w:color w:val="auto"/>
          <w:sz w:val="24"/>
          <w:highlight w:val="none"/>
        </w:rPr>
        <w:t>】。</w:t>
      </w:r>
    </w:p>
    <w:p>
      <w:pPr>
        <w:numPr>
          <w:ilvl w:val="0"/>
          <w:numId w:val="17"/>
        </w:numPr>
        <w:tabs>
          <w:tab w:val="left" w:pos="567"/>
        </w:tabs>
        <w:snapToGrid w:val="0"/>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卖方应根据买方要求，指派服务人员到项目现场或买方指定的其它地点提供技术服务。</w:t>
      </w:r>
    </w:p>
    <w:p>
      <w:pPr>
        <w:numPr>
          <w:ilvl w:val="0"/>
          <w:numId w:val="17"/>
        </w:numPr>
        <w:tabs>
          <w:tab w:val="left" w:pos="567"/>
        </w:tabs>
        <w:snapToGrid w:val="0"/>
        <w:spacing w:before="72" w:beforeLines="30" w:after="72" w:afterLines="30" w:line="360" w:lineRule="auto"/>
        <w:ind w:left="567" w:hanging="567"/>
        <w:rPr>
          <w:color w:val="auto"/>
          <w:sz w:val="24"/>
          <w:highlight w:val="none"/>
        </w:rPr>
      </w:pPr>
      <w:r>
        <w:rPr>
          <w:rFonts w:hint="eastAsia" w:hAnsi="宋体"/>
          <w:color w:val="auto"/>
          <w:sz w:val="24"/>
          <w:highlight w:val="none"/>
        </w:rPr>
        <w:t>如果买方认为卖方指派的服务人员提供的技术服务无法满足本合同的要求，卖方应更换服务人员并负担由此产生的全部费用。</w:t>
      </w:r>
    </w:p>
    <w:p>
      <w:pPr>
        <w:numPr>
          <w:ilvl w:val="0"/>
          <w:numId w:val="17"/>
        </w:numPr>
        <w:tabs>
          <w:tab w:val="left" w:pos="567"/>
        </w:tabs>
        <w:snapToGrid w:val="0"/>
        <w:spacing w:before="72" w:beforeLines="30" w:after="72" w:afterLines="30" w:line="360" w:lineRule="auto"/>
        <w:ind w:left="567" w:hanging="567"/>
        <w:rPr>
          <w:color w:val="auto"/>
          <w:sz w:val="24"/>
          <w:highlight w:val="none"/>
        </w:rPr>
      </w:pPr>
      <w:r>
        <w:rPr>
          <w:rFonts w:hint="eastAsia"/>
          <w:color w:val="auto"/>
          <w:sz w:val="24"/>
          <w:highlight w:val="none"/>
        </w:rPr>
        <w:t>卖方指派的服务人员在为买方提供技术服务期间所遭受的人身和财产损失由卖方自行承担，除非该人身损害系因买方造成或该财产损失系因买方重大过失造成。</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权利保证</w:t>
      </w:r>
    </w:p>
    <w:p>
      <w:pPr>
        <w:widowControl/>
        <w:numPr>
          <w:ilvl w:val="0"/>
          <w:numId w:val="18"/>
        </w:numPr>
        <w:tabs>
          <w:tab w:val="left" w:pos="567"/>
          <w:tab w:val="left" w:pos="709"/>
        </w:tabs>
        <w:spacing w:before="72" w:beforeLines="30" w:after="72" w:afterLines="30" w:line="360" w:lineRule="auto"/>
        <w:ind w:left="567" w:hanging="567"/>
        <w:rPr>
          <w:color w:val="auto"/>
          <w:sz w:val="24"/>
          <w:highlight w:val="none"/>
        </w:rPr>
      </w:pPr>
      <w:r>
        <w:rPr>
          <w:color w:val="auto"/>
          <w:sz w:val="24"/>
          <w:highlight w:val="none"/>
        </w:rPr>
        <w:t>卖方保证，</w:t>
      </w:r>
      <w:r>
        <w:rPr>
          <w:rFonts w:hint="eastAsia"/>
          <w:color w:val="auto"/>
          <w:sz w:val="24"/>
          <w:highlight w:val="none"/>
        </w:rPr>
        <w:t>货物未</w:t>
      </w:r>
      <w:r>
        <w:rPr>
          <w:color w:val="auto"/>
          <w:sz w:val="24"/>
          <w:highlight w:val="none"/>
        </w:rPr>
        <w:t>侵犯任何第三方的专利权、商标权</w:t>
      </w:r>
      <w:r>
        <w:rPr>
          <w:rFonts w:hint="eastAsia"/>
          <w:color w:val="auto"/>
          <w:sz w:val="24"/>
          <w:highlight w:val="none"/>
        </w:rPr>
        <w:t>或其它知识产</w:t>
      </w:r>
      <w:r>
        <w:rPr>
          <w:color w:val="auto"/>
          <w:sz w:val="24"/>
          <w:highlight w:val="none"/>
        </w:rPr>
        <w:t>权</w:t>
      </w:r>
      <w:r>
        <w:rPr>
          <w:rFonts w:hint="eastAsia"/>
          <w:color w:val="auto"/>
          <w:sz w:val="24"/>
          <w:highlight w:val="none"/>
        </w:rPr>
        <w:t>，货物</w:t>
      </w:r>
      <w:r>
        <w:rPr>
          <w:color w:val="auto"/>
          <w:sz w:val="24"/>
          <w:highlight w:val="none"/>
        </w:rPr>
        <w:t>包含的全部专利、商标</w:t>
      </w:r>
      <w:r>
        <w:rPr>
          <w:rFonts w:hint="eastAsia"/>
          <w:color w:val="auto"/>
          <w:sz w:val="24"/>
          <w:highlight w:val="none"/>
        </w:rPr>
        <w:t>及其它知识产权</w:t>
      </w:r>
      <w:r>
        <w:rPr>
          <w:color w:val="auto"/>
          <w:sz w:val="24"/>
          <w:highlight w:val="none"/>
        </w:rPr>
        <w:t>均为卖方</w:t>
      </w:r>
      <w:r>
        <w:rPr>
          <w:rFonts w:hint="eastAsia"/>
          <w:color w:val="auto"/>
          <w:sz w:val="24"/>
          <w:highlight w:val="none"/>
        </w:rPr>
        <w:t>合法</w:t>
      </w:r>
      <w:r>
        <w:rPr>
          <w:color w:val="auto"/>
          <w:sz w:val="24"/>
          <w:highlight w:val="none"/>
        </w:rPr>
        <w:t>拥有或已获得</w:t>
      </w:r>
      <w:r>
        <w:rPr>
          <w:rFonts w:hint="eastAsia"/>
          <w:color w:val="auto"/>
          <w:sz w:val="24"/>
          <w:highlight w:val="none"/>
        </w:rPr>
        <w:t>第三方</w:t>
      </w:r>
      <w:r>
        <w:rPr>
          <w:color w:val="auto"/>
          <w:sz w:val="24"/>
          <w:highlight w:val="none"/>
        </w:rPr>
        <w:t>的</w:t>
      </w:r>
      <w:r>
        <w:rPr>
          <w:rFonts w:hint="eastAsia"/>
          <w:color w:val="auto"/>
          <w:sz w:val="24"/>
          <w:highlight w:val="none"/>
        </w:rPr>
        <w:t>有效</w:t>
      </w:r>
      <w:r>
        <w:rPr>
          <w:color w:val="auto"/>
          <w:sz w:val="24"/>
          <w:highlight w:val="none"/>
        </w:rPr>
        <w:t>授权。</w:t>
      </w:r>
    </w:p>
    <w:p>
      <w:pPr>
        <w:widowControl/>
        <w:numPr>
          <w:ilvl w:val="0"/>
          <w:numId w:val="18"/>
        </w:numPr>
        <w:tabs>
          <w:tab w:val="left" w:pos="567"/>
          <w:tab w:val="left" w:pos="709"/>
        </w:tabs>
        <w:spacing w:before="72" w:beforeLines="30" w:after="72" w:afterLines="30" w:line="360" w:lineRule="auto"/>
        <w:ind w:left="567" w:hanging="567"/>
        <w:rPr>
          <w:color w:val="auto"/>
          <w:sz w:val="24"/>
          <w:highlight w:val="none"/>
        </w:rPr>
      </w:pPr>
      <w:r>
        <w:rPr>
          <w:color w:val="auto"/>
          <w:sz w:val="24"/>
          <w:highlight w:val="none"/>
        </w:rPr>
        <w:t>卖方保证，</w:t>
      </w:r>
      <w:r>
        <w:rPr>
          <w:rFonts w:hint="eastAsia"/>
          <w:color w:val="auto"/>
          <w:sz w:val="24"/>
          <w:highlight w:val="none"/>
        </w:rPr>
        <w:t>货物交付前，</w:t>
      </w:r>
      <w:r>
        <w:rPr>
          <w:color w:val="auto"/>
          <w:sz w:val="24"/>
          <w:highlight w:val="none"/>
        </w:rPr>
        <w:t>卖方</w:t>
      </w:r>
      <w:r>
        <w:rPr>
          <w:rFonts w:hint="eastAsia"/>
          <w:color w:val="auto"/>
          <w:sz w:val="24"/>
          <w:highlight w:val="none"/>
        </w:rPr>
        <w:t>对其货物享有完整的所有权，且货物上不存在任何形式的担保物权及其它任何权利负担，亦未</w:t>
      </w:r>
      <w:r>
        <w:rPr>
          <w:color w:val="auto"/>
          <w:sz w:val="24"/>
          <w:highlight w:val="none"/>
        </w:rPr>
        <w:t>侵犯任何第三方的</w:t>
      </w:r>
      <w:r>
        <w:rPr>
          <w:rFonts w:hint="eastAsia"/>
          <w:color w:val="auto"/>
          <w:sz w:val="24"/>
          <w:highlight w:val="none"/>
        </w:rPr>
        <w:t>权利。</w:t>
      </w:r>
    </w:p>
    <w:p>
      <w:pPr>
        <w:widowControl/>
        <w:numPr>
          <w:ilvl w:val="0"/>
          <w:numId w:val="18"/>
        </w:numPr>
        <w:tabs>
          <w:tab w:val="left" w:pos="567"/>
          <w:tab w:val="left" w:pos="709"/>
        </w:tabs>
        <w:spacing w:before="72" w:beforeLines="30" w:after="72" w:afterLines="30" w:line="360" w:lineRule="auto"/>
        <w:ind w:left="567" w:hanging="567"/>
        <w:rPr>
          <w:color w:val="auto"/>
          <w:sz w:val="24"/>
          <w:highlight w:val="none"/>
        </w:rPr>
      </w:pPr>
      <w:r>
        <w:rPr>
          <w:rFonts w:hint="eastAsia"/>
          <w:color w:val="auto"/>
          <w:sz w:val="24"/>
          <w:highlight w:val="none"/>
        </w:rPr>
        <w:t>如货物侵犯任何第三方的权利（包括</w:t>
      </w:r>
      <w:r>
        <w:rPr>
          <w:color w:val="auto"/>
          <w:sz w:val="24"/>
          <w:highlight w:val="none"/>
        </w:rPr>
        <w:t>知识产权</w:t>
      </w:r>
      <w:r>
        <w:rPr>
          <w:rFonts w:hint="eastAsia"/>
          <w:color w:val="auto"/>
          <w:sz w:val="24"/>
          <w:highlight w:val="none"/>
        </w:rPr>
        <w:t>）</w:t>
      </w:r>
      <w:r>
        <w:rPr>
          <w:color w:val="auto"/>
          <w:sz w:val="24"/>
          <w:highlight w:val="none"/>
        </w:rPr>
        <w:t>，卖方应根据买方</w:t>
      </w:r>
      <w:r>
        <w:rPr>
          <w:rFonts w:hint="eastAsia"/>
          <w:color w:val="auto"/>
          <w:sz w:val="24"/>
          <w:highlight w:val="none"/>
        </w:rPr>
        <w:t>的</w:t>
      </w:r>
      <w:r>
        <w:rPr>
          <w:color w:val="auto"/>
          <w:sz w:val="24"/>
          <w:highlight w:val="none"/>
        </w:rPr>
        <w:t>要求</w:t>
      </w:r>
      <w:r>
        <w:rPr>
          <w:rFonts w:hint="eastAsia"/>
          <w:color w:val="auto"/>
          <w:sz w:val="24"/>
          <w:highlight w:val="none"/>
        </w:rPr>
        <w:t>自行承担费用</w:t>
      </w:r>
      <w:r>
        <w:rPr>
          <w:color w:val="auto"/>
          <w:sz w:val="24"/>
          <w:highlight w:val="none"/>
        </w:rPr>
        <w:t>采取一切措施确保买方继续获得</w:t>
      </w:r>
      <w:r>
        <w:rPr>
          <w:rFonts w:hint="eastAsia"/>
          <w:color w:val="auto"/>
          <w:sz w:val="24"/>
          <w:highlight w:val="none"/>
        </w:rPr>
        <w:t>货物</w:t>
      </w:r>
      <w:r>
        <w:rPr>
          <w:color w:val="auto"/>
          <w:sz w:val="24"/>
          <w:highlight w:val="none"/>
        </w:rPr>
        <w:t>的权利，包括为买方</w:t>
      </w:r>
      <w:r>
        <w:rPr>
          <w:rFonts w:hint="eastAsia"/>
          <w:color w:val="auto"/>
          <w:sz w:val="24"/>
          <w:highlight w:val="none"/>
        </w:rPr>
        <w:t>的利益</w:t>
      </w:r>
      <w:r>
        <w:rPr>
          <w:color w:val="auto"/>
          <w:sz w:val="24"/>
          <w:highlight w:val="none"/>
        </w:rPr>
        <w:t>购买</w:t>
      </w:r>
      <w:r>
        <w:rPr>
          <w:rFonts w:hint="eastAsia"/>
          <w:color w:val="auto"/>
          <w:sz w:val="24"/>
          <w:highlight w:val="none"/>
        </w:rPr>
        <w:t>货物的全部权益（包括但不限于知识产权），或采用</w:t>
      </w:r>
      <w:r>
        <w:rPr>
          <w:color w:val="auto"/>
          <w:sz w:val="24"/>
          <w:highlight w:val="none"/>
        </w:rPr>
        <w:t>不侵权的材料、零部件、设计、技术、工艺、方法对</w:t>
      </w:r>
      <w:r>
        <w:rPr>
          <w:rFonts w:hint="eastAsia"/>
          <w:color w:val="auto"/>
          <w:sz w:val="24"/>
          <w:highlight w:val="none"/>
        </w:rPr>
        <w:t>货物</w:t>
      </w:r>
      <w:r>
        <w:rPr>
          <w:color w:val="auto"/>
          <w:sz w:val="24"/>
          <w:highlight w:val="none"/>
        </w:rPr>
        <w:t>进行变更，变更后</w:t>
      </w:r>
      <w:r>
        <w:rPr>
          <w:rFonts w:hint="eastAsia"/>
          <w:color w:val="auto"/>
          <w:sz w:val="24"/>
          <w:highlight w:val="none"/>
        </w:rPr>
        <w:t>货物</w:t>
      </w:r>
      <w:r>
        <w:rPr>
          <w:color w:val="auto"/>
          <w:sz w:val="24"/>
          <w:highlight w:val="none"/>
        </w:rPr>
        <w:t>的功能、品质和水平应符合本合同的</w:t>
      </w:r>
      <w:r>
        <w:rPr>
          <w:rFonts w:hint="eastAsia"/>
          <w:color w:val="auto"/>
          <w:sz w:val="24"/>
          <w:highlight w:val="none"/>
        </w:rPr>
        <w:t>规定，且</w:t>
      </w:r>
      <w:r>
        <w:rPr>
          <w:color w:val="auto"/>
          <w:sz w:val="24"/>
          <w:highlight w:val="none"/>
        </w:rPr>
        <w:t>不低于变更前的</w:t>
      </w:r>
      <w:r>
        <w:rPr>
          <w:rFonts w:hint="eastAsia"/>
          <w:color w:val="auto"/>
          <w:sz w:val="24"/>
          <w:highlight w:val="none"/>
        </w:rPr>
        <w:t>货物</w:t>
      </w:r>
      <w:r>
        <w:rPr>
          <w:color w:val="auto"/>
          <w:sz w:val="24"/>
          <w:highlight w:val="none"/>
        </w:rPr>
        <w:t>。</w:t>
      </w:r>
    </w:p>
    <w:p>
      <w:pPr>
        <w:widowControl/>
        <w:numPr>
          <w:ilvl w:val="0"/>
          <w:numId w:val="18"/>
        </w:numPr>
        <w:tabs>
          <w:tab w:val="left" w:pos="567"/>
          <w:tab w:val="left" w:pos="709"/>
        </w:tabs>
        <w:spacing w:before="72" w:beforeLines="30" w:after="72" w:afterLines="30" w:line="360" w:lineRule="auto"/>
        <w:ind w:left="567" w:hanging="567"/>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双方同意，除非本合同另有约定，货物交付且买方按照本合同约定支付合同价款之后，买方不自动获得并拥有货物自身附有的相关知识产权，但卖方同意无偿许可买方使用与货物有关的所有知识产权。</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 xml:space="preserve"> </w:t>
      </w:r>
      <w:r>
        <w:rPr>
          <w:color w:val="auto"/>
          <w:sz w:val="24"/>
          <w:szCs w:val="24"/>
          <w:highlight w:val="none"/>
        </w:rPr>
        <w:t>质量保证</w:t>
      </w:r>
    </w:p>
    <w:p>
      <w:pPr>
        <w:numPr>
          <w:ilvl w:val="0"/>
          <w:numId w:val="19"/>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auto"/>
          <w:sz w:val="24"/>
          <w:highlight w:val="none"/>
        </w:rPr>
      </w:pPr>
      <w:r>
        <w:rPr>
          <w:color w:val="auto"/>
          <w:sz w:val="24"/>
          <w:highlight w:val="none"/>
        </w:rPr>
        <w:t>卖方特此保证提供的货物</w:t>
      </w:r>
      <w:r>
        <w:rPr>
          <w:rFonts w:hint="eastAsia"/>
          <w:color w:val="auto"/>
          <w:sz w:val="24"/>
          <w:highlight w:val="none"/>
        </w:rPr>
        <w:t>是崭新、从未使用过的，采用先进技术制造，具备优良的制造工艺和水平，符合本合同规定的要求，不存在任何缺陷。</w:t>
      </w:r>
    </w:p>
    <w:p>
      <w:pPr>
        <w:numPr>
          <w:ilvl w:val="0"/>
          <w:numId w:val="19"/>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auto"/>
          <w:sz w:val="24"/>
          <w:highlight w:val="none"/>
        </w:rPr>
      </w:pPr>
      <w:r>
        <w:rPr>
          <w:rFonts w:hint="eastAsia"/>
          <w:color w:val="auto"/>
          <w:sz w:val="24"/>
          <w:highlight w:val="none"/>
        </w:rPr>
        <w:t>货物的质保期为</w:t>
      </w:r>
      <w:r>
        <w:rPr>
          <w:rFonts w:hint="eastAsia"/>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到货验收合格之日起</w:t>
      </w:r>
      <w:r>
        <w:rPr>
          <w:rFonts w:hint="eastAsia" w:cs="Times New Roman"/>
          <w:color w:val="auto"/>
          <w:sz w:val="24"/>
          <w:highlight w:val="none"/>
          <w:lang w:val="en-US" w:eastAsia="zh-CN"/>
        </w:rPr>
        <w:t>12</w:t>
      </w:r>
      <w:r>
        <w:rPr>
          <w:rFonts w:hint="eastAsia" w:ascii="Times New Roman" w:hAnsi="Times New Roman" w:eastAsia="宋体" w:cs="Times New Roman"/>
          <w:color w:val="auto"/>
          <w:sz w:val="24"/>
          <w:highlight w:val="none"/>
          <w:lang w:val="en-US" w:eastAsia="zh-CN"/>
        </w:rPr>
        <w:t>个月</w:t>
      </w:r>
      <w:r>
        <w:rPr>
          <w:rFonts w:hint="eastAsia"/>
          <w:color w:val="auto"/>
          <w:sz w:val="24"/>
          <w:highlight w:val="none"/>
        </w:rPr>
        <w:t>。</w:t>
      </w:r>
    </w:p>
    <w:p>
      <w:pPr>
        <w:numPr>
          <w:ilvl w:val="0"/>
          <w:numId w:val="19"/>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auto"/>
          <w:sz w:val="24"/>
          <w:highlight w:val="none"/>
        </w:rPr>
      </w:pPr>
      <w:r>
        <w:rPr>
          <w:rFonts w:hint="eastAsia"/>
          <w:color w:val="auto"/>
          <w:sz w:val="24"/>
          <w:highlight w:val="none"/>
        </w:rPr>
        <w:t>质保期内，如发现货物违反本合同项下的任何保证，买方有权选择且卖方应采取下列补救措施：</w:t>
      </w:r>
    </w:p>
    <w:p>
      <w:pPr>
        <w:tabs>
          <w:tab w:val="left" w:pos="1860"/>
        </w:tabs>
        <w:autoSpaceDE w:val="0"/>
        <w:autoSpaceDN w:val="0"/>
        <w:adjustRightInd w:val="0"/>
        <w:spacing w:before="72" w:beforeLines="30" w:after="72" w:afterLines="30" w:line="360" w:lineRule="auto"/>
        <w:ind w:left="567"/>
        <w:jc w:val="left"/>
        <w:rPr>
          <w:color w:val="auto"/>
          <w:sz w:val="24"/>
          <w:highlight w:val="none"/>
        </w:rPr>
      </w:pPr>
      <w:r>
        <w:rPr>
          <w:rFonts w:hint="eastAsia"/>
          <w:color w:val="auto"/>
          <w:sz w:val="24"/>
          <w:highlight w:val="none"/>
        </w:rPr>
        <w:t>（1）卖方对货物进行修复使货物符合本合同项下的保证和本合同的约定。卖方承担由此产生的费用。</w:t>
      </w:r>
    </w:p>
    <w:p>
      <w:pPr>
        <w:tabs>
          <w:tab w:val="left" w:pos="1860"/>
        </w:tabs>
        <w:autoSpaceDE w:val="0"/>
        <w:autoSpaceDN w:val="0"/>
        <w:adjustRightInd w:val="0"/>
        <w:spacing w:before="72" w:beforeLines="30" w:after="72" w:afterLines="30" w:line="360" w:lineRule="auto"/>
        <w:ind w:left="567"/>
        <w:jc w:val="left"/>
        <w:rPr>
          <w:color w:val="auto"/>
          <w:sz w:val="24"/>
          <w:highlight w:val="none"/>
        </w:rPr>
      </w:pPr>
      <w:r>
        <w:rPr>
          <w:rFonts w:hint="eastAsia"/>
          <w:color w:val="auto"/>
          <w:sz w:val="24"/>
          <w:highlight w:val="none"/>
        </w:rPr>
        <w:t>（2）卖方对货物进行更换使货物符合本合同项下的保证和本合同的约定。卖方承担由此产生的费用。</w:t>
      </w:r>
    </w:p>
    <w:p>
      <w:pPr>
        <w:tabs>
          <w:tab w:val="left" w:pos="1860"/>
        </w:tabs>
        <w:autoSpaceDE w:val="0"/>
        <w:autoSpaceDN w:val="0"/>
        <w:adjustRightInd w:val="0"/>
        <w:spacing w:before="72" w:beforeLines="30" w:after="72" w:afterLines="30" w:line="360" w:lineRule="auto"/>
        <w:ind w:left="567"/>
        <w:jc w:val="left"/>
        <w:rPr>
          <w:color w:val="auto"/>
          <w:sz w:val="24"/>
          <w:highlight w:val="none"/>
        </w:rPr>
      </w:pPr>
      <w:r>
        <w:rPr>
          <w:rFonts w:hint="eastAsia"/>
          <w:color w:val="auto"/>
          <w:sz w:val="24"/>
          <w:highlight w:val="none"/>
        </w:rPr>
        <w:t>（3）退货。卖方承担由此产生的费用。</w:t>
      </w:r>
    </w:p>
    <w:p>
      <w:pPr>
        <w:numPr>
          <w:ilvl w:val="0"/>
          <w:numId w:val="19"/>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auto"/>
          <w:sz w:val="24"/>
          <w:highlight w:val="none"/>
        </w:rPr>
      </w:pPr>
      <w:r>
        <w:rPr>
          <w:rFonts w:hAnsi="宋体"/>
          <w:color w:val="auto"/>
          <w:sz w:val="24"/>
          <w:highlight w:val="none"/>
        </w:rPr>
        <w:t>对于任何修复或更换，卖方应在收到</w:t>
      </w:r>
      <w:r>
        <w:rPr>
          <w:rFonts w:hint="eastAsia" w:hAnsi="宋体"/>
          <w:color w:val="auto"/>
          <w:sz w:val="24"/>
          <w:highlight w:val="none"/>
        </w:rPr>
        <w:t>买方发出的</w:t>
      </w:r>
      <w:r>
        <w:rPr>
          <w:rFonts w:hAnsi="宋体"/>
          <w:color w:val="auto"/>
          <w:sz w:val="24"/>
          <w:highlight w:val="none"/>
        </w:rPr>
        <w:t>货物缺陷通知后</w:t>
      </w:r>
      <w:r>
        <w:rPr>
          <w:rFonts w:hint="eastAsia"/>
          <w:color w:val="auto"/>
          <w:sz w:val="24"/>
          <w:highlight w:val="none"/>
        </w:rPr>
        <w:t>【</w:t>
      </w:r>
      <w:r>
        <w:rPr>
          <w:rFonts w:hint="eastAsia"/>
          <w:i/>
          <w:color w:val="auto"/>
          <w:sz w:val="24"/>
          <w:highlight w:val="none"/>
          <w:lang w:val="en-US" w:eastAsia="zh-CN"/>
        </w:rPr>
        <w:t>5</w:t>
      </w:r>
      <w:r>
        <w:rPr>
          <w:rFonts w:hint="eastAsia"/>
          <w:color w:val="auto"/>
          <w:sz w:val="24"/>
          <w:highlight w:val="none"/>
        </w:rPr>
        <w:t>】</w:t>
      </w:r>
      <w:r>
        <w:rPr>
          <w:rFonts w:hint="eastAsia" w:hAnsi="宋体"/>
          <w:color w:val="auto"/>
          <w:sz w:val="24"/>
          <w:highlight w:val="none"/>
        </w:rPr>
        <w:t>日</w:t>
      </w:r>
      <w:r>
        <w:rPr>
          <w:rFonts w:hAnsi="宋体"/>
          <w:color w:val="auto"/>
          <w:sz w:val="24"/>
          <w:highlight w:val="none"/>
        </w:rPr>
        <w:t>内完成。</w:t>
      </w:r>
      <w:r>
        <w:rPr>
          <w:rFonts w:hint="eastAsia" w:hAnsi="宋体"/>
          <w:color w:val="auto"/>
          <w:sz w:val="24"/>
          <w:highlight w:val="none"/>
        </w:rPr>
        <w:t>若卖方</w:t>
      </w:r>
      <w:r>
        <w:rPr>
          <w:rFonts w:hint="eastAsia" w:hAnsi="宋体"/>
          <w:color w:val="auto"/>
          <w:sz w:val="24"/>
          <w:highlight w:val="none"/>
          <w:lang w:val="en-US" w:eastAsia="zh-CN"/>
        </w:rPr>
        <w:t>收</w:t>
      </w:r>
      <w:r>
        <w:rPr>
          <w:rFonts w:hint="eastAsia" w:hAnsi="宋体"/>
          <w:color w:val="auto"/>
          <w:sz w:val="24"/>
          <w:highlight w:val="none"/>
        </w:rPr>
        <w:t>到通知后未在规定的时间内及时维修、重作、更换以弥补缺陷，</w:t>
      </w:r>
      <w:r>
        <w:rPr>
          <w:rFonts w:hint="eastAsia" w:hAnsi="宋体"/>
          <w:color w:val="auto"/>
          <w:sz w:val="24"/>
          <w:highlight w:val="none"/>
          <w:lang w:val="en-US" w:eastAsia="zh-CN"/>
        </w:rPr>
        <w:t>买</w:t>
      </w:r>
      <w:r>
        <w:rPr>
          <w:rFonts w:hint="eastAsia" w:hAnsi="宋体"/>
          <w:color w:val="auto"/>
          <w:sz w:val="24"/>
          <w:highlight w:val="none"/>
        </w:rPr>
        <w:t>方可采取必要的补救措施，但其风险和费用将由</w:t>
      </w:r>
      <w:r>
        <w:rPr>
          <w:rFonts w:hint="eastAsia" w:hAnsi="宋体"/>
          <w:color w:val="auto"/>
          <w:sz w:val="24"/>
          <w:highlight w:val="none"/>
          <w:lang w:val="en-US" w:eastAsia="zh-CN"/>
        </w:rPr>
        <w:t>卖</w:t>
      </w:r>
      <w:r>
        <w:rPr>
          <w:rFonts w:hint="eastAsia" w:hAnsi="宋体"/>
          <w:color w:val="auto"/>
          <w:sz w:val="24"/>
          <w:highlight w:val="none"/>
        </w:rPr>
        <w:t>方承担，买方根据合同规定对</w:t>
      </w:r>
      <w:r>
        <w:rPr>
          <w:rFonts w:hint="eastAsia" w:hAnsi="宋体"/>
          <w:color w:val="auto"/>
          <w:sz w:val="24"/>
          <w:highlight w:val="none"/>
          <w:lang w:val="en-US" w:eastAsia="zh-CN"/>
        </w:rPr>
        <w:t>卖</w:t>
      </w:r>
      <w:r>
        <w:rPr>
          <w:rFonts w:hint="eastAsia" w:hAnsi="宋体"/>
          <w:color w:val="auto"/>
          <w:sz w:val="24"/>
          <w:highlight w:val="none"/>
        </w:rPr>
        <w:t>方行使的其他权利不受影响。</w:t>
      </w:r>
      <w:r>
        <w:rPr>
          <w:rFonts w:hAnsi="宋体"/>
          <w:color w:val="auto"/>
          <w:sz w:val="24"/>
          <w:highlight w:val="none"/>
        </w:rPr>
        <w:t>如经修复、更换仍无法消除该等缺陷，买方有权要求退货。卖方应赔偿买方因货物存在前述缺陷遭受的全部损失。</w:t>
      </w:r>
    </w:p>
    <w:p>
      <w:pPr>
        <w:numPr>
          <w:ilvl w:val="0"/>
          <w:numId w:val="19"/>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auto"/>
          <w:sz w:val="24"/>
          <w:highlight w:val="none"/>
        </w:rPr>
      </w:pPr>
      <w:r>
        <w:rPr>
          <w:rFonts w:hAnsi="宋体"/>
          <w:color w:val="auto"/>
          <w:sz w:val="24"/>
          <w:highlight w:val="none"/>
        </w:rPr>
        <w:t>如在质保期内发生</w:t>
      </w:r>
      <w:r>
        <w:rPr>
          <w:rFonts w:hint="eastAsia" w:hAnsi="宋体"/>
          <w:color w:val="auto"/>
          <w:sz w:val="24"/>
          <w:highlight w:val="none"/>
        </w:rPr>
        <w:t>维修、重作、更换以弥补缺陷事件，</w:t>
      </w:r>
      <w:r>
        <w:rPr>
          <w:rFonts w:hAnsi="宋体"/>
          <w:color w:val="auto"/>
          <w:sz w:val="24"/>
          <w:highlight w:val="none"/>
        </w:rPr>
        <w:t>则相应的质保期应重新计算</w:t>
      </w:r>
      <w:r>
        <w:rPr>
          <w:rFonts w:hint="eastAsia" w:hAnsi="宋体"/>
          <w:color w:val="auto"/>
          <w:sz w:val="24"/>
          <w:highlight w:val="none"/>
        </w:rPr>
        <w:t>。</w:t>
      </w:r>
    </w:p>
    <w:p>
      <w:pPr>
        <w:numPr>
          <w:ilvl w:val="0"/>
          <w:numId w:val="19"/>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auto"/>
          <w:sz w:val="24"/>
          <w:highlight w:val="none"/>
        </w:rPr>
      </w:pPr>
      <w:r>
        <w:rPr>
          <w:rFonts w:hint="eastAsia" w:hAnsi="宋体"/>
          <w:color w:val="auto"/>
          <w:sz w:val="24"/>
          <w:highlight w:val="none"/>
        </w:rPr>
        <w:t>质保期结束，买方向卖方签发货物最终接收证书。买方签发最终接收证书不减少、免除卖方在本合同项下的任何义务（包括卖方对货物应符合本合同质量、规格要求应承担的责任）。</w:t>
      </w:r>
    </w:p>
    <w:p>
      <w:pPr>
        <w:pStyle w:val="13"/>
        <w:numPr>
          <w:ilvl w:val="0"/>
          <w:numId w:val="6"/>
        </w:numPr>
        <w:tabs>
          <w:tab w:val="left" w:pos="993"/>
        </w:tabs>
        <w:spacing w:before="72" w:beforeLines="30" w:after="72" w:afterLines="30" w:line="360" w:lineRule="auto"/>
        <w:ind w:left="567" w:hanging="567"/>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 </w:t>
      </w:r>
      <w:r>
        <w:rPr>
          <w:rFonts w:ascii="Times New Roman" w:hAnsi="Times New Roman"/>
          <w:color w:val="auto"/>
          <w:sz w:val="24"/>
          <w:szCs w:val="24"/>
          <w:highlight w:val="none"/>
        </w:rPr>
        <w:t>违约责任</w:t>
      </w:r>
    </w:p>
    <w:p>
      <w:pPr>
        <w:numPr>
          <w:ilvl w:val="0"/>
          <w:numId w:val="20"/>
        </w:numPr>
        <w:tabs>
          <w:tab w:val="left" w:pos="567"/>
          <w:tab w:val="left" w:pos="709"/>
          <w:tab w:val="left" w:pos="3060"/>
        </w:tabs>
        <w:spacing w:before="72" w:beforeLines="30" w:after="72" w:afterLines="30" w:line="360" w:lineRule="auto"/>
        <w:ind w:left="567" w:hanging="567"/>
        <w:rPr>
          <w:color w:val="auto"/>
          <w:sz w:val="24"/>
          <w:highlight w:val="none"/>
        </w:rPr>
      </w:pPr>
      <w:r>
        <w:rPr>
          <w:rFonts w:hint="eastAsia"/>
          <w:color w:val="auto"/>
          <w:sz w:val="24"/>
          <w:highlight w:val="none"/>
        </w:rPr>
        <w:t>卖方发生下列任一违约行为时，应向买方支付合同总价【15%】的违约金，并赔偿买方因此遭受的全部损失：</w:t>
      </w:r>
    </w:p>
    <w:p>
      <w:pPr>
        <w:numPr>
          <w:ilvl w:val="1"/>
          <w:numId w:val="21"/>
        </w:numPr>
        <w:tabs>
          <w:tab w:val="left" w:pos="567"/>
          <w:tab w:val="left" w:pos="993"/>
        </w:tabs>
        <w:snapToGrid w:val="0"/>
        <w:spacing w:before="72" w:beforeLines="30" w:after="72" w:afterLines="30" w:line="360" w:lineRule="auto"/>
        <w:ind w:left="567" w:firstLine="0"/>
        <w:rPr>
          <w:color w:val="auto"/>
          <w:sz w:val="24"/>
          <w:highlight w:val="none"/>
        </w:rPr>
      </w:pPr>
      <w:r>
        <w:rPr>
          <w:rFonts w:hint="eastAsia"/>
          <w:color w:val="auto"/>
          <w:sz w:val="24"/>
          <w:highlight w:val="none"/>
        </w:rPr>
        <w:t>卖方未按照合同的规定提供货物和相关服务；</w:t>
      </w:r>
    </w:p>
    <w:p>
      <w:pPr>
        <w:numPr>
          <w:ilvl w:val="1"/>
          <w:numId w:val="21"/>
        </w:numPr>
        <w:tabs>
          <w:tab w:val="left" w:pos="567"/>
          <w:tab w:val="left" w:pos="993"/>
        </w:tabs>
        <w:snapToGrid w:val="0"/>
        <w:spacing w:before="72" w:beforeLines="30" w:after="72" w:afterLines="30" w:line="360" w:lineRule="auto"/>
        <w:ind w:left="567" w:firstLine="0"/>
        <w:rPr>
          <w:color w:val="auto"/>
          <w:sz w:val="24"/>
          <w:highlight w:val="none"/>
        </w:rPr>
      </w:pPr>
      <w:r>
        <w:rPr>
          <w:rFonts w:hint="eastAsia"/>
          <w:color w:val="auto"/>
          <w:sz w:val="24"/>
          <w:highlight w:val="none"/>
        </w:rPr>
        <w:t>卖方提供的货物不合格，且卖方未根据合同规定及时更换为合格产品；</w:t>
      </w:r>
    </w:p>
    <w:p>
      <w:pPr>
        <w:numPr>
          <w:ilvl w:val="1"/>
          <w:numId w:val="21"/>
        </w:numPr>
        <w:tabs>
          <w:tab w:val="left" w:pos="567"/>
          <w:tab w:val="left" w:pos="993"/>
        </w:tabs>
        <w:snapToGrid w:val="0"/>
        <w:spacing w:before="72" w:beforeLines="30" w:after="72" w:afterLines="30" w:line="360" w:lineRule="auto"/>
        <w:ind w:left="567" w:firstLine="0"/>
        <w:rPr>
          <w:color w:val="auto"/>
          <w:sz w:val="24"/>
          <w:highlight w:val="none"/>
        </w:rPr>
      </w:pPr>
      <w:r>
        <w:rPr>
          <w:rFonts w:hint="eastAsia"/>
          <w:color w:val="auto"/>
          <w:sz w:val="24"/>
          <w:highlight w:val="none"/>
        </w:rPr>
        <w:t>卖方违反本合同规定的承诺、保证或其它义务。</w:t>
      </w:r>
    </w:p>
    <w:p>
      <w:pPr>
        <w:numPr>
          <w:ilvl w:val="0"/>
          <w:numId w:val="20"/>
        </w:numPr>
        <w:tabs>
          <w:tab w:val="left" w:pos="567"/>
          <w:tab w:val="left" w:pos="709"/>
          <w:tab w:val="left" w:pos="3060"/>
        </w:tabs>
        <w:spacing w:before="72" w:beforeLines="30" w:after="72" w:afterLines="30" w:line="360" w:lineRule="auto"/>
        <w:ind w:left="567" w:hanging="567"/>
        <w:rPr>
          <w:color w:val="auto"/>
          <w:sz w:val="24"/>
          <w:highlight w:val="none"/>
        </w:rPr>
      </w:pPr>
      <w:r>
        <w:rPr>
          <w:color w:val="auto"/>
          <w:sz w:val="24"/>
          <w:highlight w:val="none"/>
        </w:rPr>
        <w:t>就卖方的上述违约行为</w:t>
      </w:r>
      <w:r>
        <w:rPr>
          <w:rFonts w:hint="eastAsia"/>
          <w:color w:val="auto"/>
          <w:sz w:val="24"/>
          <w:highlight w:val="none"/>
        </w:rPr>
        <w:t>，买方除有权依据本合同第12.1款要求卖方承担违约责任外，有权</w:t>
      </w:r>
      <w:r>
        <w:rPr>
          <w:color w:val="auto"/>
          <w:sz w:val="24"/>
          <w:highlight w:val="none"/>
        </w:rPr>
        <w:t>向卖方出具书面通知，要求卖方进行更正或整改</w:t>
      </w:r>
      <w:r>
        <w:rPr>
          <w:rFonts w:hint="eastAsia"/>
          <w:color w:val="auto"/>
          <w:sz w:val="24"/>
          <w:highlight w:val="none"/>
        </w:rPr>
        <w:t>。如</w:t>
      </w:r>
      <w:r>
        <w:rPr>
          <w:color w:val="auto"/>
          <w:sz w:val="24"/>
          <w:highlight w:val="none"/>
        </w:rPr>
        <w:t>卖方</w:t>
      </w:r>
      <w:r>
        <w:rPr>
          <w:rFonts w:hint="eastAsia"/>
          <w:color w:val="auto"/>
          <w:sz w:val="24"/>
          <w:highlight w:val="none"/>
        </w:rPr>
        <w:t>收到该等通知后【十（10）】</w:t>
      </w:r>
      <w:r>
        <w:rPr>
          <w:color w:val="auto"/>
          <w:sz w:val="24"/>
          <w:highlight w:val="none"/>
        </w:rPr>
        <w:t>个工作日内未按照买方要求</w:t>
      </w:r>
      <w:r>
        <w:rPr>
          <w:rFonts w:hint="eastAsia"/>
          <w:color w:val="auto"/>
          <w:sz w:val="24"/>
          <w:highlight w:val="none"/>
        </w:rPr>
        <w:t>作出</w:t>
      </w:r>
      <w:r>
        <w:rPr>
          <w:color w:val="auto"/>
          <w:sz w:val="24"/>
          <w:highlight w:val="none"/>
        </w:rPr>
        <w:t>更正或进行整改的，买方有权立即</w:t>
      </w:r>
      <w:r>
        <w:rPr>
          <w:rFonts w:hint="eastAsia"/>
          <w:color w:val="auto"/>
          <w:sz w:val="24"/>
          <w:highlight w:val="none"/>
        </w:rPr>
        <w:t>解除</w:t>
      </w:r>
      <w:r>
        <w:rPr>
          <w:color w:val="auto"/>
          <w:sz w:val="24"/>
          <w:highlight w:val="none"/>
        </w:rPr>
        <w:t>本合同，卖方应赔偿买方</w:t>
      </w:r>
      <w:r>
        <w:rPr>
          <w:rFonts w:hint="eastAsia"/>
          <w:color w:val="auto"/>
          <w:sz w:val="24"/>
          <w:highlight w:val="none"/>
        </w:rPr>
        <w:t>因此</w:t>
      </w:r>
      <w:r>
        <w:rPr>
          <w:color w:val="auto"/>
          <w:sz w:val="24"/>
          <w:highlight w:val="none"/>
        </w:rPr>
        <w:t>而遭受的全部损失。</w:t>
      </w:r>
    </w:p>
    <w:p>
      <w:pPr>
        <w:numPr>
          <w:ilvl w:val="0"/>
          <w:numId w:val="20"/>
        </w:numPr>
        <w:tabs>
          <w:tab w:val="left" w:pos="567"/>
          <w:tab w:val="left" w:pos="709"/>
          <w:tab w:val="left" w:pos="3060"/>
        </w:tabs>
        <w:spacing w:before="72" w:beforeLines="30" w:after="72" w:afterLines="30" w:line="360" w:lineRule="auto"/>
        <w:ind w:left="567" w:hanging="567"/>
        <w:rPr>
          <w:rFonts w:hAnsi="宋体"/>
          <w:bCs/>
          <w:color w:val="auto"/>
          <w:sz w:val="24"/>
          <w:highlight w:val="none"/>
        </w:rPr>
      </w:pPr>
      <w:r>
        <w:rPr>
          <w:rFonts w:hint="eastAsia"/>
          <w:color w:val="auto"/>
          <w:sz w:val="24"/>
          <w:highlight w:val="none"/>
        </w:rPr>
        <w:t>如卖方未能在交付日期交付货物，每延期交付一日，卖方应向买方支付合同总价的【3‰】作为延期违约金，但是，该等延期违约金最高不得超过合同总价的【15%】。</w:t>
      </w:r>
      <w:r>
        <w:rPr>
          <w:rFonts w:hint="eastAsia" w:hAnsi="宋体"/>
          <w:bCs/>
          <w:color w:val="auto"/>
          <w:sz w:val="24"/>
          <w:highlight w:val="none"/>
        </w:rPr>
        <w:t>如延期超过</w:t>
      </w:r>
      <w:r>
        <w:rPr>
          <w:rFonts w:hAnsi="宋体"/>
          <w:bCs/>
          <w:color w:val="auto"/>
          <w:sz w:val="24"/>
          <w:highlight w:val="none"/>
        </w:rPr>
        <w:t>【</w:t>
      </w:r>
      <w:r>
        <w:rPr>
          <w:rFonts w:hint="eastAsia"/>
          <w:color w:val="auto"/>
          <w:sz w:val="24"/>
          <w:highlight w:val="none"/>
        </w:rPr>
        <w:t>20</w:t>
      </w:r>
      <w:r>
        <w:rPr>
          <w:rFonts w:hAnsi="宋体"/>
          <w:bCs/>
          <w:color w:val="auto"/>
          <w:sz w:val="24"/>
          <w:highlight w:val="none"/>
        </w:rPr>
        <w:t>】</w:t>
      </w:r>
      <w:r>
        <w:rPr>
          <w:rFonts w:hint="eastAsia" w:hAnsi="宋体"/>
          <w:bCs/>
          <w:color w:val="auto"/>
          <w:sz w:val="24"/>
          <w:highlight w:val="none"/>
        </w:rPr>
        <w:t>日，除要求卖方支付违约金外，买方有权解除本合同，并有权要求卖方赔偿买方因此遭受的全部损失。</w:t>
      </w:r>
    </w:p>
    <w:p>
      <w:pPr>
        <w:numPr>
          <w:ilvl w:val="0"/>
          <w:numId w:val="20"/>
        </w:numPr>
        <w:tabs>
          <w:tab w:val="left" w:pos="567"/>
          <w:tab w:val="left" w:pos="709"/>
          <w:tab w:val="left" w:pos="3060"/>
        </w:tabs>
        <w:spacing w:before="72" w:beforeLines="30" w:after="72" w:afterLines="30" w:line="360" w:lineRule="auto"/>
        <w:ind w:left="567" w:hanging="567"/>
        <w:rPr>
          <w:color w:val="auto"/>
          <w:sz w:val="24"/>
          <w:highlight w:val="none"/>
        </w:rPr>
      </w:pPr>
      <w:r>
        <w:rPr>
          <w:rFonts w:hint="eastAsia"/>
          <w:color w:val="auto"/>
          <w:sz w:val="24"/>
          <w:highlight w:val="none"/>
        </w:rPr>
        <w:t>如仅因买方原因，买方逾期向卖方付款，卖方应向买方发出书面催款通知，买方应在收到该等通知后【</w:t>
      </w:r>
      <w:r>
        <w:rPr>
          <w:rFonts w:hint="eastAsia"/>
          <w:color w:val="auto"/>
          <w:sz w:val="24"/>
          <w:highlight w:val="none"/>
          <w:lang w:val="en-US" w:eastAsia="zh-CN"/>
        </w:rPr>
        <w:t>45</w:t>
      </w:r>
      <w:r>
        <w:rPr>
          <w:rFonts w:hint="eastAsia"/>
          <w:color w:val="auto"/>
          <w:sz w:val="24"/>
          <w:highlight w:val="none"/>
        </w:rPr>
        <w:t>】日内付款，否则，即应自该等【</w:t>
      </w:r>
      <w:r>
        <w:rPr>
          <w:rFonts w:hint="eastAsia"/>
          <w:color w:val="auto"/>
          <w:sz w:val="24"/>
          <w:highlight w:val="none"/>
          <w:lang w:val="en-US" w:eastAsia="zh-CN"/>
        </w:rPr>
        <w:t>45</w:t>
      </w:r>
      <w:r>
        <w:rPr>
          <w:rFonts w:hint="eastAsia"/>
          <w:color w:val="auto"/>
          <w:sz w:val="24"/>
          <w:highlight w:val="none"/>
        </w:rPr>
        <w:t>】日期间结束之日起，按合同订立时1年期贷款市场报价利率计算并支付应付未付合同价款的利息，最高不超过相关应付未付合同价款的【15%】。双方同意，该等利息的支付是买方就未能如期支付相关合同价款所需承担的全部责任。</w:t>
      </w:r>
    </w:p>
    <w:p>
      <w:pPr>
        <w:numPr>
          <w:ilvl w:val="0"/>
          <w:numId w:val="20"/>
        </w:numPr>
        <w:tabs>
          <w:tab w:val="left" w:pos="567"/>
          <w:tab w:val="left" w:pos="709"/>
          <w:tab w:val="left" w:pos="3060"/>
        </w:tabs>
        <w:spacing w:before="72" w:beforeLines="30" w:after="72" w:afterLines="30" w:line="360" w:lineRule="auto"/>
        <w:ind w:left="567" w:hanging="567"/>
        <w:rPr>
          <w:color w:val="auto"/>
          <w:sz w:val="24"/>
          <w:highlight w:val="none"/>
        </w:rPr>
      </w:pPr>
      <w:r>
        <w:rPr>
          <w:color w:val="auto"/>
          <w:sz w:val="24"/>
          <w:highlight w:val="none"/>
        </w:rPr>
        <w:t>卖方根据本合同的规定应承担违约金或赔偿责任的，买方有权从合同总价余额</w:t>
      </w:r>
      <w:r>
        <w:rPr>
          <w:rFonts w:hint="eastAsia"/>
          <w:color w:val="auto"/>
          <w:sz w:val="24"/>
          <w:highlight w:val="none"/>
        </w:rPr>
        <w:t>中直接扣除</w:t>
      </w:r>
      <w:r>
        <w:rPr>
          <w:color w:val="auto"/>
          <w:sz w:val="24"/>
          <w:highlight w:val="none"/>
        </w:rPr>
        <w:t>。</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highlight w:val="none"/>
        </w:rPr>
        <w:t xml:space="preserve"> </w:t>
      </w:r>
      <w:r>
        <w:rPr>
          <w:rFonts w:hint="eastAsia" w:ascii="Times New Roman" w:hAnsi="Times New Roman"/>
          <w:color w:val="auto"/>
          <w:sz w:val="24"/>
          <w:szCs w:val="24"/>
          <w:highlight w:val="none"/>
        </w:rPr>
        <w:t>合同的解除和</w:t>
      </w:r>
      <w:r>
        <w:rPr>
          <w:color w:val="auto"/>
          <w:sz w:val="24"/>
          <w:szCs w:val="24"/>
          <w:highlight w:val="none"/>
        </w:rPr>
        <w:t>终止</w:t>
      </w:r>
    </w:p>
    <w:p>
      <w:pPr>
        <w:numPr>
          <w:ilvl w:val="0"/>
          <w:numId w:val="22"/>
        </w:numPr>
        <w:tabs>
          <w:tab w:val="left" w:pos="567"/>
          <w:tab w:val="left" w:pos="709"/>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如</w:t>
      </w:r>
      <w:r>
        <w:rPr>
          <w:rFonts w:hAnsi="宋体"/>
          <w:color w:val="auto"/>
          <w:sz w:val="24"/>
          <w:highlight w:val="none"/>
        </w:rPr>
        <w:t>发生以下任</w:t>
      </w:r>
      <w:r>
        <w:rPr>
          <w:rFonts w:hint="eastAsia" w:hAnsi="宋体"/>
          <w:color w:val="auto"/>
          <w:sz w:val="24"/>
          <w:highlight w:val="none"/>
        </w:rPr>
        <w:t>一情形，经书面通知卖方，</w:t>
      </w:r>
      <w:r>
        <w:rPr>
          <w:rFonts w:hAnsi="宋体"/>
          <w:color w:val="auto"/>
          <w:sz w:val="24"/>
          <w:highlight w:val="none"/>
        </w:rPr>
        <w:t>买方</w:t>
      </w:r>
      <w:r>
        <w:rPr>
          <w:rFonts w:hint="eastAsia" w:hAnsi="宋体"/>
          <w:color w:val="auto"/>
          <w:sz w:val="24"/>
          <w:highlight w:val="none"/>
        </w:rPr>
        <w:t>有权解除本</w:t>
      </w:r>
      <w:r>
        <w:rPr>
          <w:rFonts w:hAnsi="宋体"/>
          <w:color w:val="auto"/>
          <w:sz w:val="24"/>
          <w:highlight w:val="none"/>
        </w:rPr>
        <w:t>合同：</w:t>
      </w:r>
      <w:r>
        <w:rPr>
          <w:rFonts w:hint="eastAsia" w:hAnsi="宋体"/>
          <w:color w:val="auto"/>
          <w:sz w:val="24"/>
          <w:highlight w:val="none"/>
        </w:rPr>
        <w:t xml:space="preserve"> </w:t>
      </w:r>
    </w:p>
    <w:p>
      <w:pPr>
        <w:widowControl/>
        <w:numPr>
          <w:ilvl w:val="0"/>
          <w:numId w:val="23"/>
        </w:numPr>
        <w:tabs>
          <w:tab w:val="left" w:pos="993"/>
          <w:tab w:val="clear" w:pos="840"/>
        </w:tabs>
        <w:spacing w:before="72" w:beforeLines="30" w:after="72" w:afterLines="30" w:line="360" w:lineRule="auto"/>
        <w:ind w:left="1378" w:leftChars="270" w:hanging="811" w:hangingChars="338"/>
        <w:jc w:val="left"/>
        <w:rPr>
          <w:color w:val="auto"/>
          <w:sz w:val="24"/>
          <w:highlight w:val="none"/>
        </w:rPr>
      </w:pPr>
      <w:r>
        <w:rPr>
          <w:rFonts w:hint="eastAsia"/>
          <w:color w:val="auto"/>
          <w:sz w:val="24"/>
          <w:highlight w:val="none"/>
        </w:rPr>
        <w:t>本合同明确规定买方有权解除合同的情形；</w:t>
      </w:r>
    </w:p>
    <w:p>
      <w:pPr>
        <w:widowControl/>
        <w:numPr>
          <w:ilvl w:val="0"/>
          <w:numId w:val="23"/>
        </w:numPr>
        <w:tabs>
          <w:tab w:val="left" w:pos="993"/>
          <w:tab w:val="clear" w:pos="840"/>
        </w:tabs>
        <w:spacing w:before="72" w:beforeLines="30" w:after="72" w:afterLines="30" w:line="360" w:lineRule="auto"/>
        <w:ind w:left="1378" w:leftChars="270" w:hanging="811" w:hangingChars="338"/>
        <w:jc w:val="left"/>
        <w:rPr>
          <w:color w:val="auto"/>
          <w:sz w:val="24"/>
          <w:highlight w:val="none"/>
        </w:rPr>
      </w:pPr>
      <w:r>
        <w:rPr>
          <w:color w:val="auto"/>
          <w:sz w:val="24"/>
          <w:highlight w:val="none"/>
        </w:rPr>
        <w:t>卖方破产、资不抵债、停业清理、解散、被兼并、被查封</w:t>
      </w:r>
      <w:r>
        <w:rPr>
          <w:rFonts w:hint="eastAsia"/>
          <w:color w:val="auto"/>
          <w:sz w:val="24"/>
          <w:highlight w:val="none"/>
        </w:rPr>
        <w:t>；</w:t>
      </w:r>
    </w:p>
    <w:p>
      <w:pPr>
        <w:widowControl/>
        <w:numPr>
          <w:ilvl w:val="0"/>
          <w:numId w:val="23"/>
        </w:numPr>
        <w:tabs>
          <w:tab w:val="left" w:pos="993"/>
          <w:tab w:val="clear" w:pos="840"/>
        </w:tabs>
        <w:spacing w:before="72" w:beforeLines="30" w:after="72" w:afterLines="30" w:line="360" w:lineRule="auto"/>
        <w:ind w:left="1378" w:leftChars="270" w:hanging="811" w:hangingChars="338"/>
        <w:jc w:val="left"/>
        <w:rPr>
          <w:color w:val="auto"/>
          <w:sz w:val="24"/>
          <w:highlight w:val="none"/>
        </w:rPr>
      </w:pPr>
      <w:r>
        <w:rPr>
          <w:color w:val="auto"/>
          <w:sz w:val="24"/>
          <w:highlight w:val="none"/>
        </w:rPr>
        <w:t>卖方</w:t>
      </w:r>
      <w:r>
        <w:rPr>
          <w:rFonts w:hint="eastAsia"/>
          <w:color w:val="auto"/>
          <w:sz w:val="24"/>
          <w:highlight w:val="none"/>
        </w:rPr>
        <w:t>发生其它严重违约</w:t>
      </w:r>
      <w:r>
        <w:rPr>
          <w:color w:val="auto"/>
          <w:sz w:val="24"/>
          <w:highlight w:val="none"/>
        </w:rPr>
        <w:t>，</w:t>
      </w:r>
      <w:r>
        <w:rPr>
          <w:rFonts w:hint="eastAsia"/>
          <w:color w:val="auto"/>
          <w:sz w:val="24"/>
          <w:highlight w:val="none"/>
        </w:rPr>
        <w:t>且未在买方要求的合理期限内纠正；</w:t>
      </w:r>
    </w:p>
    <w:p>
      <w:pPr>
        <w:widowControl/>
        <w:numPr>
          <w:ilvl w:val="0"/>
          <w:numId w:val="23"/>
        </w:numPr>
        <w:tabs>
          <w:tab w:val="left" w:pos="993"/>
          <w:tab w:val="clear" w:pos="840"/>
        </w:tabs>
        <w:spacing w:before="72" w:beforeLines="30" w:after="72" w:afterLines="30" w:line="360" w:lineRule="auto"/>
        <w:ind w:left="1378" w:leftChars="270" w:hanging="811" w:hangingChars="338"/>
        <w:jc w:val="left"/>
        <w:rPr>
          <w:color w:val="auto"/>
          <w:sz w:val="24"/>
          <w:highlight w:val="none"/>
        </w:rPr>
      </w:pPr>
      <w:r>
        <w:rPr>
          <w:rFonts w:hint="eastAsia"/>
          <w:color w:val="auto"/>
          <w:sz w:val="24"/>
          <w:highlight w:val="none"/>
        </w:rPr>
        <w:t>不可抗力</w:t>
      </w:r>
      <w:r>
        <w:rPr>
          <w:color w:val="auto"/>
          <w:sz w:val="24"/>
          <w:highlight w:val="none"/>
        </w:rPr>
        <w:t>持续超过【</w:t>
      </w:r>
      <w:r>
        <w:rPr>
          <w:rFonts w:hint="eastAsia"/>
          <w:color w:val="auto"/>
          <w:sz w:val="24"/>
          <w:highlight w:val="none"/>
        </w:rPr>
        <w:t>六十（60）</w:t>
      </w:r>
      <w:r>
        <w:rPr>
          <w:color w:val="auto"/>
          <w:sz w:val="24"/>
          <w:highlight w:val="none"/>
        </w:rPr>
        <w:t>】</w:t>
      </w:r>
      <w:r>
        <w:rPr>
          <w:rFonts w:hint="eastAsia"/>
          <w:color w:val="auto"/>
          <w:sz w:val="24"/>
          <w:highlight w:val="none"/>
        </w:rPr>
        <w:t>日。</w:t>
      </w:r>
    </w:p>
    <w:p>
      <w:pPr>
        <w:numPr>
          <w:ilvl w:val="0"/>
          <w:numId w:val="22"/>
        </w:numPr>
        <w:tabs>
          <w:tab w:val="left" w:pos="567"/>
          <w:tab w:val="left" w:pos="709"/>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如因卖方违约买方解除本合同，</w:t>
      </w:r>
      <w:r>
        <w:rPr>
          <w:rFonts w:hAnsi="宋体"/>
          <w:color w:val="auto"/>
          <w:sz w:val="24"/>
          <w:highlight w:val="none"/>
        </w:rPr>
        <w:t>卖方应退回买方已经支付的</w:t>
      </w:r>
      <w:r>
        <w:rPr>
          <w:rFonts w:hint="eastAsia" w:hAnsi="宋体"/>
          <w:color w:val="auto"/>
          <w:sz w:val="24"/>
          <w:highlight w:val="none"/>
        </w:rPr>
        <w:t>全部款项，并根据本合同规定支付违约金，并且买方有权要求卖方赔偿其因此遭受的全部损失。</w:t>
      </w:r>
      <w:r>
        <w:rPr>
          <w:rFonts w:hAnsi="宋体"/>
          <w:color w:val="auto"/>
          <w:sz w:val="24"/>
          <w:highlight w:val="none"/>
        </w:rPr>
        <w:t>买方</w:t>
      </w:r>
      <w:r>
        <w:rPr>
          <w:rFonts w:hint="eastAsia" w:hAnsi="宋体"/>
          <w:color w:val="auto"/>
          <w:sz w:val="24"/>
          <w:highlight w:val="none"/>
        </w:rPr>
        <w:t>有权以</w:t>
      </w:r>
      <w:r>
        <w:rPr>
          <w:rFonts w:hAnsi="宋体"/>
          <w:color w:val="auto"/>
          <w:sz w:val="24"/>
          <w:highlight w:val="none"/>
        </w:rPr>
        <w:t>适当的条件和方式</w:t>
      </w:r>
      <w:r>
        <w:rPr>
          <w:rFonts w:hint="eastAsia" w:hAnsi="宋体"/>
          <w:color w:val="auto"/>
          <w:sz w:val="24"/>
          <w:highlight w:val="none"/>
        </w:rPr>
        <w:t>购买同等货物</w:t>
      </w:r>
      <w:r>
        <w:rPr>
          <w:rFonts w:hAnsi="宋体"/>
          <w:color w:val="auto"/>
          <w:sz w:val="24"/>
          <w:highlight w:val="none"/>
        </w:rPr>
        <w:t>，卖方应</w:t>
      </w:r>
      <w:r>
        <w:rPr>
          <w:rFonts w:hint="eastAsia" w:hAnsi="宋体"/>
          <w:color w:val="auto"/>
          <w:sz w:val="24"/>
          <w:highlight w:val="none"/>
        </w:rPr>
        <w:t>承</w:t>
      </w:r>
      <w:r>
        <w:rPr>
          <w:rFonts w:hAnsi="宋体"/>
          <w:color w:val="auto"/>
          <w:sz w:val="24"/>
          <w:highlight w:val="none"/>
        </w:rPr>
        <w:t>担</w:t>
      </w:r>
      <w:r>
        <w:rPr>
          <w:rFonts w:hint="eastAsia" w:hAnsi="宋体"/>
          <w:color w:val="auto"/>
          <w:sz w:val="24"/>
          <w:highlight w:val="none"/>
        </w:rPr>
        <w:t>买方</w:t>
      </w:r>
      <w:r>
        <w:rPr>
          <w:rFonts w:hAnsi="宋体"/>
          <w:color w:val="auto"/>
          <w:sz w:val="24"/>
          <w:highlight w:val="none"/>
        </w:rPr>
        <w:t>购买</w:t>
      </w:r>
      <w:r>
        <w:rPr>
          <w:rFonts w:hint="eastAsia" w:hAnsi="宋体"/>
          <w:color w:val="auto"/>
          <w:sz w:val="24"/>
          <w:highlight w:val="none"/>
        </w:rPr>
        <w:t>同等货物的差额费用</w:t>
      </w:r>
      <w:r>
        <w:rPr>
          <w:rFonts w:hAnsi="宋体"/>
          <w:color w:val="auto"/>
          <w:sz w:val="24"/>
          <w:highlight w:val="none"/>
        </w:rPr>
        <w:t>。</w:t>
      </w:r>
    </w:p>
    <w:p>
      <w:pPr>
        <w:numPr>
          <w:ilvl w:val="0"/>
          <w:numId w:val="22"/>
        </w:numPr>
        <w:tabs>
          <w:tab w:val="left" w:pos="567"/>
          <w:tab w:val="left" w:pos="709"/>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无论基于何种原因，经</w:t>
      </w:r>
      <w:r>
        <w:rPr>
          <w:rFonts w:hAnsi="宋体"/>
          <w:color w:val="auto"/>
          <w:sz w:val="24"/>
          <w:highlight w:val="none"/>
        </w:rPr>
        <w:t>提前【</w:t>
      </w:r>
      <w:r>
        <w:rPr>
          <w:rFonts w:hint="eastAsia" w:hAnsi="宋体"/>
          <w:color w:val="auto"/>
          <w:sz w:val="24"/>
          <w:highlight w:val="none"/>
        </w:rPr>
        <w:t>十五（15）</w:t>
      </w:r>
      <w:r>
        <w:rPr>
          <w:rFonts w:hAnsi="宋体"/>
          <w:color w:val="auto"/>
          <w:sz w:val="24"/>
          <w:highlight w:val="none"/>
        </w:rPr>
        <w:t>】</w:t>
      </w:r>
      <w:r>
        <w:rPr>
          <w:rFonts w:hint="eastAsia" w:hAnsi="宋体"/>
          <w:color w:val="auto"/>
          <w:sz w:val="24"/>
          <w:highlight w:val="none"/>
        </w:rPr>
        <w:t>日</w:t>
      </w:r>
      <w:r>
        <w:rPr>
          <w:rFonts w:hAnsi="宋体"/>
          <w:color w:val="auto"/>
          <w:sz w:val="24"/>
          <w:highlight w:val="none"/>
        </w:rPr>
        <w:t>书面通知</w:t>
      </w:r>
      <w:r>
        <w:rPr>
          <w:rFonts w:hint="eastAsia" w:hAnsi="宋体"/>
          <w:color w:val="auto"/>
          <w:sz w:val="24"/>
          <w:highlight w:val="none"/>
        </w:rPr>
        <w:t>卖方</w:t>
      </w:r>
      <w:r>
        <w:rPr>
          <w:rFonts w:hAnsi="宋体"/>
          <w:color w:val="auto"/>
          <w:sz w:val="24"/>
          <w:highlight w:val="none"/>
        </w:rPr>
        <w:t>，买方有权随时</w:t>
      </w:r>
      <w:r>
        <w:rPr>
          <w:rFonts w:hint="eastAsia" w:hAnsi="宋体"/>
          <w:color w:val="auto"/>
          <w:sz w:val="24"/>
          <w:highlight w:val="none"/>
        </w:rPr>
        <w:t>终止</w:t>
      </w:r>
      <w:r>
        <w:rPr>
          <w:rFonts w:hAnsi="宋体"/>
          <w:color w:val="auto"/>
          <w:sz w:val="24"/>
          <w:highlight w:val="none"/>
        </w:rPr>
        <w:t>合同。卖方</w:t>
      </w:r>
      <w:r>
        <w:rPr>
          <w:rFonts w:hint="eastAsia" w:hAnsi="宋体"/>
          <w:color w:val="auto"/>
          <w:sz w:val="24"/>
          <w:highlight w:val="none"/>
        </w:rPr>
        <w:t>收到</w:t>
      </w:r>
      <w:r>
        <w:rPr>
          <w:rFonts w:hAnsi="宋体"/>
          <w:color w:val="auto"/>
          <w:sz w:val="24"/>
          <w:highlight w:val="none"/>
        </w:rPr>
        <w:t>买方</w:t>
      </w:r>
      <w:r>
        <w:rPr>
          <w:rFonts w:hint="eastAsia" w:hAnsi="宋体"/>
          <w:color w:val="auto"/>
          <w:sz w:val="24"/>
          <w:highlight w:val="none"/>
        </w:rPr>
        <w:t>终止</w:t>
      </w:r>
      <w:r>
        <w:rPr>
          <w:rFonts w:hAnsi="宋体"/>
          <w:color w:val="auto"/>
          <w:sz w:val="24"/>
          <w:highlight w:val="none"/>
        </w:rPr>
        <w:t>合同的</w:t>
      </w:r>
      <w:r>
        <w:rPr>
          <w:rFonts w:hint="eastAsia" w:hAnsi="宋体"/>
          <w:color w:val="auto"/>
          <w:sz w:val="24"/>
          <w:highlight w:val="none"/>
        </w:rPr>
        <w:t>书面</w:t>
      </w:r>
      <w:r>
        <w:rPr>
          <w:rFonts w:hAnsi="宋体"/>
          <w:color w:val="auto"/>
          <w:sz w:val="24"/>
          <w:highlight w:val="none"/>
        </w:rPr>
        <w:t>通知</w:t>
      </w:r>
      <w:r>
        <w:rPr>
          <w:rFonts w:hint="eastAsia" w:hAnsi="宋体"/>
          <w:color w:val="auto"/>
          <w:sz w:val="24"/>
          <w:highlight w:val="none"/>
        </w:rPr>
        <w:t>后，</w:t>
      </w:r>
      <w:r>
        <w:rPr>
          <w:rFonts w:hAnsi="宋体"/>
          <w:color w:val="auto"/>
          <w:sz w:val="24"/>
          <w:highlight w:val="none"/>
        </w:rPr>
        <w:t>应立即停止</w:t>
      </w:r>
      <w:r>
        <w:rPr>
          <w:rFonts w:hint="eastAsia" w:hAnsi="宋体"/>
          <w:color w:val="auto"/>
          <w:sz w:val="24"/>
          <w:highlight w:val="none"/>
        </w:rPr>
        <w:t>实施与</w:t>
      </w:r>
      <w:r>
        <w:rPr>
          <w:rFonts w:hAnsi="宋体"/>
          <w:color w:val="auto"/>
          <w:sz w:val="24"/>
          <w:highlight w:val="none"/>
        </w:rPr>
        <w:t>本合同</w:t>
      </w:r>
      <w:r>
        <w:rPr>
          <w:rFonts w:hint="eastAsia" w:hAnsi="宋体"/>
          <w:color w:val="auto"/>
          <w:sz w:val="24"/>
          <w:highlight w:val="none"/>
        </w:rPr>
        <w:t>有</w:t>
      </w:r>
      <w:r>
        <w:rPr>
          <w:rFonts w:hAnsi="宋体"/>
          <w:color w:val="auto"/>
          <w:sz w:val="24"/>
          <w:highlight w:val="none"/>
        </w:rPr>
        <w:t>关的工作并对</w:t>
      </w:r>
      <w:r>
        <w:rPr>
          <w:rFonts w:hint="eastAsia" w:hAnsi="宋体"/>
          <w:color w:val="auto"/>
          <w:sz w:val="24"/>
          <w:highlight w:val="none"/>
        </w:rPr>
        <w:t>已履行</w:t>
      </w:r>
      <w:r>
        <w:rPr>
          <w:rFonts w:hAnsi="宋体"/>
          <w:color w:val="auto"/>
          <w:sz w:val="24"/>
          <w:highlight w:val="none"/>
        </w:rPr>
        <w:t>的</w:t>
      </w:r>
      <w:r>
        <w:rPr>
          <w:rFonts w:hint="eastAsia" w:hAnsi="宋体"/>
          <w:color w:val="auto"/>
          <w:sz w:val="24"/>
          <w:highlight w:val="none"/>
        </w:rPr>
        <w:t>部分</w:t>
      </w:r>
      <w:r>
        <w:rPr>
          <w:rFonts w:hAnsi="宋体"/>
          <w:color w:val="auto"/>
          <w:sz w:val="24"/>
          <w:highlight w:val="none"/>
        </w:rPr>
        <w:t>进行结算。买方收到卖方的结算</w:t>
      </w:r>
      <w:r>
        <w:rPr>
          <w:rFonts w:hint="eastAsia" w:hAnsi="宋体"/>
          <w:color w:val="auto"/>
          <w:sz w:val="24"/>
          <w:highlight w:val="none"/>
        </w:rPr>
        <w:t>要求</w:t>
      </w:r>
      <w:r>
        <w:rPr>
          <w:rFonts w:hAnsi="宋体"/>
          <w:color w:val="auto"/>
          <w:sz w:val="24"/>
          <w:highlight w:val="none"/>
        </w:rPr>
        <w:t>后，</w:t>
      </w:r>
      <w:r>
        <w:rPr>
          <w:rFonts w:hint="eastAsia" w:hAnsi="宋体"/>
          <w:color w:val="auto"/>
          <w:sz w:val="24"/>
          <w:highlight w:val="none"/>
        </w:rPr>
        <w:t>应</w:t>
      </w:r>
      <w:r>
        <w:rPr>
          <w:rFonts w:hAnsi="宋体"/>
          <w:color w:val="auto"/>
          <w:sz w:val="24"/>
          <w:highlight w:val="none"/>
        </w:rPr>
        <w:t>与卖方协商结算</w:t>
      </w:r>
      <w:r>
        <w:rPr>
          <w:rFonts w:hint="eastAsia" w:hAnsi="宋体"/>
          <w:color w:val="auto"/>
          <w:sz w:val="24"/>
          <w:highlight w:val="none"/>
        </w:rPr>
        <w:t>数额、</w:t>
      </w:r>
      <w:r>
        <w:rPr>
          <w:rFonts w:hAnsi="宋体"/>
          <w:color w:val="auto"/>
          <w:sz w:val="24"/>
          <w:highlight w:val="none"/>
        </w:rPr>
        <w:t>因买方终止合同</w:t>
      </w:r>
      <w:r>
        <w:rPr>
          <w:rFonts w:hint="eastAsia" w:hAnsi="宋体"/>
          <w:color w:val="auto"/>
          <w:sz w:val="24"/>
          <w:highlight w:val="none"/>
        </w:rPr>
        <w:t>需向</w:t>
      </w:r>
      <w:r>
        <w:rPr>
          <w:rFonts w:hAnsi="宋体"/>
          <w:color w:val="auto"/>
          <w:sz w:val="24"/>
          <w:highlight w:val="none"/>
        </w:rPr>
        <w:t>卖方</w:t>
      </w:r>
      <w:r>
        <w:rPr>
          <w:rFonts w:hint="eastAsia" w:hAnsi="宋体"/>
          <w:color w:val="auto"/>
          <w:sz w:val="24"/>
          <w:highlight w:val="none"/>
        </w:rPr>
        <w:t>支付</w:t>
      </w:r>
      <w:r>
        <w:rPr>
          <w:rFonts w:hAnsi="宋体"/>
          <w:color w:val="auto"/>
          <w:sz w:val="24"/>
          <w:highlight w:val="none"/>
        </w:rPr>
        <w:t>的补偿</w:t>
      </w:r>
      <w:r>
        <w:rPr>
          <w:rFonts w:hint="eastAsia" w:hAnsi="宋体"/>
          <w:color w:val="auto"/>
          <w:sz w:val="24"/>
          <w:highlight w:val="none"/>
        </w:rPr>
        <w:t>款等事项</w:t>
      </w:r>
      <w:r>
        <w:rPr>
          <w:rFonts w:hAnsi="宋体"/>
          <w:color w:val="auto"/>
          <w:sz w:val="24"/>
          <w:highlight w:val="none"/>
        </w:rPr>
        <w:t>。</w:t>
      </w:r>
      <w:r>
        <w:rPr>
          <w:rFonts w:hint="eastAsia" w:hAnsi="宋体"/>
          <w:color w:val="auto"/>
          <w:sz w:val="24"/>
          <w:highlight w:val="none"/>
        </w:rPr>
        <w:t>买方因终止合同向</w:t>
      </w:r>
      <w:r>
        <w:rPr>
          <w:rFonts w:hAnsi="宋体"/>
          <w:color w:val="auto"/>
          <w:sz w:val="24"/>
          <w:highlight w:val="none"/>
        </w:rPr>
        <w:t>卖方</w:t>
      </w:r>
      <w:r>
        <w:rPr>
          <w:rFonts w:hint="eastAsia" w:hAnsi="宋体"/>
          <w:color w:val="auto"/>
          <w:sz w:val="24"/>
          <w:highlight w:val="none"/>
        </w:rPr>
        <w:t>支付的补偿款以卖方为</w:t>
      </w:r>
      <w:r>
        <w:rPr>
          <w:rFonts w:hAnsi="宋体"/>
          <w:color w:val="auto"/>
          <w:sz w:val="24"/>
          <w:highlight w:val="none"/>
        </w:rPr>
        <w:t>履行合同已</w:t>
      </w:r>
      <w:r>
        <w:rPr>
          <w:rFonts w:hint="eastAsia" w:hAnsi="宋体"/>
          <w:color w:val="auto"/>
          <w:sz w:val="24"/>
          <w:highlight w:val="none"/>
        </w:rPr>
        <w:t>实际</w:t>
      </w:r>
      <w:r>
        <w:rPr>
          <w:rFonts w:hAnsi="宋体"/>
          <w:color w:val="auto"/>
          <w:sz w:val="24"/>
          <w:highlight w:val="none"/>
        </w:rPr>
        <w:t>发生</w:t>
      </w:r>
      <w:r>
        <w:rPr>
          <w:rFonts w:hint="eastAsia" w:hAnsi="宋体"/>
          <w:color w:val="auto"/>
          <w:sz w:val="24"/>
          <w:highlight w:val="none"/>
        </w:rPr>
        <w:t>的</w:t>
      </w:r>
      <w:r>
        <w:rPr>
          <w:rFonts w:hAnsi="宋体"/>
          <w:color w:val="auto"/>
          <w:sz w:val="24"/>
          <w:highlight w:val="none"/>
        </w:rPr>
        <w:t>直接、合理费用</w:t>
      </w:r>
      <w:r>
        <w:rPr>
          <w:rFonts w:hint="eastAsia" w:hAnsi="宋体"/>
          <w:color w:val="auto"/>
          <w:sz w:val="24"/>
          <w:highlight w:val="none"/>
        </w:rPr>
        <w:t>为限。</w:t>
      </w:r>
      <w:r>
        <w:rPr>
          <w:rFonts w:hAnsi="宋体"/>
          <w:color w:val="auto"/>
          <w:sz w:val="24"/>
          <w:highlight w:val="none"/>
        </w:rPr>
        <w:t>买方向卖方支付的</w:t>
      </w:r>
      <w:r>
        <w:rPr>
          <w:rFonts w:hint="eastAsia" w:hAnsi="宋体"/>
          <w:color w:val="auto"/>
          <w:sz w:val="24"/>
          <w:highlight w:val="none"/>
        </w:rPr>
        <w:t>该等补偿款</w:t>
      </w:r>
      <w:r>
        <w:rPr>
          <w:rFonts w:hAnsi="宋体"/>
          <w:color w:val="auto"/>
          <w:sz w:val="24"/>
          <w:highlight w:val="none"/>
        </w:rPr>
        <w:t>系买方</w:t>
      </w:r>
      <w:r>
        <w:rPr>
          <w:rFonts w:hint="eastAsia" w:hAnsi="宋体"/>
          <w:color w:val="auto"/>
          <w:sz w:val="24"/>
          <w:highlight w:val="none"/>
        </w:rPr>
        <w:t>根据本款规定</w:t>
      </w:r>
      <w:r>
        <w:rPr>
          <w:rFonts w:hAnsi="宋体"/>
          <w:color w:val="auto"/>
          <w:sz w:val="24"/>
          <w:highlight w:val="none"/>
        </w:rPr>
        <w:t>终止合同时</w:t>
      </w:r>
      <w:r>
        <w:rPr>
          <w:rFonts w:hint="eastAsia" w:hAnsi="宋体"/>
          <w:color w:val="auto"/>
          <w:sz w:val="24"/>
          <w:highlight w:val="none"/>
        </w:rPr>
        <w:t>，</w:t>
      </w:r>
      <w:r>
        <w:rPr>
          <w:rFonts w:hAnsi="宋体"/>
          <w:color w:val="auto"/>
          <w:sz w:val="24"/>
          <w:highlight w:val="none"/>
        </w:rPr>
        <w:t>卖方可获得的</w:t>
      </w:r>
      <w:r>
        <w:rPr>
          <w:rFonts w:hint="eastAsia" w:hAnsi="宋体"/>
          <w:color w:val="auto"/>
          <w:sz w:val="24"/>
          <w:highlight w:val="none"/>
        </w:rPr>
        <w:t>全部赔偿。任何时候卖方均无权要求买方赔偿因合同终止引起的预期利润的损失或损害。</w:t>
      </w:r>
    </w:p>
    <w:p>
      <w:pPr>
        <w:numPr>
          <w:ilvl w:val="0"/>
          <w:numId w:val="22"/>
        </w:numPr>
        <w:tabs>
          <w:tab w:val="left" w:pos="567"/>
          <w:tab w:val="left" w:pos="709"/>
        </w:tabs>
        <w:spacing w:before="72" w:beforeLines="30" w:after="72" w:afterLines="30" w:line="360" w:lineRule="auto"/>
        <w:ind w:left="567" w:hanging="567"/>
        <w:rPr>
          <w:rFonts w:hAnsi="宋体"/>
          <w:color w:val="auto"/>
          <w:sz w:val="24"/>
          <w:highlight w:val="none"/>
        </w:rPr>
      </w:pPr>
      <w:r>
        <w:rPr>
          <w:rFonts w:hint="eastAsia" w:hAnsi="宋体"/>
          <w:color w:val="auto"/>
          <w:sz w:val="24"/>
          <w:highlight w:val="none"/>
        </w:rPr>
        <w:t>如果本合同根据本条第13</w:t>
      </w:r>
      <w:r>
        <w:rPr>
          <w:rFonts w:hAnsi="宋体"/>
          <w:color w:val="auto"/>
          <w:sz w:val="24"/>
          <w:highlight w:val="none"/>
        </w:rPr>
        <w:t>.3款</w:t>
      </w:r>
      <w:r>
        <w:rPr>
          <w:rFonts w:hint="eastAsia" w:hAnsi="宋体"/>
          <w:color w:val="auto"/>
          <w:sz w:val="24"/>
          <w:highlight w:val="none"/>
        </w:rPr>
        <w:t>终止，对于合同终止前买方已经支付合同价款或提供补偿费用的货物，卖方应立即移交给买方，买方拥有相关货物的全部权益。</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 xml:space="preserve"> 健康、安全和环保</w:t>
      </w:r>
    </w:p>
    <w:p>
      <w:pPr>
        <w:numPr>
          <w:ilvl w:val="0"/>
          <w:numId w:val="24"/>
        </w:numPr>
        <w:tabs>
          <w:tab w:val="left" w:pos="567"/>
          <w:tab w:val="left" w:pos="709"/>
          <w:tab w:val="left" w:pos="3060"/>
        </w:tabs>
        <w:spacing w:before="72" w:beforeLines="30" w:after="72" w:afterLines="30" w:line="360" w:lineRule="auto"/>
        <w:ind w:left="567" w:hanging="567"/>
        <w:rPr>
          <w:color w:val="auto"/>
          <w:sz w:val="24"/>
          <w:highlight w:val="none"/>
        </w:rPr>
      </w:pPr>
      <w:r>
        <w:rPr>
          <w:color w:val="auto"/>
          <w:sz w:val="24"/>
          <w:highlight w:val="none"/>
        </w:rPr>
        <w:t>卖方应确保在货物制造过程中使用的材料和制作工艺符合国家标准</w:t>
      </w:r>
      <w:r>
        <w:rPr>
          <w:rFonts w:hint="eastAsia"/>
          <w:color w:val="auto"/>
          <w:sz w:val="24"/>
          <w:highlight w:val="none"/>
        </w:rPr>
        <w:t>，保证货物制造现场符合法律法规的要求</w:t>
      </w:r>
      <w:r>
        <w:rPr>
          <w:color w:val="auto"/>
          <w:sz w:val="24"/>
          <w:highlight w:val="none"/>
        </w:rPr>
        <w:t>。</w:t>
      </w:r>
    </w:p>
    <w:p>
      <w:pPr>
        <w:numPr>
          <w:ilvl w:val="0"/>
          <w:numId w:val="24"/>
        </w:numPr>
        <w:tabs>
          <w:tab w:val="left" w:pos="567"/>
          <w:tab w:val="left" w:pos="709"/>
          <w:tab w:val="left" w:pos="3060"/>
        </w:tabs>
        <w:spacing w:before="72" w:beforeLines="30" w:after="72" w:afterLines="30" w:line="360" w:lineRule="auto"/>
        <w:ind w:left="567" w:hanging="567"/>
        <w:rPr>
          <w:color w:val="auto"/>
          <w:sz w:val="24"/>
          <w:highlight w:val="none"/>
        </w:rPr>
      </w:pPr>
      <w:r>
        <w:rPr>
          <w:color w:val="auto"/>
          <w:sz w:val="24"/>
          <w:highlight w:val="none"/>
        </w:rPr>
        <w:t>卖方向买方提供的货物必须符合</w:t>
      </w:r>
      <w:r>
        <w:rPr>
          <w:rFonts w:hint="eastAsia"/>
          <w:color w:val="auto"/>
          <w:sz w:val="24"/>
          <w:highlight w:val="none"/>
        </w:rPr>
        <w:t>中国</w:t>
      </w:r>
      <w:r>
        <w:rPr>
          <w:color w:val="auto"/>
          <w:sz w:val="24"/>
          <w:highlight w:val="none"/>
        </w:rPr>
        <w:t>有关健康、安全、环保法律法规的规定。对</w:t>
      </w:r>
      <w:r>
        <w:rPr>
          <w:rFonts w:hint="eastAsia"/>
          <w:color w:val="auto"/>
          <w:sz w:val="24"/>
          <w:highlight w:val="none"/>
        </w:rPr>
        <w:t>于</w:t>
      </w:r>
      <w:r>
        <w:rPr>
          <w:color w:val="auto"/>
          <w:sz w:val="24"/>
          <w:highlight w:val="none"/>
        </w:rPr>
        <w:t>根据有关法律法规必须持证生产或经营的</w:t>
      </w:r>
      <w:r>
        <w:rPr>
          <w:rFonts w:hint="eastAsia"/>
          <w:color w:val="auto"/>
          <w:sz w:val="24"/>
          <w:highlight w:val="none"/>
        </w:rPr>
        <w:t>货物</w:t>
      </w:r>
      <w:r>
        <w:rPr>
          <w:color w:val="auto"/>
          <w:sz w:val="24"/>
          <w:highlight w:val="none"/>
        </w:rPr>
        <w:t>，卖方在生产或经营时应持有全套有效的生产许可证或经营许可证。</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ascii="Times New Roman" w:hAnsi="Times New Roman"/>
          <w:color w:val="auto"/>
          <w:sz w:val="24"/>
          <w:szCs w:val="24"/>
          <w:highlight w:val="none"/>
        </w:rPr>
        <w:t xml:space="preserve"> 转让</w:t>
      </w:r>
      <w:r>
        <w:rPr>
          <w:rFonts w:hint="eastAsia"/>
          <w:color w:val="auto"/>
          <w:sz w:val="24"/>
          <w:szCs w:val="24"/>
          <w:highlight w:val="none"/>
        </w:rPr>
        <w:t>和分包</w:t>
      </w:r>
    </w:p>
    <w:p>
      <w:pPr>
        <w:widowControl/>
        <w:numPr>
          <w:ilvl w:val="0"/>
          <w:numId w:val="25"/>
        </w:numPr>
        <w:tabs>
          <w:tab w:val="left" w:pos="567"/>
          <w:tab w:val="left" w:pos="709"/>
        </w:tabs>
        <w:spacing w:before="72" w:beforeLines="30" w:after="72" w:afterLines="30" w:line="360" w:lineRule="auto"/>
        <w:ind w:left="567" w:hanging="567"/>
        <w:rPr>
          <w:color w:val="auto"/>
          <w:sz w:val="24"/>
          <w:highlight w:val="none"/>
        </w:rPr>
      </w:pPr>
      <w:r>
        <w:rPr>
          <w:color w:val="auto"/>
          <w:sz w:val="24"/>
          <w:highlight w:val="none"/>
        </w:rPr>
        <w:t>未经买方</w:t>
      </w:r>
      <w:r>
        <w:rPr>
          <w:rFonts w:hint="eastAsia"/>
          <w:color w:val="auto"/>
          <w:sz w:val="24"/>
          <w:highlight w:val="none"/>
        </w:rPr>
        <w:t>事先</w:t>
      </w:r>
      <w:r>
        <w:rPr>
          <w:color w:val="auto"/>
          <w:sz w:val="24"/>
          <w:highlight w:val="none"/>
        </w:rPr>
        <w:t>书面同意，卖方不得</w:t>
      </w:r>
      <w:r>
        <w:rPr>
          <w:rFonts w:hint="eastAsia"/>
          <w:color w:val="auto"/>
          <w:sz w:val="24"/>
          <w:highlight w:val="none"/>
        </w:rPr>
        <w:t>将</w:t>
      </w:r>
      <w:r>
        <w:rPr>
          <w:color w:val="auto"/>
          <w:sz w:val="24"/>
          <w:highlight w:val="none"/>
        </w:rPr>
        <w:t>其</w:t>
      </w:r>
      <w:r>
        <w:rPr>
          <w:rFonts w:hint="eastAsia"/>
          <w:color w:val="auto"/>
          <w:sz w:val="24"/>
          <w:highlight w:val="none"/>
        </w:rPr>
        <w:t>在本</w:t>
      </w:r>
      <w:r>
        <w:rPr>
          <w:color w:val="auto"/>
          <w:sz w:val="24"/>
          <w:highlight w:val="none"/>
        </w:rPr>
        <w:t>合同</w:t>
      </w:r>
      <w:r>
        <w:rPr>
          <w:rFonts w:hint="eastAsia"/>
          <w:color w:val="auto"/>
          <w:sz w:val="24"/>
          <w:highlight w:val="none"/>
        </w:rPr>
        <w:t>项下</w:t>
      </w:r>
      <w:r>
        <w:rPr>
          <w:color w:val="auto"/>
          <w:sz w:val="24"/>
          <w:highlight w:val="none"/>
        </w:rPr>
        <w:t>的</w:t>
      </w:r>
      <w:r>
        <w:rPr>
          <w:rFonts w:hint="eastAsia"/>
          <w:color w:val="auto"/>
          <w:sz w:val="24"/>
          <w:highlight w:val="none"/>
        </w:rPr>
        <w:t>任何权利和</w:t>
      </w:r>
      <w:r>
        <w:rPr>
          <w:color w:val="auto"/>
          <w:sz w:val="24"/>
          <w:highlight w:val="none"/>
        </w:rPr>
        <w:t>义务</w:t>
      </w:r>
      <w:r>
        <w:rPr>
          <w:rFonts w:hint="eastAsia"/>
          <w:color w:val="auto"/>
          <w:sz w:val="24"/>
          <w:highlight w:val="none"/>
        </w:rPr>
        <w:t>全部或部分转让给任何第三方，包括卖方的关联企业</w:t>
      </w:r>
      <w:r>
        <w:rPr>
          <w:color w:val="auto"/>
          <w:sz w:val="24"/>
          <w:highlight w:val="none"/>
        </w:rPr>
        <w:t>。</w:t>
      </w:r>
      <w:r>
        <w:rPr>
          <w:rFonts w:hint="eastAsia"/>
          <w:color w:val="auto"/>
          <w:sz w:val="24"/>
          <w:highlight w:val="none"/>
        </w:rPr>
        <w:t>买方</w:t>
      </w:r>
      <w:r>
        <w:rPr>
          <w:color w:val="auto"/>
          <w:sz w:val="24"/>
          <w:highlight w:val="none"/>
        </w:rPr>
        <w:t>可以</w:t>
      </w:r>
      <w:r>
        <w:rPr>
          <w:rFonts w:hint="eastAsia"/>
          <w:color w:val="auto"/>
          <w:sz w:val="24"/>
          <w:highlight w:val="none"/>
        </w:rPr>
        <w:t>将其在</w:t>
      </w:r>
      <w:r>
        <w:rPr>
          <w:color w:val="auto"/>
          <w:sz w:val="24"/>
          <w:highlight w:val="none"/>
        </w:rPr>
        <w:t>本合同</w:t>
      </w:r>
      <w:r>
        <w:rPr>
          <w:rFonts w:hint="eastAsia"/>
          <w:color w:val="auto"/>
          <w:sz w:val="24"/>
          <w:highlight w:val="none"/>
        </w:rPr>
        <w:t>项下的</w:t>
      </w:r>
      <w:r>
        <w:rPr>
          <w:color w:val="auto"/>
          <w:sz w:val="24"/>
          <w:highlight w:val="none"/>
        </w:rPr>
        <w:t>权利和义务</w:t>
      </w:r>
      <w:r>
        <w:rPr>
          <w:rFonts w:hint="eastAsia"/>
          <w:color w:val="auto"/>
          <w:sz w:val="24"/>
          <w:highlight w:val="none"/>
        </w:rPr>
        <w:t>全部或部分</w:t>
      </w:r>
      <w:r>
        <w:rPr>
          <w:color w:val="auto"/>
          <w:sz w:val="24"/>
          <w:highlight w:val="none"/>
        </w:rPr>
        <w:t>转让给</w:t>
      </w:r>
      <w:r>
        <w:rPr>
          <w:rFonts w:hint="eastAsia"/>
          <w:color w:val="auto"/>
          <w:sz w:val="24"/>
          <w:highlight w:val="none"/>
        </w:rPr>
        <w:t>其关联企业</w:t>
      </w:r>
      <w:r>
        <w:rPr>
          <w:color w:val="auto"/>
          <w:sz w:val="24"/>
          <w:highlight w:val="none"/>
        </w:rPr>
        <w:t>，</w:t>
      </w:r>
      <w:r>
        <w:rPr>
          <w:rFonts w:hint="eastAsia"/>
          <w:color w:val="auto"/>
          <w:sz w:val="24"/>
          <w:highlight w:val="none"/>
        </w:rPr>
        <w:t>且无需</w:t>
      </w:r>
      <w:r>
        <w:rPr>
          <w:color w:val="auto"/>
          <w:sz w:val="24"/>
          <w:highlight w:val="none"/>
        </w:rPr>
        <w:t>事先征得</w:t>
      </w:r>
      <w:r>
        <w:rPr>
          <w:rFonts w:hint="eastAsia"/>
          <w:color w:val="auto"/>
          <w:sz w:val="24"/>
          <w:highlight w:val="none"/>
        </w:rPr>
        <w:t>卖方</w:t>
      </w:r>
      <w:r>
        <w:rPr>
          <w:color w:val="auto"/>
          <w:sz w:val="24"/>
          <w:highlight w:val="none"/>
        </w:rPr>
        <w:t>的同意，但应书面通知</w:t>
      </w:r>
      <w:r>
        <w:rPr>
          <w:rFonts w:hint="eastAsia"/>
          <w:color w:val="auto"/>
          <w:sz w:val="24"/>
          <w:highlight w:val="none"/>
        </w:rPr>
        <w:t>卖方</w:t>
      </w:r>
      <w:r>
        <w:rPr>
          <w:color w:val="auto"/>
          <w:sz w:val="24"/>
          <w:highlight w:val="none"/>
        </w:rPr>
        <w:t>。</w:t>
      </w:r>
    </w:p>
    <w:p>
      <w:pPr>
        <w:widowControl/>
        <w:numPr>
          <w:ilvl w:val="0"/>
          <w:numId w:val="25"/>
        </w:numPr>
        <w:tabs>
          <w:tab w:val="left" w:pos="567"/>
          <w:tab w:val="left" w:pos="709"/>
        </w:tabs>
        <w:spacing w:before="72" w:beforeLines="30" w:after="72" w:afterLines="30" w:line="360" w:lineRule="auto"/>
        <w:ind w:left="567" w:hanging="567"/>
        <w:rPr>
          <w:color w:val="auto"/>
          <w:sz w:val="24"/>
          <w:highlight w:val="none"/>
        </w:rPr>
      </w:pPr>
      <w:r>
        <w:rPr>
          <w:rFonts w:hint="eastAsia"/>
          <w:color w:val="auto"/>
          <w:sz w:val="24"/>
          <w:highlight w:val="none"/>
        </w:rPr>
        <w:t>未经买方事先书面同意，卖方不得将其在本合同项下的任何义务分包给任何第三方，包括卖方的关联企业。卖方不得将本合同转包给任何第三方，包括其关联企业。</w:t>
      </w:r>
    </w:p>
    <w:p>
      <w:pPr>
        <w:pStyle w:val="13"/>
        <w:numPr>
          <w:ilvl w:val="0"/>
          <w:numId w:val="6"/>
        </w:numPr>
        <w:tabs>
          <w:tab w:val="left" w:pos="993"/>
        </w:tabs>
        <w:spacing w:before="72" w:beforeLines="30" w:after="72" w:afterLines="30" w:line="360" w:lineRule="auto"/>
        <w:ind w:left="567" w:hanging="567"/>
        <w:jc w:val="left"/>
        <w:rPr>
          <w:rFonts w:hAnsi="宋体"/>
          <w:color w:val="auto"/>
          <w:sz w:val="24"/>
          <w:szCs w:val="24"/>
          <w:highlight w:val="none"/>
        </w:rPr>
      </w:pPr>
      <w:r>
        <w:rPr>
          <w:rFonts w:hint="eastAsia" w:hAnsi="宋体"/>
          <w:color w:val="auto"/>
          <w:sz w:val="24"/>
          <w:szCs w:val="24"/>
          <w:highlight w:val="none"/>
        </w:rPr>
        <w:t xml:space="preserve"> 不可抗力</w:t>
      </w:r>
    </w:p>
    <w:p>
      <w:pPr>
        <w:pStyle w:val="8"/>
        <w:widowControl/>
        <w:numPr>
          <w:ilvl w:val="0"/>
          <w:numId w:val="26"/>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不可抗力系指本合同的履行过程中，任何一方经合理努力仍不可预见、不可避免并不能克服的客观情况。</w:t>
      </w:r>
      <w:r>
        <w:rPr>
          <w:color w:val="auto"/>
          <w:sz w:val="24"/>
          <w:highlight w:val="none"/>
        </w:rPr>
        <w:t>任何一方因不可抗力不能或延迟履行本合同，不承担违约责任。</w:t>
      </w:r>
    </w:p>
    <w:p>
      <w:pPr>
        <w:pStyle w:val="8"/>
        <w:widowControl/>
        <w:numPr>
          <w:ilvl w:val="0"/>
          <w:numId w:val="26"/>
        </w:numPr>
        <w:tabs>
          <w:tab w:val="left" w:pos="567"/>
        </w:tabs>
        <w:spacing w:before="72" w:beforeLines="30" w:after="72" w:afterLines="30" w:line="360" w:lineRule="auto"/>
        <w:ind w:left="567" w:hanging="567"/>
        <w:rPr>
          <w:color w:val="auto"/>
          <w:sz w:val="24"/>
          <w:highlight w:val="none"/>
        </w:rPr>
      </w:pPr>
      <w:r>
        <w:rPr>
          <w:color w:val="auto"/>
          <w:sz w:val="24"/>
          <w:highlight w:val="none"/>
        </w:rPr>
        <w:t>如果一方遭受不可抗力，应立即（不迟于24小时内）通知另一方，并采取一切合理、必要的措施减少损失及不可抗力的影响，恢复合同的履行。</w:t>
      </w:r>
      <w:r>
        <w:rPr>
          <w:rFonts w:hint="eastAsia"/>
          <w:color w:val="auto"/>
          <w:sz w:val="24"/>
          <w:highlight w:val="none"/>
        </w:rPr>
        <w:t>不可抗力结束后</w:t>
      </w:r>
      <w:r>
        <w:rPr>
          <w:color w:val="auto"/>
          <w:sz w:val="24"/>
          <w:highlight w:val="none"/>
        </w:rPr>
        <w:t>48</w:t>
      </w:r>
      <w:r>
        <w:rPr>
          <w:rFonts w:hint="eastAsia"/>
          <w:color w:val="auto"/>
          <w:sz w:val="24"/>
          <w:highlight w:val="none"/>
        </w:rPr>
        <w:t>小时内，遭受不可抗力的一方应向另一方通报不可抗力的情况，包括不可抗力造成的损害、延续时间、合同设备受影响的范围、补救措施等，如不可抗力持续发生，遭受不可抗力的一方应及时更新该等信息。</w:t>
      </w:r>
    </w:p>
    <w:p>
      <w:pPr>
        <w:pStyle w:val="8"/>
        <w:widowControl/>
        <w:numPr>
          <w:ilvl w:val="0"/>
          <w:numId w:val="26"/>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如发生不可抗力，双方各自承担其人员和财产损失。一旦不可抗力停止或者影响消除，双方应立即履行其义务，合同的期限应该相应顺延。如果不可抗力的影响持续超过【</w:t>
      </w:r>
      <w:r>
        <w:rPr>
          <w:rFonts w:hint="eastAsia"/>
          <w:i/>
          <w:color w:val="auto"/>
          <w:sz w:val="24"/>
          <w:highlight w:val="none"/>
          <w:lang w:val="en-US" w:eastAsia="zh-CN"/>
        </w:rPr>
        <w:t>30</w:t>
      </w:r>
      <w:r>
        <w:rPr>
          <w:rFonts w:hint="eastAsia"/>
          <w:color w:val="auto"/>
          <w:sz w:val="24"/>
          <w:highlight w:val="none"/>
        </w:rPr>
        <w:t>】日，双方应该共同商议应对措施。</w:t>
      </w:r>
    </w:p>
    <w:p>
      <w:pPr>
        <w:pStyle w:val="8"/>
        <w:widowControl/>
        <w:numPr>
          <w:ilvl w:val="0"/>
          <w:numId w:val="26"/>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任何一方迟延履行合同后遭受不可抗力的，不得减少、免除该方在本合同项下的任何义务和责任。</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 xml:space="preserve"> 保密</w:t>
      </w:r>
    </w:p>
    <w:p>
      <w:pPr>
        <w:numPr>
          <w:ilvl w:val="0"/>
          <w:numId w:val="27"/>
        </w:numPr>
        <w:tabs>
          <w:tab w:val="left" w:pos="567"/>
          <w:tab w:val="left" w:pos="709"/>
        </w:tabs>
        <w:spacing w:before="72" w:beforeLines="30" w:after="72" w:afterLines="30" w:line="360" w:lineRule="auto"/>
        <w:ind w:left="567" w:hanging="567"/>
        <w:rPr>
          <w:color w:val="auto"/>
          <w:sz w:val="24"/>
          <w:highlight w:val="none"/>
        </w:rPr>
      </w:pPr>
      <w:r>
        <w:rPr>
          <w:color w:val="auto"/>
          <w:sz w:val="24"/>
          <w:highlight w:val="none"/>
        </w:rPr>
        <w:t>除非法律法规、政府机关另行强制要求，未经</w:t>
      </w:r>
      <w:r>
        <w:rPr>
          <w:rFonts w:hint="eastAsia"/>
          <w:color w:val="auto"/>
          <w:sz w:val="24"/>
          <w:highlight w:val="none"/>
        </w:rPr>
        <w:t>买方</w:t>
      </w:r>
      <w:r>
        <w:rPr>
          <w:color w:val="auto"/>
          <w:sz w:val="24"/>
          <w:highlight w:val="none"/>
        </w:rPr>
        <w:t>同意，</w:t>
      </w:r>
      <w:r>
        <w:rPr>
          <w:rFonts w:hint="eastAsia"/>
          <w:color w:val="auto"/>
          <w:sz w:val="24"/>
          <w:highlight w:val="none"/>
        </w:rPr>
        <w:t>卖方</w:t>
      </w:r>
      <w:r>
        <w:rPr>
          <w:color w:val="auto"/>
          <w:sz w:val="24"/>
          <w:highlight w:val="none"/>
        </w:rPr>
        <w:t>不得将</w:t>
      </w:r>
      <w:r>
        <w:rPr>
          <w:rFonts w:hint="eastAsia"/>
          <w:color w:val="auto"/>
          <w:sz w:val="24"/>
          <w:highlight w:val="none"/>
        </w:rPr>
        <w:t>买</w:t>
      </w:r>
      <w:r>
        <w:rPr>
          <w:color w:val="auto"/>
          <w:sz w:val="24"/>
          <w:highlight w:val="none"/>
        </w:rPr>
        <w:t>方保密信息披露给任何第三方（包括与合同无关的</w:t>
      </w:r>
      <w:r>
        <w:rPr>
          <w:rFonts w:hint="eastAsia"/>
          <w:color w:val="auto"/>
          <w:sz w:val="24"/>
          <w:highlight w:val="none"/>
        </w:rPr>
        <w:t>卖</w:t>
      </w:r>
      <w:r>
        <w:rPr>
          <w:color w:val="auto"/>
          <w:sz w:val="24"/>
          <w:highlight w:val="none"/>
        </w:rPr>
        <w:t>方员工和政府部门），亦不得将该等信息用于与本合同无关的用途。保密信息包括但不限于：合同内容；</w:t>
      </w:r>
      <w:r>
        <w:rPr>
          <w:rFonts w:hint="eastAsia"/>
          <w:color w:val="auto"/>
          <w:sz w:val="24"/>
          <w:highlight w:val="none"/>
        </w:rPr>
        <w:t>买方提供的</w:t>
      </w:r>
      <w:r>
        <w:rPr>
          <w:color w:val="auto"/>
          <w:sz w:val="24"/>
          <w:highlight w:val="none"/>
        </w:rPr>
        <w:t>与本合同有关的任何技术信息、图纸、样本、资料等；</w:t>
      </w:r>
      <w:r>
        <w:rPr>
          <w:rFonts w:hint="eastAsia"/>
          <w:color w:val="auto"/>
          <w:sz w:val="24"/>
          <w:highlight w:val="none"/>
        </w:rPr>
        <w:t>买方</w:t>
      </w:r>
      <w:r>
        <w:rPr>
          <w:color w:val="auto"/>
          <w:sz w:val="24"/>
          <w:highlight w:val="none"/>
        </w:rPr>
        <w:t>提供的或</w:t>
      </w:r>
      <w:r>
        <w:rPr>
          <w:rFonts w:hint="eastAsia"/>
          <w:color w:val="auto"/>
          <w:sz w:val="24"/>
          <w:highlight w:val="none"/>
        </w:rPr>
        <w:t>卖方</w:t>
      </w:r>
      <w:r>
        <w:rPr>
          <w:color w:val="auto"/>
          <w:sz w:val="24"/>
          <w:highlight w:val="none"/>
        </w:rPr>
        <w:t>获得的与项目或买方有关的任何技术和商务信息。</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 xml:space="preserve"> 审计、禁止商业贿赂和反腐败</w:t>
      </w:r>
    </w:p>
    <w:p>
      <w:pPr>
        <w:pStyle w:val="20"/>
        <w:numPr>
          <w:ilvl w:val="0"/>
          <w:numId w:val="28"/>
        </w:numPr>
        <w:adjustRightInd w:val="0"/>
        <w:snapToGrid w:val="0"/>
        <w:spacing w:before="72" w:beforeLines="30" w:after="72" w:afterLines="30" w:line="360" w:lineRule="auto"/>
        <w:ind w:left="567" w:hanging="567" w:firstLineChars="0"/>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卖方应根据买方要求，接受和配合买方或买方委</w:t>
      </w:r>
      <w:r>
        <w:rPr>
          <w:rFonts w:hint="eastAsia" w:asciiTheme="minorEastAsia" w:hAnsiTheme="minorEastAsia" w:eastAsiaTheme="minorEastAsia"/>
          <w:color w:val="auto"/>
          <w:sz w:val="24"/>
          <w:highlight w:val="none"/>
        </w:rPr>
        <w:t>托的会计师事务所进行的与本合同相关的审计。</w:t>
      </w:r>
    </w:p>
    <w:p>
      <w:pPr>
        <w:pStyle w:val="20"/>
        <w:numPr>
          <w:ilvl w:val="0"/>
          <w:numId w:val="28"/>
        </w:numPr>
        <w:adjustRightInd w:val="0"/>
        <w:snapToGrid w:val="0"/>
        <w:spacing w:before="72" w:beforeLines="30" w:after="72" w:afterLines="30" w:line="360" w:lineRule="auto"/>
        <w:ind w:left="567" w:hanging="567" w:firstLineChars="0"/>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卖方应保存与本合同相关的记录和账目，保存期限为本合同终止后【十（10）】年或遵从所在国相关规定。经提前通知，买方或买方委托的会计师事务所有权检查并复制该等记录和账目。</w:t>
      </w:r>
    </w:p>
    <w:p>
      <w:pPr>
        <w:pStyle w:val="20"/>
        <w:numPr>
          <w:ilvl w:val="0"/>
          <w:numId w:val="28"/>
        </w:numPr>
        <w:spacing w:line="360" w:lineRule="auto"/>
        <w:ind w:left="567" w:hanging="567" w:firstLineChars="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双方确认并承诺，双方熟悉并了解合同签订地和履行地关于禁止商业贿赂和反腐败的法律、法规及商业政策，双方承诺双方的高级职员、员工、授权代表或者代理商将会严格遵守前述禁止商业贿赂和反腐败的法律、法规及商业政策。卖方应在其分包合同（如有）中要求分包商遵守相同的禁止商业贿赂及反腐败要求。违反禁止商业贿赂和反腐败法律、法规及商业政策的一方将承担相应的法律责任及所有不利后果，且守约方有权因此随时终止本合同。</w:t>
      </w:r>
    </w:p>
    <w:p>
      <w:pPr>
        <w:pStyle w:val="13"/>
        <w:numPr>
          <w:ilvl w:val="0"/>
          <w:numId w:val="6"/>
        </w:numPr>
        <w:tabs>
          <w:tab w:val="left" w:pos="993"/>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 xml:space="preserve"> 通知</w:t>
      </w:r>
    </w:p>
    <w:p>
      <w:pPr>
        <w:widowControl/>
        <w:numPr>
          <w:ilvl w:val="0"/>
          <w:numId w:val="29"/>
        </w:numPr>
        <w:tabs>
          <w:tab w:val="left" w:pos="567"/>
          <w:tab w:val="left" w:pos="709"/>
        </w:tabs>
        <w:autoSpaceDE w:val="0"/>
        <w:autoSpaceDN w:val="0"/>
        <w:spacing w:before="72" w:beforeLines="30" w:after="72" w:afterLines="30" w:line="360" w:lineRule="auto"/>
        <w:ind w:left="567" w:hanging="567"/>
        <w:jc w:val="left"/>
        <w:textAlignment w:val="bottom"/>
        <w:rPr>
          <w:color w:val="auto"/>
          <w:sz w:val="24"/>
          <w:highlight w:val="none"/>
        </w:rPr>
      </w:pPr>
      <w:r>
        <w:rPr>
          <w:rFonts w:hint="eastAsia"/>
          <w:color w:val="auto"/>
          <w:sz w:val="24"/>
          <w:highlight w:val="none"/>
        </w:rPr>
        <w:t>通知应根据本合同规定以亲自递送、特快专递、传真等方式送达。</w:t>
      </w:r>
      <w:r>
        <w:rPr>
          <w:color w:val="auto"/>
          <w:sz w:val="24"/>
          <w:highlight w:val="none"/>
        </w:rPr>
        <w:t>通知在下列情况视为</w:t>
      </w:r>
      <w:r>
        <w:rPr>
          <w:rFonts w:hint="eastAsia"/>
          <w:color w:val="auto"/>
          <w:sz w:val="24"/>
          <w:highlight w:val="none"/>
        </w:rPr>
        <w:t>送达</w:t>
      </w:r>
      <w:r>
        <w:rPr>
          <w:color w:val="auto"/>
          <w:sz w:val="24"/>
          <w:highlight w:val="none"/>
        </w:rPr>
        <w:t>：</w:t>
      </w:r>
    </w:p>
    <w:p>
      <w:pPr>
        <w:widowControl/>
        <w:numPr>
          <w:ilvl w:val="1"/>
          <w:numId w:val="30"/>
        </w:numPr>
        <w:tabs>
          <w:tab w:val="left" w:pos="567"/>
          <w:tab w:val="left" w:pos="993"/>
        </w:tabs>
        <w:spacing w:before="72" w:beforeLines="30" w:after="72" w:afterLines="30" w:line="360" w:lineRule="auto"/>
        <w:ind w:left="567" w:firstLine="0"/>
        <w:jc w:val="left"/>
        <w:rPr>
          <w:color w:val="auto"/>
          <w:sz w:val="24"/>
          <w:highlight w:val="none"/>
        </w:rPr>
      </w:pPr>
      <w:r>
        <w:rPr>
          <w:color w:val="auto"/>
          <w:sz w:val="24"/>
          <w:highlight w:val="none"/>
        </w:rPr>
        <w:t>如采</w:t>
      </w:r>
      <w:r>
        <w:rPr>
          <w:rFonts w:hint="eastAsia"/>
          <w:color w:val="auto"/>
          <w:sz w:val="24"/>
          <w:highlight w:val="none"/>
        </w:rPr>
        <w:t>用</w:t>
      </w:r>
      <w:r>
        <w:rPr>
          <w:color w:val="auto"/>
          <w:sz w:val="24"/>
          <w:highlight w:val="none"/>
        </w:rPr>
        <w:t>亲自递送方式，于</w:t>
      </w:r>
      <w:r>
        <w:rPr>
          <w:rFonts w:hint="eastAsia"/>
          <w:color w:val="auto"/>
          <w:sz w:val="24"/>
          <w:highlight w:val="none"/>
        </w:rPr>
        <w:t>签收确认</w:t>
      </w:r>
      <w:r>
        <w:rPr>
          <w:color w:val="auto"/>
          <w:sz w:val="24"/>
          <w:highlight w:val="none"/>
        </w:rPr>
        <w:t>之时；</w:t>
      </w:r>
    </w:p>
    <w:p>
      <w:pPr>
        <w:widowControl/>
        <w:numPr>
          <w:ilvl w:val="1"/>
          <w:numId w:val="30"/>
        </w:numPr>
        <w:tabs>
          <w:tab w:val="left" w:pos="567"/>
          <w:tab w:val="left" w:pos="993"/>
        </w:tabs>
        <w:spacing w:before="72" w:beforeLines="30" w:after="72" w:afterLines="30" w:line="360" w:lineRule="auto"/>
        <w:ind w:left="567" w:firstLine="0"/>
        <w:jc w:val="left"/>
        <w:rPr>
          <w:color w:val="auto"/>
          <w:sz w:val="24"/>
          <w:highlight w:val="none"/>
        </w:rPr>
      </w:pPr>
      <w:r>
        <w:rPr>
          <w:color w:val="auto"/>
          <w:sz w:val="24"/>
          <w:highlight w:val="none"/>
        </w:rPr>
        <w:t>如采</w:t>
      </w:r>
      <w:r>
        <w:rPr>
          <w:rFonts w:hint="eastAsia"/>
          <w:color w:val="auto"/>
          <w:sz w:val="24"/>
          <w:highlight w:val="none"/>
        </w:rPr>
        <w:t>用特快专递</w:t>
      </w:r>
      <w:r>
        <w:rPr>
          <w:color w:val="auto"/>
          <w:sz w:val="24"/>
          <w:highlight w:val="none"/>
        </w:rPr>
        <w:t>方式，于</w:t>
      </w:r>
      <w:r>
        <w:rPr>
          <w:rFonts w:hint="eastAsia"/>
          <w:color w:val="auto"/>
          <w:sz w:val="24"/>
          <w:highlight w:val="none"/>
        </w:rPr>
        <w:t>收件人签收</w:t>
      </w:r>
      <w:r>
        <w:rPr>
          <w:color w:val="auto"/>
          <w:sz w:val="24"/>
          <w:highlight w:val="none"/>
        </w:rPr>
        <w:t>之时</w:t>
      </w:r>
      <w:r>
        <w:rPr>
          <w:rFonts w:hint="eastAsia"/>
          <w:color w:val="auto"/>
          <w:sz w:val="24"/>
          <w:highlight w:val="none"/>
        </w:rPr>
        <w:t>；</w:t>
      </w:r>
    </w:p>
    <w:p>
      <w:pPr>
        <w:widowControl/>
        <w:numPr>
          <w:ilvl w:val="1"/>
          <w:numId w:val="30"/>
        </w:numPr>
        <w:tabs>
          <w:tab w:val="left" w:pos="567"/>
          <w:tab w:val="left" w:pos="993"/>
        </w:tabs>
        <w:spacing w:before="72" w:beforeLines="30" w:after="72" w:afterLines="30" w:line="360" w:lineRule="auto"/>
        <w:ind w:left="567" w:firstLine="0"/>
        <w:jc w:val="left"/>
        <w:rPr>
          <w:color w:val="auto"/>
          <w:sz w:val="24"/>
          <w:highlight w:val="none"/>
        </w:rPr>
      </w:pPr>
      <w:r>
        <w:rPr>
          <w:color w:val="auto"/>
          <w:sz w:val="24"/>
          <w:highlight w:val="none"/>
        </w:rPr>
        <w:t>如采</w:t>
      </w:r>
      <w:r>
        <w:rPr>
          <w:rFonts w:hint="eastAsia"/>
          <w:color w:val="auto"/>
          <w:sz w:val="24"/>
          <w:highlight w:val="none"/>
        </w:rPr>
        <w:t>用</w:t>
      </w:r>
      <w:r>
        <w:rPr>
          <w:color w:val="auto"/>
          <w:sz w:val="24"/>
          <w:highlight w:val="none"/>
        </w:rPr>
        <w:t>传真方式，于确认传输之时</w:t>
      </w:r>
      <w:r>
        <w:rPr>
          <w:rFonts w:hint="eastAsia"/>
          <w:color w:val="auto"/>
          <w:sz w:val="24"/>
          <w:highlight w:val="none"/>
        </w:rPr>
        <w:t>。</w:t>
      </w:r>
    </w:p>
    <w:p>
      <w:pPr>
        <w:widowControl/>
        <w:numPr>
          <w:ilvl w:val="0"/>
          <w:numId w:val="29"/>
        </w:numPr>
        <w:tabs>
          <w:tab w:val="left" w:pos="567"/>
          <w:tab w:val="left" w:pos="709"/>
        </w:tabs>
        <w:autoSpaceDE w:val="0"/>
        <w:autoSpaceDN w:val="0"/>
        <w:spacing w:before="72" w:beforeLines="30" w:after="72" w:afterLines="30" w:line="360" w:lineRule="auto"/>
        <w:ind w:left="567" w:hanging="567"/>
        <w:jc w:val="left"/>
        <w:textAlignment w:val="bottom"/>
        <w:rPr>
          <w:color w:val="auto"/>
          <w:sz w:val="24"/>
          <w:highlight w:val="none"/>
        </w:rPr>
      </w:pPr>
      <w:r>
        <w:rPr>
          <w:rFonts w:ascii="宋体" w:hAnsi="宋体"/>
          <w:color w:val="auto"/>
          <w:sz w:val="24"/>
          <w:highlight w:val="none"/>
        </w:rPr>
        <w:t>除非一方另行</w:t>
      </w:r>
      <w:r>
        <w:rPr>
          <w:rFonts w:hint="eastAsia" w:ascii="宋体" w:hAnsi="宋体"/>
          <w:color w:val="auto"/>
          <w:sz w:val="24"/>
          <w:highlight w:val="none"/>
        </w:rPr>
        <w:t>明确</w:t>
      </w:r>
      <w:r>
        <w:rPr>
          <w:rFonts w:ascii="宋体" w:hAnsi="宋体"/>
          <w:color w:val="auto"/>
          <w:sz w:val="24"/>
          <w:highlight w:val="none"/>
        </w:rPr>
        <w:t>要求，双方可通过互联网电子邮件进行通讯联系或传送文件。因不能合理控制的原因导致任何互联网电子邮件遗失、延误、被截取、破坏或修改的，</w:t>
      </w:r>
      <w:r>
        <w:rPr>
          <w:rFonts w:hint="eastAsia" w:ascii="宋体" w:hAnsi="宋体"/>
          <w:color w:val="auto"/>
          <w:sz w:val="24"/>
          <w:highlight w:val="none"/>
        </w:rPr>
        <w:t>通知发出方不承担</w:t>
      </w:r>
      <w:r>
        <w:rPr>
          <w:rFonts w:ascii="宋体" w:hAnsi="宋体"/>
          <w:color w:val="auto"/>
          <w:sz w:val="24"/>
          <w:highlight w:val="none"/>
        </w:rPr>
        <w:t>因此造成的任何损失、损害、费用、伤害或不便。</w:t>
      </w:r>
    </w:p>
    <w:p>
      <w:pPr>
        <w:pStyle w:val="13"/>
        <w:numPr>
          <w:ilvl w:val="0"/>
          <w:numId w:val="6"/>
        </w:numPr>
        <w:tabs>
          <w:tab w:val="left" w:pos="567"/>
        </w:tabs>
        <w:spacing w:before="72" w:beforeLines="30" w:after="72" w:afterLines="30" w:line="360" w:lineRule="auto"/>
        <w:ind w:left="567" w:hanging="567"/>
        <w:jc w:val="left"/>
        <w:rPr>
          <w:color w:val="auto"/>
          <w:sz w:val="24"/>
          <w:szCs w:val="24"/>
          <w:highlight w:val="none"/>
        </w:rPr>
      </w:pPr>
      <w:r>
        <w:rPr>
          <w:color w:val="auto"/>
          <w:sz w:val="24"/>
          <w:szCs w:val="24"/>
          <w:highlight w:val="none"/>
        </w:rPr>
        <w:t>法律适用</w:t>
      </w:r>
      <w:r>
        <w:rPr>
          <w:rFonts w:hint="eastAsia"/>
          <w:color w:val="auto"/>
          <w:sz w:val="24"/>
          <w:szCs w:val="24"/>
          <w:highlight w:val="none"/>
        </w:rPr>
        <w:t>和</w:t>
      </w:r>
      <w:r>
        <w:rPr>
          <w:color w:val="auto"/>
          <w:sz w:val="24"/>
          <w:szCs w:val="24"/>
          <w:highlight w:val="none"/>
        </w:rPr>
        <w:t>争议解决</w:t>
      </w:r>
    </w:p>
    <w:p>
      <w:pPr>
        <w:numPr>
          <w:ilvl w:val="1"/>
          <w:numId w:val="31"/>
        </w:numPr>
        <w:tabs>
          <w:tab w:val="left" w:pos="567"/>
        </w:tabs>
        <w:spacing w:before="72" w:beforeLines="30" w:after="72" w:afterLines="30" w:line="360" w:lineRule="auto"/>
        <w:ind w:left="567" w:hanging="567"/>
        <w:rPr>
          <w:rFonts w:ascii="宋体" w:hAnsi="宋体"/>
          <w:color w:val="auto"/>
          <w:sz w:val="24"/>
          <w:highlight w:val="none"/>
        </w:rPr>
      </w:pPr>
      <w:r>
        <w:rPr>
          <w:rFonts w:hint="eastAsia" w:ascii="宋体" w:hAnsi="宋体"/>
          <w:color w:val="auto"/>
          <w:sz w:val="24"/>
          <w:highlight w:val="none"/>
        </w:rPr>
        <w:t>本合同适用中华人民共和国（不含香港特别行政区、澳门特别行政区和台湾地区）法律。</w:t>
      </w:r>
    </w:p>
    <w:p>
      <w:pPr>
        <w:numPr>
          <w:ilvl w:val="1"/>
          <w:numId w:val="31"/>
        </w:numPr>
        <w:tabs>
          <w:tab w:val="left" w:pos="567"/>
        </w:tabs>
        <w:spacing w:before="72" w:beforeLines="30" w:after="72" w:afterLines="30" w:line="360" w:lineRule="auto"/>
        <w:ind w:left="567" w:hanging="567"/>
        <w:rPr>
          <w:rFonts w:ascii="宋体" w:hAnsi="宋体"/>
          <w:color w:val="auto"/>
          <w:sz w:val="24"/>
          <w:highlight w:val="none"/>
        </w:rPr>
      </w:pPr>
      <w:r>
        <w:rPr>
          <w:rFonts w:ascii="宋体" w:hAnsi="宋体"/>
          <w:color w:val="auto"/>
          <w:sz w:val="24"/>
          <w:highlight w:val="none"/>
        </w:rPr>
        <w:t>因履行</w:t>
      </w:r>
      <w:r>
        <w:rPr>
          <w:rFonts w:hint="eastAsia" w:ascii="宋体" w:hAnsi="宋体"/>
          <w:color w:val="auto"/>
          <w:sz w:val="24"/>
          <w:highlight w:val="none"/>
        </w:rPr>
        <w:t>本</w:t>
      </w:r>
      <w:r>
        <w:rPr>
          <w:rFonts w:ascii="宋体" w:hAnsi="宋体"/>
          <w:color w:val="auto"/>
          <w:sz w:val="24"/>
          <w:highlight w:val="none"/>
        </w:rPr>
        <w:t>合同发生的或与本合同有关的一切争议，双方</w:t>
      </w:r>
      <w:r>
        <w:rPr>
          <w:rFonts w:hint="eastAsia" w:ascii="宋体" w:hAnsi="宋体"/>
          <w:color w:val="auto"/>
          <w:sz w:val="24"/>
          <w:highlight w:val="none"/>
        </w:rPr>
        <w:t>首先应</w:t>
      </w:r>
      <w:r>
        <w:rPr>
          <w:rFonts w:ascii="宋体" w:hAnsi="宋体"/>
          <w:color w:val="auto"/>
          <w:sz w:val="24"/>
          <w:highlight w:val="none"/>
        </w:rPr>
        <w:t>友好协商解决，</w:t>
      </w:r>
      <w:r>
        <w:rPr>
          <w:rFonts w:hint="eastAsia" w:ascii="宋体" w:hAnsi="宋体"/>
          <w:color w:val="auto"/>
          <w:sz w:val="24"/>
          <w:highlight w:val="none"/>
        </w:rPr>
        <w:t>如</w:t>
      </w:r>
      <w:r>
        <w:rPr>
          <w:rFonts w:ascii="宋体" w:hAnsi="宋体" w:eastAsia="宋体" w:cs="Times New Roman"/>
          <w:color w:val="auto"/>
          <w:sz w:val="24"/>
          <w:highlight w:val="none"/>
        </w:rPr>
        <w:t>经协商</w:t>
      </w:r>
      <w:r>
        <w:rPr>
          <w:rFonts w:hint="eastAsia" w:ascii="宋体" w:hAnsi="宋体" w:eastAsia="宋体" w:cs="Times New Roman"/>
          <w:color w:val="auto"/>
          <w:sz w:val="24"/>
          <w:highlight w:val="none"/>
        </w:rPr>
        <w:t>【</w:t>
      </w:r>
      <w:r>
        <w:rPr>
          <w:rFonts w:ascii="宋体" w:hAnsi="宋体" w:eastAsia="宋体" w:cs="Times New Roman"/>
          <w:color w:val="auto"/>
          <w:sz w:val="24"/>
          <w:highlight w:val="none"/>
        </w:rPr>
        <w:t>六十（60）</w:t>
      </w:r>
      <w:r>
        <w:rPr>
          <w:rFonts w:hint="eastAsia" w:ascii="宋体" w:hAnsi="宋体" w:eastAsia="宋体" w:cs="Times New Roman"/>
          <w:color w:val="auto"/>
          <w:sz w:val="24"/>
          <w:highlight w:val="none"/>
        </w:rPr>
        <w:t>】日</w:t>
      </w:r>
      <w:r>
        <w:rPr>
          <w:rFonts w:hint="eastAsia" w:ascii="宋体" w:hAnsi="宋体"/>
          <w:color w:val="auto"/>
          <w:sz w:val="24"/>
          <w:highlight w:val="none"/>
        </w:rPr>
        <w:t>内</w:t>
      </w:r>
      <w:r>
        <w:rPr>
          <w:rFonts w:ascii="宋体" w:hAnsi="宋体"/>
          <w:color w:val="auto"/>
          <w:sz w:val="24"/>
          <w:highlight w:val="none"/>
        </w:rPr>
        <w:t>仍不能解决</w:t>
      </w:r>
      <w:r>
        <w:rPr>
          <w:rFonts w:hint="eastAsia" w:ascii="宋体" w:hAnsi="宋体"/>
          <w:color w:val="auto"/>
          <w:sz w:val="24"/>
          <w:highlight w:val="none"/>
        </w:rPr>
        <w:t>，</w:t>
      </w:r>
      <w:r>
        <w:rPr>
          <w:rFonts w:ascii="宋体" w:hAnsi="宋体"/>
          <w:color w:val="auto"/>
          <w:sz w:val="24"/>
          <w:highlight w:val="none"/>
        </w:rPr>
        <w:t>双方同意：</w:t>
      </w:r>
    </w:p>
    <w:p>
      <w:pPr>
        <w:spacing w:before="72" w:beforeLines="30" w:after="72" w:afterLines="30" w:line="360" w:lineRule="auto"/>
        <w:ind w:left="567"/>
        <w:rPr>
          <w:rFonts w:ascii="宋体" w:hAnsi="宋体"/>
          <w:color w:val="auto"/>
          <w:sz w:val="24"/>
          <w:highlight w:val="none"/>
        </w:rPr>
      </w:pPr>
      <w:r>
        <w:rPr>
          <w:rFonts w:ascii="宋体" w:hAnsi="宋体"/>
          <w:color w:val="auto"/>
          <w:sz w:val="24"/>
          <w:highlight w:val="none"/>
        </w:rPr>
        <w:t>向买方所在地人民法院起诉。</w:t>
      </w:r>
    </w:p>
    <w:p>
      <w:pPr>
        <w:numPr>
          <w:ilvl w:val="1"/>
          <w:numId w:val="31"/>
        </w:numPr>
        <w:tabs>
          <w:tab w:val="left" w:pos="567"/>
        </w:tabs>
        <w:spacing w:before="72" w:beforeLines="30" w:after="72" w:afterLines="30" w:line="360" w:lineRule="auto"/>
        <w:ind w:left="567" w:hanging="567"/>
        <w:rPr>
          <w:b/>
          <w:color w:val="auto"/>
          <w:sz w:val="24"/>
          <w:highlight w:val="none"/>
        </w:rPr>
      </w:pPr>
      <w:r>
        <w:rPr>
          <w:rFonts w:hint="eastAsia" w:ascii="宋体" w:hAnsi="宋体"/>
          <w:color w:val="auto"/>
          <w:sz w:val="24"/>
          <w:highlight w:val="none"/>
        </w:rPr>
        <w:t>争议解决期间</w:t>
      </w:r>
      <w:r>
        <w:rPr>
          <w:rFonts w:ascii="宋体" w:hAnsi="宋体"/>
          <w:color w:val="auto"/>
          <w:sz w:val="24"/>
          <w:highlight w:val="none"/>
        </w:rPr>
        <w:t>，除争议事项外，双方应继续履行本合同。</w:t>
      </w:r>
    </w:p>
    <w:p>
      <w:pPr>
        <w:pStyle w:val="13"/>
        <w:numPr>
          <w:ilvl w:val="0"/>
          <w:numId w:val="6"/>
        </w:numPr>
        <w:tabs>
          <w:tab w:val="left" w:pos="567"/>
        </w:tabs>
        <w:spacing w:before="72" w:beforeLines="30" w:after="72" w:afterLines="30" w:line="360" w:lineRule="auto"/>
        <w:ind w:left="567" w:hanging="567"/>
        <w:jc w:val="left"/>
        <w:rPr>
          <w:color w:val="auto"/>
          <w:sz w:val="24"/>
          <w:szCs w:val="24"/>
          <w:highlight w:val="none"/>
        </w:rPr>
      </w:pPr>
      <w:r>
        <w:rPr>
          <w:rFonts w:hint="eastAsia"/>
          <w:color w:val="auto"/>
          <w:sz w:val="24"/>
          <w:szCs w:val="24"/>
          <w:highlight w:val="none"/>
        </w:rPr>
        <w:t xml:space="preserve"> </w:t>
      </w:r>
      <w:r>
        <w:rPr>
          <w:color w:val="auto"/>
          <w:sz w:val="24"/>
          <w:szCs w:val="24"/>
          <w:highlight w:val="none"/>
        </w:rPr>
        <w:t>其它</w:t>
      </w:r>
    </w:p>
    <w:p>
      <w:pPr>
        <w:numPr>
          <w:ilvl w:val="1"/>
          <w:numId w:val="32"/>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在本合同签订时如卖方属于《保障中小企业款项支付条例》（“条例”）规定的中小企业，本合同所约定的付款期限、方式、条件和违约责任等交易条件应遵守该条例的规定。如本合同约定的任何交易条件违反该条例，买方应按照符合该条例规定的交易条件履行合同，并应按照条例的规定与卖方协商变更本合同的该等交易条件，以保障卖方享有条例规定的合法权益。</w:t>
      </w:r>
    </w:p>
    <w:p>
      <w:pPr>
        <w:numPr>
          <w:ilvl w:val="1"/>
          <w:numId w:val="32"/>
        </w:numPr>
        <w:tabs>
          <w:tab w:val="left" w:pos="567"/>
        </w:tabs>
        <w:spacing w:before="72" w:beforeLines="30" w:after="72" w:afterLines="30" w:line="360" w:lineRule="auto"/>
        <w:ind w:left="567" w:hanging="567"/>
        <w:rPr>
          <w:color w:val="auto"/>
          <w:sz w:val="24"/>
          <w:highlight w:val="none"/>
        </w:rPr>
      </w:pPr>
      <w:r>
        <w:rPr>
          <w:color w:val="auto"/>
          <w:sz w:val="24"/>
          <w:highlight w:val="none"/>
        </w:rPr>
        <w:t>本合同自买卖双方</w:t>
      </w:r>
      <w:r>
        <w:rPr>
          <w:rFonts w:hint="eastAsia"/>
          <w:color w:val="auto"/>
          <w:sz w:val="24"/>
          <w:highlight w:val="none"/>
        </w:rPr>
        <w:t>法定代表人或授权代表</w:t>
      </w:r>
      <w:r>
        <w:rPr>
          <w:color w:val="auto"/>
          <w:sz w:val="24"/>
          <w:highlight w:val="none"/>
        </w:rPr>
        <w:t>签</w:t>
      </w:r>
      <w:r>
        <w:rPr>
          <w:rFonts w:hint="eastAsia"/>
          <w:color w:val="auto"/>
          <w:sz w:val="24"/>
          <w:highlight w:val="none"/>
        </w:rPr>
        <w:t>字并盖章</w:t>
      </w:r>
      <w:r>
        <w:rPr>
          <w:color w:val="auto"/>
          <w:sz w:val="24"/>
          <w:highlight w:val="none"/>
        </w:rPr>
        <w:t>之日起生效</w:t>
      </w:r>
      <w:r>
        <w:rPr>
          <w:rFonts w:hint="eastAsia"/>
          <w:color w:val="auto"/>
          <w:sz w:val="24"/>
          <w:highlight w:val="none"/>
        </w:rPr>
        <w:t>，</w:t>
      </w:r>
      <w:r>
        <w:rPr>
          <w:rFonts w:hint="eastAsia" w:ascii="宋体" w:hAnsi="宋体"/>
          <w:color w:val="auto"/>
          <w:sz w:val="24"/>
          <w:highlight w:val="none"/>
        </w:rPr>
        <w:t>自双方履行完本合同项下全部权利和义务后终止</w:t>
      </w:r>
      <w:r>
        <w:rPr>
          <w:color w:val="auto"/>
          <w:sz w:val="24"/>
          <w:highlight w:val="none"/>
        </w:rPr>
        <w:t>。</w:t>
      </w:r>
    </w:p>
    <w:p>
      <w:pPr>
        <w:numPr>
          <w:ilvl w:val="1"/>
          <w:numId w:val="32"/>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本合同签署以前双方就本合同约定的货物买卖及</w:t>
      </w:r>
      <w:r>
        <w:rPr>
          <w:color w:val="auto"/>
          <w:sz w:val="24"/>
          <w:highlight w:val="none"/>
        </w:rPr>
        <w:t>相关事宜</w:t>
      </w:r>
      <w:r>
        <w:rPr>
          <w:rFonts w:hint="eastAsia"/>
          <w:color w:val="auto"/>
          <w:sz w:val="24"/>
          <w:highlight w:val="none"/>
        </w:rPr>
        <w:t>达成的所有口头和</w:t>
      </w:r>
      <w:r>
        <w:rPr>
          <w:color w:val="auto"/>
          <w:sz w:val="24"/>
          <w:highlight w:val="none"/>
        </w:rPr>
        <w:t>/</w:t>
      </w:r>
      <w:r>
        <w:rPr>
          <w:rFonts w:hint="eastAsia"/>
          <w:color w:val="auto"/>
          <w:sz w:val="24"/>
          <w:highlight w:val="none"/>
        </w:rPr>
        <w:t>或书面的声明、文件、信件及双方其它形式的通信在本合同生效后自动失效。</w:t>
      </w:r>
    </w:p>
    <w:p>
      <w:pPr>
        <w:numPr>
          <w:ilvl w:val="1"/>
          <w:numId w:val="32"/>
        </w:numPr>
        <w:tabs>
          <w:tab w:val="left" w:pos="567"/>
        </w:tabs>
        <w:spacing w:before="72" w:beforeLines="30" w:after="72" w:afterLines="30" w:line="360" w:lineRule="auto"/>
        <w:ind w:left="567" w:hanging="567"/>
        <w:rPr>
          <w:rFonts w:ascii="宋体" w:hAnsi="宋体"/>
          <w:color w:val="auto"/>
          <w:sz w:val="24"/>
          <w:highlight w:val="none"/>
        </w:rPr>
      </w:pPr>
      <w:r>
        <w:rPr>
          <w:rFonts w:ascii="宋体" w:hAnsi="宋体"/>
          <w:color w:val="auto"/>
          <w:sz w:val="24"/>
          <w:highlight w:val="none"/>
        </w:rPr>
        <w:t>未经另一方事先书面同意，任何一方不得以任何方式使用另一方的名称、商品商标、服务商标、企业标志、商号或品牌。</w:t>
      </w:r>
    </w:p>
    <w:p>
      <w:pPr>
        <w:numPr>
          <w:ilvl w:val="1"/>
          <w:numId w:val="32"/>
        </w:numPr>
        <w:tabs>
          <w:tab w:val="left" w:pos="567"/>
        </w:tabs>
        <w:spacing w:before="72" w:beforeLines="30" w:after="72" w:afterLines="30" w:line="360" w:lineRule="auto"/>
        <w:ind w:left="567" w:hanging="567"/>
        <w:rPr>
          <w:color w:val="auto"/>
          <w:sz w:val="24"/>
          <w:highlight w:val="none"/>
        </w:rPr>
      </w:pPr>
      <w:r>
        <w:rPr>
          <w:color w:val="auto"/>
          <w:sz w:val="24"/>
          <w:highlight w:val="none"/>
        </w:rPr>
        <w:t>如</w:t>
      </w:r>
      <w:r>
        <w:rPr>
          <w:rFonts w:hint="eastAsia"/>
          <w:color w:val="auto"/>
          <w:sz w:val="24"/>
          <w:highlight w:val="none"/>
        </w:rPr>
        <w:t>果</w:t>
      </w:r>
      <w:r>
        <w:rPr>
          <w:color w:val="auto"/>
          <w:sz w:val="24"/>
          <w:highlight w:val="none"/>
        </w:rPr>
        <w:t>本合同</w:t>
      </w:r>
      <w:r>
        <w:rPr>
          <w:rFonts w:hint="eastAsia"/>
          <w:color w:val="auto"/>
          <w:sz w:val="24"/>
          <w:highlight w:val="none"/>
        </w:rPr>
        <w:t>的</w:t>
      </w:r>
      <w:r>
        <w:rPr>
          <w:color w:val="auto"/>
          <w:sz w:val="24"/>
          <w:highlight w:val="none"/>
        </w:rPr>
        <w:t>任何条款</w:t>
      </w:r>
      <w:r>
        <w:rPr>
          <w:rFonts w:hint="eastAsia"/>
          <w:color w:val="auto"/>
          <w:sz w:val="24"/>
          <w:highlight w:val="none"/>
        </w:rPr>
        <w:t>或规定</w:t>
      </w:r>
      <w:r>
        <w:rPr>
          <w:color w:val="auto"/>
          <w:sz w:val="24"/>
          <w:highlight w:val="none"/>
        </w:rPr>
        <w:t>被裁定</w:t>
      </w:r>
      <w:r>
        <w:rPr>
          <w:rFonts w:hint="eastAsia"/>
          <w:color w:val="auto"/>
          <w:sz w:val="24"/>
          <w:highlight w:val="none"/>
        </w:rPr>
        <w:t>为</w:t>
      </w:r>
      <w:r>
        <w:rPr>
          <w:color w:val="auto"/>
          <w:sz w:val="24"/>
          <w:highlight w:val="none"/>
        </w:rPr>
        <w:t>无效、不合法或不可</w:t>
      </w:r>
      <w:r>
        <w:rPr>
          <w:rFonts w:hint="eastAsia"/>
          <w:color w:val="auto"/>
          <w:sz w:val="24"/>
          <w:highlight w:val="none"/>
        </w:rPr>
        <w:t>强制</w:t>
      </w:r>
      <w:r>
        <w:rPr>
          <w:color w:val="auto"/>
          <w:sz w:val="24"/>
          <w:highlight w:val="none"/>
        </w:rPr>
        <w:t>执行，</w:t>
      </w:r>
      <w:r>
        <w:rPr>
          <w:rFonts w:hint="eastAsia"/>
          <w:color w:val="auto"/>
          <w:sz w:val="24"/>
          <w:highlight w:val="none"/>
        </w:rPr>
        <w:t>该条款或规定应视为被删除，本合同</w:t>
      </w:r>
      <w:r>
        <w:rPr>
          <w:color w:val="auto"/>
          <w:sz w:val="24"/>
          <w:highlight w:val="none"/>
        </w:rPr>
        <w:t>其它条款</w:t>
      </w:r>
      <w:r>
        <w:rPr>
          <w:rFonts w:hint="eastAsia"/>
          <w:color w:val="auto"/>
          <w:sz w:val="24"/>
          <w:highlight w:val="none"/>
        </w:rPr>
        <w:t>不受影响，</w:t>
      </w:r>
      <w:r>
        <w:rPr>
          <w:color w:val="auto"/>
          <w:sz w:val="24"/>
          <w:highlight w:val="none"/>
        </w:rPr>
        <w:t>仍</w:t>
      </w:r>
      <w:r>
        <w:rPr>
          <w:rFonts w:hint="eastAsia"/>
          <w:color w:val="auto"/>
          <w:sz w:val="24"/>
          <w:highlight w:val="none"/>
        </w:rPr>
        <w:t>继续</w:t>
      </w:r>
      <w:r>
        <w:rPr>
          <w:color w:val="auto"/>
          <w:sz w:val="24"/>
          <w:highlight w:val="none"/>
        </w:rPr>
        <w:t>有效。</w:t>
      </w:r>
    </w:p>
    <w:p>
      <w:pPr>
        <w:numPr>
          <w:ilvl w:val="1"/>
          <w:numId w:val="32"/>
        </w:numPr>
        <w:tabs>
          <w:tab w:val="left" w:pos="567"/>
        </w:tabs>
        <w:spacing w:before="72" w:beforeLines="30" w:after="72" w:afterLines="30" w:line="360" w:lineRule="auto"/>
        <w:ind w:left="567" w:hanging="567"/>
        <w:rPr>
          <w:color w:val="auto"/>
          <w:sz w:val="24"/>
          <w:highlight w:val="none"/>
        </w:rPr>
      </w:pPr>
      <w:r>
        <w:rPr>
          <w:color w:val="auto"/>
          <w:sz w:val="24"/>
          <w:highlight w:val="none"/>
        </w:rPr>
        <w:t>本合同履行过程中，</w:t>
      </w:r>
      <w:r>
        <w:rPr>
          <w:rFonts w:hint="eastAsia"/>
          <w:color w:val="auto"/>
          <w:sz w:val="24"/>
          <w:highlight w:val="none"/>
        </w:rPr>
        <w:t>如</w:t>
      </w:r>
      <w:r>
        <w:rPr>
          <w:color w:val="auto"/>
          <w:sz w:val="24"/>
          <w:highlight w:val="none"/>
        </w:rPr>
        <w:t>卖方</w:t>
      </w:r>
      <w:r>
        <w:rPr>
          <w:rFonts w:hint="eastAsia"/>
          <w:color w:val="auto"/>
          <w:sz w:val="24"/>
          <w:highlight w:val="none"/>
        </w:rPr>
        <w:t>发生重组、</w:t>
      </w:r>
      <w:r>
        <w:rPr>
          <w:color w:val="auto"/>
          <w:sz w:val="24"/>
          <w:highlight w:val="none"/>
        </w:rPr>
        <w:t>合并、</w:t>
      </w:r>
      <w:r>
        <w:rPr>
          <w:rFonts w:hint="eastAsia"/>
          <w:color w:val="auto"/>
          <w:sz w:val="24"/>
          <w:highlight w:val="none"/>
        </w:rPr>
        <w:t>分立、重大股权或资产转让，应及时通知买方。经买方事先书面同意，卖方应安排具有相应资质的主体继续履行本合同，否则卖方不得执行前述重组、合并、分立或转让。卖方应根据买方的要求，为继续履行本合同的主体安排履约担保。</w:t>
      </w:r>
    </w:p>
    <w:p>
      <w:pPr>
        <w:numPr>
          <w:ilvl w:val="1"/>
          <w:numId w:val="32"/>
        </w:numPr>
        <w:tabs>
          <w:tab w:val="left" w:pos="567"/>
        </w:tabs>
        <w:spacing w:before="72" w:beforeLines="30" w:after="72" w:afterLines="30" w:line="360" w:lineRule="auto"/>
        <w:ind w:left="567" w:hanging="567"/>
        <w:rPr>
          <w:color w:val="auto"/>
          <w:sz w:val="24"/>
          <w:highlight w:val="none"/>
        </w:rPr>
      </w:pPr>
      <w:r>
        <w:rPr>
          <w:color w:val="auto"/>
          <w:sz w:val="24"/>
          <w:highlight w:val="none"/>
        </w:rPr>
        <w:t>本合同</w:t>
      </w:r>
      <w:r>
        <w:rPr>
          <w:rFonts w:hint="eastAsia"/>
          <w:color w:val="auto"/>
          <w:sz w:val="24"/>
          <w:highlight w:val="none"/>
        </w:rPr>
        <w:t>解除或终止</w:t>
      </w:r>
      <w:r>
        <w:rPr>
          <w:color w:val="auto"/>
          <w:sz w:val="24"/>
          <w:highlight w:val="none"/>
        </w:rPr>
        <w:t>后</w:t>
      </w:r>
      <w:r>
        <w:rPr>
          <w:rFonts w:hint="eastAsia"/>
          <w:color w:val="auto"/>
          <w:sz w:val="24"/>
          <w:highlight w:val="none"/>
        </w:rPr>
        <w:t>，本合同项下关于知识产权、保密、保证、责任、法律适用、争议解决和其它具有持续性效力的条款继续</w:t>
      </w:r>
      <w:r>
        <w:rPr>
          <w:color w:val="auto"/>
          <w:sz w:val="24"/>
          <w:highlight w:val="none"/>
        </w:rPr>
        <w:t>有效。</w:t>
      </w:r>
    </w:p>
    <w:p>
      <w:pPr>
        <w:numPr>
          <w:ilvl w:val="1"/>
          <w:numId w:val="32"/>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本</w:t>
      </w:r>
      <w:r>
        <w:rPr>
          <w:color w:val="auto"/>
          <w:sz w:val="24"/>
          <w:highlight w:val="none"/>
        </w:rPr>
        <w:t>合同未尽事宜，应由双方协商</w:t>
      </w:r>
      <w:r>
        <w:rPr>
          <w:rFonts w:hint="eastAsia"/>
          <w:color w:val="auto"/>
          <w:sz w:val="24"/>
          <w:highlight w:val="none"/>
        </w:rPr>
        <w:t>确定</w:t>
      </w:r>
      <w:r>
        <w:rPr>
          <w:color w:val="auto"/>
          <w:sz w:val="24"/>
          <w:highlight w:val="none"/>
        </w:rPr>
        <w:t>，并签订补充协议，补充协议与本合同具有同等法律效力。</w:t>
      </w:r>
    </w:p>
    <w:p>
      <w:pPr>
        <w:numPr>
          <w:ilvl w:val="1"/>
          <w:numId w:val="32"/>
        </w:numPr>
        <w:tabs>
          <w:tab w:val="left" w:pos="567"/>
        </w:tabs>
        <w:spacing w:before="72" w:beforeLines="30" w:after="72" w:afterLines="30" w:line="360" w:lineRule="auto"/>
        <w:ind w:left="567" w:hanging="567"/>
        <w:rPr>
          <w:color w:val="auto"/>
          <w:sz w:val="24"/>
          <w:highlight w:val="none"/>
        </w:rPr>
      </w:pPr>
      <w:r>
        <w:rPr>
          <w:color w:val="auto"/>
          <w:sz w:val="24"/>
          <w:highlight w:val="none"/>
        </w:rPr>
        <w:t>本合同的任何变更、修改或增减，须经双方协商</w:t>
      </w:r>
      <w:r>
        <w:rPr>
          <w:rFonts w:hint="eastAsia"/>
          <w:color w:val="auto"/>
          <w:sz w:val="24"/>
          <w:highlight w:val="none"/>
        </w:rPr>
        <w:t>一致、法定代表人或</w:t>
      </w:r>
      <w:r>
        <w:rPr>
          <w:color w:val="auto"/>
          <w:sz w:val="24"/>
          <w:highlight w:val="none"/>
        </w:rPr>
        <w:t>授权代表签署书面文件</w:t>
      </w:r>
      <w:r>
        <w:rPr>
          <w:rFonts w:hint="eastAsia"/>
          <w:color w:val="auto"/>
          <w:sz w:val="24"/>
          <w:highlight w:val="none"/>
        </w:rPr>
        <w:t>并盖章</w:t>
      </w:r>
      <w:r>
        <w:rPr>
          <w:color w:val="auto"/>
          <w:sz w:val="24"/>
          <w:highlight w:val="none"/>
        </w:rPr>
        <w:t>后</w:t>
      </w:r>
      <w:r>
        <w:rPr>
          <w:rFonts w:hint="eastAsia"/>
          <w:color w:val="auto"/>
          <w:sz w:val="24"/>
          <w:highlight w:val="none"/>
        </w:rPr>
        <w:t>生</w:t>
      </w:r>
      <w:r>
        <w:rPr>
          <w:color w:val="auto"/>
          <w:sz w:val="24"/>
          <w:highlight w:val="none"/>
        </w:rPr>
        <w:t>效。</w:t>
      </w:r>
    </w:p>
    <w:p>
      <w:pPr>
        <w:numPr>
          <w:ilvl w:val="1"/>
          <w:numId w:val="32"/>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任何一方未行使或延迟行使本合同项下的任何权利，不视为该方对该等权利的放弃。任何一方部分行使其在本合同项下的任何权利不妨碍其将来进一步行使该等权利或合同约定的其它权利。</w:t>
      </w:r>
    </w:p>
    <w:p>
      <w:pPr>
        <w:numPr>
          <w:ilvl w:val="1"/>
          <w:numId w:val="32"/>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本合同系双方协商、讨论的结果，合同内容非一方当事人单方拟定。本合同不属于格式合同，条款内容不属于格式条款。</w:t>
      </w:r>
    </w:p>
    <w:p>
      <w:pPr>
        <w:numPr>
          <w:ilvl w:val="1"/>
          <w:numId w:val="32"/>
        </w:numPr>
        <w:tabs>
          <w:tab w:val="left" w:pos="567"/>
        </w:tabs>
        <w:spacing w:before="72" w:beforeLines="30" w:after="72" w:afterLines="30" w:line="360" w:lineRule="auto"/>
        <w:ind w:left="567" w:hanging="567"/>
        <w:rPr>
          <w:color w:val="auto"/>
          <w:sz w:val="24"/>
          <w:highlight w:val="none"/>
        </w:rPr>
      </w:pPr>
      <w:r>
        <w:rPr>
          <w:rFonts w:hint="eastAsia"/>
          <w:color w:val="auto"/>
          <w:sz w:val="24"/>
          <w:highlight w:val="none"/>
        </w:rPr>
        <w:t>本合同正文、附件及其后的修改文件和补充文件均应采用中文书写。附件及其后的修改文件和补充文件作为本合同不可分割的组成部分，与本合同正文具有同等法律效力。</w:t>
      </w:r>
    </w:p>
    <w:p>
      <w:pPr>
        <w:widowControl/>
        <w:numPr>
          <w:ilvl w:val="1"/>
          <w:numId w:val="32"/>
        </w:numPr>
        <w:tabs>
          <w:tab w:val="left" w:pos="567"/>
        </w:tabs>
        <w:spacing w:before="72" w:beforeLines="30" w:after="72" w:afterLines="30" w:line="360" w:lineRule="auto"/>
        <w:ind w:left="567" w:hanging="567"/>
        <w:jc w:val="left"/>
        <w:rPr>
          <w:color w:val="auto"/>
          <w:sz w:val="24"/>
          <w:highlight w:val="none"/>
        </w:rPr>
      </w:pPr>
      <w:r>
        <w:rPr>
          <w:color w:val="auto"/>
          <w:sz w:val="24"/>
          <w:highlight w:val="none"/>
        </w:rPr>
        <w:t>本合</w:t>
      </w:r>
      <w:r>
        <w:rPr>
          <w:rFonts w:hint="eastAsia" w:ascii="Times New Roman" w:hAnsi="Times New Roman" w:eastAsia="宋体" w:cs="Times New Roman"/>
          <w:color w:val="auto"/>
          <w:sz w:val="24"/>
          <w:highlight w:val="none"/>
        </w:rPr>
        <w:t>同一式【</w:t>
      </w:r>
      <w:r>
        <w:rPr>
          <w:rFonts w:hint="eastAsia" w:ascii="Times New Roman" w:hAnsi="Times New Roman" w:eastAsia="宋体" w:cs="Times New Roman"/>
          <w:color w:val="auto"/>
          <w:sz w:val="24"/>
          <w:highlight w:val="none"/>
          <w:lang w:val="en-US" w:eastAsia="zh-CN"/>
        </w:rPr>
        <w:t>贰</w:t>
      </w:r>
      <w:r>
        <w:rPr>
          <w:rFonts w:hint="eastAsia" w:ascii="Times New Roman" w:hAnsi="Times New Roman" w:eastAsia="宋体" w:cs="Times New Roman"/>
          <w:color w:val="auto"/>
          <w:sz w:val="24"/>
          <w:highlight w:val="none"/>
        </w:rPr>
        <w:t>】份</w:t>
      </w:r>
      <w:r>
        <w:rPr>
          <w:color w:val="auto"/>
          <w:sz w:val="24"/>
          <w:highlight w:val="none"/>
        </w:rPr>
        <w:t>，</w:t>
      </w:r>
      <w:r>
        <w:rPr>
          <w:rFonts w:hint="eastAsia"/>
          <w:color w:val="auto"/>
          <w:sz w:val="24"/>
          <w:highlight w:val="none"/>
        </w:rPr>
        <w:t>买卖</w:t>
      </w:r>
      <w:r>
        <w:rPr>
          <w:rFonts w:hint="eastAsia"/>
          <w:color w:val="auto"/>
          <w:sz w:val="24"/>
          <w:highlight w:val="none"/>
          <w:lang w:val="en-US" w:eastAsia="zh-CN"/>
        </w:rPr>
        <w:t>双</w:t>
      </w:r>
      <w:r>
        <w:rPr>
          <w:rFonts w:hint="eastAsia"/>
          <w:color w:val="auto"/>
          <w:sz w:val="24"/>
          <w:highlight w:val="none"/>
        </w:rPr>
        <w:t>方</w:t>
      </w:r>
      <w:r>
        <w:rPr>
          <w:rFonts w:hint="eastAsia"/>
          <w:color w:val="auto"/>
          <w:sz w:val="24"/>
          <w:highlight w:val="none"/>
          <w:lang w:val="en-US" w:eastAsia="zh-CN"/>
        </w:rPr>
        <w:t>各</w:t>
      </w:r>
      <w:r>
        <w:rPr>
          <w:rFonts w:hint="eastAsia"/>
          <w:color w:val="auto"/>
          <w:sz w:val="24"/>
          <w:highlight w:val="none"/>
        </w:rPr>
        <w:t>持【壹】份</w:t>
      </w:r>
      <w:r>
        <w:rPr>
          <w:color w:val="auto"/>
          <w:sz w:val="24"/>
          <w:highlight w:val="none"/>
        </w:rPr>
        <w:t>，具有同等效力。</w:t>
      </w:r>
    </w:p>
    <w:p>
      <w:pPr>
        <w:widowControl/>
        <w:spacing w:before="72" w:beforeLines="30" w:after="72" w:afterLines="30" w:line="360" w:lineRule="auto"/>
        <w:jc w:val="left"/>
        <w:rPr>
          <w:color w:val="auto"/>
          <w:sz w:val="24"/>
          <w:highlight w:val="none"/>
        </w:rPr>
      </w:pPr>
      <w:r>
        <w:rPr>
          <w:color w:val="auto"/>
          <w:sz w:val="24"/>
          <w:highlight w:val="none"/>
        </w:rPr>
        <w:br w:type="page"/>
      </w:r>
    </w:p>
    <w:p>
      <w:pPr>
        <w:tabs>
          <w:tab w:val="left" w:pos="850"/>
        </w:tabs>
        <w:autoSpaceDE w:val="0"/>
        <w:autoSpaceDN w:val="0"/>
        <w:spacing w:before="72" w:beforeLines="30" w:after="72" w:afterLines="30" w:line="360" w:lineRule="auto"/>
        <w:jc w:val="center"/>
        <w:textAlignment w:val="bottom"/>
        <w:rPr>
          <w:b/>
          <w:color w:val="auto"/>
          <w:sz w:val="24"/>
          <w:highlight w:val="none"/>
        </w:rPr>
      </w:pPr>
      <w:r>
        <w:rPr>
          <w:rFonts w:hint="eastAsia"/>
          <w:b/>
          <w:color w:val="auto"/>
          <w:sz w:val="24"/>
          <w:highlight w:val="none"/>
        </w:rPr>
        <w:t>（本页无正文，为签章页）</w:t>
      </w:r>
    </w:p>
    <w:p>
      <w:pPr>
        <w:tabs>
          <w:tab w:val="left" w:pos="850"/>
        </w:tabs>
        <w:autoSpaceDE w:val="0"/>
        <w:autoSpaceDN w:val="0"/>
        <w:spacing w:before="72" w:beforeLines="30" w:after="72" w:afterLines="30" w:line="360" w:lineRule="auto"/>
        <w:ind w:firstLine="600"/>
        <w:textAlignment w:val="bottom"/>
        <w:rPr>
          <w:color w:val="auto"/>
          <w:sz w:val="24"/>
          <w:highlight w:val="none"/>
        </w:rPr>
      </w:pPr>
    </w:p>
    <w:tbl>
      <w:tblPr>
        <w:tblStyle w:val="15"/>
        <w:tblW w:w="5000" w:type="pct"/>
        <w:tblInd w:w="0" w:type="dxa"/>
        <w:tblLayout w:type="autofit"/>
        <w:tblCellMar>
          <w:top w:w="0" w:type="dxa"/>
          <w:left w:w="108" w:type="dxa"/>
          <w:bottom w:w="0" w:type="dxa"/>
          <w:right w:w="108" w:type="dxa"/>
        </w:tblCellMar>
      </w:tblPr>
      <w:tblGrid>
        <w:gridCol w:w="4440"/>
        <w:gridCol w:w="4088"/>
      </w:tblGrid>
      <w:tr>
        <w:tblPrEx>
          <w:tblCellMar>
            <w:top w:w="0" w:type="dxa"/>
            <w:left w:w="108" w:type="dxa"/>
            <w:bottom w:w="0" w:type="dxa"/>
            <w:right w:w="108" w:type="dxa"/>
          </w:tblCellMar>
        </w:tblPrEx>
        <w:trPr>
          <w:trHeight w:val="2653" w:hRule="atLeast"/>
        </w:trPr>
        <w:tc>
          <w:tcPr>
            <w:tcW w:w="2603" w:type="pct"/>
          </w:tcPr>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eastAsia"/>
                <w:color w:val="auto"/>
                <w:highlight w:val="none"/>
              </w:rPr>
            </w:pPr>
            <w:r>
              <w:rPr>
                <w:rFonts w:hint="default"/>
                <w:color w:val="auto"/>
                <w:highlight w:val="none"/>
              </w:rPr>
              <w:t>买方</w:t>
            </w:r>
            <w:r>
              <w:rPr>
                <w:rFonts w:hint="eastAsia"/>
                <w:color w:val="auto"/>
                <w:highlight w:val="none"/>
              </w:rPr>
              <w:t>（盖章）</w:t>
            </w:r>
          </w:p>
          <w:p>
            <w:pPr>
              <w:pStyle w:val="8"/>
              <w:keepNext w:val="0"/>
              <w:keepLines w:val="0"/>
              <w:suppressLineNumbers w:val="0"/>
              <w:spacing w:beforeAutospacing="0" w:after="0" w:afterAutospacing="0"/>
              <w:ind w:left="0" w:leftChars="0" w:right="0" w:firstLine="0" w:firstLineChars="0"/>
              <w:rPr>
                <w:rFonts w:hint="eastAsia" w:eastAsia="宋体"/>
                <w:color w:val="auto"/>
                <w:highlight w:val="none"/>
                <w:lang w:eastAsia="zh-CN"/>
              </w:rPr>
            </w:pPr>
            <w:r>
              <w:rPr>
                <w:rFonts w:hint="eastAsia" w:asciiTheme="minorEastAsia" w:hAnsiTheme="minorEastAsia" w:eastAsiaTheme="minorEastAsia"/>
                <w:b/>
                <w:bCs/>
                <w:color w:val="auto"/>
                <w:sz w:val="24"/>
                <w:highlight w:val="none"/>
                <w:lang w:val="en-US" w:eastAsia="zh-CN"/>
              </w:rPr>
              <w:t>****</w:t>
            </w:r>
            <w:r>
              <w:rPr>
                <w:rFonts w:hint="eastAsia" w:cs="宋体"/>
                <w:color w:val="auto"/>
                <w:sz w:val="24"/>
                <w:szCs w:val="24"/>
                <w:highlight w:val="none"/>
                <w:lang w:val="en-US" w:eastAsia="zh-CN"/>
              </w:rPr>
              <w:t xml:space="preserve"> </w:t>
            </w:r>
          </w:p>
        </w:tc>
        <w:tc>
          <w:tcPr>
            <w:tcW w:w="2397" w:type="pct"/>
          </w:tcPr>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eastAsia"/>
                <w:color w:val="auto"/>
                <w:highlight w:val="none"/>
              </w:rPr>
            </w:pPr>
            <w:r>
              <w:rPr>
                <w:rFonts w:hint="default"/>
                <w:color w:val="auto"/>
                <w:highlight w:val="none"/>
              </w:rPr>
              <w:t>卖方</w:t>
            </w:r>
            <w:r>
              <w:rPr>
                <w:rFonts w:hint="eastAsia"/>
                <w:color w:val="auto"/>
                <w:highlight w:val="none"/>
              </w:rPr>
              <w:t>（盖章）</w:t>
            </w: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lang w:val="en-US"/>
              </w:rPr>
            </w:pPr>
            <w:r>
              <w:rPr>
                <w:rFonts w:hint="eastAsia" w:asciiTheme="minorEastAsia" w:hAnsiTheme="minorEastAsia" w:cstheme="minorBidi"/>
                <w:b/>
                <w:bCs/>
                <w:color w:val="auto"/>
                <w:kern w:val="2"/>
                <w:sz w:val="24"/>
                <w:szCs w:val="22"/>
                <w:highlight w:val="none"/>
                <w:lang w:val="en-US" w:eastAsia="zh-CN" w:bidi="ar-SA"/>
              </w:rPr>
              <w:t>*****</w:t>
            </w:r>
          </w:p>
        </w:tc>
      </w:tr>
      <w:tr>
        <w:tblPrEx>
          <w:tblCellMar>
            <w:top w:w="0" w:type="dxa"/>
            <w:left w:w="108" w:type="dxa"/>
            <w:bottom w:w="0" w:type="dxa"/>
            <w:right w:w="108" w:type="dxa"/>
          </w:tblCellMar>
        </w:tblPrEx>
        <w:trPr>
          <w:trHeight w:val="1084" w:hRule="atLeast"/>
        </w:trPr>
        <w:tc>
          <w:tcPr>
            <w:tcW w:w="2603" w:type="pct"/>
            <w:vAlign w:val="center"/>
          </w:tcPr>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r>
              <w:rPr>
                <w:rFonts w:hint="default"/>
                <w:color w:val="auto"/>
                <w:sz w:val="24"/>
                <w:highlight w:val="none"/>
              </w:rPr>
              <w:t>法定代表人或授权代表签字：</w:t>
            </w: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r>
              <w:rPr>
                <w:rFonts w:hint="default"/>
                <w:color w:val="auto"/>
                <w:sz w:val="24"/>
                <w:highlight w:val="none"/>
                <w:u w:val="single"/>
              </w:rPr>
              <w:t xml:space="preserve">         </w:t>
            </w:r>
            <w:r>
              <w:rPr>
                <w:rFonts w:hint="eastAsia"/>
                <w:color w:val="auto"/>
                <w:sz w:val="24"/>
                <w:highlight w:val="none"/>
                <w:u w:val="single"/>
              </w:rPr>
              <w:t xml:space="preserve">                     </w:t>
            </w:r>
            <w:r>
              <w:rPr>
                <w:rFonts w:hint="default"/>
                <w:color w:val="auto"/>
                <w:sz w:val="24"/>
                <w:highlight w:val="none"/>
                <w:u w:val="single"/>
              </w:rPr>
              <w:t xml:space="preserve">    </w:t>
            </w:r>
          </w:p>
        </w:tc>
        <w:tc>
          <w:tcPr>
            <w:tcW w:w="2397" w:type="pct"/>
            <w:vAlign w:val="center"/>
          </w:tcPr>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r>
              <w:rPr>
                <w:rFonts w:hint="default"/>
                <w:color w:val="auto"/>
                <w:sz w:val="24"/>
                <w:highlight w:val="none"/>
              </w:rPr>
              <w:t>法定代表人或授权代表签字：</w:t>
            </w: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p>
          <w:p>
            <w:pPr>
              <w:keepNext w:val="0"/>
              <w:keepLines w:val="0"/>
              <w:suppressLineNumbers w:val="0"/>
              <w:tabs>
                <w:tab w:val="left" w:pos="850"/>
              </w:tabs>
              <w:autoSpaceDE w:val="0"/>
              <w:autoSpaceDN w:val="0"/>
              <w:spacing w:before="72" w:beforeLines="30" w:beforeAutospacing="0" w:after="72" w:afterLines="30" w:afterAutospacing="0" w:line="360" w:lineRule="auto"/>
              <w:ind w:left="0" w:right="0"/>
              <w:textAlignment w:val="bottom"/>
              <w:rPr>
                <w:rFonts w:hint="default"/>
                <w:color w:val="auto"/>
                <w:sz w:val="24"/>
                <w:highlight w:val="none"/>
              </w:rPr>
            </w:pPr>
            <w:r>
              <w:rPr>
                <w:rFonts w:hint="default"/>
                <w:color w:val="auto"/>
                <w:sz w:val="24"/>
                <w:highlight w:val="none"/>
                <w:u w:val="single"/>
              </w:rPr>
              <w:t xml:space="preserve">            </w:t>
            </w:r>
            <w:r>
              <w:rPr>
                <w:rFonts w:hint="eastAsia"/>
                <w:color w:val="auto"/>
                <w:sz w:val="24"/>
                <w:highlight w:val="none"/>
                <w:u w:val="single"/>
              </w:rPr>
              <w:t xml:space="preserve">                 </w:t>
            </w:r>
            <w:r>
              <w:rPr>
                <w:rFonts w:hint="default"/>
                <w:color w:val="auto"/>
                <w:sz w:val="24"/>
                <w:highlight w:val="none"/>
                <w:u w:val="single"/>
              </w:rPr>
              <w:t xml:space="preserve">   </w:t>
            </w:r>
          </w:p>
        </w:tc>
      </w:tr>
    </w:tbl>
    <w:p>
      <w:pPr>
        <w:spacing w:before="72" w:beforeLines="30" w:after="72" w:afterLines="30" w:line="360" w:lineRule="auto"/>
        <w:rPr>
          <w:color w:val="auto"/>
          <w:sz w:val="24"/>
          <w:highlight w:val="none"/>
        </w:rPr>
      </w:pPr>
      <w:r>
        <w:rPr>
          <w:rFonts w:hint="eastAsia"/>
          <w:color w:val="auto"/>
          <w:sz w:val="24"/>
          <w:highlight w:val="none"/>
          <w:lang w:eastAsia="zh-CN"/>
        </w:rPr>
        <w:t>日期</w:t>
      </w:r>
      <w:r>
        <w:rPr>
          <w:rFonts w:hint="eastAsia"/>
          <w:color w:val="auto"/>
          <w:sz w:val="24"/>
          <w:highlight w:val="none"/>
        </w:rPr>
        <w:t>：</w:t>
      </w:r>
      <w:r>
        <w:rPr>
          <w:rFonts w:hint="eastAsia"/>
          <w:color w:val="auto"/>
          <w:sz w:val="24"/>
          <w:highlight w:val="none"/>
          <w:u w:val="single"/>
          <w:lang w:val="en-US" w:eastAsia="zh-CN"/>
        </w:rPr>
        <w:t>2025年  月  日</w:t>
      </w:r>
      <w:r>
        <w:rPr>
          <w:rFonts w:hint="eastAsia"/>
          <w:color w:val="auto"/>
          <w:sz w:val="24"/>
          <w:highlight w:val="none"/>
          <w:u w:val="single"/>
        </w:rPr>
        <w:t xml:space="preserve"> </w:t>
      </w:r>
      <w:r>
        <w:rPr>
          <w:rFonts w:hint="eastAsia"/>
          <w:color w:val="auto"/>
          <w:sz w:val="24"/>
          <w:highlight w:val="none"/>
        </w:rPr>
        <w:tab/>
      </w:r>
      <w:r>
        <w:rPr>
          <w:rFonts w:hint="eastAsia"/>
          <w:color w:val="auto"/>
          <w:sz w:val="24"/>
          <w:highlight w:val="none"/>
        </w:rPr>
        <w:tab/>
      </w:r>
      <w:r>
        <w:rPr>
          <w:rFonts w:hint="eastAsia"/>
          <w:color w:val="auto"/>
          <w:sz w:val="24"/>
          <w:highlight w:val="none"/>
        </w:rPr>
        <w:t xml:space="preserve">  </w:t>
      </w:r>
      <w:r>
        <w:rPr>
          <w:rFonts w:hint="eastAsia"/>
          <w:color w:val="auto"/>
          <w:sz w:val="24"/>
          <w:highlight w:val="none"/>
          <w:lang w:val="en-US" w:eastAsia="zh-CN"/>
        </w:rPr>
        <w:t xml:space="preserve">      </w:t>
      </w:r>
      <w:r>
        <w:rPr>
          <w:rFonts w:hint="eastAsia"/>
          <w:color w:val="auto"/>
          <w:sz w:val="24"/>
          <w:highlight w:val="none"/>
        </w:rPr>
        <w:t xml:space="preserve">  </w:t>
      </w:r>
      <w:r>
        <w:rPr>
          <w:rFonts w:hint="eastAsia"/>
          <w:color w:val="auto"/>
          <w:sz w:val="24"/>
          <w:highlight w:val="none"/>
          <w:lang w:eastAsia="zh-CN"/>
        </w:rPr>
        <w:t>日期</w:t>
      </w:r>
      <w:r>
        <w:rPr>
          <w:rFonts w:hint="eastAsia"/>
          <w:color w:val="auto"/>
          <w:sz w:val="24"/>
          <w:highlight w:val="none"/>
        </w:rPr>
        <w:t>：</w:t>
      </w:r>
      <w:r>
        <w:rPr>
          <w:rFonts w:hint="eastAsia"/>
          <w:color w:val="auto"/>
          <w:sz w:val="24"/>
          <w:highlight w:val="none"/>
          <w:u w:val="single"/>
          <w:lang w:val="en-US" w:eastAsia="zh-CN"/>
        </w:rPr>
        <w:t xml:space="preserve">2025年  月  日 </w:t>
      </w: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color w:val="auto"/>
          <w:sz w:val="24"/>
          <w:highlight w:val="none"/>
        </w:rPr>
      </w:pPr>
    </w:p>
    <w:p>
      <w:pPr>
        <w:widowControl/>
        <w:spacing w:before="72" w:beforeLines="30" w:after="72" w:afterLines="30" w:line="360" w:lineRule="auto"/>
        <w:jc w:val="left"/>
        <w:rPr>
          <w:b/>
          <w:bCs/>
          <w:iCs/>
          <w:color w:val="auto"/>
          <w:kern w:val="0"/>
          <w:sz w:val="24"/>
          <w:highlight w:val="none"/>
        </w:rPr>
        <w:sectPr>
          <w:footerReference r:id="rId7" w:type="first"/>
          <w:headerReference r:id="rId3" w:type="default"/>
          <w:footerReference r:id="rId5" w:type="default"/>
          <w:headerReference r:id="rId4" w:type="even"/>
          <w:footerReference r:id="rId6" w:type="even"/>
          <w:pgSz w:w="11906" w:h="16838"/>
          <w:pgMar w:top="1440" w:right="1797" w:bottom="1318" w:left="1797" w:header="851" w:footer="992" w:gutter="0"/>
          <w:pgNumType w:fmt="decimal" w:start="1"/>
          <w:cols w:space="425" w:num="1"/>
          <w:titlePg/>
          <w:docGrid w:linePitch="312" w:charSpace="0"/>
        </w:sectPr>
      </w:pPr>
      <w:r>
        <w:rPr>
          <w:b/>
          <w:bCs/>
          <w:iCs/>
          <w:color w:val="auto"/>
          <w:kern w:val="0"/>
          <w:sz w:val="24"/>
          <w:highlight w:val="none"/>
        </w:rPr>
        <w:br w:type="page"/>
      </w:r>
    </w:p>
    <w:p>
      <w:pPr>
        <w:widowControl/>
        <w:spacing w:before="72" w:beforeLines="30" w:after="72" w:afterLines="30" w:line="360" w:lineRule="auto"/>
        <w:jc w:val="left"/>
        <w:rPr>
          <w:rFonts w:hint="eastAsia"/>
          <w:b/>
          <w:bCs/>
          <w:iCs/>
          <w:color w:val="auto"/>
          <w:kern w:val="0"/>
          <w:sz w:val="24"/>
          <w:highlight w:val="none"/>
        </w:rPr>
      </w:pPr>
      <w:r>
        <w:rPr>
          <w:rFonts w:hint="eastAsia"/>
          <w:b/>
          <w:bCs/>
          <w:iCs/>
          <w:color w:val="auto"/>
          <w:kern w:val="0"/>
          <w:sz w:val="24"/>
          <w:highlight w:val="none"/>
        </w:rPr>
        <w:t>附件一：价格表</w:t>
      </w:r>
    </w:p>
    <w:p>
      <w:pPr>
        <w:pStyle w:val="3"/>
        <w:numPr>
          <w:ilvl w:val="0"/>
          <w:numId w:val="0"/>
        </w:numPr>
        <w:tabs>
          <w:tab w:val="left" w:pos="850"/>
        </w:tabs>
        <w:ind w:left="425"/>
        <w:jc w:val="center"/>
        <w:rPr>
          <w:rFonts w:hint="eastAsia"/>
          <w:lang w:val="en-US" w:eastAsia="zh-CN"/>
        </w:rPr>
      </w:pPr>
      <w:r>
        <w:rPr>
          <w:rFonts w:hint="eastAsia"/>
          <w:b/>
          <w:bCs/>
          <w:iCs/>
          <w:color w:val="auto"/>
          <w:kern w:val="0"/>
          <w:sz w:val="18"/>
          <w:szCs w:val="13"/>
          <w:highlight w:val="none"/>
          <w:lang w:val="en-US" w:eastAsia="zh-CN"/>
        </w:rPr>
        <w:t xml:space="preserve">                                                                         单位：</w:t>
      </w:r>
    </w:p>
    <w:p>
      <w:pPr>
        <w:rPr>
          <w:rFonts w:hint="eastAsia"/>
          <w:lang w:val="en-US" w:eastAsia="zh-CN"/>
        </w:rPr>
      </w:pPr>
    </w:p>
    <w:p>
      <w:pPr>
        <w:rPr>
          <w:rFonts w:hint="eastAsia" w:asciiTheme="minorEastAsia" w:hAnsiTheme="minorEastAsia" w:cstheme="minorEastAsia"/>
          <w:i w:val="0"/>
          <w:iCs w:val="0"/>
          <w:color w:val="auto"/>
          <w:kern w:val="0"/>
          <w:sz w:val="21"/>
          <w:szCs w:val="21"/>
          <w:highlight w:val="none"/>
          <w:u w:val="none"/>
          <w:lang w:val="en-US" w:eastAsia="zh-CN" w:bidi="ar"/>
        </w:rPr>
      </w:pPr>
    </w:p>
    <w:p>
      <w:pPr>
        <w:pStyle w:val="18"/>
        <w:rPr>
          <w:rFonts w:hint="eastAsia" w:asciiTheme="minorEastAsia" w:hAnsiTheme="minorEastAsia" w:cstheme="minorEastAsia"/>
          <w:i w:val="0"/>
          <w:iCs w:val="0"/>
          <w:color w:val="auto"/>
          <w:kern w:val="0"/>
          <w:sz w:val="21"/>
          <w:szCs w:val="21"/>
          <w:highlight w:val="none"/>
          <w:u w:val="none"/>
          <w:lang w:val="en-US" w:eastAsia="zh-CN" w:bidi="ar"/>
        </w:rPr>
      </w:pPr>
    </w:p>
    <w:p>
      <w:pPr>
        <w:widowControl/>
        <w:spacing w:before="72" w:beforeLines="30" w:after="72" w:afterLines="30" w:line="360" w:lineRule="auto"/>
        <w:jc w:val="left"/>
        <w:rPr>
          <w:rFonts w:hint="eastAsia" w:asciiTheme="minorEastAsia" w:hAnsiTheme="minorEastAsia" w:cstheme="minorEastAsia"/>
          <w:i w:val="0"/>
          <w:iCs w:val="0"/>
          <w:color w:val="auto"/>
          <w:kern w:val="0"/>
          <w:sz w:val="21"/>
          <w:szCs w:val="21"/>
          <w:highlight w:val="none"/>
          <w:u w:val="none"/>
          <w:lang w:val="en-US" w:eastAsia="zh-CN" w:bidi="ar"/>
        </w:rPr>
      </w:pPr>
    </w:p>
    <w:p>
      <w:pPr>
        <w:widowControl/>
        <w:spacing w:before="72" w:beforeLines="30" w:after="72" w:afterLines="30" w:line="360" w:lineRule="auto"/>
        <w:rPr>
          <w:rFonts w:hint="eastAsia"/>
        </w:rPr>
      </w:pPr>
      <w:r>
        <w:rPr>
          <w:rFonts w:hint="eastAsia"/>
          <w:b/>
          <w:bCs/>
          <w:iCs/>
          <w:color w:val="auto"/>
          <w:kern w:val="0"/>
          <w:sz w:val="24"/>
          <w:highlight w:val="none"/>
        </w:rPr>
        <w:t>附件二：</w:t>
      </w:r>
      <w:r>
        <w:rPr>
          <w:rFonts w:hint="eastAsia" w:hAnsi="宋体"/>
          <w:b/>
          <w:bCs/>
          <w:color w:val="auto"/>
          <w:sz w:val="24"/>
          <w:highlight w:val="none"/>
        </w:rPr>
        <w:t>技术规格书</w:t>
      </w:r>
    </w:p>
    <w:p>
      <w:pPr>
        <w:rPr>
          <w:rFonts w:hint="eastAsia" w:hAnsi="宋体"/>
          <w:b/>
          <w:bCs/>
          <w:color w:val="auto"/>
          <w:sz w:val="24"/>
          <w:highlight w:val="none"/>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ascii="宋体" w:hAnsi="宋体" w:eastAsia="宋体" w:cs="宋体"/>
          <w:color w:val="auto"/>
          <w:sz w:val="24"/>
          <w:szCs w:val="24"/>
          <w:highlight w:val="none"/>
        </w:rPr>
      </w:pPr>
      <w:r>
        <w:rPr>
          <w:rFonts w:hint="eastAsia"/>
          <w:color w:val="auto"/>
          <w:highlight w:val="none"/>
          <w:lang w:val="en-US" w:eastAsia="zh-CN"/>
        </w:rPr>
        <w:t>附件三：</w:t>
      </w:r>
      <w:r>
        <w:rPr>
          <w:rFonts w:ascii="宋体" w:hAnsi="宋体" w:eastAsia="宋体" w:cs="宋体"/>
          <w:color w:val="auto"/>
          <w:sz w:val="24"/>
          <w:szCs w:val="24"/>
          <w:highlight w:val="none"/>
        </w:rPr>
        <w:t>送货单（格式）</w:t>
      </w:r>
    </w:p>
    <w:tbl>
      <w:tblPr>
        <w:tblStyle w:val="15"/>
        <w:tblW w:w="1362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
        <w:gridCol w:w="1222"/>
        <w:gridCol w:w="2250"/>
        <w:gridCol w:w="2542"/>
        <w:gridCol w:w="1320"/>
        <w:gridCol w:w="1810"/>
        <w:gridCol w:w="1662"/>
        <w:gridCol w:w="1016"/>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3620"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b/>
                <w:bCs/>
                <w:i w:val="0"/>
                <w:iCs w:val="0"/>
                <w:color w:val="auto"/>
                <w:sz w:val="32"/>
                <w:szCs w:val="32"/>
                <w:highlight w:val="none"/>
                <w:u w:val="none"/>
                <w:lang w:val="en-US"/>
              </w:rPr>
            </w:pPr>
            <w:r>
              <w:rPr>
                <w:rFonts w:hint="eastAsia" w:ascii="黑体" w:hAnsi="宋体" w:eastAsia="黑体" w:cs="黑体"/>
                <w:b/>
                <w:bCs/>
                <w:i w:val="0"/>
                <w:iCs w:val="0"/>
                <w:color w:val="auto"/>
                <w:kern w:val="0"/>
                <w:sz w:val="32"/>
                <w:szCs w:val="3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1650365</wp:posOffset>
                  </wp:positionH>
                  <wp:positionV relativeFrom="paragraph">
                    <wp:posOffset>64135</wp:posOffset>
                  </wp:positionV>
                  <wp:extent cx="548005" cy="425450"/>
                  <wp:effectExtent l="0" t="0" r="635" b="1270"/>
                  <wp:wrapNone/>
                  <wp:docPr id="2" name="图片_6"/>
                  <wp:cNvGraphicFramePr/>
                  <a:graphic xmlns:a="http://schemas.openxmlformats.org/drawingml/2006/main">
                    <a:graphicData uri="http://schemas.openxmlformats.org/drawingml/2006/picture">
                      <pic:pic xmlns:pic="http://schemas.openxmlformats.org/drawingml/2006/picture">
                        <pic:nvPicPr>
                          <pic:cNvPr id="2" name="图片_6"/>
                          <pic:cNvPicPr/>
                        </pic:nvPicPr>
                        <pic:blipFill>
                          <a:blip r:embed="rId26"/>
                          <a:stretch>
                            <a:fillRect/>
                          </a:stretch>
                        </pic:blipFill>
                        <pic:spPr>
                          <a:xfrm>
                            <a:off x="0" y="0"/>
                            <a:ext cx="548005" cy="425450"/>
                          </a:xfrm>
                          <a:prstGeom prst="rect">
                            <a:avLst/>
                          </a:prstGeom>
                          <a:noFill/>
                          <a:ln>
                            <a:noFill/>
                          </a:ln>
                        </pic:spPr>
                      </pic:pic>
                    </a:graphicData>
                  </a:graphic>
                </wp:anchor>
              </w:drawing>
            </w:r>
            <w:r>
              <w:rPr>
                <w:rFonts w:hint="eastAsia" w:ascii="黑体" w:hAnsi="宋体" w:eastAsia="黑体" w:cs="黑体"/>
                <w:b/>
                <w:bCs/>
                <w:i w:val="0"/>
                <w:iCs w:val="0"/>
                <w:color w:val="auto"/>
                <w:kern w:val="0"/>
                <w:sz w:val="32"/>
                <w:szCs w:val="32"/>
                <w:highlight w:val="none"/>
                <w:u w:val="none"/>
                <w:lang w:val="en-US" w:eastAsia="zh-CN" w:bidi="ar"/>
              </w:rPr>
              <w:t>中海油能源发展股份有限公司</w:t>
            </w:r>
            <w:r>
              <w:rPr>
                <w:rFonts w:hint="eastAsia" w:ascii="黑体" w:hAnsi="宋体" w:eastAsia="黑体" w:cs="黑体"/>
                <w:b/>
                <w:bCs/>
                <w:i w:val="0"/>
                <w:iCs w:val="0"/>
                <w:color w:val="auto"/>
                <w:kern w:val="0"/>
                <w:sz w:val="32"/>
                <w:szCs w:val="32"/>
                <w:highlight w:val="none"/>
                <w:u w:val="none"/>
                <w:lang w:val="en-US" w:eastAsia="zh-CN" w:bidi="ar"/>
              </w:rPr>
              <w:br w:type="textWrapping"/>
            </w:r>
            <w:r>
              <w:rPr>
                <w:rFonts w:hint="eastAsia" w:ascii="黑体" w:hAnsi="宋体" w:eastAsia="黑体" w:cs="黑体"/>
                <w:b/>
                <w:bCs/>
                <w:i w:val="0"/>
                <w:iCs w:val="0"/>
                <w:color w:val="auto"/>
                <w:kern w:val="0"/>
                <w:sz w:val="32"/>
                <w:szCs w:val="32"/>
                <w:highlight w:val="none"/>
                <w:u w:val="none"/>
                <w:lang w:val="en-US" w:eastAsia="zh-CN" w:bidi="ar"/>
              </w:rPr>
              <w:t>物资送货单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00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合同或订单名称：</w:t>
            </w:r>
          </w:p>
        </w:tc>
        <w:tc>
          <w:tcPr>
            <w:tcW w:w="479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采购合同号：</w:t>
            </w:r>
          </w:p>
        </w:tc>
        <w:tc>
          <w:tcPr>
            <w:tcW w:w="550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00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479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采购订单号：</w:t>
            </w:r>
          </w:p>
        </w:tc>
        <w:tc>
          <w:tcPr>
            <w:tcW w:w="550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00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收货地址：</w:t>
            </w:r>
          </w:p>
        </w:tc>
        <w:tc>
          <w:tcPr>
            <w:tcW w:w="47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收货人：</w:t>
            </w:r>
          </w:p>
        </w:tc>
        <w:tc>
          <w:tcPr>
            <w:tcW w:w="1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联系电话：</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00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供应商名称：</w:t>
            </w:r>
          </w:p>
        </w:tc>
        <w:tc>
          <w:tcPr>
            <w:tcW w:w="47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供应商联系人：</w:t>
            </w:r>
          </w:p>
        </w:tc>
        <w:tc>
          <w:tcPr>
            <w:tcW w:w="1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联系电话：</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00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收货方单位名称：</w:t>
            </w:r>
          </w:p>
        </w:tc>
        <w:tc>
          <w:tcPr>
            <w:tcW w:w="47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直达料</w:t>
            </w:r>
          </w:p>
        </w:tc>
        <w:tc>
          <w:tcPr>
            <w:tcW w:w="5504"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    N□</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（由收货人员勾选）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20"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到货物资信息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SAP物料编码</w:t>
            </w:r>
          </w:p>
        </w:tc>
        <w:tc>
          <w:tcPr>
            <w:tcW w:w="2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物资名称</w:t>
            </w:r>
          </w:p>
        </w:tc>
        <w:tc>
          <w:tcPr>
            <w:tcW w:w="2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规格型号</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1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本次送货数量</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订单/合同物料序号</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542"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032" w:type="dxa"/>
            <w:gridSpan w:val="2"/>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542"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032" w:type="dxa"/>
            <w:gridSpan w:val="2"/>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542"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032" w:type="dxa"/>
            <w:gridSpan w:val="2"/>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542"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032" w:type="dxa"/>
            <w:gridSpan w:val="2"/>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542"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032" w:type="dxa"/>
            <w:gridSpan w:val="2"/>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542"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8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2032" w:type="dxa"/>
            <w:gridSpan w:val="2"/>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796" w:type="dxa"/>
            <w:gridSpan w:val="4"/>
            <w:tcBorders>
              <w:top w:val="nil"/>
              <w:left w:val="nil"/>
              <w:bottom w:val="nil"/>
              <w:right w:val="nil"/>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送货批次：第   批，共    批；</w:t>
            </w:r>
          </w:p>
        </w:tc>
        <w:tc>
          <w:tcPr>
            <w:tcW w:w="1320"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0"/>
                <w:szCs w:val="20"/>
                <w:highlight w:val="none"/>
                <w:u w:val="none"/>
              </w:rPr>
            </w:pPr>
          </w:p>
        </w:tc>
        <w:tc>
          <w:tcPr>
            <w:tcW w:w="5504" w:type="dxa"/>
            <w:gridSpan w:val="4"/>
            <w:tcBorders>
              <w:top w:val="nil"/>
              <w:left w:val="nil"/>
              <w:bottom w:val="nil"/>
              <w:right w:val="nil"/>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收货人: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796" w:type="dxa"/>
            <w:gridSpan w:val="4"/>
            <w:tcBorders>
              <w:top w:val="nil"/>
              <w:left w:val="nil"/>
              <w:bottom w:val="nil"/>
              <w:right w:val="nil"/>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送货人(签字/盖章)：</w:t>
            </w:r>
          </w:p>
        </w:tc>
        <w:tc>
          <w:tcPr>
            <w:tcW w:w="1320"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c>
          <w:tcPr>
            <w:tcW w:w="5504" w:type="dxa"/>
            <w:gridSpan w:val="4"/>
            <w:tcBorders>
              <w:top w:val="nil"/>
              <w:left w:val="nil"/>
              <w:bottom w:val="nil"/>
              <w:right w:val="nil"/>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收货日期：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796" w:type="dxa"/>
            <w:gridSpan w:val="4"/>
            <w:tcBorders>
              <w:top w:val="nil"/>
              <w:left w:val="nil"/>
              <w:bottom w:val="nil"/>
              <w:right w:val="nil"/>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本次送货日期：</w:t>
            </w:r>
          </w:p>
        </w:tc>
        <w:tc>
          <w:tcPr>
            <w:tcW w:w="1320"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c>
          <w:tcPr>
            <w:tcW w:w="1810"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rPr>
            </w:pPr>
          </w:p>
        </w:tc>
        <w:tc>
          <w:tcPr>
            <w:tcW w:w="1662"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rPr>
            </w:pPr>
          </w:p>
        </w:tc>
        <w:tc>
          <w:tcPr>
            <w:tcW w:w="1016"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rPr>
            </w:pPr>
          </w:p>
        </w:tc>
        <w:tc>
          <w:tcPr>
            <w:tcW w:w="1016" w:type="dxa"/>
            <w:tcBorders>
              <w:top w:val="nil"/>
              <w:left w:val="nil"/>
              <w:bottom w:val="nil"/>
              <w:right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auto"/>
                <w:sz w:val="22"/>
                <w:szCs w:val="22"/>
                <w:highlight w:val="none"/>
                <w:u w:val="none"/>
              </w:rPr>
            </w:pPr>
          </w:p>
        </w:tc>
      </w:tr>
    </w:tbl>
    <w:p>
      <w:pPr>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说明：</w:t>
      </w:r>
    </w:p>
    <w:p>
      <w:pPr>
        <w:pageBreakBefore w:val="0"/>
        <w:widowControl w:val="0"/>
        <w:numPr>
          <w:ilvl w:val="0"/>
          <w:numId w:val="33"/>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供应商送货时，必须附与送货单相关的订单明细或合同明细。</w:t>
      </w:r>
    </w:p>
    <w:p>
      <w:pPr>
        <w:pageBreakBefore w:val="0"/>
        <w:widowControl w:val="0"/>
        <w:numPr>
          <w:ilvl w:val="0"/>
          <w:numId w:val="33"/>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需求名称按照订单或合同名称填写；订单类采购合同号、采购订单号、ERP订单号必填；单项次合同无采购订单号，填写“无”。</w:t>
      </w:r>
    </w:p>
    <w:p>
      <w:pPr>
        <w:pageBreakBefore w:val="0"/>
        <w:widowControl w:val="0"/>
        <w:numPr>
          <w:ilvl w:val="0"/>
          <w:numId w:val="33"/>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物资名称、规格型号、单位、本次送货数量必填；单项次合同的SAP物料编码可以不填，订单类的SAP物料编码必填。</w:t>
      </w:r>
    </w:p>
    <w:p>
      <w:pPr>
        <w:pageBreakBefore w:val="0"/>
        <w:widowControl w:val="0"/>
        <w:numPr>
          <w:ilvl w:val="0"/>
          <w:numId w:val="33"/>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订单/合同物料序号： 按照合同或订单的物料明细序号填写，必填项。</w:t>
      </w:r>
    </w:p>
    <w:p>
      <w:pPr>
        <w:pageBreakBefore w:val="0"/>
        <w:widowControl w:val="0"/>
        <w:numPr>
          <w:ilvl w:val="0"/>
          <w:numId w:val="33"/>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第几批、共几批必须准确填写。</w:t>
      </w:r>
    </w:p>
    <w:p>
      <w:pPr>
        <w:pageBreakBefore w:val="0"/>
        <w:widowControl w:val="0"/>
        <w:numPr>
          <w:ilvl w:val="0"/>
          <w:numId w:val="33"/>
        </w:numPr>
        <w:kinsoku/>
        <w:wordWrap/>
        <w:overflowPunct/>
        <w:topLinePunct w:val="0"/>
        <w:autoSpaceDE/>
        <w:autoSpaceDN/>
        <w:bidi w:val="0"/>
        <w:adjustRightInd/>
        <w:snapToGrid/>
        <w:spacing w:line="240" w:lineRule="auto"/>
        <w:textAlignment w:val="auto"/>
        <w:rPr>
          <w:rFonts w:hint="eastAsia"/>
          <w:color w:val="auto"/>
          <w:sz w:val="18"/>
          <w:szCs w:val="18"/>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收货日期以到货日期为准。</w:t>
      </w:r>
    </w:p>
    <w:p>
      <w:pPr>
        <w:numPr>
          <w:ilvl w:val="0"/>
          <w:numId w:val="1"/>
        </w:numPr>
        <w:rPr>
          <w:rFonts w:hint="eastAsia" w:ascii="微软雅黑" w:hAnsi="微软雅黑" w:eastAsia="微软雅黑"/>
          <w:color w:val="auto"/>
          <w:sz w:val="21"/>
          <w:szCs w:val="21"/>
          <w:highlight w:val="none"/>
          <w:lang w:eastAsia="zh-CN"/>
        </w:rPr>
        <w:sectPr>
          <w:footerReference r:id="rId8" w:type="default"/>
          <w:type w:val="continuous"/>
          <w:pgSz w:w="16838" w:h="11906" w:orient="landscape"/>
          <w:pgMar w:top="799" w:right="1440" w:bottom="6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ageBreakBefore w:val="0"/>
        <w:numPr>
          <w:ilvl w:val="0"/>
          <w:numId w:val="0"/>
        </w:numPr>
        <w:kinsoku/>
        <w:wordWrap/>
        <w:overflowPunct/>
        <w:topLinePunct w:val="0"/>
        <w:bidi w:val="0"/>
        <w:snapToGrid/>
        <w:spacing w:line="360" w:lineRule="auto"/>
        <w:ind w:right="125" w:rightChars="0"/>
        <w:jc w:val="both"/>
        <w:textAlignment w:val="auto"/>
        <w:rPr>
          <w:b/>
          <w:bCs/>
          <w:color w:val="auto"/>
          <w:kern w:val="0"/>
          <w:sz w:val="24"/>
          <w:highlight w:val="none"/>
        </w:rPr>
      </w:pPr>
      <w:r>
        <w:rPr>
          <w:rFonts w:hint="eastAsia"/>
          <w:b/>
          <w:bCs/>
          <w:color w:val="auto"/>
          <w:kern w:val="0"/>
          <w:sz w:val="24"/>
          <w:highlight w:val="none"/>
        </w:rPr>
        <w:t>附件</w:t>
      </w:r>
      <w:r>
        <w:rPr>
          <w:rFonts w:hint="eastAsia"/>
          <w:b/>
          <w:bCs/>
          <w:color w:val="auto"/>
          <w:kern w:val="0"/>
          <w:sz w:val="24"/>
          <w:highlight w:val="none"/>
          <w:lang w:val="en-US" w:eastAsia="zh-CN"/>
        </w:rPr>
        <w:t>四</w:t>
      </w:r>
      <w:r>
        <w:rPr>
          <w:rFonts w:hint="eastAsia"/>
          <w:b/>
          <w:bCs/>
          <w:color w:val="auto"/>
          <w:kern w:val="0"/>
          <w:sz w:val="24"/>
          <w:highlight w:val="none"/>
        </w:rPr>
        <w:t>：廉洁承诺书</w:t>
      </w:r>
    </w:p>
    <w:p>
      <w:pPr>
        <w:spacing w:before="72" w:beforeLines="30" w:after="72" w:afterLines="30"/>
        <w:jc w:val="center"/>
        <w:rPr>
          <w:rFonts w:ascii="宋体" w:hAnsi="宋体"/>
          <w:b/>
          <w:color w:val="auto"/>
          <w:sz w:val="28"/>
          <w:szCs w:val="32"/>
          <w:highlight w:val="none"/>
        </w:rPr>
      </w:pPr>
      <w:r>
        <w:rPr>
          <w:rFonts w:hint="eastAsia" w:ascii="宋体" w:hAnsi="宋体"/>
          <w:b/>
          <w:color w:val="auto"/>
          <w:sz w:val="28"/>
          <w:szCs w:val="32"/>
          <w:highlight w:val="none"/>
        </w:rPr>
        <w:t>廉洁承诺书</w:t>
      </w:r>
    </w:p>
    <w:p>
      <w:pPr>
        <w:spacing w:before="72" w:beforeLines="30" w:after="72" w:afterLines="30"/>
        <w:ind w:firstLine="420" w:firstLineChars="200"/>
        <w:rPr>
          <w:rFonts w:ascii="宋体" w:hAnsi="宋体"/>
          <w:color w:val="auto"/>
          <w:szCs w:val="21"/>
          <w:highlight w:val="none"/>
        </w:rPr>
      </w:pPr>
      <w:r>
        <w:rPr>
          <w:rFonts w:hint="eastAsia" w:ascii="宋体" w:hAnsi="宋体"/>
          <w:color w:val="auto"/>
          <w:szCs w:val="21"/>
          <w:highlight w:val="none"/>
        </w:rPr>
        <w:t>为进一步加强廉政建设，规范买卖双方的各项活动，防止发生各种谋取不正当利益的违法违规行为，从源头上预防治理腐败，根据国家有关的法律法规规定，特制定本廉洁条款。</w:t>
      </w:r>
    </w:p>
    <w:p>
      <w:pPr>
        <w:spacing w:before="72" w:beforeLines="30" w:after="72" w:afterLines="30"/>
        <w:rPr>
          <w:rFonts w:ascii="宋体" w:hAnsi="宋体"/>
          <w:b/>
          <w:color w:val="auto"/>
          <w:szCs w:val="21"/>
          <w:highlight w:val="none"/>
        </w:rPr>
      </w:pPr>
      <w:r>
        <w:rPr>
          <w:rFonts w:hint="eastAsia" w:ascii="宋体" w:hAnsi="宋体"/>
          <w:b/>
          <w:color w:val="auto"/>
          <w:szCs w:val="21"/>
          <w:highlight w:val="none"/>
        </w:rPr>
        <w:t>第一条 买卖双方的权利和义务</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（一）在双方的业务交往中，共同遵守相关的法律法规。</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（二）加强本单位廉政建设和对员工的廉洁从业教育，不断提高员工的廉洁自律意识。</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（三）加强对本单位员工的监督与检查，并自觉接受对方廉政监督。当发现对方在彼此的业务交往中存在可能或有违法违规行为时，应及时给予提醒制止，并通报对方，进行调查、处理。</w:t>
      </w:r>
    </w:p>
    <w:p>
      <w:pPr>
        <w:spacing w:before="72" w:beforeLines="30" w:after="72" w:afterLines="30"/>
        <w:rPr>
          <w:rFonts w:ascii="宋体" w:hAnsi="宋体"/>
          <w:b/>
          <w:color w:val="auto"/>
          <w:szCs w:val="21"/>
          <w:highlight w:val="none"/>
        </w:rPr>
      </w:pPr>
      <w:r>
        <w:rPr>
          <w:rFonts w:hint="eastAsia" w:ascii="宋体" w:hAnsi="宋体"/>
          <w:b/>
          <w:color w:val="auto"/>
          <w:szCs w:val="21"/>
          <w:highlight w:val="none"/>
        </w:rPr>
        <w:t>第二条 买方的责任</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（一）不准向卖方索要或接受回扣、礼金、有价证券、贵重物品和好处费、感谢费等；不准在卖方报销任何由买方或个人支付的费用。</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（二）不准参加卖方安排的宴请和健身、娱乐等活动；不得接受卖方提供的通讯工具、交通工具和高档办公用品等。</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（三）不准要求、暗示和接受卖方为个人装修住房、婚丧嫁娶、配偶子女的工作安排以及出国（境）旅游等提供方便。</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（四）配偶、子女不得从事与卖方承包本工程有关的设备材料供应、工程分包、劳务等经济活动。</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（五）不得以任何理由向卖方推荐分包单位或要求卖方购买项目合同规定外的材料、设备和服务等。</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（六）其它不廉洁行为。</w:t>
      </w:r>
    </w:p>
    <w:p>
      <w:pPr>
        <w:spacing w:before="72" w:beforeLines="30" w:after="72" w:afterLines="30"/>
        <w:rPr>
          <w:rFonts w:ascii="宋体" w:hAnsi="宋体"/>
          <w:b/>
          <w:color w:val="auto"/>
          <w:szCs w:val="21"/>
          <w:highlight w:val="none"/>
        </w:rPr>
      </w:pPr>
      <w:r>
        <w:rPr>
          <w:rFonts w:hint="eastAsia" w:ascii="宋体" w:hAnsi="宋体"/>
          <w:b/>
          <w:color w:val="auto"/>
          <w:szCs w:val="21"/>
          <w:highlight w:val="none"/>
        </w:rPr>
        <w:t>第三条 卖方的责任</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（一）不准以任何理由向买方工作人员（含家属、子女，下同）行贿或馈赠礼物、礼金、有价证券、贵重物品及象征性低价物品。</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（二）不准以任何名义为买方工作人员报销应由对方或个人支付的费用。</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（三）不准以任何理由安排买方工作人员参加宴请及健身、娱乐和旅游等活动。</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（四）不准为买方单位和工作人员购置或提供通讯工具、交通工具和高档办公用品和装修住房等。</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（五）其它不廉洁行为。</w:t>
      </w:r>
    </w:p>
    <w:p>
      <w:pPr>
        <w:spacing w:before="72" w:beforeLines="30" w:after="72" w:afterLines="30"/>
        <w:rPr>
          <w:rFonts w:ascii="宋体" w:hAnsi="宋体"/>
          <w:b/>
          <w:color w:val="auto"/>
          <w:szCs w:val="21"/>
          <w:highlight w:val="none"/>
        </w:rPr>
      </w:pPr>
      <w:r>
        <w:rPr>
          <w:rFonts w:hint="eastAsia" w:ascii="宋体" w:hAnsi="宋体"/>
          <w:b/>
          <w:color w:val="auto"/>
          <w:szCs w:val="21"/>
          <w:highlight w:val="none"/>
        </w:rPr>
        <w:t>第四条 违约责任</w:t>
      </w:r>
    </w:p>
    <w:p>
      <w:pPr>
        <w:spacing w:before="72" w:beforeLines="30" w:after="72" w:afterLines="30"/>
        <w:ind w:left="1039" w:leftChars="200" w:hanging="619" w:hangingChars="295"/>
        <w:rPr>
          <w:rFonts w:ascii="宋体" w:hAnsi="宋体"/>
          <w:color w:val="auto"/>
          <w:szCs w:val="21"/>
          <w:highlight w:val="none"/>
        </w:rPr>
      </w:pPr>
      <w:r>
        <w:rPr>
          <w:rFonts w:hint="eastAsia" w:ascii="宋体" w:hAnsi="宋体"/>
          <w:color w:val="auto"/>
          <w:szCs w:val="21"/>
          <w:highlight w:val="none"/>
        </w:rPr>
        <w:t>（一）买方发现卖方有违反本条款或者采用不正当的手段贿赂买方工作人员，买方应向卖方领导举报，并取消卖方供应商资格，由此给买方造成的损失均由卖方承担。</w:t>
      </w:r>
    </w:p>
    <w:p>
      <w:pPr>
        <w:rPr>
          <w:lang w:val="en-US" w:eastAsia="zh-CN"/>
        </w:rPr>
      </w:pPr>
      <w:r>
        <w:rPr>
          <w:rFonts w:hint="eastAsia" w:ascii="宋体" w:hAnsi="宋体"/>
          <w:color w:val="auto"/>
          <w:szCs w:val="21"/>
          <w:highlight w:val="none"/>
        </w:rPr>
        <w:t>（二）卖方如发现买方工作人员有违反上述条款，应当向买方领导举报，买方不得找任何借口对卖方进行报复或刁难、延误工作</w:t>
      </w:r>
      <w:r>
        <w:rPr>
          <w:rFonts w:hint="eastAsia" w:ascii="宋体" w:hAnsi="宋体"/>
          <w:color w:val="auto"/>
          <w:szCs w:val="21"/>
          <w:highlight w:val="none"/>
          <w:lang w:eastAsia="zh-CN"/>
        </w:rPr>
        <w:t>。</w:t>
      </w:r>
    </w:p>
    <w:p>
      <w:pPr>
        <w:pStyle w:val="6"/>
        <w:ind w:left="0" w:leftChars="0" w:firstLine="0" w:firstLineChars="0"/>
        <w:rPr>
          <w:lang w:val="en-US" w:eastAsia="zh-CN"/>
        </w:rPr>
      </w:pPr>
    </w:p>
    <w:p>
      <w:pPr>
        <w:rPr>
          <w:rFonts w:hint="eastAsia"/>
          <w:b/>
          <w:strike w:val="0"/>
          <w:dstrike w:val="0"/>
          <w:sz w:val="24"/>
          <w:lang w:val="en-US" w:eastAsia="zh-CN"/>
        </w:rPr>
      </w:pPr>
      <w:r>
        <w:rPr>
          <w:rFonts w:hint="eastAsia"/>
          <w:b/>
          <w:strike w:val="0"/>
          <w:dstrike w:val="0"/>
          <w:sz w:val="24"/>
          <w:lang w:val="en-US" w:eastAsia="zh-CN"/>
        </w:rPr>
        <w:br w:type="page"/>
      </w:r>
    </w:p>
    <w:p>
      <w:pPr>
        <w:pStyle w:val="20"/>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b/>
          <w:strike w:val="0"/>
          <w:dstrike w:val="0"/>
          <w:sz w:val="24"/>
        </w:rPr>
      </w:pPr>
      <w:r>
        <w:rPr>
          <w:rFonts w:hint="eastAsia"/>
          <w:b/>
          <w:strike w:val="0"/>
          <w:dstrike w:val="0"/>
          <w:sz w:val="24"/>
          <w:lang w:val="en-US" w:eastAsia="zh-CN"/>
        </w:rPr>
        <w:t xml:space="preserve">附件4： </w:t>
      </w:r>
      <w:r>
        <w:rPr>
          <w:rFonts w:hint="eastAsia"/>
          <w:b/>
          <w:strike w:val="0"/>
          <w:dstrike w:val="0"/>
          <w:sz w:val="24"/>
        </w:rPr>
        <w:t>供应商履约异常处罚方式</w:t>
      </w:r>
    </w:p>
    <w:p>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1"/>
        <w:rPr>
          <w:rFonts w:hint="eastAsia" w:eastAsia="宋体"/>
          <w:b/>
          <w:strike w:val="0"/>
          <w:dstrike w:val="0"/>
          <w:sz w:val="24"/>
          <w:lang w:eastAsia="zh-CN"/>
        </w:rPr>
      </w:pPr>
      <w:r>
        <w:rPr>
          <w:rFonts w:hint="eastAsia"/>
          <w:b/>
          <w:strike w:val="0"/>
          <w:dstrike w:val="0"/>
          <w:sz w:val="24"/>
          <w:lang w:val="en-US" w:eastAsia="zh-CN"/>
        </w:rPr>
        <w:t>4.1海油发展供应商处理情形和处理标准</w:t>
      </w:r>
    </w:p>
    <w:tbl>
      <w:tblPr>
        <w:tblStyle w:val="15"/>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6"/>
        <w:gridCol w:w="5484"/>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b/>
                <w:bCs/>
                <w:color w:val="000000"/>
                <w:sz w:val="22"/>
                <w:szCs w:val="22"/>
              </w:rPr>
            </w:pPr>
            <w:r>
              <w:rPr>
                <w:rFonts w:hint="eastAsia"/>
                <w:b/>
                <w:bCs/>
                <w:color w:val="000000"/>
                <w:sz w:val="22"/>
                <w:szCs w:val="22"/>
                <w:lang w:bidi="ar"/>
              </w:rPr>
              <w:t>序号</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b/>
                <w:bCs/>
                <w:color w:val="000000"/>
                <w:sz w:val="22"/>
                <w:szCs w:val="22"/>
              </w:rPr>
            </w:pPr>
            <w:r>
              <w:rPr>
                <w:rFonts w:hint="eastAsia"/>
                <w:b/>
                <w:bCs/>
                <w:color w:val="000000"/>
                <w:sz w:val="22"/>
                <w:szCs w:val="22"/>
                <w:lang w:bidi="ar"/>
              </w:rPr>
              <w:t>违规类型</w:t>
            </w:r>
          </w:p>
        </w:tc>
        <w:tc>
          <w:tcPr>
            <w:tcW w:w="5484"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b/>
                <w:bCs/>
                <w:color w:val="000000"/>
                <w:sz w:val="22"/>
                <w:szCs w:val="22"/>
              </w:rPr>
            </w:pPr>
            <w:r>
              <w:rPr>
                <w:rFonts w:hint="eastAsia"/>
                <w:b/>
                <w:bCs/>
                <w:color w:val="000000"/>
                <w:sz w:val="22"/>
                <w:szCs w:val="22"/>
                <w:lang w:bidi="ar"/>
              </w:rPr>
              <w:t>违规情形说明</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b/>
                <w:bCs/>
                <w:color w:val="000000"/>
                <w:sz w:val="22"/>
                <w:szCs w:val="22"/>
              </w:rPr>
            </w:pPr>
            <w:r>
              <w:rPr>
                <w:rFonts w:hint="eastAsia"/>
                <w:b/>
                <w:bCs/>
                <w:color w:val="000000"/>
                <w:sz w:val="22"/>
                <w:szCs w:val="22"/>
                <w:lang w:bidi="ar"/>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提供虚假资料</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提供虚假材料（资质文件、业绩、财务状况、书面承诺等）进行供应商注册、准入或参与采购项目，未造成损失的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eastAsia="宋体"/>
                <w:color w:val="000000"/>
                <w:sz w:val="20"/>
                <w:szCs w:val="20"/>
                <w:lang w:val="en-US" w:eastAsia="zh-CN"/>
              </w:rPr>
            </w:pPr>
            <w:r>
              <w:rPr>
                <w:rFonts w:hint="eastAsia"/>
                <w:b/>
                <w:bCs/>
                <w:color w:val="000000"/>
                <w:sz w:val="20"/>
                <w:szCs w:val="20"/>
                <w:lang w:bidi="ar"/>
              </w:rPr>
              <w:t>提供虚假材料</w:t>
            </w:r>
            <w:r>
              <w:rPr>
                <w:rFonts w:hint="eastAsia"/>
                <w:color w:val="000000"/>
                <w:sz w:val="20"/>
                <w:szCs w:val="20"/>
                <w:lang w:bidi="ar"/>
              </w:rPr>
              <w:t>（</w:t>
            </w:r>
            <w:r>
              <w:rPr>
                <w:rFonts w:hint="eastAsia"/>
                <w:b/>
                <w:bCs/>
                <w:color w:val="000000"/>
                <w:sz w:val="20"/>
                <w:szCs w:val="20"/>
                <w:lang w:bidi="ar"/>
              </w:rPr>
              <w:t>资质文件、业绩、财务状况、书面承诺</w:t>
            </w:r>
            <w:r>
              <w:rPr>
                <w:rFonts w:hint="eastAsia"/>
                <w:color w:val="000000"/>
                <w:sz w:val="20"/>
                <w:szCs w:val="20"/>
                <w:lang w:bidi="ar"/>
              </w:rPr>
              <w:t>等）进行供应商注册、准入或参与采购项目，造成损失的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恶意串通</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为达到不正当目的</w:t>
            </w:r>
            <w:r>
              <w:rPr>
                <w:rFonts w:hint="eastAsia"/>
                <w:b/>
                <w:bCs/>
                <w:color w:val="000000"/>
                <w:sz w:val="20"/>
                <w:szCs w:val="20"/>
                <w:lang w:bidi="ar"/>
              </w:rPr>
              <w:t>相互恶意串通</w:t>
            </w:r>
            <w:r>
              <w:rPr>
                <w:rFonts w:hint="eastAsia"/>
                <w:color w:val="000000"/>
                <w:sz w:val="20"/>
                <w:szCs w:val="20"/>
                <w:lang w:bidi="ar"/>
              </w:rPr>
              <w:t>，未造成损失的。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为达到不正当目的相互恶意串通，造成损失的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r>
              <w:rPr>
                <w:rFonts w:hint="eastAsia"/>
                <w:color w:val="000000"/>
                <w:sz w:val="20"/>
                <w:szCs w:val="20"/>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中途撤销投标</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非公开采办方式，具有参与意向，但未投标/响应的，未对采办过程造成影响的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6</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非公开采办方式，具有参与意向，但未投标/响应的，且对采办过程造成影响的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开标后在有效期内中途撤销投标的，未对采办过程造成影响的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开标后在有效期内中途撤销投标的</w:t>
            </w:r>
            <w:r>
              <w:rPr>
                <w:rFonts w:hint="eastAsia"/>
                <w:color w:val="000000"/>
                <w:sz w:val="20"/>
                <w:szCs w:val="20"/>
                <w:lang w:bidi="ar"/>
              </w:rPr>
              <w:t>，且对采办过程造成影响的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b/>
                <w:bCs/>
                <w:color w:val="000000"/>
                <w:sz w:val="20"/>
                <w:szCs w:val="20"/>
                <w:lang w:bidi="ar"/>
              </w:rPr>
              <w:t>投标文件质量差</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未造成影响的。</w:t>
            </w:r>
          </w:p>
        </w:tc>
        <w:tc>
          <w:tcPr>
            <w:tcW w:w="1281" w:type="dxa"/>
            <w:shd w:val="clear" w:color="auto" w:fill="auto"/>
            <w:vAlign w:val="center"/>
          </w:tcPr>
          <w:p>
            <w:pPr>
              <w:keepNext w:val="0"/>
              <w:keepLines w:val="0"/>
              <w:suppressLineNumbers w:val="0"/>
              <w:spacing w:before="0" w:beforeAutospacing="0" w:after="0" w:afterAutospacing="0"/>
              <w:ind w:left="0" w:right="0"/>
              <w:jc w:val="both"/>
              <w:textAlignment w:val="center"/>
              <w:rPr>
                <w:rFonts w:hint="default"/>
                <w:color w:val="000000"/>
                <w:sz w:val="20"/>
                <w:szCs w:val="20"/>
              </w:rPr>
            </w:pPr>
            <w:r>
              <w:rPr>
                <w:rFonts w:hint="eastAsia"/>
                <w:color w:val="000000"/>
                <w:sz w:val="20"/>
                <w:szCs w:val="20"/>
                <w:lang w:bidi="ar"/>
              </w:rPr>
              <w:t>初次出现对供应商进行“约谈”，一年内出现两次给予</w:t>
            </w:r>
            <w:r>
              <w:rPr>
                <w:rFonts w:hint="eastAsia"/>
                <w:b/>
                <w:bCs/>
                <w:color w:val="000000"/>
                <w:sz w:val="20"/>
                <w:szCs w:val="20"/>
                <w:lang w:bidi="ar"/>
              </w:rPr>
              <w:t>“警告”</w:t>
            </w:r>
            <w:r>
              <w:rPr>
                <w:rFonts w:hint="eastAsia"/>
                <w:color w:val="000000"/>
                <w:sz w:val="20"/>
                <w:szCs w:val="20"/>
                <w:lang w:bidi="ar"/>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11</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排挤其他供应商</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在采购结果公布之前，违法违规获得非公开评标信息，或采取不正当手段妨碍、排挤其他供应商投标或中标的，证据确凿的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12</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不遵守招投标纪律</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Style w:val="21"/>
                <w:rFonts w:hint="default"/>
                <w:lang w:bidi="ar"/>
              </w:rPr>
              <w:t>不遵守招投标相关纪律：如在开标、评标现场无理取闹，违反招投标程序</w:t>
            </w:r>
            <w:r>
              <w:rPr>
                <w:rFonts w:hint="default" w:ascii="Times New Roman" w:hAnsi="Times New Roman" w:cs="Times New Roman"/>
                <w:color w:val="000000"/>
                <w:sz w:val="20"/>
                <w:szCs w:val="20"/>
                <w:lang w:bidi="ar"/>
              </w:rPr>
              <w:t>,</w:t>
            </w:r>
            <w:r>
              <w:rPr>
                <w:rStyle w:val="21"/>
                <w:rFonts w:hint="default"/>
                <w:lang w:bidi="ar"/>
              </w:rPr>
              <w:t>破坏招投标秩序等情形的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13</w:t>
            </w:r>
          </w:p>
        </w:tc>
        <w:tc>
          <w:tcPr>
            <w:tcW w:w="1266"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b/>
                <w:bCs/>
                <w:color w:val="000000"/>
                <w:sz w:val="20"/>
                <w:szCs w:val="20"/>
                <w:lang w:bidi="ar"/>
              </w:rPr>
              <w:t>拒不签订合同</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获取中标资格或成交资格拒绝签订合同的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14</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供应商对评标结果提出异议</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采取邀请招标/竞争性谈判/邀请询价采办方式，评标结束后，供应商提出异议并要求复议（如对中标供应商的投标文件提出异议），经核查后异议不实的或提出异议却无法提供证明文件的。未造成影响的。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15</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采取邀请招标/竞争性谈判/邀请询价采办方式，评标结束后，供应商提出异议并要求复议（如对中标供应商的投标文件提出异议），</w:t>
            </w:r>
            <w:r>
              <w:rPr>
                <w:rFonts w:hint="eastAsia"/>
                <w:b/>
                <w:bCs/>
                <w:color w:val="000000"/>
                <w:sz w:val="20"/>
                <w:szCs w:val="20"/>
                <w:lang w:bidi="ar"/>
              </w:rPr>
              <w:t>经核查后异议不实的或提出异议却无法提供证明文件的</w:t>
            </w:r>
            <w:r>
              <w:rPr>
                <w:rFonts w:hint="eastAsia"/>
                <w:color w:val="000000"/>
                <w:sz w:val="20"/>
                <w:szCs w:val="20"/>
                <w:lang w:bidi="ar"/>
              </w:rPr>
              <w:t>。造成影响的。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无事实依据对采购过程或采购结果进行乱投诉、举报的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情节较轻的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恶意投诉、举报的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对伪造证据、捏造事实、诬陷招标方或供应商管理、供应商使用单位人员的，一经查证</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19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擅自变更、</w:t>
            </w:r>
            <w:r>
              <w:rPr>
                <w:rFonts w:hint="eastAsia"/>
                <w:b/>
                <w:bCs/>
                <w:color w:val="000000"/>
                <w:sz w:val="20"/>
                <w:szCs w:val="20"/>
                <w:lang w:bidi="ar"/>
              </w:rPr>
              <w:t>不按照合同规定履行或者擅自终止合同的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损失较轻或对安全生产影响较小的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损失较大或对安全生产影响较大的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21</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b/>
                <w:bCs/>
                <w:color w:val="000000"/>
                <w:sz w:val="20"/>
                <w:szCs w:val="20"/>
                <w:lang w:bidi="ar"/>
              </w:rPr>
              <w:t>擅自降低标的功能标准或改变功能结构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及时整改未造成影响的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22</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损失较大或对安全生产影响较大的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23</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及时整改但造成一定影响的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及时整改但影响较重的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25</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拒不整改的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假冒其他厂家品牌，</w:t>
            </w:r>
            <w:r>
              <w:rPr>
                <w:rFonts w:hint="eastAsia"/>
                <w:b/>
                <w:bCs/>
                <w:color w:val="000000"/>
                <w:sz w:val="20"/>
                <w:szCs w:val="20"/>
                <w:lang w:bidi="ar"/>
              </w:rPr>
              <w:t>提供伪劣商品</w:t>
            </w:r>
            <w:r>
              <w:rPr>
                <w:rFonts w:hint="eastAsia"/>
                <w:color w:val="000000"/>
                <w:sz w:val="20"/>
                <w:szCs w:val="20"/>
                <w:lang w:bidi="ar"/>
              </w:rPr>
              <w:t>、以假乱真弄虚作假的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对生产经营造成影响较小</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对生产经营影响较大；或虽然对生产经营影响较小，但拒绝整改的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28</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出现供给不足（即“</w:t>
            </w:r>
            <w:r>
              <w:rPr>
                <w:rFonts w:hint="eastAsia"/>
                <w:b/>
                <w:bCs/>
                <w:color w:val="000000"/>
                <w:sz w:val="20"/>
                <w:szCs w:val="20"/>
                <w:lang w:bidi="ar"/>
              </w:rPr>
              <w:t>短斤少两</w:t>
            </w:r>
            <w:r>
              <w:rPr>
                <w:rFonts w:hint="eastAsia"/>
                <w:color w:val="000000"/>
                <w:sz w:val="20"/>
                <w:szCs w:val="20"/>
                <w:lang w:bidi="ar"/>
              </w:rPr>
              <w:t>”行为）</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及时整改未产生影响的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29</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整改但产生影响的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拒不更正的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31</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所提供的产品</w:t>
            </w:r>
            <w:r>
              <w:rPr>
                <w:rFonts w:hint="eastAsia"/>
                <w:b/>
                <w:bCs/>
                <w:color w:val="000000"/>
                <w:sz w:val="20"/>
                <w:szCs w:val="20"/>
                <w:lang w:bidi="ar"/>
              </w:rPr>
              <w:t>存在严重质量问题</w:t>
            </w:r>
            <w:r>
              <w:rPr>
                <w:rFonts w:hint="eastAsia"/>
                <w:color w:val="000000"/>
                <w:sz w:val="20"/>
                <w:szCs w:val="20"/>
                <w:lang w:bidi="ar"/>
              </w:rPr>
              <w:t>，影响安全生产或对工程建设造成实质性影响的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对安全生产或工程建设影响较轻的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32</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对安全生产或工程建设影响较重的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33</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提供的产品/服务出现</w:t>
            </w:r>
            <w:r>
              <w:rPr>
                <w:rFonts w:hint="eastAsia"/>
                <w:b/>
                <w:bCs/>
                <w:color w:val="000000"/>
                <w:sz w:val="20"/>
                <w:szCs w:val="20"/>
                <w:lang w:bidi="ar"/>
              </w:rPr>
              <w:t>严重安全隐患</w:t>
            </w:r>
            <w:r>
              <w:rPr>
                <w:rFonts w:hint="eastAsia"/>
                <w:color w:val="000000"/>
                <w:sz w:val="20"/>
                <w:szCs w:val="20"/>
                <w:lang w:bidi="ar"/>
              </w:rPr>
              <w:t>，且拒绝整改或整改不及时、不到位的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提供的产品/服务出现严重安全隐患，且拒绝整改或整改不及时、不到位的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34</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提供虚假进度报告</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未造成实质影响的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35</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造成实质性影响的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在允许分包项目中，违反分包承诺进行</w:t>
            </w:r>
            <w:r>
              <w:rPr>
                <w:rFonts w:hint="eastAsia"/>
                <w:b/>
                <w:bCs/>
                <w:color w:val="000000"/>
                <w:sz w:val="20"/>
                <w:szCs w:val="20"/>
                <w:lang w:bidi="ar"/>
              </w:rPr>
              <w:t>分包</w:t>
            </w:r>
            <w:r>
              <w:rPr>
                <w:rFonts w:hint="eastAsia"/>
                <w:color w:val="000000"/>
                <w:sz w:val="20"/>
                <w:szCs w:val="20"/>
                <w:lang w:bidi="ar"/>
              </w:rPr>
              <w:t>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39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违反规定</w:t>
            </w:r>
            <w:r>
              <w:rPr>
                <w:rFonts w:hint="eastAsia"/>
                <w:b/>
                <w:bCs/>
                <w:color w:val="000000"/>
                <w:sz w:val="20"/>
                <w:szCs w:val="20"/>
                <w:lang w:bidi="ar"/>
              </w:rPr>
              <w:t>擅自把中标项目或合同转让、转包、分包</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未及时更正其违规行为的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41</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拒绝更正其违规行为的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42</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未经同意拖延交工、交货日期，</w:t>
            </w:r>
            <w:r>
              <w:rPr>
                <w:rFonts w:hint="eastAsia"/>
                <w:b/>
                <w:bCs/>
                <w:color w:val="000000"/>
                <w:sz w:val="20"/>
                <w:szCs w:val="20"/>
                <w:lang w:bidi="ar"/>
              </w:rPr>
              <w:t>延缓执行合同的期限</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未造成严重影响且愿意协商解决或</w:t>
            </w:r>
            <w:r>
              <w:rPr>
                <w:rFonts w:hint="eastAsia"/>
                <w:b/>
                <w:bCs/>
                <w:color w:val="000000"/>
                <w:sz w:val="20"/>
                <w:szCs w:val="20"/>
                <w:lang w:bidi="ar"/>
              </w:rPr>
              <w:t>承担赔偿责任的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依据合同条款进行处理，合同条款中未做约定的，可以不予处理。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43</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造成实质影响但愿意协商解决的，根据影响程度</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对供应商给予</w:t>
            </w:r>
            <w:r>
              <w:rPr>
                <w:rFonts w:hint="eastAsia"/>
                <w:b/>
                <w:bCs/>
                <w:color w:val="000000"/>
                <w:sz w:val="20"/>
                <w:szCs w:val="20"/>
                <w:lang w:bidi="ar"/>
              </w:rPr>
              <w:t>禁用一年至禁用两年”处理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造成较重或严重影响且拒绝协商解决的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45</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拒绝履行售后义务</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拒绝履行售后服务义务并拒绝协商解决的情况，及其他因供应商的原因导致中国海油受损，并拒绝协商解决和赔偿责任的情况</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46</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拒不配合</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拒绝中国海油管理部门的监督检查或不如实反映情况、提供材料的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47</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行贿</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向采购交易所涉及的相关方或能产生实际影响的相关方行贿,行贿判定的依据为检察院或法院书面判定</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48</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使用禁用供应商</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参与或承揽中国海油业务时，在已知晓或应当知晓的情况下，仍代理被中国海油禁用其他供应商的产品、服务，或将已获取的合同对其分包的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49</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未经许可，对外</w:t>
            </w:r>
            <w:r>
              <w:rPr>
                <w:rFonts w:hint="eastAsia"/>
                <w:b/>
                <w:bCs/>
                <w:color w:val="000000"/>
                <w:sz w:val="20"/>
                <w:szCs w:val="20"/>
                <w:lang w:bidi="ar"/>
              </w:rPr>
              <w:t>披露中国海油商业秘密</w:t>
            </w:r>
            <w:r>
              <w:rPr>
                <w:rFonts w:hint="eastAsia"/>
                <w:color w:val="000000"/>
                <w:sz w:val="20"/>
                <w:szCs w:val="20"/>
                <w:lang w:bidi="ar"/>
              </w:rPr>
              <w:t>信息的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未造成经济损失或名誉损失的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造成经济损失或名誉损失的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51</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由于供应商的过失，与</w:t>
            </w:r>
            <w:r>
              <w:rPr>
                <w:rFonts w:hint="eastAsia"/>
                <w:b/>
                <w:bCs/>
                <w:color w:val="000000"/>
                <w:sz w:val="20"/>
                <w:szCs w:val="20"/>
                <w:lang w:bidi="ar"/>
              </w:rPr>
              <w:t>中国海油及所属单位产生法律诉讼的</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由于供应商的过失，与中国海油及所属单位产生法律诉讼的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52</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三年内记满10分的供应商，或连续三个合同执行过程中均发生“C级”事故</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公司安全生产部将通知采办共享中心，采办共享中心书面通知供应商，并按程序清理出公司供应商库</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对供应商给予“禁用三年”</w:t>
            </w:r>
            <w:r>
              <w:rPr>
                <w:rFonts w:hint="eastAsia"/>
                <w:color w:val="000000"/>
                <w:sz w:val="20"/>
                <w:szCs w:val="20"/>
                <w:lang w:val="en-US" w:eastAsia="zh-CN" w:bidi="ar"/>
              </w:rPr>
              <w:t>处理</w:t>
            </w:r>
            <w:r>
              <w:rPr>
                <w:rFonts w:hint="eastAsia"/>
                <w:color w:val="000000"/>
                <w:sz w:val="20"/>
                <w:szCs w:val="20"/>
                <w:lang w:bidi="ar"/>
              </w:rPr>
              <w:t>；情节严重的，</w:t>
            </w: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53</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供应商在提报中国海油员工、</w:t>
            </w:r>
            <w:r>
              <w:rPr>
                <w:rFonts w:hint="eastAsia"/>
                <w:b/>
                <w:bCs/>
                <w:color w:val="000000"/>
                <w:sz w:val="20"/>
                <w:szCs w:val="20"/>
                <w:lang w:bidi="ar"/>
              </w:rPr>
              <w:t>员工亲属、离职退休的领导人员在本单位的任职</w:t>
            </w:r>
            <w:r>
              <w:rPr>
                <w:rFonts w:hint="eastAsia"/>
                <w:color w:val="000000"/>
                <w:sz w:val="20"/>
                <w:szCs w:val="20"/>
                <w:lang w:bidi="ar"/>
              </w:rPr>
              <w:t>和持股情况时</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存在瞒报相关情况的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54</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存在利用中国海油人员的职务之便牟取不正当利益情形的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55</w:t>
            </w:r>
          </w:p>
        </w:tc>
        <w:tc>
          <w:tcPr>
            <w:tcW w:w="1266"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经营状况异常</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国家机关、权威机构网站公布的严重违法失信企业，或被列入失信人名单等情形</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给予“无固定期禁用”处理，直至其经营风险被解除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56</w:t>
            </w:r>
          </w:p>
        </w:tc>
        <w:tc>
          <w:tcPr>
            <w:tcW w:w="1266" w:type="dxa"/>
            <w:vMerge w:val="restart"/>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其它违反国家、集团公司及海油发展规章制度的行为</w:t>
            </w: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违反国家政策、法律法规，存在不与农民工签订合同，或</w:t>
            </w:r>
            <w:r>
              <w:rPr>
                <w:rFonts w:hint="eastAsia"/>
                <w:b/>
                <w:bCs/>
                <w:color w:val="000000"/>
                <w:sz w:val="20"/>
                <w:szCs w:val="20"/>
                <w:lang w:bidi="ar"/>
              </w:rPr>
              <w:t>存在拖欠农民工工资问题</w:t>
            </w:r>
            <w:r>
              <w:rPr>
                <w:rFonts w:hint="eastAsia"/>
                <w:color w:val="000000"/>
                <w:sz w:val="20"/>
                <w:szCs w:val="20"/>
                <w:lang w:bidi="ar"/>
              </w:rPr>
              <w:t>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57</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违反国家政策、法律法规，对破坏生态环境，</w:t>
            </w:r>
            <w:r>
              <w:rPr>
                <w:rFonts w:hint="eastAsia"/>
                <w:b/>
                <w:bCs/>
                <w:color w:val="000000"/>
                <w:sz w:val="20"/>
                <w:szCs w:val="20"/>
                <w:lang w:bidi="ar"/>
              </w:rPr>
              <w:t>对环境造成污染的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58</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违反劳动法</w:t>
            </w:r>
            <w:r>
              <w:rPr>
                <w:rFonts w:hint="eastAsia"/>
                <w:color w:val="000000"/>
                <w:sz w:val="20"/>
                <w:szCs w:val="20"/>
                <w:lang w:bidi="ar"/>
              </w:rPr>
              <w:t>等法规，引起员工仲裁并对中国海油造成不良影响的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59</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b/>
                <w:bCs/>
                <w:color w:val="000000"/>
                <w:sz w:val="20"/>
                <w:szCs w:val="20"/>
                <w:lang w:bidi="ar"/>
              </w:rPr>
              <w:t>对存在其它不当行为可能给中国海油带来风险的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根据情况或问题程度，对供应商进行“约谈”或“警告”处理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60</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对存在其它不当行为已经给中国海油带来风险的</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根据情况或问题程度，依据风险情形，对供应商进行“禁用一年”至“长期禁用”处理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658" w:type="dxa"/>
            <w:shd w:val="clear" w:color="auto" w:fill="auto"/>
            <w:vAlign w:val="center"/>
          </w:tcPr>
          <w:p>
            <w:pPr>
              <w:keepNext w:val="0"/>
              <w:keepLines w:val="0"/>
              <w:suppressLineNumbers w:val="0"/>
              <w:spacing w:before="0" w:beforeAutospacing="0" w:after="0" w:afterAutospacing="0"/>
              <w:ind w:left="0" w:right="0"/>
              <w:jc w:val="center"/>
              <w:textAlignment w:val="center"/>
              <w:rPr>
                <w:rFonts w:hint="default"/>
                <w:color w:val="000000"/>
                <w:sz w:val="20"/>
                <w:szCs w:val="20"/>
              </w:rPr>
            </w:pPr>
            <w:r>
              <w:rPr>
                <w:rFonts w:hint="eastAsia"/>
                <w:color w:val="000000"/>
                <w:sz w:val="20"/>
                <w:szCs w:val="20"/>
                <w:lang w:bidi="ar"/>
              </w:rPr>
              <w:t>61</w:t>
            </w:r>
          </w:p>
        </w:tc>
        <w:tc>
          <w:tcPr>
            <w:tcW w:w="1266"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000000"/>
                <w:sz w:val="20"/>
                <w:szCs w:val="20"/>
              </w:rPr>
            </w:pPr>
          </w:p>
        </w:tc>
        <w:tc>
          <w:tcPr>
            <w:tcW w:w="5484"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其它</w:t>
            </w:r>
            <w:r>
              <w:rPr>
                <w:rFonts w:hint="eastAsia"/>
                <w:b/>
                <w:bCs/>
                <w:color w:val="000000"/>
                <w:sz w:val="20"/>
                <w:szCs w:val="20"/>
                <w:lang w:bidi="ar"/>
              </w:rPr>
              <w:t>违反国家法律法规及集团公司规章制度</w:t>
            </w:r>
            <w:r>
              <w:rPr>
                <w:rFonts w:hint="eastAsia"/>
                <w:color w:val="000000"/>
                <w:sz w:val="20"/>
                <w:szCs w:val="20"/>
                <w:lang w:bidi="ar"/>
              </w:rPr>
              <w:t>的行为，包括国家、审计、纪检监察、巡视等函件反映问题等</w:t>
            </w:r>
          </w:p>
        </w:tc>
        <w:tc>
          <w:tcPr>
            <w:tcW w:w="1281" w:type="dxa"/>
            <w:shd w:val="clear" w:color="auto" w:fill="auto"/>
            <w:vAlign w:val="center"/>
          </w:tcPr>
          <w:p>
            <w:pPr>
              <w:keepNext w:val="0"/>
              <w:keepLines w:val="0"/>
              <w:suppressLineNumbers w:val="0"/>
              <w:spacing w:before="0" w:beforeAutospacing="0" w:after="0" w:afterAutospacing="0"/>
              <w:ind w:left="0" w:right="0"/>
              <w:textAlignment w:val="center"/>
              <w:rPr>
                <w:rFonts w:hint="default"/>
                <w:color w:val="000000"/>
                <w:sz w:val="20"/>
                <w:szCs w:val="20"/>
              </w:rPr>
            </w:pPr>
            <w:r>
              <w:rPr>
                <w:rFonts w:hint="eastAsia"/>
                <w:color w:val="000000"/>
                <w:sz w:val="20"/>
                <w:szCs w:val="20"/>
                <w:lang w:bidi="ar"/>
              </w:rPr>
              <w:t>由集团公司工程与物装部或集团公司工程与物装部组织相关管理部门及所属单位，对供应商问题性质及业务实际情况判定，进行相应处理</w:t>
            </w:r>
          </w:p>
        </w:tc>
      </w:tr>
    </w:tbl>
    <w:p>
      <w:pPr>
        <w:rPr>
          <w:rFonts w:asciiTheme="minorEastAsia" w:hAnsiTheme="minorEastAsia"/>
          <w:sz w:val="24"/>
          <w:szCs w:val="24"/>
        </w:rPr>
      </w:pPr>
    </w:p>
    <w:p>
      <w:pPr>
        <w:pStyle w:val="6"/>
        <w:rPr>
          <w:rFonts w:asciiTheme="minorEastAsia" w:hAnsiTheme="minorEastAsia"/>
          <w:sz w:val="24"/>
          <w:szCs w:val="24"/>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outlineLvl w:val="9"/>
        <w:rPr>
          <w:rFonts w:hint="eastAsia" w:ascii="黑体" w:hAnsi="黑体" w:eastAsia="黑体"/>
          <w:sz w:val="24"/>
          <w:szCs w:val="22"/>
          <w:lang w:val="en-US" w:eastAsia="zh-CN"/>
        </w:rPr>
      </w:pPr>
      <w:r>
        <w:rPr>
          <w:rFonts w:hint="eastAsia" w:ascii="黑体" w:hAnsi="黑体" w:eastAsia="黑体"/>
          <w:sz w:val="24"/>
          <w:szCs w:val="22"/>
          <w:lang w:val="en-US" w:eastAsia="zh-CN"/>
        </w:rPr>
        <w:br w:type="page"/>
      </w:r>
    </w:p>
    <w:p>
      <w:pPr>
        <w:outlineLvl w:val="1"/>
        <w:rPr>
          <w:rFonts w:hint="default" w:asciiTheme="minorEastAsia" w:hAnsiTheme="minorEastAsia" w:eastAsiaTheme="minorEastAsia"/>
          <w:sz w:val="24"/>
          <w:szCs w:val="24"/>
          <w:lang w:val="en-US" w:eastAsia="zh-CN"/>
        </w:rPr>
      </w:pPr>
      <w:r>
        <w:rPr>
          <w:rFonts w:hint="eastAsia" w:ascii="黑体" w:hAnsi="黑体" w:eastAsia="黑体"/>
          <w:sz w:val="24"/>
          <w:szCs w:val="22"/>
          <w:lang w:val="en-US" w:eastAsia="zh-CN"/>
        </w:rPr>
        <w:t>4.2集团公司</w:t>
      </w:r>
      <w:r>
        <w:rPr>
          <w:rFonts w:hint="eastAsia" w:ascii="黑体" w:hAnsi="黑体" w:eastAsia="黑体"/>
          <w:sz w:val="24"/>
        </w:rPr>
        <w:t>供应商处理情形和处理标准</w:t>
      </w:r>
    </w:p>
    <w:p>
      <w:pPr>
        <w:pStyle w:val="6"/>
        <w:rPr>
          <w:rFonts w:asciiTheme="minorEastAsia" w:hAnsiTheme="minorEastAsia"/>
          <w:sz w:val="24"/>
          <w:szCs w:val="24"/>
        </w:rPr>
      </w:pPr>
    </w:p>
    <w:tbl>
      <w:tblPr>
        <w:tblStyle w:val="15"/>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015"/>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序号</w:t>
            </w:r>
          </w:p>
        </w:tc>
        <w:tc>
          <w:tcPr>
            <w:tcW w:w="4015"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违规类型</w:t>
            </w:r>
          </w:p>
        </w:tc>
        <w:tc>
          <w:tcPr>
            <w:tcW w:w="4012"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提供虚假材料（资质文件、业绩、财务状况、书面承诺等）进行供应商注册、资格审查或参与采购项目。</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未造成损失的，对供应商给予“禁用一年”或“禁用两年”处理；造成损失根据损失程度再增加对其处理。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为达到不正当目的相互恶意串通，包括与采购人，代理机构或供应商之间串通。</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根据影响程度，对供应商给予“禁用两年”或“长期禁用”处理；</w:t>
            </w:r>
          </w:p>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注册供应商发生围标串标给予“长期禁用”处理。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向采购交易所涉及的相关方或能产生实际影响的相关方行贿。</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在采购结果公布之前，违法违规获得非公开评标信息，或采取不正当手段妨碍、排挤其他供应商投标或中标的，证据确凿。</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softHyphen/>
            </w:r>
            <w:r>
              <w:rPr>
                <w:rFonts w:hint="eastAsia" w:ascii="宋体" w:hAnsi="宋体" w:eastAsia="宋体" w:cs="宋体"/>
                <w:color w:val="000000" w:themeColor="text1"/>
                <w:kern w:val="0"/>
                <w:sz w:val="20"/>
                <w:szCs w:val="20"/>
                <w14:textFill>
                  <w14:solidFill>
                    <w14:schemeClr w14:val="tx1"/>
                  </w14:solidFill>
                </w14:textFill>
              </w:rPr>
              <w:t>投标截止后撤销投标文件的，以及在中标公示或公告阶段，中标候选人放弃中标资格。</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根据影响程度，对供应商给予“禁用一年”或“禁用两年”处理。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获取中标资格或成交资格拒绝签订合同。</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7</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不遵守招投标相关纪律或工作要求：如在开标、评标现场无理取闹，违反招投标程序,不遵守招投标秩序等情形。</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无事实依据对采购过程、采购结果或供应商处理结果进行乱投诉、举报的缠诉、滥诉行为。</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对供应商给予“警告”处理；恶意投诉、举报的，对供应商给予“禁用两年”处理；对伪造证据、捏造事实、诬陷招标方或供应商管理、供应商使用单位人员的，一经查证，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9</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擅自变更、不按照合同规定履行或者擅自终止合同。</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情节较轻的，对供应商给予“禁用两年”处理；情节严重的，对供应商给予“长期禁用”处理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10</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擅自降低标的功能标准或改变功能结构。供应商在提供工程、货物和服务时，擅自降低原来规定的功能标准，改变功能结构，使采购原有的功能要求得不到保证。</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整改且未造成影响的，对供应商可以不予处理；及时整改但造成一定影响的，对供应商给予“禁用一年”处理；及时整改但影响较重的，视情况对供应商给予“禁用两年”处理；拒不整改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11</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假冒其他厂家品牌，提供伪劣商品、以假乱真弄虚作假。</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12</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出现供给不足（即“短斤少两”行为）。</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及时整改未产生影响的可以不予处理；整改但产生影响的，对供应商或相关品类给予“禁用一年”处理；拒不更正的，对供应商给予“长期禁用”处理。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13</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提供虚假进度报告。</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未造成实质影响的给予供应商“禁用一年”处理；造成实质性影响的，对供应商给予“禁用两年”处理。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14</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违反规定将中标项目或合同转让、转包、分包。</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及时更正其违规行为的，视情形对供应商给予“警告至禁用一年”处理；拒绝更正其违规行为的，对供应商给予“长期禁用”处理。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15</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未经同意拖延完工、交货日期，延缓执行合同的期限。</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实质影响且愿意协商解决或承担赔偿责任的，对供应商给予“警告”处理；造成实质影响但愿意协商解决的，根据影响程度，对供应商或相关品类给予“禁用一年”或“禁用两年”处理；造成严重影响，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16</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拒绝中国海油管理部门的监督检查或不如实反映情况、提供材料。</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17</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参与或承揽中国海油业务时，在已知晓或应当知晓的情况下，仍代理被中国海油禁用其他供应商的产品、服务，或将已获取的合同对其分包。</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对该供应商给予“禁用一年”处理。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18</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拒绝履行售后服务义务并拒绝协商解决的情况，及其他因供应商的原因导致中国海油受损，并拒绝协商解决和赔偿责任的情况。</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19</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所提供的产品存在严重质量问题，影响安全生产或对工程建设造成实质性影响。</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根据专业机构调查结论，对供应商</w:t>
            </w:r>
            <w:r>
              <w:rPr>
                <w:rFonts w:hint="eastAsia" w:ascii="宋体" w:hAnsi="宋体" w:eastAsia="宋体" w:cs="宋体"/>
                <w:sz w:val="20"/>
                <w:szCs w:val="20"/>
              </w:rPr>
              <w:t>或相关品类</w:t>
            </w:r>
            <w:r>
              <w:rPr>
                <w:rFonts w:hint="eastAsia" w:ascii="宋体" w:hAnsi="宋体" w:eastAsia="宋体" w:cs="宋体"/>
                <w:color w:val="000000" w:themeColor="text1"/>
                <w:kern w:val="0"/>
                <w:sz w:val="20"/>
                <w:szCs w:val="20"/>
                <w14:textFill>
                  <w14:solidFill>
                    <w14:schemeClr w14:val="tx1"/>
                  </w14:solidFill>
                </w14:textFill>
              </w:rPr>
              <w:t>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20</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提供的产品/服务出现安全隐患，且拒绝整改或整改不及时、不到位。</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存在安全隐患且整改不到位的，给予供应商“禁用两年”处理；存在严重安全隐患且整改不到位的，对供应商给予“长期禁用”处理。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21</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未经许可，对外披露中国海油商业秘密信息。</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情节较轻的，供应商给予“禁用一年”处理；情节较重的，供应商给予“禁用两年”处理；情节严重的，对供应商给予“长期禁用”处理。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22</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由于供应商的原因，与中国海油及所属单位产生法律诉讼。</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23</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发生“一般A级”及以上安全事故且负主要责任的供应商。</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视情形对供应商给予“禁用一年”或“禁用两年”处理，情节严重的，给予“长期禁用”处理。“一般A级”以下级别根据情况或问题程度，约谈供应商，或“警告”处理。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24</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供应商在提报中国海油员工、员工亲属、离职退休的领导人员在本单位的任职和持股情况时，存在瞒报相关情况或发现利用职务之便谋取不正当利益的。</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存在瞒报相关情况的，对供应商给予“禁用一年”处理；发现利用中国海油人员的职务之便牟取不正当利益情形的，对供应商给予“长期禁用”处理。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25</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在承揽的中国海油业务中，存在拖欠农民工工资行为的。</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未造成不良影响并及时整改的，对供应商给予“警告”处理；整改不及时或影响较大的，对供应商给予“禁用一年”或“禁用两年”处理。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26</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对存在其他不当行为可能给中国海油带来风险。</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93"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27</w:t>
            </w:r>
          </w:p>
        </w:tc>
        <w:tc>
          <w:tcPr>
            <w:tcW w:w="4015"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其他违反国家法律法规及集团公司规章制度的行为，包括国家、审计、纪检监察、巡视等函件反映问题。</w:t>
            </w:r>
          </w:p>
        </w:tc>
        <w:tc>
          <w:tcPr>
            <w:tcW w:w="4012" w:type="dxa"/>
            <w:shd w:val="clear" w:color="auto" w:fill="auto"/>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由工程与物装部组织相关管理部门及所属单位，对供应商问题性质及业务实际情况判定，进行相应处理。</w:t>
            </w:r>
          </w:p>
        </w:tc>
      </w:tr>
    </w:tbl>
    <w:p>
      <w:pPr>
        <w:pStyle w:val="8"/>
        <w:ind w:left="0" w:leftChars="0" w:firstLine="0" w:firstLineChars="0"/>
        <w:rPr>
          <w:rFonts w:hint="eastAsia" w:ascii="宋体" w:hAnsi="宋体" w:cs="宋体"/>
          <w:sz w:val="20"/>
          <w:szCs w:val="20"/>
          <w:lang w:eastAsia="zh-CN"/>
        </w:rPr>
      </w:pPr>
    </w:p>
    <w:p>
      <w:pPr>
        <w:pStyle w:val="6"/>
        <w:ind w:firstLine="0" w:firstLineChars="0"/>
        <w:rPr>
          <w:rFonts w:hint="default" w:eastAsia="宋体"/>
          <w:lang w:val="en-US" w:eastAsia="zh-CN"/>
        </w:rPr>
      </w:pPr>
      <w:r>
        <w:rPr>
          <w:rFonts w:hint="eastAsia" w:eastAsia="宋体"/>
          <w:highlight w:val="none"/>
          <w:lang w:val="en-US" w:eastAsia="zh-CN"/>
        </w:rPr>
        <w:t>供应商处理结果以集团公司审批为准，本附件仅作为风险提示。</w:t>
      </w: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pStyle w:val="6"/>
      </w:pPr>
    </w:p>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sz w:val="24"/>
          <w:szCs w:val="24"/>
          <w:lang w:val="en-US" w:eastAsia="zh-CN"/>
        </w:rPr>
      </w:pPr>
      <w:r>
        <w:rPr>
          <w:rFonts w:hint="eastAsia" w:ascii="黑体" w:hAnsi="黑体" w:eastAsia="黑体"/>
          <w:b/>
          <w:bCs/>
          <w:sz w:val="24"/>
          <w:szCs w:val="24"/>
          <w:highlight w:val="none"/>
          <w:lang w:val="en-US" w:eastAsia="zh-CN"/>
        </w:rPr>
        <w:t>附件5：</w:t>
      </w:r>
      <w:r>
        <w:rPr>
          <w:rFonts w:hint="eastAsia" w:ascii="黑体" w:hAnsi="黑体" w:eastAsia="黑体"/>
          <w:b/>
          <w:bCs/>
          <w:sz w:val="24"/>
          <w:szCs w:val="24"/>
          <w:lang w:val="en-US" w:eastAsia="zh-CN"/>
        </w:rPr>
        <w:t>商务文件</w:t>
      </w:r>
    </w:p>
    <w:p>
      <w:pPr>
        <w:pStyle w:val="18"/>
        <w:rPr>
          <w:rFonts w:hint="eastAsia"/>
          <w:lang w:val="en-US" w:eastAsia="zh-CN"/>
        </w:rPr>
      </w:pPr>
    </w:p>
    <w:p>
      <w:pPr>
        <w:autoSpaceDE/>
        <w:autoSpaceDN/>
        <w:adjustRightInd/>
        <w:jc w:val="both"/>
        <w:outlineLvl w:val="0"/>
        <w:rPr>
          <w:rFonts w:hint="eastAsia" w:ascii="宋体" w:hAnsi="宋体" w:eastAsiaTheme="minorEastAsia" w:cstheme="minorBidi"/>
          <w:b w:val="0"/>
          <w:bCs w:val="0"/>
          <w:color w:val="000000"/>
          <w:sz w:val="21"/>
          <w:szCs w:val="22"/>
          <w:highlight w:val="none"/>
          <w:lang w:eastAsia="zh-CN"/>
        </w:rPr>
      </w:pPr>
      <w:r>
        <w:rPr>
          <w:rFonts w:hint="eastAsia" w:ascii="宋体" w:hAnsi="宋体" w:eastAsiaTheme="minorEastAsia" w:cstheme="minorBidi"/>
          <w:b w:val="0"/>
          <w:bCs w:val="0"/>
          <w:color w:val="000000"/>
          <w:kern w:val="2"/>
          <w:sz w:val="21"/>
          <w:szCs w:val="22"/>
          <w:highlight w:val="none"/>
          <w:lang w:val="en-US" w:eastAsia="zh-CN"/>
        </w:rPr>
        <w:t>5.1：</w:t>
      </w:r>
      <w:r>
        <w:rPr>
          <w:rFonts w:hint="eastAsia" w:ascii="宋体" w:hAnsi="宋体" w:eastAsiaTheme="minorEastAsia" w:cstheme="minorBidi"/>
          <w:bCs w:val="0"/>
          <w:color w:val="000000"/>
          <w:sz w:val="21"/>
          <w:szCs w:val="22"/>
          <w:highlight w:val="none"/>
          <w:lang w:eastAsia="zh-CN"/>
        </w:rPr>
        <w:t>营业执照</w:t>
      </w:r>
    </w:p>
    <w:p>
      <w:pPr>
        <w:adjustRightInd/>
        <w:jc w:val="both"/>
        <w:outlineLvl w:val="0"/>
        <w:rPr>
          <w:rFonts w:hint="default"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b w:val="0"/>
          <w:bCs w:val="0"/>
          <w:color w:val="000000"/>
          <w:kern w:val="2"/>
          <w:sz w:val="21"/>
          <w:szCs w:val="22"/>
          <w:lang w:val="en-US" w:eastAsia="zh-CN"/>
        </w:rPr>
        <w:t>5.2：</w:t>
      </w:r>
      <w:r>
        <w:rPr>
          <w:rFonts w:hint="eastAsia" w:ascii="宋体" w:hAnsi="宋体" w:eastAsiaTheme="minorEastAsia" w:cstheme="minorBidi"/>
          <w:color w:val="000000"/>
          <w:kern w:val="2"/>
          <w:sz w:val="21"/>
          <w:szCs w:val="22"/>
          <w:highlight w:val="none"/>
          <w:lang w:val="en-US" w:eastAsia="zh-CN" w:bidi="ar-SA"/>
        </w:rPr>
        <w:t>法定代表人（单位负责人）身份证明</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5.3：法定代表人授权委托书（如涉及）</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5.4：专业资质（如涉及）</w:t>
      </w:r>
    </w:p>
    <w:p>
      <w:pPr>
        <w:adjustRightInd/>
        <w:jc w:val="both"/>
        <w:outlineLvl w:val="0"/>
        <w:rPr>
          <w:rFonts w:hint="eastAsia" w:ascii="宋体" w:hAnsi="宋体" w:eastAsiaTheme="minorEastAsia" w:cstheme="minorBidi"/>
          <w:color w:val="000000"/>
          <w:sz w:val="21"/>
          <w:szCs w:val="22"/>
          <w:highlight w:val="none"/>
          <w:lang w:eastAsia="zh-CN"/>
        </w:rPr>
      </w:pPr>
      <w:r>
        <w:rPr>
          <w:rFonts w:hint="eastAsia" w:ascii="宋体" w:hAnsi="宋体" w:eastAsiaTheme="minorEastAsia" w:cstheme="minorBidi"/>
          <w:color w:val="000000"/>
          <w:kern w:val="2"/>
          <w:sz w:val="21"/>
          <w:szCs w:val="22"/>
          <w:highlight w:val="none"/>
          <w:lang w:val="en-US" w:eastAsia="zh-CN" w:bidi="ar-SA"/>
        </w:rPr>
        <w:t>5.</w:t>
      </w:r>
      <w:r>
        <w:rPr>
          <w:rFonts w:hint="eastAsia" w:ascii="宋体" w:hAnsi="宋体" w:cstheme="minorBidi"/>
          <w:color w:val="000000"/>
          <w:kern w:val="2"/>
          <w:sz w:val="21"/>
          <w:szCs w:val="22"/>
          <w:highlight w:val="none"/>
          <w:lang w:val="en-US" w:eastAsia="zh-CN" w:bidi="ar-SA"/>
        </w:rPr>
        <w:t>5</w:t>
      </w:r>
      <w:r>
        <w:rPr>
          <w:rFonts w:hint="eastAsia" w:ascii="宋体" w:hAnsi="宋体" w:eastAsiaTheme="minorEastAsia" w:cstheme="minorBidi"/>
          <w:color w:val="000000"/>
          <w:kern w:val="2"/>
          <w:sz w:val="21"/>
          <w:szCs w:val="22"/>
          <w:highlight w:val="none"/>
          <w:lang w:val="en-US" w:eastAsia="zh-CN" w:bidi="ar-SA"/>
        </w:rPr>
        <w:t>：</w:t>
      </w:r>
      <w:r>
        <w:rPr>
          <w:rFonts w:hint="eastAsia" w:ascii="宋体" w:hAnsi="宋体" w:eastAsiaTheme="minorEastAsia" w:cstheme="minorBidi"/>
          <w:color w:val="000000"/>
          <w:sz w:val="21"/>
          <w:szCs w:val="22"/>
          <w:highlight w:val="none"/>
          <w:lang w:eastAsia="zh-CN"/>
        </w:rPr>
        <w:t>环境管理体系认证、质量管理体系认证、健康安全管理体系认证和国家强制产品认证等相关否决事项，</w:t>
      </w:r>
      <w:r>
        <w:rPr>
          <w:rFonts w:hint="eastAsia" w:ascii="宋体" w:hAnsi="宋体" w:cstheme="minorBidi"/>
          <w:color w:val="000000"/>
          <w:sz w:val="21"/>
          <w:szCs w:val="22"/>
          <w:highlight w:val="none"/>
          <w:lang w:val="en-US" w:eastAsia="zh-CN"/>
        </w:rPr>
        <w:t>并可</w:t>
      </w:r>
      <w:r>
        <w:rPr>
          <w:rFonts w:hint="eastAsia" w:ascii="宋体" w:hAnsi="宋体" w:eastAsiaTheme="minorEastAsia" w:cstheme="minorBidi"/>
          <w:color w:val="000000"/>
          <w:sz w:val="21"/>
          <w:szCs w:val="22"/>
          <w:highlight w:val="none"/>
          <w:lang w:eastAsia="zh-CN"/>
        </w:rPr>
        <w:t>在中国国家认证认可监督管理委员会网站（</w:t>
      </w:r>
      <w:r>
        <w:rPr>
          <w:rFonts w:hint="eastAsia" w:ascii="宋体" w:hAnsi="宋体" w:eastAsiaTheme="minorEastAsia" w:cstheme="minorBidi"/>
          <w:color w:val="000000"/>
          <w:sz w:val="21"/>
          <w:szCs w:val="22"/>
          <w:highlight w:val="none"/>
          <w:lang w:eastAsia="zh-CN"/>
        </w:rPr>
        <w:fldChar w:fldCharType="begin"/>
      </w:r>
      <w:r>
        <w:rPr>
          <w:rFonts w:hint="eastAsia" w:ascii="宋体" w:hAnsi="宋体" w:eastAsiaTheme="minorEastAsia" w:cstheme="minorBidi"/>
          <w:color w:val="000000"/>
          <w:sz w:val="21"/>
          <w:szCs w:val="22"/>
          <w:highlight w:val="none"/>
          <w:lang w:eastAsia="zh-CN"/>
        </w:rPr>
        <w:instrText xml:space="preserve"> HYPERLINK "http://www.cnca.gov.cn）核实" </w:instrText>
      </w:r>
      <w:r>
        <w:rPr>
          <w:rFonts w:hint="eastAsia" w:ascii="宋体" w:hAnsi="宋体" w:eastAsiaTheme="minorEastAsia" w:cstheme="minorBidi"/>
          <w:color w:val="000000"/>
          <w:sz w:val="21"/>
          <w:szCs w:val="22"/>
          <w:highlight w:val="none"/>
          <w:lang w:eastAsia="zh-CN"/>
        </w:rPr>
        <w:fldChar w:fldCharType="separate"/>
      </w:r>
      <w:r>
        <w:rPr>
          <w:rFonts w:hint="eastAsia" w:ascii="宋体" w:hAnsi="宋体" w:eastAsiaTheme="minorEastAsia" w:cstheme="minorBidi"/>
          <w:color w:val="000000"/>
          <w:sz w:val="21"/>
          <w:szCs w:val="22"/>
          <w:highlight w:val="none"/>
          <w:lang w:eastAsia="zh-CN"/>
        </w:rPr>
        <w:t>http://www.cnca.gov.cn）核实</w:t>
      </w:r>
      <w:r>
        <w:rPr>
          <w:rFonts w:hint="eastAsia" w:ascii="宋体" w:hAnsi="宋体" w:eastAsiaTheme="minorEastAsia" w:cstheme="minorBidi"/>
          <w:color w:val="000000"/>
          <w:sz w:val="21"/>
          <w:szCs w:val="22"/>
          <w:highlight w:val="none"/>
          <w:lang w:eastAsia="zh-CN"/>
        </w:rPr>
        <w:fldChar w:fldCharType="end"/>
      </w:r>
    </w:p>
    <w:p>
      <w:pPr>
        <w:adjustRightInd/>
        <w:jc w:val="both"/>
        <w:outlineLvl w:val="0"/>
        <w:rPr>
          <w:rFonts w:hint="eastAsia" w:ascii="宋体" w:hAnsi="宋体" w:eastAsiaTheme="minorEastAsia" w:cstheme="minorBidi"/>
          <w:strike w:val="0"/>
          <w:dstrike w:val="0"/>
          <w:color w:val="000000"/>
          <w:sz w:val="21"/>
          <w:szCs w:val="22"/>
          <w:highlight w:val="none"/>
          <w:lang w:val="en-US" w:eastAsia="zh-CN"/>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6</w:t>
      </w:r>
      <w:r>
        <w:rPr>
          <w:rFonts w:hint="eastAsia" w:ascii="宋体" w:hAnsi="宋体" w:eastAsiaTheme="minorEastAsia" w:cstheme="minorBidi"/>
          <w:color w:val="000000"/>
          <w:sz w:val="21"/>
          <w:szCs w:val="22"/>
          <w:highlight w:val="none"/>
          <w:lang w:val="en-US" w:eastAsia="zh-CN"/>
        </w:rPr>
        <w:t>：</w:t>
      </w:r>
      <w:r>
        <w:rPr>
          <w:rFonts w:hint="eastAsia" w:ascii="宋体" w:hAnsi="宋体" w:eastAsiaTheme="minorEastAsia" w:cstheme="minorBidi"/>
          <w:strike w:val="0"/>
          <w:dstrike w:val="0"/>
          <w:color w:val="000000"/>
          <w:sz w:val="21"/>
          <w:szCs w:val="22"/>
          <w:highlight w:val="none"/>
          <w:lang w:val="en-US" w:eastAsia="zh-CN"/>
        </w:rPr>
        <w:t>股权证明文件</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stheme="minorBidi"/>
          <w:b w:val="0"/>
          <w:bCs w:val="0"/>
          <w:color w:val="000000"/>
          <w:sz w:val="21"/>
          <w:szCs w:val="22"/>
          <w:highlight w:val="none"/>
          <w:lang w:val="en-US" w:eastAsia="zh-CN"/>
        </w:rPr>
      </w:pPr>
      <w:r>
        <w:rPr>
          <w:rFonts w:hint="eastAsia" w:ascii="宋体" w:hAnsi="宋体" w:eastAsiaTheme="minorEastAsia" w:cstheme="minorBidi"/>
          <w:strike w:val="0"/>
          <w:dstrike w:val="0"/>
          <w:color w:val="000000"/>
          <w:sz w:val="21"/>
          <w:szCs w:val="22"/>
          <w:highlight w:val="none"/>
          <w:lang w:val="en-US" w:eastAsia="zh-CN"/>
        </w:rPr>
        <w:t>5.</w:t>
      </w:r>
      <w:r>
        <w:rPr>
          <w:rFonts w:hint="eastAsia" w:ascii="宋体" w:hAnsi="宋体" w:cstheme="minorBidi"/>
          <w:strike w:val="0"/>
          <w:dstrike w:val="0"/>
          <w:color w:val="000000"/>
          <w:sz w:val="21"/>
          <w:szCs w:val="22"/>
          <w:highlight w:val="none"/>
          <w:lang w:val="en-US" w:eastAsia="zh-CN"/>
        </w:rPr>
        <w:t>7</w:t>
      </w:r>
      <w:r>
        <w:rPr>
          <w:rFonts w:hint="eastAsia" w:ascii="宋体" w:hAnsi="宋体" w:eastAsiaTheme="minorEastAsia" w:cstheme="minorBidi"/>
          <w:strike w:val="0"/>
          <w:dstrike w:val="0"/>
          <w:color w:val="000000"/>
          <w:sz w:val="21"/>
          <w:szCs w:val="22"/>
          <w:highlight w:val="none"/>
          <w:lang w:val="en-US" w:eastAsia="zh-CN"/>
        </w:rPr>
        <w:t>：</w:t>
      </w:r>
      <w:r>
        <w:rPr>
          <w:rFonts w:hint="eastAsia" w:ascii="宋体" w:hAnsi="宋体" w:eastAsiaTheme="minorEastAsia" w:cstheme="minorBidi"/>
          <w:b w:val="0"/>
          <w:bCs w:val="0"/>
          <w:color w:val="000000"/>
          <w:sz w:val="21"/>
          <w:szCs w:val="22"/>
          <w:highlight w:val="none"/>
          <w:lang w:val="en-US" w:eastAsia="zh-CN"/>
        </w:rPr>
        <w:t>供应商承诺书</w:t>
      </w:r>
      <w:r>
        <w:rPr>
          <w:rFonts w:hint="eastAsia" w:ascii="宋体" w:hAnsi="宋体" w:cstheme="minorBidi"/>
          <w:color w:val="000000"/>
          <w:kern w:val="2"/>
          <w:sz w:val="21"/>
          <w:szCs w:val="22"/>
          <w:lang w:val="en-US" w:eastAsia="zh-CN" w:bidi="ar-SA"/>
        </w:rPr>
        <w:t>——详见附件</w:t>
      </w:r>
    </w:p>
    <w:p>
      <w:pPr>
        <w:adjustRightInd/>
        <w:jc w:val="both"/>
        <w:outlineLvl w:val="0"/>
        <w:rPr>
          <w:rFonts w:hint="default" w:ascii="宋体" w:hAnsi="宋体" w:eastAsiaTheme="minorEastAsia" w:cstheme="minorBidi"/>
          <w:color w:val="000000"/>
          <w:sz w:val="21"/>
          <w:szCs w:val="22"/>
          <w:lang w:val="en-US" w:eastAsia="zh-CN"/>
        </w:rPr>
      </w:pPr>
      <w:r>
        <w:rPr>
          <w:rFonts w:hint="eastAsia" w:ascii="宋体" w:hAnsi="宋体" w:eastAsiaTheme="minorEastAsia" w:cstheme="minorBidi"/>
          <w:b w:val="0"/>
          <w:bCs w:val="0"/>
          <w:color w:val="000000"/>
          <w:sz w:val="21"/>
          <w:szCs w:val="22"/>
          <w:highlight w:val="none"/>
          <w:lang w:val="en-US" w:eastAsia="zh-CN"/>
        </w:rPr>
        <w:t>5.</w:t>
      </w:r>
      <w:r>
        <w:rPr>
          <w:rFonts w:hint="eastAsia" w:ascii="宋体" w:hAnsi="宋体" w:cstheme="minorBidi"/>
          <w:b w:val="0"/>
          <w:bCs w:val="0"/>
          <w:color w:val="000000"/>
          <w:sz w:val="21"/>
          <w:szCs w:val="22"/>
          <w:highlight w:val="none"/>
          <w:lang w:val="en-US" w:eastAsia="zh-CN"/>
        </w:rPr>
        <w:t>8</w:t>
      </w:r>
      <w:r>
        <w:rPr>
          <w:rFonts w:hint="eastAsia" w:ascii="宋体" w:hAnsi="宋体" w:eastAsiaTheme="minorEastAsia" w:cstheme="minorBidi"/>
          <w:b w:val="0"/>
          <w:bCs w:val="0"/>
          <w:color w:val="000000"/>
          <w:sz w:val="21"/>
          <w:szCs w:val="22"/>
          <w:highlight w:val="none"/>
          <w:lang w:val="en-US" w:eastAsia="zh-CN"/>
        </w:rPr>
        <w:t>：</w:t>
      </w:r>
      <w:r>
        <w:rPr>
          <w:rFonts w:hint="eastAsia" w:ascii="宋体" w:hAnsi="宋体" w:eastAsiaTheme="minorEastAsia" w:cstheme="minorBidi"/>
          <w:color w:val="000000"/>
          <w:sz w:val="21"/>
          <w:szCs w:val="22"/>
          <w:highlight w:val="none"/>
          <w:lang w:val="en-US" w:eastAsia="zh-CN"/>
        </w:rPr>
        <w:t>代理商、贸易商、服务商要求（详见评议内容：</w:t>
      </w:r>
      <w:r>
        <w:rPr>
          <w:rFonts w:hint="eastAsia" w:ascii="宋体" w:hAnsi="宋体" w:eastAsiaTheme="minorEastAsia" w:cstheme="minorBidi"/>
          <w:b w:val="0"/>
          <w:bCs w:val="0"/>
          <w:color w:val="000000"/>
          <w:kern w:val="2"/>
          <w:sz w:val="21"/>
          <w:szCs w:val="22"/>
          <w:highlight w:val="none"/>
          <w:lang w:val="en-US" w:eastAsia="zh-CN" w:bidi="ar-SA"/>
        </w:rPr>
        <w:t>对不满足要求的或未能提供相应证明材料的</w:t>
      </w:r>
      <w:r>
        <w:rPr>
          <w:rFonts w:hint="eastAsia" w:ascii="宋体" w:hAnsi="宋体" w:eastAsiaTheme="minorEastAsia" w:cstheme="minorBidi"/>
          <w:color w:val="000000"/>
          <w:sz w:val="21"/>
          <w:szCs w:val="22"/>
          <w:highlight w:val="none"/>
          <w:lang w:val="en-US" w:eastAsia="zh-CN"/>
        </w:rPr>
        <w:t>代理商、贸易商、服务商</w:t>
      </w:r>
      <w:r>
        <w:rPr>
          <w:rFonts w:hint="eastAsia" w:ascii="宋体" w:hAnsi="宋体" w:eastAsiaTheme="minorEastAsia" w:cstheme="minorBidi"/>
          <w:b w:val="0"/>
          <w:bCs w:val="0"/>
          <w:color w:val="000000"/>
          <w:kern w:val="2"/>
          <w:sz w:val="21"/>
          <w:szCs w:val="22"/>
          <w:highlight w:val="none"/>
          <w:lang w:val="en-US" w:eastAsia="zh-CN" w:bidi="ar-SA"/>
        </w:rPr>
        <w:t>，将影响评审结果。</w:t>
      </w:r>
      <w:r>
        <w:rPr>
          <w:rFonts w:hint="eastAsia" w:ascii="宋体" w:hAnsi="宋体" w:eastAsiaTheme="minorEastAsia" w:cstheme="minorBidi"/>
          <w:color w:val="000000"/>
          <w:sz w:val="21"/>
          <w:szCs w:val="22"/>
          <w:highlight w:val="none"/>
          <w:lang w:val="en-US" w:eastAsia="zh-CN"/>
        </w:rPr>
        <w:t>）</w:t>
      </w:r>
      <w:r>
        <w:rPr>
          <w:rFonts w:hint="eastAsia" w:ascii="宋体" w:hAnsi="宋体" w:cstheme="minorBidi"/>
          <w:color w:val="000000"/>
          <w:sz w:val="21"/>
          <w:szCs w:val="22"/>
          <w:highlight w:val="none"/>
          <w:lang w:val="en-US" w:eastAsia="zh-CN"/>
        </w:rPr>
        <w:t>（不涉及）</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cstheme="minorBidi"/>
          <w:color w:val="000000"/>
          <w:sz w:val="21"/>
          <w:szCs w:val="22"/>
          <w:lang w:val="en-US" w:eastAsia="zh-CN"/>
        </w:rPr>
        <w:t>5.9： 制造商承诺书及相关支持文件</w:t>
      </w:r>
      <w:r>
        <w:rPr>
          <w:rFonts w:hint="eastAsia" w:ascii="宋体" w:hAnsi="宋体" w:cstheme="minorBidi"/>
          <w:color w:val="000000"/>
          <w:kern w:val="2"/>
          <w:sz w:val="21"/>
          <w:szCs w:val="22"/>
          <w:lang w:val="en-US" w:eastAsia="zh-CN" w:bidi="ar-SA"/>
        </w:rPr>
        <w:t>——详见附件</w:t>
      </w:r>
    </w:p>
    <w:p>
      <w:pPr>
        <w:adjustRightInd/>
        <w:jc w:val="both"/>
        <w:outlineLvl w:val="0"/>
        <w:rPr>
          <w:rFonts w:hint="eastAsia" w:ascii="宋体" w:hAnsi="宋体" w:eastAsiaTheme="minorEastAsia"/>
          <w:color w:val="000000"/>
          <w:sz w:val="21"/>
          <w:szCs w:val="22"/>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10</w:t>
      </w:r>
      <w:r>
        <w:rPr>
          <w:rFonts w:hint="eastAsia" w:ascii="宋体" w:hAnsi="宋体" w:eastAsiaTheme="minorEastAsia" w:cstheme="minorBidi"/>
          <w:b w:val="0"/>
          <w:bCs w:val="0"/>
          <w:color w:val="000000"/>
          <w:sz w:val="21"/>
          <w:szCs w:val="22"/>
          <w:highlight w:val="none"/>
          <w:lang w:eastAsia="zh-CN"/>
        </w:rPr>
        <w:t>业绩要求</w:t>
      </w:r>
      <w:r>
        <w:rPr>
          <w:rFonts w:hint="eastAsia" w:ascii="宋体" w:hAnsi="宋体" w:eastAsiaTheme="minorEastAsia" w:cstheme="minorBidi"/>
          <w:b w:val="0"/>
          <w:bCs w:val="0"/>
          <w:color w:val="000000"/>
          <w:sz w:val="21"/>
          <w:szCs w:val="22"/>
          <w:highlight w:val="none"/>
        </w:rPr>
        <w:t>（</w:t>
      </w:r>
      <w:r>
        <w:rPr>
          <w:rFonts w:hint="eastAsia" w:ascii="宋体" w:hAnsi="宋体" w:eastAsiaTheme="minorEastAsia" w:cstheme="minorBidi"/>
          <w:color w:val="000000"/>
          <w:sz w:val="21"/>
          <w:szCs w:val="22"/>
          <w:highlight w:val="none"/>
          <w:lang w:val="en-US" w:eastAsia="zh-CN"/>
        </w:rPr>
        <w:t>详见评议内容</w:t>
      </w:r>
      <w:r>
        <w:rPr>
          <w:rFonts w:hint="eastAsia" w:ascii="宋体" w:hAnsi="宋体" w:eastAsiaTheme="minorEastAsia" w:cstheme="minorBidi"/>
          <w:b w:val="0"/>
          <w:bCs w:val="0"/>
          <w:color w:val="000000"/>
          <w:sz w:val="21"/>
          <w:szCs w:val="22"/>
          <w:highlight w:val="none"/>
        </w:rPr>
        <w:t>：提供的证明材料必须完全涵盖</w:t>
      </w:r>
      <w:r>
        <w:rPr>
          <w:rFonts w:hint="eastAsia" w:ascii="宋体" w:hAnsi="宋体" w:eastAsiaTheme="minorEastAsia" w:cstheme="minorBidi"/>
          <w:b w:val="0"/>
          <w:bCs w:val="0"/>
          <w:color w:val="000000"/>
          <w:sz w:val="21"/>
          <w:szCs w:val="22"/>
          <w:highlight w:val="none"/>
          <w:lang w:val="en-US" w:eastAsia="zh-CN"/>
        </w:rPr>
        <w:t>要求的</w:t>
      </w:r>
      <w:r>
        <w:rPr>
          <w:rFonts w:hint="eastAsia" w:ascii="宋体" w:hAnsi="宋体" w:eastAsiaTheme="minorEastAsia" w:cstheme="minorBidi"/>
          <w:b w:val="0"/>
          <w:bCs w:val="0"/>
          <w:color w:val="000000"/>
          <w:sz w:val="21"/>
          <w:szCs w:val="22"/>
          <w:highlight w:val="none"/>
        </w:rPr>
        <w:t>内容，否则视为无效业绩，缺少任何1项都将影响评审结果）</w:t>
      </w:r>
    </w:p>
    <w:p>
      <w:pPr>
        <w:adjustRightInd/>
        <w:jc w:val="both"/>
        <w:outlineLvl w:val="0"/>
        <w:rPr>
          <w:rFonts w:hint="eastAsia" w:ascii="宋体" w:hAnsi="宋体" w:cstheme="minorBidi"/>
          <w:color w:val="000000"/>
          <w:kern w:val="2"/>
          <w:sz w:val="21"/>
          <w:szCs w:val="22"/>
          <w:lang w:val="en-US" w:eastAsia="zh-CN" w:bidi="ar-SA"/>
        </w:rPr>
      </w:pPr>
      <w:r>
        <w:rPr>
          <w:rFonts w:hint="eastAsia" w:ascii="宋体" w:hAnsi="宋体" w:eastAsiaTheme="minorEastAsia"/>
          <w:color w:val="000000"/>
          <w:sz w:val="21"/>
          <w:szCs w:val="22"/>
          <w:lang w:val="en-US" w:eastAsia="zh-CN"/>
        </w:rPr>
        <w:t>5.</w:t>
      </w:r>
      <w:r>
        <w:rPr>
          <w:rFonts w:hint="eastAsia" w:ascii="宋体" w:hAnsi="宋体"/>
          <w:color w:val="000000"/>
          <w:sz w:val="21"/>
          <w:szCs w:val="22"/>
          <w:lang w:val="en-US" w:eastAsia="zh-CN"/>
        </w:rPr>
        <w:t>11</w:t>
      </w:r>
      <w:r>
        <w:rPr>
          <w:rFonts w:hint="eastAsia" w:ascii="宋体" w:hAnsi="宋体" w:eastAsiaTheme="minorEastAsia"/>
          <w:color w:val="000000"/>
          <w:sz w:val="21"/>
          <w:szCs w:val="22"/>
          <w:lang w:val="en-US" w:eastAsia="zh-CN"/>
        </w:rPr>
        <w:t>：</w:t>
      </w:r>
      <w:r>
        <w:rPr>
          <w:rFonts w:hint="eastAsia" w:ascii="宋体" w:hAnsi="宋体" w:eastAsiaTheme="minorEastAsia" w:cstheme="minorBidi"/>
          <w:color w:val="000000"/>
          <w:sz w:val="21"/>
          <w:szCs w:val="22"/>
          <w:highlight w:val="none"/>
          <w:lang w:val="en-US" w:eastAsia="zh-CN"/>
        </w:rPr>
        <w:t>商务偏离表</w:t>
      </w:r>
      <w:r>
        <w:rPr>
          <w:rFonts w:hint="eastAsia" w:ascii="宋体" w:hAnsi="宋体" w:cstheme="minorBidi"/>
          <w:color w:val="000000"/>
          <w:kern w:val="2"/>
          <w:sz w:val="21"/>
          <w:szCs w:val="22"/>
          <w:lang w:val="en-US" w:eastAsia="zh-CN" w:bidi="ar-SA"/>
        </w:rPr>
        <w:t>——详见附件</w:t>
      </w:r>
    </w:p>
    <w:p>
      <w:pPr>
        <w:pStyle w:val="18"/>
        <w:adjustRightInd/>
        <w:jc w:val="both"/>
        <w:outlineLvl w:val="1"/>
        <w:rPr>
          <w:rFonts w:hint="default" w:asciiTheme="minorHAnsi" w:hAnsiTheme="minorHAnsi" w:eastAsiaTheme="minorEastAsia" w:cstheme="minorBidi"/>
          <w:b w:val="0"/>
          <w:bCs w:val="0"/>
          <w:color w:val="000000" w:themeColor="text1"/>
          <w:kern w:val="2"/>
          <w:sz w:val="21"/>
          <w:szCs w:val="22"/>
          <w:highlight w:val="none"/>
          <w:lang w:val="en-US" w:eastAsia="zh-CN"/>
          <w14:textFill>
            <w14:solidFill>
              <w14:schemeClr w14:val="tx1"/>
            </w14:solidFill>
          </w14:textFill>
        </w:rPr>
      </w:pPr>
      <w:r>
        <w:rPr>
          <w:rFonts w:hint="eastAsia" w:ascii="宋体" w:hAnsi="宋体" w:cstheme="minorBidi"/>
          <w:color w:val="000000"/>
          <w:kern w:val="2"/>
          <w:sz w:val="21"/>
          <w:szCs w:val="22"/>
          <w:lang w:val="en-US" w:eastAsia="zh-CN" w:bidi="ar-SA"/>
        </w:rPr>
        <w:t>5.12：其他补充</w:t>
      </w: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rPr>
          <w:rFonts w:hint="eastAsia"/>
          <w:lang w:val="en-US" w:eastAsia="zh-CN"/>
        </w:rPr>
      </w:pPr>
    </w:p>
    <w:p>
      <w:pPr>
        <w:pStyle w:val="18"/>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5.2</w:t>
      </w:r>
      <w:r>
        <w:rPr>
          <w:rFonts w:hint="eastAsia" w:ascii="黑体" w:hAnsi="黑体" w:eastAsia="黑体"/>
          <w:b/>
          <w:bCs/>
          <w:sz w:val="24"/>
          <w:szCs w:val="24"/>
          <w:lang w:val="en-US" w:eastAsia="zh-CN"/>
        </w:rPr>
        <w:t>：法定代表人（单位负责人）身份证明</w:t>
      </w:r>
    </w:p>
    <w:p>
      <w:pPr>
        <w:pStyle w:val="8"/>
        <w:keepNext w:val="0"/>
        <w:keepLines w:val="0"/>
        <w:pageBreakBefore w:val="0"/>
        <w:widowControl w:val="0"/>
        <w:kinsoku/>
        <w:wordWrap/>
        <w:overflowPunct/>
        <w:topLinePunct w:val="0"/>
        <w:autoSpaceDE/>
        <w:autoSpaceDN/>
        <w:bidi w:val="0"/>
        <w:adjustRightInd/>
        <w:snapToGrid/>
        <w:ind w:left="782"/>
        <w:textAlignment w:val="auto"/>
        <w:rPr>
          <w:rFonts w:hint="eastAsia"/>
          <w:lang w:val="en-US" w:eastAsia="zh-CN"/>
        </w:rPr>
      </w:pPr>
    </w:p>
    <w:p>
      <w:pPr>
        <w:pStyle w:val="6"/>
        <w:rPr>
          <w:rFonts w:ascii="微软雅黑" w:hAnsi="微软雅黑" w:eastAsia="微软雅黑"/>
          <w:b/>
          <w:spacing w:val="2"/>
          <w:sz w:val="32"/>
          <w:szCs w:val="32"/>
        </w:rPr>
      </w:pPr>
    </w:p>
    <w:p>
      <w:pPr>
        <w:pStyle w:val="6"/>
        <w:rPr>
          <w:rFonts w:ascii="微软雅黑" w:hAnsi="微软雅黑" w:eastAsia="微软雅黑"/>
          <w:b/>
          <w:spacing w:val="2"/>
          <w:sz w:val="32"/>
          <w:szCs w:val="32"/>
        </w:rPr>
      </w:pPr>
    </w:p>
    <w:p>
      <w:pPr>
        <w:spacing w:before="120" w:beforeLines="50" w:after="120" w:afterLines="50"/>
        <w:ind w:right="11"/>
        <w:jc w:val="center"/>
        <w:rPr>
          <w:rFonts w:ascii="微软雅黑" w:hAnsi="微软雅黑" w:eastAsia="微软雅黑"/>
          <w:b/>
          <w:sz w:val="32"/>
          <w:szCs w:val="32"/>
        </w:rPr>
      </w:pPr>
      <w:r>
        <w:rPr>
          <w:rFonts w:ascii="微软雅黑" w:hAnsi="微软雅黑" w:eastAsia="微软雅黑"/>
          <w:b/>
          <w:spacing w:val="2"/>
          <w:sz w:val="32"/>
          <w:szCs w:val="32"/>
        </w:rPr>
        <w:t>法定代表</w:t>
      </w:r>
      <w:r>
        <w:rPr>
          <w:rFonts w:ascii="微软雅黑" w:hAnsi="微软雅黑" w:eastAsia="微软雅黑"/>
          <w:b/>
          <w:sz w:val="32"/>
          <w:szCs w:val="32"/>
        </w:rPr>
        <w:t>人</w:t>
      </w:r>
      <w:r>
        <w:rPr>
          <w:rFonts w:ascii="微软雅黑" w:hAnsi="微软雅黑" w:eastAsia="微软雅黑"/>
          <w:b/>
          <w:spacing w:val="2"/>
          <w:sz w:val="32"/>
          <w:szCs w:val="32"/>
        </w:rPr>
        <w:t>（单位负责人</w:t>
      </w:r>
      <w:r>
        <w:rPr>
          <w:rFonts w:ascii="微软雅黑" w:hAnsi="微软雅黑" w:eastAsia="微软雅黑"/>
          <w:b/>
          <w:sz w:val="32"/>
          <w:szCs w:val="32"/>
        </w:rPr>
        <w:t>）</w:t>
      </w:r>
      <w:r>
        <w:rPr>
          <w:rFonts w:ascii="微软雅黑" w:hAnsi="微软雅黑" w:eastAsia="微软雅黑"/>
          <w:b/>
          <w:spacing w:val="2"/>
          <w:sz w:val="32"/>
          <w:szCs w:val="32"/>
        </w:rPr>
        <w:t>身份证</w:t>
      </w:r>
      <w:r>
        <w:rPr>
          <w:rFonts w:ascii="微软雅黑" w:hAnsi="微软雅黑" w:eastAsia="微软雅黑"/>
          <w:b/>
          <w:sz w:val="32"/>
          <w:szCs w:val="32"/>
        </w:rPr>
        <w:t>明</w:t>
      </w:r>
    </w:p>
    <w:p>
      <w:pPr>
        <w:tabs>
          <w:tab w:val="left" w:pos="142"/>
        </w:tabs>
        <w:spacing w:line="200" w:lineRule="exact"/>
        <w:ind w:right="11"/>
        <w:jc w:val="center"/>
        <w:rPr>
          <w:rFonts w:ascii="微软雅黑" w:hAnsi="微软雅黑" w:eastAsia="微软雅黑"/>
          <w:sz w:val="20"/>
          <w:szCs w:val="20"/>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80"/>
        <w:jc w:val="lef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3"/>
          <w:kern w:val="0"/>
          <w:sz w:val="24"/>
          <w:szCs w:val="24"/>
          <w:lang w:val="en-US" w:eastAsia="zh-CN" w:bidi="ar-SA"/>
        </w:rPr>
        <w:t>称</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412"/>
          <w:tab w:val="left" w:pos="3883"/>
          <w:tab w:val="left" w:pos="5352"/>
          <w:tab w:val="left" w:pos="6821"/>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姓名</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性别</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年</w:t>
      </w:r>
      <w:r>
        <w:rPr>
          <w:rFonts w:ascii="微软雅黑" w:hAnsi="微软雅黑" w:eastAsia="微软雅黑" w:cstheme="minorBidi"/>
          <w:spacing w:val="-3"/>
          <w:kern w:val="0"/>
          <w:sz w:val="24"/>
          <w:szCs w:val="24"/>
          <w:lang w:val="en-US" w:eastAsia="zh-CN" w:bidi="ar-SA"/>
        </w:rPr>
        <w:t>龄</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职</w:t>
      </w:r>
      <w:r>
        <w:rPr>
          <w:rFonts w:ascii="微软雅黑" w:hAnsi="微软雅黑" w:eastAsia="微软雅黑" w:cstheme="minorBidi"/>
          <w:spacing w:val="-3"/>
          <w:kern w:val="0"/>
          <w:sz w:val="24"/>
          <w:szCs w:val="24"/>
          <w:lang w:val="en-US" w:eastAsia="zh-CN" w:bidi="ar-SA"/>
        </w:rPr>
        <w:t>务</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831"/>
        </w:tabs>
        <w:spacing w:before="36"/>
        <w:ind w:left="780" w:right="11" w:firstLine="476"/>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6"/>
          <w:kern w:val="0"/>
          <w:sz w:val="24"/>
          <w:szCs w:val="24"/>
          <w:lang w:val="en-US" w:eastAsia="zh-CN" w:bidi="ar-SA"/>
        </w:rPr>
        <w:t>）</w:t>
      </w:r>
      <w:r>
        <w:rPr>
          <w:rFonts w:ascii="微软雅黑" w:hAnsi="微软雅黑" w:eastAsia="微软雅黑" w:cstheme="minorBidi"/>
          <w:kern w:val="0"/>
          <w:sz w:val="24"/>
          <w:szCs w:val="24"/>
          <w:lang w:val="en-US" w:eastAsia="zh-CN" w:bidi="ar-SA"/>
        </w:rPr>
        <w:t>。</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特此</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明。</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 xml:space="preserve">。 </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注：</w:t>
      </w:r>
      <w:r>
        <w:rPr>
          <w:rFonts w:ascii="微软雅黑" w:hAnsi="微软雅黑" w:eastAsia="微软雅黑" w:cstheme="minorBidi"/>
          <w:spacing w:val="-3"/>
          <w:kern w:val="0"/>
          <w:sz w:val="24"/>
          <w:szCs w:val="24"/>
          <w:lang w:val="en-US" w:eastAsia="zh-CN" w:bidi="ar-SA"/>
        </w:rPr>
        <w:t>本</w:t>
      </w:r>
      <w:r>
        <w:rPr>
          <w:rFonts w:ascii="微软雅黑" w:hAnsi="微软雅黑" w:eastAsia="微软雅黑" w:cstheme="minorBidi"/>
          <w:kern w:val="0"/>
          <w:sz w:val="24"/>
          <w:szCs w:val="24"/>
          <w:lang w:val="en-US" w:eastAsia="zh-CN" w:bidi="ar-SA"/>
        </w:rPr>
        <w:t>身</w:t>
      </w:r>
      <w:r>
        <w:rPr>
          <w:rFonts w:ascii="微软雅黑" w:hAnsi="微软雅黑" w:eastAsia="微软雅黑" w:cstheme="minorBidi"/>
          <w:spacing w:val="-3"/>
          <w:kern w:val="0"/>
          <w:sz w:val="24"/>
          <w:szCs w:val="24"/>
          <w:lang w:val="en-US" w:eastAsia="zh-CN" w:bidi="ar-SA"/>
        </w:rPr>
        <w:t>份</w:t>
      </w:r>
      <w:r>
        <w:rPr>
          <w:rFonts w:ascii="微软雅黑" w:hAnsi="微软雅黑" w:eastAsia="微软雅黑" w:cstheme="minorBidi"/>
          <w:kern w:val="0"/>
          <w:sz w:val="24"/>
          <w:szCs w:val="24"/>
          <w:lang w:val="en-US" w:eastAsia="zh-CN" w:bidi="ar-SA"/>
        </w:rPr>
        <w:t>证</w:t>
      </w:r>
      <w:r>
        <w:rPr>
          <w:rFonts w:ascii="微软雅黑" w:hAnsi="微软雅黑" w:eastAsia="微软雅黑" w:cstheme="minorBidi"/>
          <w:spacing w:val="-3"/>
          <w:kern w:val="0"/>
          <w:sz w:val="24"/>
          <w:szCs w:val="24"/>
          <w:lang w:val="en-US" w:eastAsia="zh-CN" w:bidi="ar-SA"/>
        </w:rPr>
        <w:t>明</w:t>
      </w:r>
      <w:r>
        <w:rPr>
          <w:rFonts w:ascii="微软雅黑" w:hAnsi="微软雅黑" w:eastAsia="微软雅黑" w:cstheme="minorBidi"/>
          <w:kern w:val="0"/>
          <w:sz w:val="24"/>
          <w:szCs w:val="24"/>
          <w:lang w:val="en-US" w:eastAsia="zh-CN" w:bidi="ar-SA"/>
        </w:rPr>
        <w:t>需</w:t>
      </w:r>
      <w:r>
        <w:rPr>
          <w:rFonts w:ascii="微软雅黑" w:hAnsi="微软雅黑" w:eastAsia="微软雅黑" w:cstheme="minorBidi"/>
          <w:spacing w:val="-3"/>
          <w:kern w:val="0"/>
          <w:sz w:val="24"/>
          <w:szCs w:val="24"/>
          <w:lang w:val="en-US" w:eastAsia="zh-CN" w:bidi="ar-SA"/>
        </w:rPr>
        <w:t>由</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加</w:t>
      </w:r>
      <w:r>
        <w:rPr>
          <w:rFonts w:ascii="微软雅黑" w:hAnsi="微软雅黑" w:eastAsia="微软雅黑" w:cstheme="minorBidi"/>
          <w:spacing w:val="-3"/>
          <w:kern w:val="0"/>
          <w:sz w:val="24"/>
          <w:szCs w:val="24"/>
          <w:lang w:val="en-US" w:eastAsia="zh-CN" w:bidi="ar-SA"/>
        </w:rPr>
        <w:t>盖</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widowControl w:val="0"/>
        <w:tabs>
          <w:tab w:val="left" w:pos="142"/>
          <w:tab w:val="left" w:pos="6521"/>
        </w:tabs>
        <w:spacing w:before="36" w:after="120" w:afterLines="50"/>
        <w:ind w:left="780" w:right="11" w:firstLine="468"/>
        <w:jc w:val="righ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spacing w:val="-3"/>
          <w:kern w:val="0"/>
          <w:sz w:val="24"/>
          <w:szCs w:val="24"/>
          <w:lang w:val="en-US" w:eastAsia="zh-CN" w:bidi="ar-SA"/>
        </w:rPr>
        <w:t>应答人</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widowControl w:val="0"/>
        <w:tabs>
          <w:tab w:val="left" w:pos="142"/>
          <w:tab w:val="left" w:pos="5352"/>
          <w:tab w:val="left" w:pos="6192"/>
          <w:tab w:val="left" w:pos="7032"/>
        </w:tabs>
        <w:spacing w:before="36" w:after="120" w:afterLines="50"/>
        <w:ind w:left="780" w:right="11" w:firstLine="1080"/>
        <w:jc w:val="right"/>
      </w:pPr>
      <w:r>
        <w:rPr>
          <w:rFonts w:hint="eastAsia" w:ascii="微软雅黑" w:hAnsi="微软雅黑" w:eastAsia="微软雅黑" w:cstheme="minorBidi"/>
          <w:w w:val="225"/>
          <w:kern w:val="0"/>
          <w:sz w:val="24"/>
          <w:szCs w:val="24"/>
          <w:lang w:val="en-US" w:eastAsia="zh-CN" w:bidi="ar-SA"/>
        </w:rPr>
        <w:t>____</w:t>
      </w:r>
      <w:r>
        <w:rPr>
          <w:rFonts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lang w:val="en-US" w:eastAsia="zh-CN" w:bidi="ar-SA"/>
        </w:rPr>
        <w:t>_______</w:t>
      </w:r>
      <w:r>
        <w:rPr>
          <w:rFonts w:ascii="微软雅黑" w:hAnsi="微软雅黑" w:eastAsia="微软雅黑" w:cstheme="minorBidi"/>
          <w:kern w:val="0"/>
          <w:sz w:val="24"/>
          <w:szCs w:val="24"/>
          <w:lang w:val="en-US" w:eastAsia="zh-CN" w:bidi="ar-SA"/>
        </w:rPr>
        <w:t>月</w:t>
      </w:r>
      <w:r>
        <w:rPr>
          <w:rFonts w:hint="eastAsia" w:ascii="微软雅黑" w:hAnsi="微软雅黑" w:eastAsia="微软雅黑" w:cstheme="minorBidi"/>
          <w:kern w:val="0"/>
          <w:sz w:val="24"/>
          <w:szCs w:val="24"/>
          <w:lang w:val="en-US" w:eastAsia="zh-CN" w:bidi="ar-SA"/>
        </w:rPr>
        <w:t>______</w:t>
      </w:r>
      <w:r>
        <w:rPr>
          <w:rFonts w:ascii="微软雅黑" w:hAnsi="微软雅黑" w:eastAsia="微软雅黑" w:cstheme="minorBidi"/>
          <w:kern w:val="0"/>
          <w:sz w:val="24"/>
          <w:szCs w:val="24"/>
          <w:lang w:val="en-US" w:eastAsia="zh-CN" w:bidi="ar-SA"/>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5.3：授权委托书</w:t>
      </w:r>
    </w:p>
    <w:p>
      <w:pPr>
        <w:pStyle w:val="22"/>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p>
    <w:p>
      <w:pPr>
        <w:pStyle w:val="22"/>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r>
        <w:rPr>
          <w:rFonts w:ascii="微软雅黑" w:hAnsi="微软雅黑" w:eastAsia="微软雅黑"/>
          <w:b/>
          <w:spacing w:val="2"/>
          <w:lang w:eastAsia="zh-CN"/>
        </w:rPr>
        <w:t>授权委托书</w:t>
      </w:r>
    </w:p>
    <w:p>
      <w:pPr>
        <w:keepNext w:val="0"/>
        <w:keepLines w:val="0"/>
        <w:pageBreakBefore w:val="0"/>
        <w:widowControl w:val="0"/>
        <w:tabs>
          <w:tab w:val="left" w:pos="142"/>
          <w:tab w:val="left" w:pos="2421"/>
          <w:tab w:val="left" w:pos="5585"/>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本人</w:t>
      </w:r>
      <w:r>
        <w:rPr>
          <w:rFonts w:ascii="微软雅黑" w:hAnsi="微软雅黑" w:eastAsia="微软雅黑" w:cstheme="minorBidi"/>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姓</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代表人</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单位负责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4"/>
          <w:kern w:val="0"/>
          <w:sz w:val="24"/>
          <w:szCs w:val="24"/>
          <w:lang w:val="en-US" w:eastAsia="zh-CN" w:bidi="ar-SA"/>
        </w:rPr>
        <w:t>）</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现</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1"/>
          <w:kern w:val="0"/>
          <w:sz w:val="24"/>
          <w:szCs w:val="24"/>
          <w:lang w:val="en-US" w:eastAsia="zh-CN" w:bidi="ar-SA"/>
        </w:rPr>
        <w:t>托</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（姓名）为我</w:t>
      </w:r>
      <w:r>
        <w:rPr>
          <w:rFonts w:ascii="微软雅黑" w:hAnsi="微软雅黑" w:eastAsia="微软雅黑" w:cstheme="minorBidi"/>
          <w:spacing w:val="-3"/>
          <w:kern w:val="0"/>
          <w:sz w:val="24"/>
          <w:szCs w:val="24"/>
          <w:lang w:val="en-US" w:eastAsia="zh-CN" w:bidi="ar-SA"/>
        </w:rPr>
        <w:t>方代</w:t>
      </w:r>
      <w:r>
        <w:rPr>
          <w:rFonts w:ascii="微软雅黑" w:hAnsi="微软雅黑" w:eastAsia="微软雅黑" w:cstheme="minorBidi"/>
          <w:kern w:val="0"/>
          <w:sz w:val="24"/>
          <w:szCs w:val="24"/>
          <w:lang w:val="en-US" w:eastAsia="zh-CN" w:bidi="ar-SA"/>
        </w:rPr>
        <w:t>理人。代理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根据授</w:t>
      </w:r>
      <w:r>
        <w:rPr>
          <w:rFonts w:ascii="微软雅黑" w:hAnsi="微软雅黑" w:eastAsia="微软雅黑" w:cstheme="minorBidi"/>
          <w:spacing w:val="-3"/>
          <w:kern w:val="0"/>
          <w:sz w:val="24"/>
          <w:szCs w:val="24"/>
          <w:lang w:val="en-US" w:eastAsia="zh-CN" w:bidi="ar-SA"/>
        </w:rPr>
        <w:t>权，</w:t>
      </w:r>
      <w:r>
        <w:rPr>
          <w:rFonts w:ascii="微软雅黑" w:hAnsi="微软雅黑" w:eastAsia="微软雅黑" w:cstheme="minorBidi"/>
          <w:kern w:val="0"/>
          <w:sz w:val="24"/>
          <w:szCs w:val="24"/>
          <w:lang w:val="en-US" w:eastAsia="zh-CN" w:bidi="ar-SA"/>
        </w:rPr>
        <w:t>以我方名义</w:t>
      </w:r>
      <w:r>
        <w:rPr>
          <w:rFonts w:ascii="微软雅黑" w:hAnsi="微软雅黑" w:eastAsia="微软雅黑" w:cstheme="minorBidi"/>
          <w:spacing w:val="-3"/>
          <w:kern w:val="0"/>
          <w:sz w:val="24"/>
          <w:szCs w:val="24"/>
          <w:lang w:val="en-US" w:eastAsia="zh-CN" w:bidi="ar-SA"/>
        </w:rPr>
        <w:t>签</w:t>
      </w:r>
      <w:r>
        <w:rPr>
          <w:rFonts w:ascii="微软雅黑" w:hAnsi="微软雅黑" w:eastAsia="微软雅黑" w:cstheme="minorBidi"/>
          <w:kern w:val="0"/>
          <w:sz w:val="24"/>
          <w:szCs w:val="24"/>
          <w:lang w:val="en-US" w:eastAsia="zh-CN" w:bidi="ar-SA"/>
        </w:rPr>
        <w:t>署、澄清</w:t>
      </w:r>
      <w:r>
        <w:rPr>
          <w:rFonts w:hint="eastAsia" w:ascii="微软雅黑" w:hAnsi="微软雅黑" w:eastAsia="微软雅黑" w:cstheme="minorBidi"/>
          <w:kern w:val="0"/>
          <w:sz w:val="24"/>
          <w:szCs w:val="24"/>
          <w:lang w:val="en-US" w:eastAsia="zh-CN" w:bidi="ar-SA"/>
        </w:rPr>
        <w:t>、</w:t>
      </w:r>
      <w:r>
        <w:rPr>
          <w:rFonts w:ascii="微软雅黑" w:hAnsi="微软雅黑" w:eastAsia="微软雅黑" w:cstheme="minorBidi"/>
          <w:kern w:val="0"/>
          <w:sz w:val="24"/>
          <w:szCs w:val="24"/>
          <w:lang w:val="en-US" w:eastAsia="zh-CN" w:bidi="ar-SA"/>
        </w:rPr>
        <w:t>确认、递交</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撤回</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修改</w:t>
      </w:r>
      <w:r>
        <w:rPr>
          <w:rFonts w:hint="eastAsia" w:ascii="微软雅黑" w:hAnsi="微软雅黑" w:eastAsia="微软雅黑" w:cstheme="minorBidi"/>
          <w:kern w:val="0"/>
          <w:sz w:val="24"/>
          <w:szCs w:val="24"/>
          <w:lang w:val="en-US" w:eastAsia="zh-CN" w:bidi="ar-SA"/>
        </w:rPr>
        <w:t>服务</w:t>
      </w:r>
      <w:r>
        <w:rPr>
          <w:rFonts w:ascii="微软雅黑" w:hAnsi="微软雅黑" w:eastAsia="微软雅黑" w:cstheme="minorBidi"/>
          <w:kern w:val="0"/>
          <w:sz w:val="24"/>
          <w:szCs w:val="24"/>
          <w:lang w:val="en-US" w:eastAsia="zh-CN" w:bidi="ar-SA"/>
        </w:rPr>
        <w:t>采购询价项目</w:t>
      </w:r>
      <w:r>
        <w:rPr>
          <w:rFonts w:hint="eastAsia" w:ascii="微软雅黑" w:hAnsi="微软雅黑" w:eastAsia="微软雅黑" w:cstheme="minorBidi"/>
          <w:kern w:val="0"/>
          <w:sz w:val="24"/>
          <w:szCs w:val="24"/>
          <w:lang w:val="en-US" w:eastAsia="zh-CN" w:bidi="ar-SA"/>
        </w:rPr>
        <w:t>报价</w:t>
      </w:r>
      <w:r>
        <w:rPr>
          <w:rFonts w:ascii="微软雅黑" w:hAnsi="微软雅黑" w:eastAsia="微软雅黑" w:cstheme="minorBidi"/>
          <w:kern w:val="0"/>
          <w:sz w:val="24"/>
          <w:szCs w:val="24"/>
          <w:lang w:val="en-US" w:eastAsia="zh-CN" w:bidi="ar-SA"/>
        </w:rPr>
        <w:t>文件、签订合</w:t>
      </w:r>
      <w:r>
        <w:rPr>
          <w:rFonts w:ascii="微软雅黑" w:hAnsi="微软雅黑" w:eastAsia="微软雅黑" w:cstheme="minorBidi"/>
          <w:spacing w:val="-3"/>
          <w:kern w:val="0"/>
          <w:sz w:val="24"/>
          <w:szCs w:val="24"/>
          <w:lang w:val="en-US" w:eastAsia="zh-CN" w:bidi="ar-SA"/>
        </w:rPr>
        <w:t>同</w:t>
      </w:r>
      <w:r>
        <w:rPr>
          <w:rFonts w:ascii="微软雅黑" w:hAnsi="微软雅黑" w:eastAsia="微软雅黑" w:cstheme="minorBidi"/>
          <w:kern w:val="0"/>
          <w:sz w:val="24"/>
          <w:szCs w:val="24"/>
          <w:lang w:val="en-US" w:eastAsia="zh-CN" w:bidi="ar-SA"/>
        </w:rPr>
        <w:t>和处</w:t>
      </w:r>
      <w:r>
        <w:rPr>
          <w:rFonts w:ascii="微软雅黑" w:hAnsi="微软雅黑" w:eastAsia="微软雅黑" w:cstheme="minorBidi"/>
          <w:spacing w:val="-3"/>
          <w:kern w:val="0"/>
          <w:sz w:val="24"/>
          <w:szCs w:val="24"/>
          <w:lang w:val="en-US" w:eastAsia="zh-CN" w:bidi="ar-SA"/>
        </w:rPr>
        <w:t>理</w:t>
      </w:r>
      <w:r>
        <w:rPr>
          <w:rFonts w:ascii="微软雅黑" w:hAnsi="微软雅黑" w:eastAsia="微软雅黑" w:cstheme="minorBidi"/>
          <w:kern w:val="0"/>
          <w:sz w:val="24"/>
          <w:szCs w:val="24"/>
          <w:lang w:val="en-US" w:eastAsia="zh-CN" w:bidi="ar-SA"/>
        </w:rPr>
        <w:t>有关事宜，其</w:t>
      </w:r>
      <w:r>
        <w:rPr>
          <w:rFonts w:ascii="微软雅黑" w:hAnsi="微软雅黑" w:eastAsia="微软雅黑" w:cstheme="minorBidi"/>
          <w:spacing w:val="-3"/>
          <w:kern w:val="0"/>
          <w:sz w:val="24"/>
          <w:szCs w:val="24"/>
          <w:lang w:val="en-US" w:eastAsia="zh-CN" w:bidi="ar-SA"/>
        </w:rPr>
        <w:t>法</w:t>
      </w:r>
      <w:r>
        <w:rPr>
          <w:rFonts w:ascii="微软雅黑" w:hAnsi="微软雅黑" w:eastAsia="微软雅黑" w:cstheme="minorBidi"/>
          <w:kern w:val="0"/>
          <w:sz w:val="24"/>
          <w:szCs w:val="24"/>
          <w:lang w:val="en-US" w:eastAsia="zh-CN" w:bidi="ar-SA"/>
        </w:rPr>
        <w:t>律后果</w:t>
      </w:r>
      <w:r>
        <w:rPr>
          <w:rFonts w:ascii="微软雅黑" w:hAnsi="微软雅黑" w:eastAsia="微软雅黑" w:cstheme="minorBidi"/>
          <w:spacing w:val="-3"/>
          <w:kern w:val="0"/>
          <w:sz w:val="24"/>
          <w:szCs w:val="24"/>
          <w:lang w:val="en-US" w:eastAsia="zh-CN" w:bidi="ar-SA"/>
        </w:rPr>
        <w:t>由</w:t>
      </w:r>
      <w:r>
        <w:rPr>
          <w:rFonts w:ascii="微软雅黑" w:hAnsi="微软雅黑" w:eastAsia="微软雅黑" w:cstheme="minorBidi"/>
          <w:kern w:val="0"/>
          <w:sz w:val="24"/>
          <w:szCs w:val="24"/>
          <w:lang w:val="en-US" w:eastAsia="zh-CN" w:bidi="ar-SA"/>
        </w:rPr>
        <w:t>我</w:t>
      </w:r>
      <w:r>
        <w:rPr>
          <w:rFonts w:ascii="微软雅黑" w:hAnsi="微软雅黑" w:eastAsia="微软雅黑" w:cstheme="minorBidi"/>
          <w:spacing w:val="-3"/>
          <w:kern w:val="0"/>
          <w:sz w:val="24"/>
          <w:szCs w:val="24"/>
          <w:lang w:val="en-US" w:eastAsia="zh-CN" w:bidi="ar-SA"/>
        </w:rPr>
        <w:t>方</w:t>
      </w:r>
      <w:r>
        <w:rPr>
          <w:rFonts w:ascii="微软雅黑" w:hAnsi="微软雅黑" w:eastAsia="微软雅黑" w:cstheme="minorBidi"/>
          <w:kern w:val="0"/>
          <w:sz w:val="24"/>
          <w:szCs w:val="24"/>
          <w:lang w:val="en-US" w:eastAsia="zh-CN" w:bidi="ar-SA"/>
        </w:rPr>
        <w:t>承</w:t>
      </w:r>
      <w:r>
        <w:rPr>
          <w:rFonts w:ascii="微软雅黑" w:hAnsi="微软雅黑" w:eastAsia="微软雅黑" w:cstheme="minorBidi"/>
          <w:spacing w:val="-3"/>
          <w:kern w:val="0"/>
          <w:sz w:val="24"/>
          <w:szCs w:val="24"/>
          <w:lang w:val="en-US" w:eastAsia="zh-CN" w:bidi="ar-SA"/>
        </w:rPr>
        <w:t>担</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3566"/>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期</w:t>
      </w:r>
      <w:r>
        <w:rPr>
          <w:rFonts w:ascii="微软雅黑" w:hAnsi="微软雅黑" w:eastAsia="微软雅黑" w:cstheme="minorBidi"/>
          <w:kern w:val="0"/>
          <w:sz w:val="24"/>
          <w:szCs w:val="24"/>
          <w:lang w:val="en-US" w:eastAsia="zh-CN" w:bidi="ar-SA"/>
        </w:rPr>
        <w:t>限</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无</w:t>
      </w:r>
      <w:r>
        <w:rPr>
          <w:rFonts w:ascii="微软雅黑" w:hAnsi="微软雅黑" w:eastAsia="微软雅黑" w:cstheme="minorBidi"/>
          <w:spacing w:val="-3"/>
          <w:kern w:val="0"/>
          <w:sz w:val="24"/>
          <w:szCs w:val="24"/>
          <w:lang w:val="en-US" w:eastAsia="zh-CN" w:bidi="ar-SA"/>
        </w:rPr>
        <w:t>转</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3"/>
          <w:kern w:val="0"/>
          <w:sz w:val="24"/>
          <w:szCs w:val="24"/>
          <w:lang w:val="en-US" w:eastAsia="zh-CN" w:bidi="ar-SA"/>
        </w:rPr>
        <w:t>托</w:t>
      </w:r>
      <w:r>
        <w:rPr>
          <w:rFonts w:ascii="微软雅黑" w:hAnsi="微软雅黑" w:eastAsia="微软雅黑" w:cstheme="minorBidi"/>
          <w:kern w:val="0"/>
          <w:sz w:val="24"/>
          <w:szCs w:val="24"/>
          <w:lang w:val="en-US" w:eastAsia="zh-CN" w:bidi="ar-SA"/>
        </w:rPr>
        <w:t xml:space="preserve">权。 </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及</w:t>
      </w:r>
      <w:r>
        <w:rPr>
          <w:rFonts w:ascii="微软雅黑" w:hAnsi="微软雅黑" w:eastAsia="微软雅黑" w:cstheme="minorBidi"/>
          <w:spacing w:val="-3"/>
          <w:kern w:val="0"/>
          <w:sz w:val="24"/>
          <w:szCs w:val="24"/>
          <w:highlight w:val="none"/>
          <w:lang w:val="en-US" w:eastAsia="zh-CN" w:bidi="ar-SA"/>
        </w:rPr>
        <w:t>委</w:t>
      </w:r>
      <w:r>
        <w:rPr>
          <w:rFonts w:ascii="微软雅黑" w:hAnsi="微软雅黑" w:eastAsia="微软雅黑" w:cstheme="minorBidi"/>
          <w:kern w:val="0"/>
          <w:sz w:val="24"/>
          <w:szCs w:val="24"/>
          <w:highlight w:val="none"/>
          <w:lang w:val="en-US" w:eastAsia="zh-CN" w:bidi="ar-SA"/>
        </w:rPr>
        <w:t>托代</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人</w:t>
      </w:r>
      <w:r>
        <w:rPr>
          <w:rFonts w:ascii="微软雅黑" w:hAnsi="微软雅黑" w:eastAsia="微软雅黑" w:cstheme="minorBidi"/>
          <w:spacing w:val="-3"/>
          <w:kern w:val="0"/>
          <w:sz w:val="24"/>
          <w:szCs w:val="24"/>
          <w:highlight w:val="none"/>
          <w:lang w:val="en-US" w:eastAsia="zh-CN" w:bidi="ar-SA"/>
        </w:rPr>
        <w:t>身</w:t>
      </w:r>
      <w:r>
        <w:rPr>
          <w:rFonts w:ascii="微软雅黑" w:hAnsi="微软雅黑" w:eastAsia="微软雅黑" w:cstheme="minorBidi"/>
          <w:kern w:val="0"/>
          <w:sz w:val="24"/>
          <w:szCs w:val="24"/>
          <w:highlight w:val="none"/>
          <w:lang w:val="en-US" w:eastAsia="zh-CN" w:bidi="ar-SA"/>
        </w:rPr>
        <w:t>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复</w:t>
      </w:r>
      <w:r>
        <w:rPr>
          <w:rFonts w:ascii="微软雅黑" w:hAnsi="微软雅黑" w:eastAsia="微软雅黑" w:cstheme="minorBidi"/>
          <w:spacing w:val="-3"/>
          <w:kern w:val="0"/>
          <w:sz w:val="24"/>
          <w:szCs w:val="24"/>
          <w:highlight w:val="none"/>
          <w:lang w:val="en-US" w:eastAsia="zh-CN" w:bidi="ar-SA"/>
        </w:rPr>
        <w:t>印</w:t>
      </w:r>
      <w:r>
        <w:rPr>
          <w:rFonts w:ascii="微软雅黑" w:hAnsi="微软雅黑" w:eastAsia="微软雅黑" w:cstheme="minorBidi"/>
          <w:kern w:val="0"/>
          <w:sz w:val="24"/>
          <w:szCs w:val="24"/>
          <w:highlight w:val="none"/>
          <w:lang w:val="en-US" w:eastAsia="zh-CN" w:bidi="ar-SA"/>
        </w:rPr>
        <w:t>件</w:t>
      </w:r>
    </w:p>
    <w:p>
      <w:pPr>
        <w:keepNext w:val="0"/>
        <w:keepLines w:val="0"/>
        <w:pageBreakBefore w:val="0"/>
        <w:widowControl w:val="0"/>
        <w:tabs>
          <w:tab w:val="left" w:pos="142"/>
        </w:tabs>
        <w:kinsoku/>
        <w:overflowPunct/>
        <w:topLinePunct w:val="0"/>
        <w:autoSpaceDE/>
        <w:autoSpaceDN/>
        <w:bidi w:val="0"/>
        <w:adjustRightInd/>
        <w:snapToGrid/>
        <w:spacing w:before="36"/>
        <w:ind w:left="420" w:leftChars="200" w:right="11"/>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注：本授权委托</w:t>
      </w:r>
      <w:r>
        <w:rPr>
          <w:rFonts w:ascii="微软雅黑" w:hAnsi="微软雅黑" w:eastAsia="微软雅黑" w:cstheme="minorBidi"/>
          <w:spacing w:val="-3"/>
          <w:kern w:val="0"/>
          <w:sz w:val="24"/>
          <w:szCs w:val="24"/>
          <w:highlight w:val="none"/>
          <w:lang w:val="en-US" w:eastAsia="zh-CN" w:bidi="ar-SA"/>
        </w:rPr>
        <w:t>书</w:t>
      </w:r>
      <w:r>
        <w:rPr>
          <w:rFonts w:ascii="微软雅黑" w:hAnsi="微软雅黑" w:eastAsia="微软雅黑" w:cstheme="minorBidi"/>
          <w:kern w:val="0"/>
          <w:sz w:val="24"/>
          <w:szCs w:val="24"/>
          <w:highlight w:val="none"/>
          <w:lang w:val="en-US" w:eastAsia="zh-CN" w:bidi="ar-SA"/>
        </w:rPr>
        <w:t>需由</w:t>
      </w: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加盖单位公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并由</w:t>
      </w:r>
      <w:r>
        <w:rPr>
          <w:rFonts w:ascii="微软雅黑" w:hAnsi="微软雅黑" w:eastAsia="微软雅黑" w:cstheme="minorBidi"/>
          <w:spacing w:val="-3"/>
          <w:kern w:val="0"/>
          <w:sz w:val="24"/>
          <w:szCs w:val="24"/>
          <w:highlight w:val="none"/>
          <w:lang w:val="en-US" w:eastAsia="zh-CN" w:bidi="ar-SA"/>
        </w:rPr>
        <w:t>其</w:t>
      </w:r>
      <w:r>
        <w:rPr>
          <w:rFonts w:ascii="微软雅黑" w:hAnsi="微软雅黑" w:eastAsia="微软雅黑" w:cstheme="minorBidi"/>
          <w:kern w:val="0"/>
          <w:sz w:val="24"/>
          <w:szCs w:val="24"/>
          <w:highlight w:val="none"/>
          <w:lang w:val="en-US" w:eastAsia="zh-CN" w:bidi="ar-SA"/>
        </w:rPr>
        <w:t>法定代表人（单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）和委托代理</w:t>
      </w:r>
      <w:r>
        <w:rPr>
          <w:rFonts w:ascii="微软雅黑" w:hAnsi="微软雅黑" w:eastAsia="微软雅黑" w:cstheme="minorBidi"/>
          <w:spacing w:val="-2"/>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签字。</w:t>
      </w: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0"/>
          <w:szCs w:val="20"/>
        </w:rPr>
      </w:pP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4"/>
          <w:szCs w:val="24"/>
        </w:rPr>
      </w:pPr>
    </w:p>
    <w:p>
      <w:pPr>
        <w:keepNext w:val="0"/>
        <w:keepLines w:val="0"/>
        <w:pageBreakBefore w:val="0"/>
        <w:widowControl w:val="0"/>
        <w:kinsoku/>
        <w:wordWrap w:val="0"/>
        <w:overflowPunct/>
        <w:topLinePunct w:val="0"/>
        <w:autoSpaceDE/>
        <w:autoSpaceDN/>
        <w:bidi w:val="0"/>
        <w:adjustRightInd/>
        <w:snapToGrid/>
        <w:spacing w:before="36" w:after="120" w:afterLines="50"/>
        <w:ind w:left="780" w:right="11" w:firstLine="480"/>
        <w:jc w:val="center"/>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spacing w:val="-3"/>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right="11" w:firstLine="1440" w:firstLineChars="600"/>
        <w:jc w:val="both"/>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法定</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8"/>
          <w:kern w:val="0"/>
          <w:sz w:val="24"/>
          <w:szCs w:val="24"/>
          <w:lang w:val="en-US" w:eastAsia="zh-CN" w:bidi="ar-SA"/>
        </w:rPr>
        <w:t>）</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 xml:space="preserve"> </w:t>
      </w:r>
      <w:r>
        <w:rPr>
          <w:rFonts w:ascii="微软雅黑" w:hAnsi="微软雅黑" w:eastAsia="微软雅黑" w:cstheme="minorBidi"/>
          <w:kern w:val="0"/>
          <w:sz w:val="24"/>
          <w:szCs w:val="24"/>
          <w:lang w:val="en-US" w:eastAsia="zh-CN" w:bidi="ar-SA"/>
        </w:rPr>
        <w:t>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w w:val="225"/>
          <w:kern w:val="0"/>
          <w:sz w:val="24"/>
          <w:szCs w:val="24"/>
          <w:u w:val="single" w:color="000000"/>
          <w:lang w:val="en-US" w:eastAsia="zh-CN" w:bidi="ar-SA"/>
        </w:rPr>
        <w:t xml:space="preserve">                    </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理</w:t>
      </w:r>
      <w:r>
        <w:rPr>
          <w:rFonts w:ascii="微软雅黑" w:hAnsi="微软雅黑" w:eastAsia="微软雅黑" w:cstheme="minorBidi"/>
          <w:spacing w:val="-3"/>
          <w:kern w:val="0"/>
          <w:sz w:val="24"/>
          <w:szCs w:val="24"/>
          <w:lang w:val="en-US" w:eastAsia="zh-CN" w:bidi="ar-SA"/>
        </w:rPr>
        <w:t>人：</w:t>
      </w:r>
      <w:r>
        <w:rPr>
          <w:rFonts w:hint="eastAsia" w:ascii="微软雅黑" w:hAnsi="微软雅黑" w:eastAsia="微软雅黑" w:cstheme="minorBidi"/>
          <w:spacing w:val="-3"/>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 xml:space="preserve">  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spacing w:val="-3"/>
          <w:kern w:val="0"/>
          <w:sz w:val="24"/>
          <w:szCs w:val="24"/>
          <w:u w:val="single"/>
          <w:lang w:val="en-US" w:eastAsia="zh-CN" w:bidi="ar-SA"/>
        </w:rPr>
        <w:t xml:space="preserve">                                               </w:t>
      </w:r>
    </w:p>
    <w:p>
      <w:pPr>
        <w:keepNext w:val="0"/>
        <w:keepLines w:val="0"/>
        <w:pageBreakBefore w:val="0"/>
        <w:widowControl w:val="0"/>
        <w:tabs>
          <w:tab w:val="left" w:pos="142"/>
          <w:tab w:val="left" w:pos="6643"/>
          <w:tab w:val="left" w:pos="7589"/>
          <w:tab w:val="left" w:pos="8533"/>
        </w:tabs>
        <w:kinsoku/>
        <w:wordWrap w:val="0"/>
        <w:overflowPunct/>
        <w:topLinePunct w:val="0"/>
        <w:autoSpaceDE/>
        <w:autoSpaceDN/>
        <w:bidi w:val="0"/>
        <w:adjustRightInd/>
        <w:snapToGrid/>
        <w:spacing w:before="36" w:after="120" w:afterLines="50"/>
        <w:ind w:left="780" w:right="11" w:firstLine="480"/>
        <w:jc w:val="right"/>
        <w:textAlignment w:val="auto"/>
        <w:outlineLvl w:val="9"/>
      </w:pPr>
      <w:r>
        <w:rPr>
          <w:rFonts w:hint="eastAsia" w:ascii="微软雅黑" w:hAnsi="微软雅黑" w:eastAsia="微软雅黑" w:cstheme="minorBidi"/>
          <w:kern w:val="0"/>
          <w:sz w:val="24"/>
          <w:szCs w:val="24"/>
          <w:u w:val="single" w:color="000000"/>
          <w:lang w:val="en-US" w:eastAsia="zh-CN" w:bidi="ar-SA"/>
        </w:rPr>
        <w:t xml:space="preserve">        </w:t>
      </w:r>
      <w:r>
        <w:rPr>
          <w:rFonts w:hint="eastAsia"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spacing w:val="-3"/>
          <w:kern w:val="0"/>
          <w:sz w:val="24"/>
          <w:szCs w:val="24"/>
          <w:lang w:val="en-US" w:eastAsia="zh-CN" w:bidi="ar-SA"/>
        </w:rPr>
        <w:t>月</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日</w:t>
      </w: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5.6：股权证明文件</w:t>
      </w:r>
    </w:p>
    <w:p>
      <w:pPr>
        <w:rPr>
          <w:rFonts w:hint="eastAsia"/>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Chars="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股权证明文件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r>
        <w:rPr>
          <w:rFonts w:hint="eastAsia" w:ascii="宋体" w:hAnsi="宋体" w:eastAsia="宋体" w:cs="宋体"/>
          <w:b w:val="0"/>
          <w:bCs w:val="0"/>
          <w:sz w:val="24"/>
          <w:highlight w:val="none"/>
          <w:lang w:eastAsia="zh-CN"/>
        </w:rPr>
        <w:t>（应答人应在应答文件中提供其公司章程或其他能够体现出资人、股东信息的法定文件，此证明文件将作为评标/评审时的依据。）</w:t>
      </w:r>
    </w:p>
    <w:p>
      <w:pPr>
        <w:rPr>
          <w:rFonts w:hint="eastAsia"/>
          <w:lang w:val="en-US" w:eastAsia="zh-CN"/>
        </w:rPr>
      </w:pPr>
    </w:p>
    <w:p>
      <w:pPr>
        <w:rPr>
          <w:rFonts w:hint="eastAsia"/>
          <w:lang w:val="en-US" w:eastAsia="zh-CN"/>
        </w:rPr>
      </w:pPr>
    </w:p>
    <w:p>
      <w:pPr>
        <w:rPr>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8"/>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5.7：供应商承诺书              </w:t>
      </w:r>
    </w:p>
    <w:p>
      <w:pPr>
        <w:ind w:firstLine="3253" w:firstLineChars="900"/>
        <w:jc w:val="both"/>
        <w:outlineLvl w:val="9"/>
        <w:rPr>
          <w:rFonts w:hint="eastAsia" w:ascii="黑体" w:hAnsi="黑体" w:eastAsia="黑体"/>
          <w:b/>
          <w:color w:val="000000" w:themeColor="text1"/>
          <w:sz w:val="36"/>
          <w:szCs w:val="36"/>
          <w:highlight w:val="none"/>
          <w:lang w:val="en-US" w:eastAsia="zh-CN"/>
          <w14:textFill>
            <w14:solidFill>
              <w14:schemeClr w14:val="tx1"/>
            </w14:solidFill>
          </w14:textFill>
        </w:rPr>
      </w:pPr>
      <w:r>
        <w:rPr>
          <w:rFonts w:hint="eastAsia" w:ascii="黑体" w:hAnsi="黑体" w:eastAsia="黑体"/>
          <w:b/>
          <w:color w:val="000000" w:themeColor="text1"/>
          <w:sz w:val="36"/>
          <w:szCs w:val="36"/>
          <w:highlight w:val="none"/>
          <w14:textFill>
            <w14:solidFill>
              <w14:schemeClr w14:val="tx1"/>
            </w14:solidFill>
          </w14:textFill>
        </w:rPr>
        <w:t>供应商承诺</w:t>
      </w:r>
      <w:r>
        <w:rPr>
          <w:rFonts w:hint="eastAsia" w:ascii="黑体" w:hAnsi="黑体" w:eastAsia="黑体"/>
          <w:b/>
          <w:color w:val="000000" w:themeColor="text1"/>
          <w:sz w:val="36"/>
          <w:szCs w:val="36"/>
          <w:highlight w:val="none"/>
          <w:lang w:val="en-US" w:eastAsia="zh-CN"/>
          <w14:textFill>
            <w14:solidFill>
              <w14:schemeClr w14:val="tx1"/>
            </w14:solidFill>
          </w14:textFill>
        </w:rPr>
        <w:t>书</w:t>
      </w:r>
    </w:p>
    <w:p>
      <w:pPr>
        <w:rPr>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中海油能源发展股份有限公司：</w:t>
      </w:r>
    </w:p>
    <w:p>
      <w:pPr>
        <w:spacing w:line="360" w:lineRule="auto"/>
        <w:ind w:firstLine="42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我公司/单位对以下情况经认真核查后确认及承诺如下</w:t>
      </w:r>
      <w:r>
        <w:rPr>
          <w:rFonts w:hint="eastAsia" w:ascii="宋体" w:hAnsi="宋体" w:eastAsia="宋体" w:cs="宋体"/>
          <w:b/>
          <w:bCs/>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经查询</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信用中国”网站（https://www.creditchina.gov.cn/）或</w:t>
      </w:r>
      <w:r>
        <w:rPr>
          <w:rFonts w:hint="eastAsia" w:ascii="宋体" w:hAnsi="宋体" w:eastAsia="宋体" w:cs="宋体"/>
          <w:color w:val="000000" w:themeColor="text1"/>
          <w:sz w:val="21"/>
          <w:szCs w:val="21"/>
          <w:highlight w:val="none"/>
          <w14:textFill>
            <w14:solidFill>
              <w14:schemeClr w14:val="tx1"/>
            </w14:solidFill>
          </w14:textFill>
        </w:rPr>
        <w:t>“中国执行信息公开网”网站（http://zxgk.court.gov.cn/），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经查询“国家企业信用信息公示系统”（http://www.gsxt.gov.cn），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被列入严重违法失信企业名单；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经查询“中国裁判文书网”（http://wenshu.court.gov.cn），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我公司近三年不</w:t>
      </w:r>
      <w:r>
        <w:rPr>
          <w:rFonts w:hint="eastAsia" w:ascii="宋体" w:hAnsi="宋体" w:eastAsia="宋体" w:cs="宋体"/>
          <w:color w:val="000000" w:themeColor="text1"/>
          <w:sz w:val="21"/>
          <w:szCs w:val="21"/>
          <w:highlight w:val="none"/>
          <w14:textFill>
            <w14:solidFill>
              <w14:schemeClr w14:val="tx1"/>
            </w14:solidFill>
          </w14:textFill>
        </w:rPr>
        <w:t>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我公司与本采购项目其他应答人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w:t>
      </w:r>
      <w:r>
        <w:rPr>
          <w:rFonts w:hint="eastAsia" w:ascii="宋体" w:hAnsi="宋体" w:eastAsia="宋体" w:cs="宋体"/>
          <w:color w:val="000000" w:themeColor="text1"/>
          <w:sz w:val="21"/>
          <w:szCs w:val="21"/>
          <w:highlight w:val="none"/>
          <w:lang w:eastAsia="zh-CN"/>
          <w14:textFill>
            <w14:solidFill>
              <w14:schemeClr w14:val="tx1"/>
            </w14:solidFill>
          </w14:textFill>
        </w:rPr>
        <w:t>存在控股关系或管理关系、单位负责人为同一人，同一自然人同时持有两家公司非公开上市股份的情形。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经</w:t>
      </w:r>
      <w:r>
        <w:rPr>
          <w:rFonts w:hint="eastAsia" w:ascii="宋体" w:hAnsi="宋体" w:eastAsia="宋体" w:cs="宋体"/>
          <w:color w:val="000000" w:themeColor="text1"/>
          <w:sz w:val="21"/>
          <w:szCs w:val="21"/>
          <w:highlight w:val="none"/>
          <w:lang w:val="en-US" w:eastAsia="zh-CN"/>
          <w14:textFill>
            <w14:solidFill>
              <w14:schemeClr w14:val="tx1"/>
            </w14:solidFill>
          </w14:textFill>
        </w:rPr>
        <w:t>确认，我公司不存在中国海油员工（不含中国海油正式派出的）、海油发展离职未满三年的员工在我公司担任股东、法人代表、董事、监事和其他任职人员</w:t>
      </w:r>
      <w:r>
        <w:rPr>
          <w:rFonts w:hint="eastAsia" w:ascii="宋体" w:hAnsi="宋体" w:eastAsia="宋体" w:cs="宋体"/>
          <w:color w:val="000000" w:themeColor="text1"/>
          <w:sz w:val="21"/>
          <w:szCs w:val="21"/>
          <w:highlight w:val="none"/>
          <w14:textFill>
            <w14:solidFill>
              <w14:schemeClr w14:val="tx1"/>
            </w14:solidFill>
          </w14:textFill>
        </w:rPr>
        <w:t>。</w:t>
      </w:r>
    </w:p>
    <w:p>
      <w:pPr>
        <w:spacing w:line="360" w:lineRule="auto"/>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6、我公司如涉及雇用农民工，承诺与农民工签订劳动合同，及时、足额发放工资、缴纳社会保险费用。</w:t>
      </w:r>
    </w:p>
    <w:p>
      <w:pPr>
        <w:pStyle w:val="8"/>
        <w:ind w:left="0" w:firstLine="420" w:firstLineChars="200"/>
        <w:rPr>
          <w:rFonts w:hint="default" w:eastAsia="宋体"/>
          <w:lang w:val="en-US" w:eastAsia="zh-CN"/>
        </w:rPr>
      </w:pPr>
      <w:r>
        <w:rPr>
          <w:rFonts w:hint="eastAsia" w:cs="宋体"/>
          <w:color w:val="000000" w:themeColor="text1"/>
          <w:sz w:val="21"/>
          <w:szCs w:val="21"/>
          <w:highlight w:val="none"/>
          <w:lang w:val="en-US" w:eastAsia="zh-CN"/>
          <w14:textFill>
            <w14:solidFill>
              <w14:schemeClr w14:val="tx1"/>
            </w14:solidFill>
          </w14:textFill>
        </w:rPr>
        <w:t>7、我公司承诺</w:t>
      </w:r>
      <w:r>
        <w:rPr>
          <w:rFonts w:hint="eastAsia" w:ascii="宋体" w:hAnsi="宋体" w:eastAsia="宋体" w:cs="宋体"/>
          <w:lang w:eastAsia="zh-CN"/>
        </w:rPr>
        <w:t>积极响应国家节能减排和绿色环保政策，切实推进绿色供应链建设</w:t>
      </w:r>
      <w:r>
        <w:rPr>
          <w:rFonts w:hint="eastAsia"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8、我公司此次投标涉及供应商属性为：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贸易商；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代理商；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制造商；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集成商。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9、我公司为：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中小微企业；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大型企业；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国有企业、事业单位、大学；</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境外或港澳台企业。</w:t>
      </w:r>
    </w:p>
    <w:p>
      <w:pPr>
        <w:pStyle w:val="8"/>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10、</w:t>
      </w:r>
      <w:r>
        <w:rPr>
          <w:color w:val="000000" w:themeColor="text1"/>
          <w:sz w:val="21"/>
          <w:szCs w:val="21"/>
          <w:highlight w:val="none"/>
          <w:lang w:eastAsia="zh-CN"/>
          <w14:textFill>
            <w14:solidFill>
              <w14:schemeClr w14:val="tx1"/>
            </w14:solidFill>
          </w14:textFill>
        </w:rPr>
        <w:t>我公司财务状况、业绩状况、人员社保状况如下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贸易商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lang w:eastAsia="zh-CN"/>
          <w14:textFill>
            <w14:solidFill>
              <w14:schemeClr w14:val="tx1"/>
            </w14:solidFill>
          </w14:textFill>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563"/>
        <w:gridCol w:w="310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864" w:type="dxa"/>
            <w:gridSpan w:val="2"/>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3100"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8"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01" w:type="dxa"/>
            <w:vAlign w:val="center"/>
          </w:tcPr>
          <w:p>
            <w:pPr>
              <w:keepNext w:val="0"/>
              <w:keepLines w:val="0"/>
              <w:suppressLineNumbers w:val="0"/>
              <w:spacing w:before="0" w:beforeAutospacing="0" w:after="0" w:afterAutospacing="0"/>
              <w:ind w:left="0" w:right="0"/>
              <w:jc w:val="both"/>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1563"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p>
        </w:tc>
        <w:tc>
          <w:tcPr>
            <w:tcW w:w="3100"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2558"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301" w:type="dxa"/>
            <w:vAlign w:val="center"/>
          </w:tcPr>
          <w:p>
            <w:pPr>
              <w:keepNext w:val="0"/>
              <w:keepLines w:val="0"/>
              <w:suppressLineNumbers w:val="0"/>
              <w:spacing w:before="0" w:beforeAutospacing="0" w:after="0" w:afterAutospacing="0"/>
              <w:ind w:left="0" w:right="0"/>
              <w:jc w:val="both"/>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1563"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p>
        </w:tc>
        <w:tc>
          <w:tcPr>
            <w:tcW w:w="3100"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2558"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r>
    </w:tbl>
    <w:p>
      <w:pPr>
        <w:pStyle w:val="8"/>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11、</w:t>
      </w:r>
      <w:r>
        <w:rPr>
          <w:color w:val="000000" w:themeColor="text1"/>
          <w:sz w:val="21"/>
          <w:szCs w:val="21"/>
          <w:highlight w:val="none"/>
          <w14:textFill>
            <w14:solidFill>
              <w14:schemeClr w14:val="tx1"/>
            </w14:solidFill>
          </w14:textFill>
        </w:rPr>
        <w:t>我公司财务状况、业绩状况、人员社保状况、代理状况如下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代理商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6"/>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34"/>
        <w:gridCol w:w="2346"/>
        <w:gridCol w:w="1444"/>
        <w:gridCol w:w="106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51" w:type="dxa"/>
            <w:gridSpan w:val="2"/>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2346"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1444"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1060"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代理模式</w:t>
            </w:r>
          </w:p>
        </w:tc>
        <w:tc>
          <w:tcPr>
            <w:tcW w:w="1650" w:type="dxa"/>
            <w:vAlign w:val="center"/>
          </w:tcPr>
          <w:p>
            <w:pPr>
              <w:keepNext w:val="0"/>
              <w:keepLines w:val="0"/>
              <w:suppressLineNumbers w:val="0"/>
              <w:spacing w:before="0" w:beforeAutospacing="0" w:after="0" w:afterAutospacing="0"/>
              <w:ind w:left="0" w:right="0"/>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是否为项目代理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17"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834"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p>
        </w:tc>
        <w:tc>
          <w:tcPr>
            <w:tcW w:w="2346"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1444"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1060" w:type="dxa"/>
            <w:vMerge w:val="restart"/>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eastAsia="zh-CN"/>
                <w14:textFill>
                  <w14:solidFill>
                    <w14:schemeClr w14:val="tx1"/>
                  </w14:solidFill>
                </w14:textFill>
              </w:rPr>
            </w:pPr>
          </w:p>
        </w:tc>
        <w:tc>
          <w:tcPr>
            <w:tcW w:w="1650" w:type="dxa"/>
            <w:vMerge w:val="restart"/>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是</w:t>
            </w:r>
          </w:p>
          <w:p>
            <w:pPr>
              <w:keepNext w:val="0"/>
              <w:keepLines w:val="0"/>
              <w:suppressLineNumbers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17" w:type="dxa"/>
            <w:vAlign w:val="center"/>
          </w:tcPr>
          <w:p>
            <w:pPr>
              <w:keepNext w:val="0"/>
              <w:keepLines w:val="0"/>
              <w:suppressLineNumbers w:val="0"/>
              <w:spacing w:before="0" w:beforeAutospacing="0" w:after="0" w:afterAutospacing="0"/>
              <w:ind w:left="0" w:right="0"/>
              <w:jc w:val="both"/>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834" w:type="dxa"/>
          </w:tcPr>
          <w:p>
            <w:pPr>
              <w:keepNext w:val="0"/>
              <w:keepLines w:val="0"/>
              <w:suppressLineNumbers w:val="0"/>
              <w:spacing w:before="0" w:beforeAutospacing="0" w:after="0" w:afterAutospacing="0"/>
              <w:ind w:left="0" w:right="0"/>
              <w:rPr>
                <w:rFonts w:hint="default" w:ascii="宋体" w:hAnsi="宋体"/>
                <w:b/>
                <w:bCs/>
                <w:color w:val="000000" w:themeColor="text1"/>
                <w:sz w:val="21"/>
                <w:szCs w:val="21"/>
                <w:highlight w:val="none"/>
                <w:lang w:eastAsia="zh-CN"/>
                <w14:textFill>
                  <w14:solidFill>
                    <w14:schemeClr w14:val="tx1"/>
                  </w14:solidFill>
                </w14:textFill>
              </w:rPr>
            </w:pPr>
          </w:p>
        </w:tc>
        <w:tc>
          <w:tcPr>
            <w:tcW w:w="2346"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1444"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1060"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c>
          <w:tcPr>
            <w:tcW w:w="1650" w:type="dxa"/>
            <w:vMerge w:val="continue"/>
          </w:tcPr>
          <w:p>
            <w:pPr>
              <w:keepNext w:val="0"/>
              <w:keepLines w:val="0"/>
              <w:suppressLineNumbers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p>
        </w:tc>
      </w:tr>
    </w:tbl>
    <w:p>
      <w:pPr>
        <w:pStyle w:val="8"/>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12、</w:t>
      </w:r>
      <w:r>
        <w:rPr>
          <w:color w:val="000000" w:themeColor="text1"/>
          <w:sz w:val="21"/>
          <w:szCs w:val="21"/>
          <w:highlight w:val="none"/>
          <w14:textFill>
            <w14:solidFill>
              <w14:schemeClr w14:val="tx1"/>
            </w14:solidFill>
          </w14:textFill>
        </w:rPr>
        <w:t>我公司业绩状况、</w:t>
      </w:r>
      <w:r>
        <w:rPr>
          <w:rFonts w:hint="eastAsia" w:eastAsia="宋体"/>
          <w:color w:val="000000" w:themeColor="text1"/>
          <w:sz w:val="21"/>
          <w:szCs w:val="21"/>
          <w:highlight w:val="none"/>
          <w:lang w:val="en-US" w:eastAsia="zh-CN"/>
          <w14:textFill>
            <w14:solidFill>
              <w14:schemeClr w14:val="tx1"/>
            </w14:solidFill>
          </w14:textFill>
        </w:rPr>
        <w:t>人员社保状况、实缴注册资本状况</w:t>
      </w:r>
      <w:r>
        <w:rPr>
          <w:color w:val="000000" w:themeColor="text1"/>
          <w:sz w:val="21"/>
          <w:szCs w:val="21"/>
          <w:highlight w:val="none"/>
          <w14:textFill>
            <w14:solidFill>
              <w14:schemeClr w14:val="tx1"/>
            </w14:solidFill>
          </w14:textFill>
        </w:rPr>
        <w:t>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服务商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6"/>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552"/>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972"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2"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3228" w:type="dxa"/>
            <w:vAlign w:val="center"/>
          </w:tcPr>
          <w:p>
            <w:pPr>
              <w:keepNext w:val="0"/>
              <w:keepLines w:val="0"/>
              <w:suppressLineNumbers w:val="0"/>
              <w:spacing w:before="0" w:beforeAutospacing="0" w:after="0" w:afterAutospacing="0"/>
              <w:ind w:left="0" w:right="0"/>
              <w:jc w:val="center"/>
              <w:rPr>
                <w:rFonts w:hint="default"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实缴注册资本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72" w:type="dxa"/>
          </w:tcPr>
          <w:p>
            <w:pPr>
              <w:keepNext w:val="0"/>
              <w:keepLines w:val="0"/>
              <w:suppressLineNumbers w:val="0"/>
              <w:spacing w:before="0" w:beforeAutospacing="0" w:after="0" w:afterAutospacing="0"/>
              <w:ind w:left="0" w:right="0"/>
              <w:rPr>
                <w:rFonts w:hint="default"/>
                <w:b/>
                <w:color w:val="000000" w:themeColor="text1"/>
                <w:sz w:val="21"/>
                <w:szCs w:val="21"/>
                <w:highlight w:val="none"/>
                <w:lang w:eastAsia="zh-CN"/>
                <w14:textFill>
                  <w14:solidFill>
                    <w14:schemeClr w14:val="tx1"/>
                  </w14:solidFill>
                </w14:textFill>
              </w:rPr>
            </w:pPr>
          </w:p>
        </w:tc>
        <w:tc>
          <w:tcPr>
            <w:tcW w:w="2552" w:type="dxa"/>
          </w:tcPr>
          <w:p>
            <w:pPr>
              <w:keepNext w:val="0"/>
              <w:keepLines w:val="0"/>
              <w:suppressLineNumbers w:val="0"/>
              <w:spacing w:before="0" w:beforeAutospacing="0" w:after="0" w:afterAutospacing="0"/>
              <w:ind w:left="0" w:right="0"/>
              <w:rPr>
                <w:rFonts w:hint="default"/>
                <w:b/>
                <w:color w:val="000000" w:themeColor="text1"/>
                <w:sz w:val="21"/>
                <w:szCs w:val="21"/>
                <w:highlight w:val="none"/>
                <w:lang w:eastAsia="zh-CN"/>
                <w14:textFill>
                  <w14:solidFill>
                    <w14:schemeClr w14:val="tx1"/>
                  </w14:solidFill>
                </w14:textFill>
              </w:rPr>
            </w:pPr>
          </w:p>
        </w:tc>
        <w:tc>
          <w:tcPr>
            <w:tcW w:w="3228" w:type="dxa"/>
          </w:tcPr>
          <w:p>
            <w:pPr>
              <w:keepNext w:val="0"/>
              <w:keepLines w:val="0"/>
              <w:suppressLineNumbers w:val="0"/>
              <w:spacing w:before="0" w:beforeAutospacing="0" w:after="0" w:afterAutospacing="0"/>
              <w:ind w:left="0" w:right="0"/>
              <w:rPr>
                <w:rFonts w:hint="default"/>
                <w:b/>
                <w:color w:val="000000" w:themeColor="text1"/>
                <w:sz w:val="21"/>
                <w:szCs w:val="21"/>
                <w:highlight w:val="none"/>
                <w:lang w:eastAsia="zh-CN"/>
                <w14:textFill>
                  <w14:solidFill>
                    <w14:schemeClr w14:val="tx1"/>
                  </w14:solidFill>
                </w14:textFill>
              </w:rPr>
            </w:pPr>
          </w:p>
        </w:tc>
      </w:tr>
    </w:tbl>
    <w:p>
      <w:pPr>
        <w:spacing w:line="348" w:lineRule="auto"/>
        <w:ind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郑重承诺：</w:t>
      </w:r>
      <w:r>
        <w:rPr>
          <w:rFonts w:hint="eastAsia" w:ascii="宋体" w:hAnsi="宋体" w:eastAsia="宋体" w:cs="宋体"/>
          <w:color w:val="000000" w:themeColor="text1"/>
          <w:sz w:val="21"/>
          <w:szCs w:val="21"/>
          <w:highlight w:val="none"/>
          <w14:textFill>
            <w14:solidFill>
              <w14:schemeClr w14:val="tx1"/>
            </w14:solidFill>
          </w14:textFill>
        </w:rPr>
        <w:t>我公司在</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本次</w:t>
      </w:r>
      <w:r>
        <w:rPr>
          <w:rFonts w:hint="eastAsia" w:ascii="宋体" w:hAnsi="宋体" w:eastAsia="宋体" w:cs="宋体"/>
          <w:color w:val="000000" w:themeColor="text1"/>
          <w:sz w:val="21"/>
          <w:szCs w:val="21"/>
          <w:highlight w:val="none"/>
          <w14:textFill>
            <w14:solidFill>
              <w14:schemeClr w14:val="tx1"/>
            </w14:solidFill>
          </w14:textFill>
        </w:rPr>
        <w:t>采办项目中</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将严格遵守法律法规和中国海油各项管理要求</w:t>
      </w:r>
      <w:r>
        <w:rPr>
          <w:rFonts w:hint="eastAsia" w:ascii="宋体" w:hAnsi="宋体" w:eastAsia="宋体" w:cs="宋体"/>
          <w:color w:val="000000" w:themeColor="text1"/>
          <w:sz w:val="21"/>
          <w:szCs w:val="21"/>
          <w:highlight w:val="none"/>
          <w14:textFill>
            <w14:solidFill>
              <w14:schemeClr w14:val="tx1"/>
            </w14:solidFill>
          </w14:textFill>
        </w:rPr>
        <w:t>，不发生关联公司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共同</w:t>
      </w:r>
      <w:r>
        <w:rPr>
          <w:rFonts w:hint="eastAsia" w:ascii="宋体" w:hAnsi="宋体" w:eastAsia="宋体" w:cs="宋体"/>
          <w:color w:val="000000" w:themeColor="text1"/>
          <w:sz w:val="21"/>
          <w:szCs w:val="21"/>
          <w:highlight w:val="none"/>
          <w14:textFill>
            <w14:solidFill>
              <w14:schemeClr w14:val="tx1"/>
            </w14:solidFill>
          </w14:textFill>
        </w:rPr>
        <w:t>参与</w:t>
      </w:r>
      <w:r>
        <w:rPr>
          <w:rFonts w:hint="eastAsia" w:ascii="宋体" w:hAnsi="宋体" w:eastAsia="宋体" w:cs="宋体"/>
          <w:color w:val="000000" w:themeColor="text1"/>
          <w:sz w:val="21"/>
          <w:szCs w:val="21"/>
          <w:highlight w:val="none"/>
          <w:lang w:val="en-US" w:eastAsia="zh-CN"/>
          <w14:textFill>
            <w14:solidFill>
              <w14:schemeClr w14:val="tx1"/>
            </w14:solidFill>
          </w14:textFill>
        </w:rPr>
        <w:t>采办</w:t>
      </w:r>
      <w:r>
        <w:rPr>
          <w:rFonts w:hint="eastAsia" w:ascii="宋体" w:hAnsi="宋体" w:eastAsia="宋体" w:cs="宋体"/>
          <w:color w:val="000000" w:themeColor="text1"/>
          <w:sz w:val="21"/>
          <w:szCs w:val="21"/>
          <w:highlight w:val="none"/>
          <w14:textFill>
            <w14:solidFill>
              <w14:schemeClr w14:val="tx1"/>
            </w14:solidFill>
          </w14:textFill>
        </w:rPr>
        <w:t>竞争情况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不发生围标串标情况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我公司所提供信息真实、准确、合法、有效，不存在为规避中海油能源发展股份有限公司（简称“海油发展”）有关要求采取的变通行为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上述信息如有虚假我公司将承担相关责任，并按照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14:textFill>
            <w14:solidFill>
              <w14:schemeClr w14:val="tx1"/>
            </w14:solidFill>
          </w14:textFill>
        </w:rPr>
        <w:t>相关管理规定接受处</w:t>
      </w:r>
      <w:r>
        <w:rPr>
          <w:rFonts w:hint="eastAsia" w:ascii="宋体" w:hAnsi="宋体" w:eastAsia="宋体" w:cs="宋体"/>
          <w:color w:val="000000" w:themeColor="text1"/>
          <w:sz w:val="21"/>
          <w:szCs w:val="21"/>
          <w:highlight w:val="none"/>
          <w:lang w:val="en-US" w:eastAsia="zh-CN"/>
          <w14:textFill>
            <w14:solidFill>
              <w14:schemeClr w14:val="tx1"/>
            </w14:solidFill>
          </w14:textFill>
        </w:rPr>
        <w:t>理</w:t>
      </w:r>
      <w:r>
        <w:rPr>
          <w:rFonts w:hint="eastAsia" w:ascii="宋体" w:hAnsi="宋体" w:eastAsia="宋体" w:cs="宋体"/>
          <w:color w:val="000000" w:themeColor="text1"/>
          <w:sz w:val="21"/>
          <w:szCs w:val="21"/>
          <w:highlight w:val="none"/>
          <w:lang w:eastAsia="zh-CN"/>
          <w14:textFill>
            <w14:solidFill>
              <w14:schemeClr w14:val="tx1"/>
            </w14:solidFill>
          </w14:textFill>
        </w:rPr>
        <w:t>。我公司将严格遵守国家相关法律法规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lang w:eastAsia="zh-CN"/>
          <w14:textFill>
            <w14:solidFill>
              <w14:schemeClr w14:val="tx1"/>
            </w14:solidFill>
          </w14:textFill>
        </w:rPr>
        <w:t>对供应商管理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及准入时效</w:t>
      </w:r>
      <w:r>
        <w:rPr>
          <w:rFonts w:hint="eastAsia" w:ascii="宋体" w:hAnsi="宋体" w:eastAsia="宋体" w:cs="宋体"/>
          <w:color w:val="000000" w:themeColor="text1"/>
          <w:sz w:val="21"/>
          <w:szCs w:val="21"/>
          <w:highlight w:val="none"/>
          <w:lang w:eastAsia="zh-CN"/>
          <w14:textFill>
            <w14:solidFill>
              <w14:schemeClr w14:val="tx1"/>
            </w14:solidFill>
          </w14:textFill>
        </w:rPr>
        <w:t>的要求，</w:t>
      </w:r>
      <w:r>
        <w:rPr>
          <w:rFonts w:hint="eastAsia" w:ascii="宋体" w:hAnsi="宋体" w:eastAsia="宋体" w:cs="宋体"/>
          <w:color w:val="000000" w:themeColor="text1"/>
          <w:sz w:val="21"/>
          <w:szCs w:val="21"/>
          <w:highlight w:val="none"/>
          <w14:textFill>
            <w14:solidFill>
              <w14:schemeClr w14:val="tx1"/>
            </w14:solidFill>
          </w14:textFill>
        </w:rPr>
        <w:t>无条件接</w:t>
      </w:r>
      <w:r>
        <w:rPr>
          <w:rFonts w:hint="eastAsia" w:ascii="宋体" w:hAnsi="宋体" w:eastAsia="宋体" w:cs="宋体"/>
          <w:color w:val="000000" w:themeColor="text1"/>
          <w:sz w:val="21"/>
          <w:szCs w:val="21"/>
          <w:highlight w:val="none"/>
          <w:lang w:val="en-US" w:eastAsia="zh-CN"/>
          <w14:textFill>
            <w14:solidFill>
              <w14:schemeClr w14:val="tx1"/>
            </w14:solidFill>
          </w14:textFill>
        </w:rPr>
        <w:t>受</w:t>
      </w:r>
      <w:r>
        <w:rPr>
          <w:rFonts w:hint="eastAsia" w:ascii="宋体" w:hAnsi="宋体" w:eastAsia="宋体" w:cs="宋体"/>
          <w:color w:val="000000" w:themeColor="text1"/>
          <w:sz w:val="21"/>
          <w:szCs w:val="21"/>
          <w:highlight w:val="none"/>
          <w14:textFill>
            <w14:solidFill>
              <w14:schemeClr w14:val="tx1"/>
            </w14:solidFill>
          </w14:textFill>
        </w:rPr>
        <w:t>和配合海油发展或海油发展委托的有关机构进行的与上述内容相关的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核查与审计</w:t>
      </w:r>
      <w:r>
        <w:rPr>
          <w:rFonts w:hint="eastAsia" w:ascii="宋体" w:hAnsi="宋体" w:eastAsia="宋体" w:cs="宋体"/>
          <w:color w:val="000000" w:themeColor="text1"/>
          <w:sz w:val="21"/>
          <w:szCs w:val="21"/>
          <w:highlight w:val="none"/>
          <w14:textFill>
            <w14:solidFill>
              <w14:schemeClr w14:val="tx1"/>
            </w14:solidFill>
          </w14:textFill>
        </w:rPr>
        <w:t>。当相关信息发生变更时将及时主动办理更新手续。</w:t>
      </w:r>
    </w:p>
    <w:p>
      <w:pPr>
        <w:pStyle w:val="8"/>
        <w:rPr>
          <w:rFonts w:hint="eastAsia"/>
          <w:color w:val="000000" w:themeColor="text1"/>
          <w:sz w:val="21"/>
          <w:szCs w:val="21"/>
          <w:highlight w:val="none"/>
          <w14:textFill>
            <w14:solidFill>
              <w14:schemeClr w14:val="tx1"/>
            </w14:solidFill>
          </w14:textFill>
        </w:rPr>
      </w:pPr>
    </w:p>
    <w:p>
      <w:pPr>
        <w:spacing w:line="348" w:lineRule="auto"/>
        <w:ind w:firstLine="540"/>
        <w:jc w:val="center"/>
        <w:outlineLvl w:val="9"/>
        <w:rPr>
          <w:rFonts w:hint="eastAsia"/>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（公司/单位盖章）</w:t>
      </w:r>
    </w:p>
    <w:p>
      <w:pPr>
        <w:spacing w:line="348" w:lineRule="auto"/>
        <w:jc w:val="right"/>
        <w:rPr>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年    月    日</w:t>
      </w: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信用中国”或</w:t>
      </w:r>
      <w:r>
        <w:rPr>
          <w:rFonts w:hint="eastAsia" w:asciiTheme="minorEastAsia" w:hAnsiTheme="minorEastAsia" w:cstheme="minorEastAsia"/>
          <w:b w:val="0"/>
          <w:bCs w:val="0"/>
          <w:color w:val="000000" w:themeColor="text1"/>
          <w:sz w:val="21"/>
          <w:szCs w:val="21"/>
          <w:highlight w:val="none"/>
          <w14:textFill>
            <w14:solidFill>
              <w14:schemeClr w14:val="tx1"/>
            </w14:solidFill>
          </w14:textFill>
        </w:rPr>
        <w:t>“中国执行信息公开网”</w:t>
      </w:r>
      <w:r>
        <w:rPr>
          <w:rFonts w:hint="eastAsia" w:asciiTheme="minorEastAsia" w:hAnsiTheme="minorEastAsia" w:cstheme="minorEastAsia"/>
          <w:color w:val="000000" w:themeColor="text1"/>
          <w:sz w:val="21"/>
          <w:szCs w:val="21"/>
          <w:highlight w:val="none"/>
          <w14:textFill>
            <w14:solidFill>
              <w14:schemeClr w14:val="tx1"/>
            </w14:solidFill>
          </w14:textFill>
        </w:rPr>
        <w:t>网站查询截图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8"/>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2：“中国裁判文书网”查询截图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8"/>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cs="宋体"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3：“国家企业信用信息公示系统”查询截图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keepNext w:val="0"/>
        <w:keepLines w:val="0"/>
        <w:widowControl/>
        <w:suppressLineNumbers w:val="0"/>
        <w:jc w:val="left"/>
        <w:outlineLvl w:val="1"/>
        <w:rPr>
          <w:rFonts w:hint="eastAsia" w:ascii="黑体" w:hAnsi="黑体" w:eastAsia="黑体" w:cstheme="minorBidi"/>
          <w:b/>
          <w:bCs/>
          <w:color w:val="auto"/>
          <w:kern w:val="2"/>
          <w:sz w:val="24"/>
          <w:szCs w:val="24"/>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lang w:val="en-US" w:eastAsia="zh-CN" w:bidi="ar-SA"/>
        </w:rPr>
      </w:pPr>
    </w:p>
    <w:p>
      <w:pPr>
        <w:keepNext w:val="0"/>
        <w:keepLines w:val="0"/>
        <w:widowControl/>
        <w:suppressLineNumbers w:val="0"/>
        <w:jc w:val="left"/>
        <w:outlineLvl w:val="1"/>
        <w:rPr>
          <w:rFonts w:hint="default" w:ascii="仿宋" w:hAnsi="仿宋" w:eastAsia="仿宋" w:cs="仿宋"/>
          <w:b/>
          <w:bCs w:val="0"/>
          <w:sz w:val="28"/>
          <w:szCs w:val="28"/>
          <w:lang w:val="en-US" w:eastAsia="zh-CN"/>
        </w:rPr>
      </w:pPr>
      <w:r>
        <w:rPr>
          <w:rFonts w:hint="eastAsia" w:ascii="黑体" w:hAnsi="黑体" w:eastAsia="黑体" w:cstheme="minorBidi"/>
          <w:b/>
          <w:bCs/>
          <w:color w:val="auto"/>
          <w:kern w:val="2"/>
          <w:sz w:val="24"/>
          <w:szCs w:val="24"/>
          <w:lang w:val="en-US" w:eastAsia="zh-CN" w:bidi="ar-SA"/>
        </w:rPr>
        <w:t>5.9：制造商承诺书</w:t>
      </w:r>
    </w:p>
    <w:p>
      <w:pPr>
        <w:keepNext w:val="0"/>
        <w:keepLines w:val="0"/>
        <w:widowControl/>
        <w:suppressLineNumbers w:val="0"/>
        <w:jc w:val="center"/>
        <w:rPr>
          <w:rFonts w:hint="eastAsia" w:ascii="仿宋" w:hAnsi="仿宋" w:eastAsia="仿宋" w:cs="仿宋"/>
          <w:b/>
          <w:bCs/>
          <w:sz w:val="44"/>
          <w:szCs w:val="44"/>
          <w:lang w:val="en-US" w:eastAsia="zh-CN"/>
        </w:rPr>
      </w:pPr>
    </w:p>
    <w:p>
      <w:pPr>
        <w:keepNext w:val="0"/>
        <w:keepLines w:val="0"/>
        <w:widowControl/>
        <w:suppressLineNumbers w:val="0"/>
        <w:jc w:val="center"/>
        <w:rPr>
          <w:rFonts w:hint="eastAsia" w:ascii="仿宋" w:hAnsi="仿宋" w:eastAsia="仿宋" w:cs="仿宋"/>
          <w:sz w:val="28"/>
          <w:szCs w:val="28"/>
          <w:lang w:val="en-US" w:eastAsia="zh-CN"/>
        </w:rPr>
      </w:pPr>
      <w:r>
        <w:rPr>
          <w:rFonts w:hint="eastAsia" w:ascii="仿宋" w:hAnsi="仿宋" w:eastAsia="仿宋" w:cs="仿宋"/>
          <w:b/>
          <w:bCs/>
          <w:sz w:val="44"/>
          <w:szCs w:val="44"/>
          <w:lang w:val="en-US" w:eastAsia="zh-CN"/>
        </w:rPr>
        <w:t>制造商承诺书</w:t>
      </w:r>
    </w:p>
    <w:p>
      <w:pPr>
        <w:keepNext w:val="0"/>
        <w:keepLines w:val="0"/>
        <w:widowControl/>
        <w:suppressLineNumbers w:val="0"/>
        <w:jc w:val="center"/>
        <w:rPr>
          <w:rFonts w:hint="eastAsia" w:ascii="仿宋" w:hAnsi="仿宋" w:eastAsia="仿宋" w:cs="仿宋"/>
          <w:sz w:val="28"/>
          <w:szCs w:val="28"/>
          <w:lang w:val="en-US" w:eastAsia="zh-CN"/>
        </w:rPr>
      </w:pPr>
    </w:p>
    <w:p>
      <w:pPr>
        <w:keepNext w:val="0"/>
        <w:keepLines w:val="0"/>
        <w:widowControl/>
        <w:suppressLineNumbers w:val="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致：</w:t>
      </w:r>
      <w:r>
        <w:rPr>
          <w:rFonts w:hint="eastAsia" w:ascii="仿宋" w:hAnsi="仿宋" w:eastAsia="仿宋" w:cs="仿宋"/>
          <w:sz w:val="28"/>
          <w:szCs w:val="28"/>
          <w:u w:val="single"/>
          <w:lang w:val="en-US" w:eastAsia="zh-CN"/>
        </w:rPr>
        <w:t xml:space="preserve">  招标人/招标代理机构   </w:t>
      </w:r>
    </w:p>
    <w:p>
      <w:pPr>
        <w:keepNext w:val="0"/>
        <w:keepLines w:val="0"/>
        <w:widowControl/>
        <w:suppressLineNumbers w:val="0"/>
        <w:ind w:firstLine="560" w:firstLineChars="200"/>
        <w:jc w:val="both"/>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我们</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公司名称）</w:t>
      </w:r>
      <w:r>
        <w:rPr>
          <w:rFonts w:hint="eastAsia" w:ascii="仿宋" w:hAnsi="仿宋" w:eastAsia="仿宋" w:cs="仿宋"/>
          <w:sz w:val="28"/>
          <w:szCs w:val="28"/>
          <w:lang w:val="en-US" w:eastAsia="zh-CN"/>
        </w:rPr>
        <w:t>是按中华人民共和国法律于</w:t>
      </w:r>
      <w:r>
        <w:rPr>
          <w:rFonts w:hint="eastAsia" w:ascii="仿宋" w:hAnsi="仿宋" w:eastAsia="仿宋" w:cs="仿宋"/>
          <w:sz w:val="28"/>
          <w:szCs w:val="28"/>
          <w:u w:val="single"/>
          <w:lang w:val="en-US" w:eastAsia="zh-CN"/>
        </w:rPr>
        <w:t xml:space="preserve">    年 月 日</w:t>
      </w:r>
      <w:r>
        <w:rPr>
          <w:rFonts w:hint="eastAsia" w:ascii="仿宋" w:hAnsi="仿宋" w:eastAsia="仿宋" w:cs="仿宋"/>
          <w:sz w:val="28"/>
          <w:szCs w:val="28"/>
          <w:lang w:val="en-US" w:eastAsia="zh-CN"/>
        </w:rPr>
        <w:t>成立的一家制造商，主要营业地点设在</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。兹声明我司就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项目(招标编号：</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）使用我公司 □自行生产制造/ □</w:t>
      </w:r>
      <w:r>
        <w:rPr>
          <w:rFonts w:hint="eastAsia" w:ascii="仿宋" w:hAnsi="仿宋" w:eastAsia="仿宋" w:cs="仿宋"/>
          <w:sz w:val="28"/>
          <w:szCs w:val="28"/>
          <w:lang w:val="en-US" w:eastAsia="zh-Hans"/>
        </w:rPr>
        <w:t>代工方式</w:t>
      </w:r>
      <w:r>
        <w:rPr>
          <w:rFonts w:hint="eastAsia" w:ascii="仿宋" w:hAnsi="仿宋" w:eastAsia="仿宋" w:cs="仿宋"/>
          <w:sz w:val="28"/>
          <w:szCs w:val="28"/>
          <w:lang w:val="en-US" w:eastAsia="zh-CN"/>
        </w:rPr>
        <w:t>/□集成方式</w:t>
      </w:r>
      <w:r>
        <w:rPr>
          <w:rFonts w:hint="eastAsia" w:ascii="仿宋" w:hAnsi="仿宋" w:eastAsia="仿宋" w:cs="仿宋"/>
          <w:sz w:val="28"/>
          <w:szCs w:val="28"/>
          <w:lang w:val="en-US" w:eastAsia="zh-Hans"/>
        </w:rPr>
        <w:t>生产</w:t>
      </w:r>
      <w:r>
        <w:rPr>
          <w:rFonts w:hint="eastAsia" w:ascii="仿宋" w:hAnsi="仿宋" w:eastAsia="仿宋" w:cs="仿宋"/>
          <w:sz w:val="28"/>
          <w:szCs w:val="28"/>
          <w:lang w:val="en-US" w:eastAsia="zh-CN"/>
        </w:rPr>
        <w:t>的</w:t>
      </w:r>
      <w:r>
        <w:rPr>
          <w:rFonts w:hint="eastAsia" w:ascii="仿宋" w:hAnsi="仿宋" w:eastAsia="仿宋" w:cs="仿宋"/>
          <w:sz w:val="28"/>
          <w:szCs w:val="28"/>
          <w:u w:val="single"/>
          <w:lang w:val="en-US" w:eastAsia="zh-CN"/>
        </w:rPr>
        <w:t xml:space="preserve">                                                                </w:t>
      </w:r>
    </w:p>
    <w:p>
      <w:pPr>
        <w:keepNext w:val="0"/>
        <w:keepLines w:val="0"/>
        <w:widowControl/>
        <w:suppressLineNumbers w:val="0"/>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产品</w:t>
      </w:r>
      <w:r>
        <w:rPr>
          <w:rFonts w:hint="eastAsia" w:ascii="仿宋" w:hAnsi="仿宋" w:eastAsia="仿宋" w:cs="仿宋"/>
          <w:sz w:val="28"/>
          <w:szCs w:val="28"/>
          <w:lang w:val="en-US" w:eastAsia="zh-CN"/>
        </w:rPr>
        <w:t>参与投标。</w:t>
      </w:r>
    </w:p>
    <w:p>
      <w:pPr>
        <w:keepNext w:val="0"/>
        <w:keepLines w:val="0"/>
        <w:widowControl/>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我公司就项目承诺如下：</w:t>
      </w:r>
    </w:p>
    <w:p>
      <w:pPr>
        <w:keepNext w:val="0"/>
        <w:keepLines w:val="0"/>
        <w:widowControl/>
        <w:suppressLineNumbers w:val="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 我公司为</w:t>
      </w:r>
      <w:r>
        <w:rPr>
          <w:rFonts w:hint="eastAsia" w:ascii="仿宋" w:hAnsi="仿宋" w:eastAsia="仿宋" w:cs="仿宋"/>
          <w:b/>
          <w:bCs/>
          <w:sz w:val="28"/>
          <w:szCs w:val="28"/>
          <w:lang w:val="en-US" w:eastAsia="zh-CN"/>
        </w:rPr>
        <w:t>传统型制造商，</w:t>
      </w:r>
      <w:r>
        <w:rPr>
          <w:rFonts w:hint="eastAsia" w:ascii="仿宋" w:hAnsi="仿宋" w:eastAsia="仿宋" w:cs="仿宋"/>
          <w:sz w:val="28"/>
          <w:szCs w:val="28"/>
          <w:lang w:val="en-US" w:eastAsia="zh-CN"/>
        </w:rPr>
        <w:t>投标产品系我公司自行生产制造，我公司具备制造必须的资质、厂房、设备、人力等资源。</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sym w:font="Wingdings" w:char="00A8"/>
      </w:r>
      <w:r>
        <w:rPr>
          <w:rFonts w:hint="eastAsia" w:ascii="仿宋" w:hAnsi="仿宋" w:eastAsia="仿宋" w:cs="仿宋"/>
          <w:sz w:val="28"/>
          <w:szCs w:val="28"/>
          <w:lang w:val="en-US" w:eastAsia="zh-CN"/>
        </w:rPr>
        <w:t>我公司为</w:t>
      </w:r>
      <w:r>
        <w:rPr>
          <w:rFonts w:hint="eastAsia" w:ascii="仿宋" w:hAnsi="仿宋" w:eastAsia="仿宋" w:cs="仿宋"/>
          <w:b/>
          <w:bCs/>
          <w:sz w:val="28"/>
          <w:szCs w:val="28"/>
          <w:lang w:val="en-US" w:eastAsia="zh-CN"/>
        </w:rPr>
        <w:t>OEM型制造商，</w:t>
      </w:r>
      <w:r>
        <w:rPr>
          <w:rFonts w:hint="eastAsia" w:ascii="仿宋" w:hAnsi="仿宋" w:eastAsia="仿宋" w:cs="仿宋"/>
          <w:sz w:val="28"/>
          <w:szCs w:val="28"/>
          <w:lang w:val="en-US" w:eastAsia="zh-CN"/>
        </w:rPr>
        <w:t>投标产品系我公司以</w:t>
      </w:r>
      <w:r>
        <w:rPr>
          <w:rFonts w:hint="eastAsia" w:ascii="仿宋" w:hAnsi="仿宋" w:eastAsia="仿宋" w:cs="仿宋"/>
          <w:sz w:val="28"/>
          <w:szCs w:val="28"/>
          <w:lang w:val="en-US" w:eastAsia="zh-Hans"/>
        </w:rPr>
        <w:t>代工方式生产</w:t>
      </w:r>
      <w:r>
        <w:rPr>
          <w:rFonts w:hint="eastAsia" w:ascii="仿宋" w:hAnsi="仿宋" w:eastAsia="仿宋" w:cs="仿宋"/>
          <w:sz w:val="28"/>
          <w:szCs w:val="28"/>
          <w:lang w:val="en-US" w:eastAsia="zh-CN"/>
        </w:rPr>
        <w:t>，我公司具备供货的资质和能力。</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sym w:font="Wingdings" w:char="00A8"/>
      </w:r>
      <w:r>
        <w:rPr>
          <w:rFonts w:hint="eastAsia" w:ascii="仿宋" w:hAnsi="仿宋" w:eastAsia="仿宋" w:cs="仿宋"/>
          <w:sz w:val="28"/>
          <w:szCs w:val="28"/>
          <w:lang w:val="en-US" w:eastAsia="zh-CN"/>
        </w:rPr>
        <w:t xml:space="preserve"> 我公司为</w:t>
      </w:r>
      <w:r>
        <w:rPr>
          <w:rFonts w:hint="eastAsia" w:ascii="仿宋" w:hAnsi="仿宋" w:eastAsia="仿宋" w:cs="仿宋"/>
          <w:b/>
          <w:bCs/>
          <w:sz w:val="28"/>
          <w:szCs w:val="28"/>
          <w:lang w:val="en-US" w:eastAsia="zh-CN"/>
        </w:rPr>
        <w:t>集成型制造商，</w:t>
      </w:r>
      <w:r>
        <w:rPr>
          <w:rFonts w:hint="eastAsia" w:ascii="仿宋" w:hAnsi="仿宋" w:eastAsia="仿宋" w:cs="仿宋"/>
          <w:sz w:val="28"/>
          <w:szCs w:val="28"/>
          <w:lang w:val="en-US" w:eastAsia="zh-CN"/>
        </w:rPr>
        <w:t>投标产品系我公司集成</w:t>
      </w:r>
      <w:r>
        <w:rPr>
          <w:rFonts w:hint="eastAsia" w:ascii="仿宋" w:hAnsi="仿宋" w:eastAsia="仿宋" w:cs="仿宋"/>
          <w:sz w:val="28"/>
          <w:szCs w:val="28"/>
          <w:lang w:val="en-US" w:eastAsia="zh-Hans"/>
        </w:rPr>
        <w:t>方式生产</w:t>
      </w:r>
      <w:r>
        <w:rPr>
          <w:rFonts w:hint="eastAsia" w:ascii="仿宋" w:hAnsi="仿宋" w:eastAsia="仿宋" w:cs="仿宋"/>
          <w:sz w:val="28"/>
          <w:szCs w:val="28"/>
          <w:lang w:val="en-US" w:eastAsia="zh-CN"/>
        </w:rPr>
        <w:t>，我公司具备集成必须的资质、厂房、设备、人力等资源。</w:t>
      </w:r>
    </w:p>
    <w:p>
      <w:pPr>
        <w:keepNext w:val="0"/>
        <w:keepLines w:val="0"/>
        <w:widowControl/>
        <w:suppressLineNumbers w:val="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（2）我司对所投产品拥有知识产权和产品销售权。</w:t>
      </w:r>
    </w:p>
    <w:p>
      <w:pPr>
        <w:keepNext w:val="0"/>
        <w:keepLines w:val="0"/>
        <w:widowControl/>
        <w:suppressLineNumbers w:val="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（3）后附我公司相关证明材料真实有效。</w:t>
      </w:r>
    </w:p>
    <w:p>
      <w:pPr>
        <w:keepNext w:val="0"/>
        <w:keepLines w:val="0"/>
        <w:widowControl/>
        <w:suppressLineNumbers w:val="0"/>
        <w:wordWrap w:val="0"/>
        <w:jc w:val="righ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投标人名称（盖章）：</w:t>
      </w:r>
      <w:r>
        <w:rPr>
          <w:rFonts w:hint="eastAsia" w:ascii="仿宋" w:hAnsi="仿宋" w:eastAsia="仿宋" w:cs="仿宋"/>
          <w:sz w:val="28"/>
          <w:szCs w:val="28"/>
          <w:u w:val="single"/>
          <w:lang w:val="en-US" w:eastAsia="zh-CN"/>
        </w:rPr>
        <w:t xml:space="preserve">                 </w:t>
      </w:r>
    </w:p>
    <w:p>
      <w:pPr>
        <w:keepNext w:val="0"/>
        <w:keepLines w:val="0"/>
        <w:widowControl/>
        <w:suppressLineNumbers w:val="0"/>
        <w:wordWrap w:val="0"/>
        <w:jc w:val="righ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法定代表人或授权人签章：</w:t>
      </w:r>
      <w:r>
        <w:rPr>
          <w:rFonts w:hint="eastAsia" w:ascii="仿宋" w:hAnsi="仿宋" w:eastAsia="仿宋" w:cs="仿宋"/>
          <w:sz w:val="28"/>
          <w:szCs w:val="28"/>
          <w:u w:val="single"/>
          <w:lang w:val="en-US" w:eastAsia="zh-CN"/>
        </w:rPr>
        <w:t xml:space="preserve">                 </w:t>
      </w:r>
    </w:p>
    <w:p>
      <w:pPr>
        <w:keepNext w:val="0"/>
        <w:keepLines w:val="0"/>
        <w:widowControl/>
        <w:suppressLineNumbers w:val="0"/>
        <w:wordWrap w:val="0"/>
        <w:jc w:val="right"/>
        <w:rPr>
          <w:rFonts w:hint="default" w:ascii="仿宋" w:hAnsi="仿宋" w:eastAsia="仿宋" w:cs="仿宋"/>
          <w:sz w:val="28"/>
          <w:szCs w:val="28"/>
          <w:u w:val="single"/>
          <w:lang w:val="en-US" w:eastAsia="zh-CN"/>
        </w:rPr>
      </w:pPr>
      <w:r>
        <w:rPr>
          <w:rFonts w:hint="eastAsia" w:ascii="仿宋" w:hAnsi="仿宋" w:eastAsia="仿宋" w:cs="仿宋"/>
          <w:sz w:val="28"/>
          <w:szCs w:val="28"/>
          <w:u w:val="none"/>
          <w:lang w:val="en-US" w:eastAsia="zh-CN"/>
        </w:rPr>
        <w:t>日   期：</w:t>
      </w:r>
      <w:r>
        <w:rPr>
          <w:rFonts w:hint="eastAsia" w:ascii="仿宋" w:hAnsi="仿宋" w:eastAsia="仿宋" w:cs="仿宋"/>
          <w:sz w:val="28"/>
          <w:szCs w:val="28"/>
          <w:u w:val="single"/>
          <w:lang w:val="en-US" w:eastAsia="zh-CN"/>
        </w:rPr>
        <w:t xml:space="preserve">                 </w:t>
      </w:r>
    </w:p>
    <w:p>
      <w:pPr>
        <w:keepNext w:val="0"/>
        <w:keepLines w:val="0"/>
        <w:widowControl/>
        <w:suppressLineNumbers w:val="0"/>
        <w:ind w:firstLine="440" w:firstLineChars="100"/>
        <w:jc w:val="left"/>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制造商证明相关材料</w:t>
      </w:r>
    </w:p>
    <w:p>
      <w:pPr>
        <w:keepNext w:val="0"/>
        <w:keepLines w:val="0"/>
        <w:widowControl/>
        <w:suppressLineNumbers w:val="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供应商应根据《制造商承诺书》所选类型提供相关证明材料（选择一类提供即可），逐页加盖公章，原件备查。</w:t>
      </w:r>
    </w:p>
    <w:p>
      <w:pPr>
        <w:keepNext w:val="0"/>
        <w:keepLines w:val="0"/>
        <w:widowControl/>
        <w:suppressLineNumbers w:val="0"/>
        <w:ind w:firstLine="560" w:firstLineChars="200"/>
        <w:jc w:val="both"/>
        <w:rPr>
          <w:rFonts w:hint="default"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传统型制造商应提供的证明材料：</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生产工艺（需提供****工艺介绍和供流程图）：</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检测仪器证明（需提供****仪器购买证明或租赁证明、实物照片等）：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34"/>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keepNext w:val="0"/>
        <w:keepLines w:val="0"/>
        <w:widowControl/>
        <w:numPr>
          <w:ilvl w:val="0"/>
          <w:numId w:val="34"/>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keepNext w:val="0"/>
        <w:keepLines w:val="0"/>
        <w:widowControl/>
        <w:numPr>
          <w:ilvl w:val="0"/>
          <w:numId w:val="0"/>
        </w:numPr>
        <w:suppressLineNumbers w:val="0"/>
        <w:jc w:val="both"/>
        <w:rPr>
          <w:rFonts w:hint="eastAsia" w:ascii="仿宋" w:hAnsi="仿宋" w:eastAsia="仿宋" w:cs="仿宋"/>
          <w:b w:val="0"/>
          <w:bCs w:val="0"/>
          <w:sz w:val="28"/>
          <w:szCs w:val="28"/>
          <w:lang w:val="en-US" w:eastAsia="zh-CN"/>
        </w:rPr>
      </w:pPr>
    </w:p>
    <w:p>
      <w:pPr>
        <w:keepNext w:val="0"/>
        <w:keepLines w:val="0"/>
        <w:widowControl/>
        <w:suppressLineNumbers w:val="0"/>
        <w:ind w:firstLine="720" w:firstLineChars="200"/>
        <w:jc w:val="both"/>
        <w:rPr>
          <w:rFonts w:hint="eastAsia" w:ascii="仿宋" w:hAnsi="仿宋" w:eastAsia="仿宋" w:cs="仿宋"/>
          <w:b w:val="0"/>
          <w:bCs w:val="0"/>
          <w:sz w:val="36"/>
          <w:szCs w:val="36"/>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OEM型制造商应提供的证明材料：</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代工协议：</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生产工艺（需提供****工艺介绍和流程图）：</w:t>
      </w:r>
    </w:p>
    <w:p>
      <w:pPr>
        <w:keepNext w:val="0"/>
        <w:keepLines w:val="0"/>
        <w:widowControl/>
        <w:numPr>
          <w:ilvl w:val="0"/>
          <w:numId w:val="35"/>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检测仪器证明（需提供****仪器购买证明或租赁证明、实物照片等）：</w:t>
      </w:r>
    </w:p>
    <w:p>
      <w:pPr>
        <w:keepNext w:val="0"/>
        <w:keepLines w:val="0"/>
        <w:widowControl/>
        <w:numPr>
          <w:ilvl w:val="0"/>
          <w:numId w:val="35"/>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35"/>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keepNext w:val="0"/>
        <w:keepLines w:val="0"/>
        <w:widowControl/>
        <w:numPr>
          <w:ilvl w:val="0"/>
          <w:numId w:val="0"/>
        </w:numPr>
        <w:suppressLineNumbers w:val="0"/>
        <w:jc w:val="both"/>
        <w:rPr>
          <w:rFonts w:hint="eastAsia" w:ascii="仿宋" w:hAnsi="仿宋" w:eastAsia="仿宋" w:cs="仿宋"/>
          <w:b w:val="0"/>
          <w:bCs w:val="0"/>
          <w:sz w:val="28"/>
          <w:szCs w:val="28"/>
          <w:lang w:val="en-US" w:eastAsia="zh-CN"/>
        </w:rPr>
      </w:pPr>
    </w:p>
    <w:p>
      <w:pPr>
        <w:keepNext w:val="0"/>
        <w:keepLines w:val="0"/>
        <w:widowControl/>
        <w:suppressLineNumbers w:val="0"/>
        <w:ind w:firstLine="720" w:firstLineChars="200"/>
        <w:jc w:val="both"/>
        <w:rPr>
          <w:rFonts w:hint="eastAsia"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集成型制造商应提供的证明材料：</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生产/销售资质证书（如安全生产许可证、特种设备生产/制造许可证、经营许可证等）：</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三体系管理认证证书（质量管理体系认证，环境管理体系认证，职业健康安全管理体系认证）：</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组装或加工设备证明（需提供****设备购买证明或租赁证明、实物照片等）：</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厂房、库房证明（需提供房产证明或租赁证明、实物照片等）：</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与标的物相关的生产设备证明（需提供****设备购买证明或租赁证明、实物照片等）：</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生产工艺（需提供****工艺介绍和流程图）：</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检测仪器证明（需提供****仪器购买证明或租赁证明、实物照片等）：</w:t>
      </w:r>
    </w:p>
    <w:p>
      <w:pPr>
        <w:keepNext w:val="0"/>
        <w:keepLines w:val="0"/>
        <w:widowControl/>
        <w:numPr>
          <w:ilvl w:val="0"/>
          <w:numId w:val="36"/>
        </w:numPr>
        <w:suppressLineNumbers w:val="0"/>
        <w:ind w:firstLine="560" w:firstLineChars="200"/>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相关知识产权或专利：</w:t>
      </w:r>
    </w:p>
    <w:p>
      <w:pPr>
        <w:keepNext w:val="0"/>
        <w:keepLines w:val="0"/>
        <w:widowControl/>
        <w:numPr>
          <w:ilvl w:val="0"/>
          <w:numId w:val="36"/>
        </w:numPr>
        <w:suppressLineNumbers w:val="0"/>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其他证明材料（如涉及）：</w:t>
      </w:r>
    </w:p>
    <w:p>
      <w:pPr>
        <w:keepNext w:val="0"/>
        <w:keepLines w:val="0"/>
        <w:widowControl/>
        <w:suppressLineNumbers w:val="0"/>
        <w:jc w:val="both"/>
        <w:rPr>
          <w:rFonts w:hint="default" w:ascii="仿宋" w:hAnsi="仿宋" w:eastAsia="仿宋" w:cs="仿宋"/>
          <w:b/>
          <w:bCs/>
          <w:sz w:val="28"/>
          <w:szCs w:val="28"/>
          <w:highlight w:val="yellow"/>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23"/>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5.11：商务偏离表</w:t>
      </w:r>
    </w:p>
    <w:p>
      <w:pPr>
        <w:pStyle w:val="23"/>
        <w:adjustRightInd/>
        <w:jc w:val="center"/>
        <w:rPr>
          <w:rFonts w:hint="eastAsia" w:hAnsi="宋体" w:eastAsiaTheme="minorEastAsia" w:cstheme="minorBidi"/>
          <w:b w:val="0"/>
          <w:kern w:val="2"/>
          <w:sz w:val="21"/>
          <w:szCs w:val="22"/>
          <w:lang w:eastAsia="zh-CN"/>
        </w:rPr>
      </w:pPr>
      <w:r>
        <w:rPr>
          <w:rFonts w:hint="eastAsia" w:hAnsi="宋体"/>
          <w:b/>
          <w:sz w:val="21"/>
          <w:szCs w:val="21"/>
        </w:rPr>
        <w:t>商务偏离条款</w:t>
      </w:r>
      <w:r>
        <w:rPr>
          <w:rFonts w:hint="eastAsia" w:hAnsi="宋体" w:eastAsiaTheme="minorEastAsia" w:cstheme="minorBidi"/>
          <w:kern w:val="2"/>
          <w:sz w:val="21"/>
          <w:szCs w:val="22"/>
          <w:lang w:eastAsia="zh-CN"/>
        </w:rPr>
        <w:t>（</w:t>
      </w:r>
      <w:r>
        <w:rPr>
          <w:rFonts w:hint="eastAsia" w:hAnsi="宋体" w:eastAsiaTheme="minorEastAsia" w:cstheme="minorBidi"/>
          <w:kern w:val="2"/>
          <w:sz w:val="21"/>
          <w:szCs w:val="22"/>
          <w:lang w:val="en-US" w:eastAsia="zh-CN"/>
        </w:rPr>
        <w:t>内容仅供参考，具体业务具体编制</w:t>
      </w:r>
      <w:r>
        <w:rPr>
          <w:rFonts w:hint="eastAsia" w:hAnsi="宋体" w:eastAsiaTheme="minorEastAsia" w:cstheme="minorBidi"/>
          <w:kern w:val="2"/>
          <w:sz w:val="21"/>
          <w:szCs w:val="22"/>
          <w:lang w:eastAsia="zh-CN"/>
        </w:rPr>
        <w:t>）</w:t>
      </w:r>
    </w:p>
    <w:p>
      <w:pPr>
        <w:pStyle w:val="23"/>
        <w:adjustRightInd/>
        <w:jc w:val="center"/>
        <w:rPr>
          <w:rFonts w:hAnsi="宋体"/>
          <w:b/>
          <w:sz w:val="21"/>
          <w:szCs w:val="21"/>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92"/>
        <w:gridCol w:w="1560"/>
        <w:gridCol w:w="297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序号</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商务参数</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是否存在异议</w:t>
            </w: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解决方法</w:t>
            </w:r>
          </w:p>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（不接受/协商/接受询价方条件）</w:t>
            </w: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1</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违约条款</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2</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付款方式</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3</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服务期</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4</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报价有效期</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5</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合同条款</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6</w:t>
            </w:r>
          </w:p>
        </w:tc>
        <w:tc>
          <w:tcPr>
            <w:tcW w:w="17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r>
              <w:rPr>
                <w:rFonts w:hint="eastAsia" w:ascii="宋体" w:hAnsi="宋体"/>
                <w:color w:val="000000"/>
              </w:rPr>
              <w:t>其他</w:t>
            </w:r>
          </w:p>
        </w:tc>
        <w:tc>
          <w:tcPr>
            <w:tcW w:w="156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297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c>
          <w:tcPr>
            <w:tcW w:w="124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rPr>
            </w:pPr>
          </w:p>
        </w:tc>
      </w:tr>
    </w:tbl>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注：如果</w:t>
      </w:r>
      <w:r>
        <w:rPr>
          <w:rFonts w:hint="eastAsia" w:ascii="宋体" w:hAnsi="宋体"/>
          <w:color w:val="000000"/>
          <w:szCs w:val="21"/>
          <w:lang w:val="en-US" w:eastAsia="zh-CN"/>
        </w:rPr>
        <w:t>应答</w:t>
      </w:r>
      <w:r>
        <w:rPr>
          <w:rFonts w:hint="eastAsia" w:ascii="宋体" w:hAnsi="宋体"/>
          <w:color w:val="000000"/>
          <w:szCs w:val="21"/>
        </w:rPr>
        <w:t>人对询价文件的商务条款有异议，请在此处一一列出，</w:t>
      </w:r>
      <w:r>
        <w:rPr>
          <w:rFonts w:hint="eastAsia" w:ascii="宋体" w:hAnsi="宋体"/>
          <w:color w:val="000000"/>
          <w:szCs w:val="21"/>
          <w:lang w:val="en-US" w:eastAsia="zh-CN"/>
        </w:rPr>
        <w:t>应答</w:t>
      </w:r>
      <w:r>
        <w:rPr>
          <w:rFonts w:hint="eastAsia" w:ascii="宋体" w:hAnsi="宋体"/>
          <w:color w:val="000000"/>
          <w:szCs w:val="21"/>
        </w:rPr>
        <w:t>人的商务偏离条款将作为评标的依据之一；如若没有异议请标明“无”，否则视为放弃。</w:t>
      </w:r>
    </w:p>
    <w:p>
      <w:pPr>
        <w:spacing w:before="120" w:line="360" w:lineRule="auto"/>
        <w:rPr>
          <w:rFonts w:ascii="宋体" w:hAnsi="宋体"/>
          <w:b/>
          <w:bCs/>
          <w:color w:val="000000"/>
          <w:szCs w:val="21"/>
        </w:rPr>
      </w:pPr>
    </w:p>
    <w:p>
      <w:pPr>
        <w:spacing w:line="360" w:lineRule="auto"/>
        <w:rPr>
          <w:rFonts w:ascii="宋体" w:hAnsi="宋体"/>
          <w:color w:val="000000"/>
          <w:szCs w:val="21"/>
        </w:rPr>
      </w:pPr>
    </w:p>
    <w:p>
      <w:pPr>
        <w:spacing w:line="360" w:lineRule="auto"/>
        <w:ind w:right="840"/>
        <w:jc w:val="center"/>
        <w:rPr>
          <w:rFonts w:ascii="宋体" w:hAnsi="宋体"/>
          <w:color w:val="000000"/>
          <w:szCs w:val="21"/>
        </w:rPr>
      </w:pPr>
      <w:r>
        <w:rPr>
          <w:rFonts w:hint="eastAsia" w:ascii="宋体" w:hAnsi="宋体"/>
          <w:color w:val="000000"/>
          <w:szCs w:val="21"/>
        </w:rPr>
        <w:t xml:space="preserve">                 </w:t>
      </w:r>
      <w:r>
        <w:rPr>
          <w:rFonts w:hint="eastAsia" w:ascii="宋体" w:hAnsi="宋体"/>
          <w:color w:val="000000"/>
          <w:szCs w:val="21"/>
          <w:lang w:eastAsia="zh-CN"/>
        </w:rPr>
        <w:t>应答人</w:t>
      </w:r>
      <w:r>
        <w:rPr>
          <w:rFonts w:ascii="宋体" w:hAnsi="宋体"/>
          <w:color w:val="000000"/>
          <w:szCs w:val="21"/>
        </w:rPr>
        <w:t>：（盖章）</w:t>
      </w:r>
    </w:p>
    <w:p>
      <w:pPr>
        <w:spacing w:line="360" w:lineRule="auto"/>
        <w:jc w:val="right"/>
        <w:rPr>
          <w:rFonts w:ascii="宋体" w:hAnsi="宋体"/>
          <w:color w:val="000000"/>
          <w:szCs w:val="21"/>
        </w:rPr>
      </w:pPr>
    </w:p>
    <w:p>
      <w:pPr>
        <w:spacing w:line="360" w:lineRule="auto"/>
        <w:ind w:right="1680"/>
        <w:jc w:val="center"/>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法定代表人或委托代理人：（签字）</w:t>
      </w:r>
    </w:p>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pStyle w:val="6"/>
        <w:rPr>
          <w:lang w:val="en-US" w:eastAsia="zh-CN"/>
        </w:rPr>
      </w:pPr>
    </w:p>
    <w:p>
      <w:pPr>
        <w:rPr>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br w:type="page"/>
      </w:r>
    </w:p>
    <w:p>
      <w:pPr>
        <w:pStyle w:val="6"/>
        <w:ind w:firstLine="0" w:firstLineChars="0"/>
        <w:rPr>
          <w:lang w:val="en-US" w:eastAsia="zh-CN"/>
        </w:rPr>
      </w:pPr>
    </w:p>
    <w:p>
      <w:pPr>
        <w:pStyle w:val="6"/>
        <w:ind w:firstLine="0" w:firstLineChars="0"/>
        <w:rPr>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default" w:ascii="黑体" w:hAnsi="黑体" w:eastAsia="黑体"/>
          <w:b/>
          <w:bCs/>
          <w:sz w:val="24"/>
          <w:szCs w:val="24"/>
          <w:lang w:val="en-US" w:eastAsia="zh-CN"/>
        </w:rPr>
      </w:pPr>
      <w:r>
        <w:rPr>
          <w:rFonts w:hint="eastAsia" w:ascii="黑体" w:hAnsi="黑体" w:eastAsia="黑体"/>
          <w:b/>
          <w:bCs/>
          <w:sz w:val="24"/>
          <w:szCs w:val="24"/>
        </w:rPr>
        <w:t>附件</w:t>
      </w:r>
      <w:r>
        <w:rPr>
          <w:rFonts w:hint="eastAsia" w:ascii="黑体" w:hAnsi="黑体" w:eastAsia="黑体"/>
          <w:b/>
          <w:bCs/>
          <w:sz w:val="24"/>
          <w:szCs w:val="24"/>
          <w:lang w:val="en-US" w:eastAsia="zh-CN"/>
        </w:rPr>
        <w:t>6：</w:t>
      </w:r>
      <w:r>
        <w:rPr>
          <w:rFonts w:hint="eastAsia" w:ascii="黑体" w:hAnsi="黑体" w:eastAsia="黑体"/>
          <w:b/>
          <w:bCs/>
          <w:sz w:val="24"/>
          <w:szCs w:val="24"/>
        </w:rPr>
        <w:t xml:space="preserve"> </w:t>
      </w:r>
      <w:r>
        <w:rPr>
          <w:rFonts w:hint="eastAsia" w:ascii="黑体" w:hAnsi="黑体" w:eastAsia="黑体"/>
          <w:b/>
          <w:bCs/>
          <w:sz w:val="24"/>
          <w:szCs w:val="24"/>
          <w:lang w:val="en-US" w:eastAsia="zh-CN"/>
        </w:rPr>
        <w:t>技术文件</w:t>
      </w:r>
    </w:p>
    <w:p>
      <w:pPr>
        <w:rPr>
          <w:rFonts w:hint="eastAsia" w:ascii="黑体" w:hAnsi="黑体" w:eastAsia="黑体"/>
          <w:sz w:val="24"/>
          <w:szCs w:val="24"/>
          <w:lang w:val="en-US" w:eastAsia="zh-CN"/>
        </w:rPr>
      </w:pPr>
    </w:p>
    <w:p>
      <w:pPr>
        <w:widowControl w:val="0"/>
        <w:numPr>
          <w:ilvl w:val="0"/>
          <w:numId w:val="0"/>
        </w:numPr>
        <w:jc w:val="both"/>
        <w:rPr>
          <w:rFonts w:hint="default"/>
          <w:lang w:val="en-US" w:eastAsia="zh-CN"/>
        </w:rPr>
      </w:pPr>
    </w:p>
    <w:p>
      <w:pPr>
        <w:tabs>
          <w:tab w:val="left" w:pos="6480"/>
          <w:tab w:val="left" w:pos="6660"/>
          <w:tab w:val="left" w:pos="9360"/>
        </w:tabs>
        <w:spacing w:line="360" w:lineRule="auto"/>
        <w:ind w:right="36" w:rightChars="17"/>
        <w:jc w:val="center"/>
        <w:rPr>
          <w:rFonts w:ascii="宋体" w:hAnsi="宋体"/>
          <w:b/>
          <w:color w:val="000000"/>
          <w:szCs w:val="21"/>
        </w:rPr>
      </w:pPr>
      <w:r>
        <w:rPr>
          <w:rFonts w:hint="eastAsia" w:ascii="宋体" w:hAnsi="宋体"/>
          <w:b/>
          <w:color w:val="000000"/>
          <w:szCs w:val="21"/>
        </w:rPr>
        <w:t>技术</w:t>
      </w:r>
      <w:r>
        <w:rPr>
          <w:rFonts w:hint="eastAsia" w:ascii="宋体" w:hAnsi="宋体"/>
          <w:b/>
          <w:color w:val="000000"/>
          <w:szCs w:val="21"/>
          <w:lang w:val="en-US" w:eastAsia="zh-CN"/>
        </w:rPr>
        <w:t>偏离</w:t>
      </w:r>
      <w:r>
        <w:rPr>
          <w:rFonts w:hint="eastAsia" w:ascii="宋体" w:hAnsi="宋体"/>
          <w:b/>
          <w:color w:val="000000"/>
          <w:szCs w:val="21"/>
        </w:rPr>
        <w:t>表</w:t>
      </w:r>
    </w:p>
    <w:tbl>
      <w:tblPr>
        <w:tblStyle w:val="15"/>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992"/>
        <w:gridCol w:w="170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序号</w:t>
            </w:r>
          </w:p>
        </w:tc>
        <w:tc>
          <w:tcPr>
            <w:tcW w:w="396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技术参数</w:t>
            </w: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是否存在异议</w:t>
            </w: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解决方法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（不接受/协商/接受询价方条件）</w:t>
            </w: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rPr>
            </w:pPr>
            <w:r>
              <w:rPr>
                <w:rFonts w:hint="eastAsia" w:ascii="宋体" w:hAnsi="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lang w:val="en-US" w:eastAsia="zh-CN" w:bidi="ar-SA"/>
              </w:rPr>
            </w:pPr>
            <w:r>
              <w:rPr>
                <w:rFonts w:hint="eastAsia" w:ascii="宋体" w:hAnsi="宋体" w:eastAsiaTheme="minorEastAsia" w:cstheme="minorBidi"/>
                <w:color w:val="000000"/>
                <w:kern w:val="2"/>
                <w:sz w:val="18"/>
                <w:szCs w:val="18"/>
                <w:lang w:val="en-US" w:eastAsia="zh-CN" w:bidi="ar-SA"/>
              </w:rPr>
              <w:t>1</w:t>
            </w:r>
          </w:p>
        </w:tc>
        <w:tc>
          <w:tcPr>
            <w:tcW w:w="396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Theme="minorEastAsia"/>
                <w:color w:val="000000"/>
                <w:sz w:val="18"/>
                <w:szCs w:val="18"/>
                <w:highlight w:val="gree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lang w:val="en-US" w:eastAsia="zh-CN" w:bidi="ar-SA"/>
              </w:rPr>
            </w:pPr>
            <w:r>
              <w:rPr>
                <w:rFonts w:hint="eastAsia" w:ascii="宋体" w:hAnsi="宋体" w:eastAsiaTheme="minorEastAsia" w:cstheme="minorBidi"/>
                <w:color w:val="000000"/>
                <w:kern w:val="2"/>
                <w:sz w:val="18"/>
                <w:szCs w:val="18"/>
                <w:lang w:val="en-US" w:eastAsia="zh-CN" w:bidi="ar-SA"/>
              </w:rPr>
              <w:t>2</w:t>
            </w:r>
          </w:p>
        </w:tc>
        <w:tc>
          <w:tcPr>
            <w:tcW w:w="396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lang w:val="en-US" w:eastAsia="zh-CN" w:bidi="ar-SA"/>
              </w:rPr>
            </w:pPr>
            <w:r>
              <w:rPr>
                <w:rFonts w:hint="eastAsia" w:ascii="宋体" w:hAnsi="宋体" w:eastAsiaTheme="minorEastAsia" w:cstheme="minorBidi"/>
                <w:color w:val="000000"/>
                <w:kern w:val="2"/>
                <w:sz w:val="18"/>
                <w:szCs w:val="18"/>
                <w:lang w:val="en-US" w:eastAsia="zh-CN" w:bidi="ar-SA"/>
              </w:rPr>
              <w:t>3</w:t>
            </w:r>
          </w:p>
        </w:tc>
        <w:tc>
          <w:tcPr>
            <w:tcW w:w="396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lang w:val="en-US" w:eastAsia="zh-CN" w:bidi="ar-SA"/>
              </w:rPr>
            </w:pPr>
            <w:r>
              <w:rPr>
                <w:rFonts w:hint="eastAsia" w:ascii="宋体" w:hAnsi="宋体" w:eastAsiaTheme="minorEastAsia" w:cstheme="minorBidi"/>
                <w:color w:val="000000"/>
                <w:kern w:val="2"/>
                <w:sz w:val="18"/>
                <w:szCs w:val="18"/>
                <w:lang w:val="en-US" w:eastAsia="zh-CN" w:bidi="ar-SA"/>
              </w:rPr>
              <w:t>4</w:t>
            </w:r>
          </w:p>
        </w:tc>
        <w:tc>
          <w:tcPr>
            <w:tcW w:w="396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lang w:val="en-US" w:eastAsia="zh-CN" w:bidi="ar-SA"/>
              </w:rPr>
            </w:pPr>
            <w:r>
              <w:rPr>
                <w:rFonts w:hint="eastAsia" w:ascii="宋体" w:hAnsi="宋体" w:eastAsiaTheme="minorEastAsia" w:cstheme="minorBidi"/>
                <w:color w:val="000000"/>
                <w:kern w:val="2"/>
                <w:sz w:val="18"/>
                <w:szCs w:val="18"/>
                <w:lang w:val="en-US" w:eastAsia="zh-CN" w:bidi="ar-SA"/>
              </w:rPr>
              <w:t>5</w:t>
            </w:r>
          </w:p>
        </w:tc>
        <w:tc>
          <w:tcPr>
            <w:tcW w:w="396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Theme="minorEastAsia" w:cstheme="minorBidi"/>
                <w:color w:val="000000"/>
                <w:kern w:val="2"/>
                <w:sz w:val="18"/>
                <w:szCs w:val="18"/>
                <w:lang w:val="en-US" w:eastAsia="zh-CN" w:bidi="ar-SA"/>
              </w:rPr>
            </w:pPr>
            <w:r>
              <w:rPr>
                <w:rFonts w:hint="eastAsia" w:ascii="宋体" w:hAnsi="宋体" w:eastAsiaTheme="minorEastAsia" w:cstheme="minorBidi"/>
                <w:color w:val="000000"/>
                <w:kern w:val="2"/>
                <w:sz w:val="18"/>
                <w:szCs w:val="18"/>
                <w:lang w:val="en-US" w:eastAsia="zh-CN" w:bidi="ar-SA"/>
              </w:rPr>
              <w:t>6</w:t>
            </w:r>
          </w:p>
        </w:tc>
        <w:tc>
          <w:tcPr>
            <w:tcW w:w="3969" w:type="dxa"/>
            <w:vAlign w:val="center"/>
          </w:tcPr>
          <w:p>
            <w:pPr>
              <w:pStyle w:val="2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7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c>
          <w:tcPr>
            <w:tcW w:w="129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color w:val="000000"/>
                <w:sz w:val="18"/>
                <w:szCs w:val="18"/>
                <w:highlight w:val="green"/>
              </w:rPr>
            </w:pPr>
          </w:p>
        </w:tc>
      </w:tr>
    </w:tbl>
    <w:p>
      <w:pPr>
        <w:spacing w:before="50" w:line="360" w:lineRule="auto"/>
        <w:ind w:firstLine="3885" w:firstLineChars="1850"/>
        <w:rPr>
          <w:rFonts w:ascii="宋体" w:hAnsi="宋体"/>
          <w:color w:val="000000"/>
          <w:szCs w:val="21"/>
        </w:rPr>
      </w:pPr>
    </w:p>
    <w:p>
      <w:pPr>
        <w:keepNext w:val="0"/>
        <w:keepLines w:val="0"/>
        <w:pageBreakBefore w:val="0"/>
        <w:widowControl w:val="0"/>
        <w:kinsoku/>
        <w:wordWrap/>
        <w:overflowPunct/>
        <w:topLinePunct w:val="0"/>
        <w:autoSpaceDE/>
        <w:autoSpaceDN/>
        <w:bidi w:val="0"/>
        <w:adjustRightInd/>
        <w:snapToGrid/>
        <w:spacing w:before="50" w:line="240" w:lineRule="auto"/>
        <w:textAlignment w:val="auto"/>
        <w:rPr>
          <w:rFonts w:ascii="宋体" w:hAnsi="宋体"/>
          <w:color w:val="000000"/>
          <w:szCs w:val="21"/>
        </w:rPr>
      </w:pPr>
      <w:r>
        <w:rPr>
          <w:rFonts w:hint="eastAsia" w:ascii="宋体" w:hAnsi="宋体"/>
          <w:color w:val="000000"/>
          <w:szCs w:val="21"/>
        </w:rPr>
        <w:t>说明：</w:t>
      </w:r>
    </w:p>
    <w:p>
      <w:pPr>
        <w:keepNext w:val="0"/>
        <w:keepLines w:val="0"/>
        <w:pageBreakBefore w:val="0"/>
        <w:widowControl w:val="0"/>
        <w:numPr>
          <w:ilvl w:val="0"/>
          <w:numId w:val="37"/>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以上技术如无偏差，则都填“无”字。</w:t>
      </w:r>
    </w:p>
    <w:p>
      <w:pPr>
        <w:keepNext w:val="0"/>
        <w:keepLines w:val="0"/>
        <w:pageBreakBefore w:val="0"/>
        <w:widowControl w:val="0"/>
        <w:numPr>
          <w:ilvl w:val="0"/>
          <w:numId w:val="37"/>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技术标准以技术要求为基准。</w:t>
      </w:r>
    </w:p>
    <w:p>
      <w:pPr>
        <w:keepNext w:val="0"/>
        <w:keepLines w:val="0"/>
        <w:pageBreakBefore w:val="0"/>
        <w:widowControl w:val="0"/>
        <w:numPr>
          <w:ilvl w:val="0"/>
          <w:numId w:val="37"/>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以上技术偏差将作为</w:t>
      </w:r>
      <w:r>
        <w:rPr>
          <w:rFonts w:hint="eastAsia" w:ascii="宋体" w:hAnsi="宋体"/>
          <w:color w:val="000000"/>
          <w:szCs w:val="21"/>
          <w:lang w:val="en-US" w:eastAsia="zh-CN"/>
        </w:rPr>
        <w:t>采购</w:t>
      </w:r>
      <w:r>
        <w:rPr>
          <w:rFonts w:hint="eastAsia" w:ascii="宋体" w:hAnsi="宋体"/>
          <w:color w:val="000000"/>
          <w:szCs w:val="21"/>
        </w:rPr>
        <w:t>人判断应答人报价的重要依据，请慎重考虑、酌情填写。</w:t>
      </w:r>
    </w:p>
    <w:p>
      <w:pPr>
        <w:spacing w:line="360" w:lineRule="auto"/>
        <w:rPr>
          <w:rFonts w:ascii="宋体" w:hAnsi="宋体"/>
          <w:color w:val="000000"/>
          <w:szCs w:val="21"/>
        </w:rPr>
      </w:pPr>
    </w:p>
    <w:p>
      <w:pPr>
        <w:tabs>
          <w:tab w:val="left" w:pos="0"/>
        </w:tabs>
        <w:spacing w:line="360" w:lineRule="auto"/>
        <w:ind w:firstLine="3570" w:firstLineChars="1700"/>
        <w:rPr>
          <w:rFonts w:ascii="宋体" w:hAnsi="宋体"/>
          <w:color w:val="000000"/>
          <w:szCs w:val="21"/>
          <w:u w:val="single"/>
        </w:rPr>
      </w:pPr>
      <w:r>
        <w:rPr>
          <w:rFonts w:hint="eastAsia" w:ascii="宋体" w:hAnsi="宋体"/>
          <w:color w:val="000000"/>
          <w:szCs w:val="21"/>
          <w:lang w:eastAsia="zh-CN"/>
        </w:rPr>
        <w:t>应答人</w:t>
      </w:r>
      <w:r>
        <w:rPr>
          <w:rFonts w:hint="eastAsia" w:ascii="宋体" w:hAnsi="宋体"/>
          <w:color w:val="000000"/>
          <w:szCs w:val="21"/>
        </w:rPr>
        <w:t>：（盖章）</w:t>
      </w:r>
    </w:p>
    <w:p>
      <w:pPr>
        <w:tabs>
          <w:tab w:val="left" w:pos="4320"/>
        </w:tabs>
        <w:spacing w:line="360" w:lineRule="auto"/>
        <w:ind w:firstLine="3465" w:firstLineChars="1650"/>
        <w:jc w:val="center"/>
        <w:rPr>
          <w:rFonts w:ascii="宋体" w:hAnsi="宋体"/>
          <w:color w:val="000000"/>
          <w:szCs w:val="21"/>
        </w:rPr>
      </w:pPr>
    </w:p>
    <w:p>
      <w:pPr>
        <w:tabs>
          <w:tab w:val="left" w:pos="4320"/>
        </w:tabs>
        <w:spacing w:line="360" w:lineRule="auto"/>
        <w:ind w:firstLine="3570" w:firstLineChars="1700"/>
        <w:rPr>
          <w:rFonts w:hint="eastAsia" w:ascii="宋体" w:hAnsi="宋体"/>
          <w:color w:val="000000"/>
          <w:szCs w:val="21"/>
        </w:rPr>
      </w:pPr>
      <w:r>
        <w:rPr>
          <w:rFonts w:ascii="宋体" w:hAnsi="宋体"/>
          <w:color w:val="000000"/>
          <w:szCs w:val="21"/>
        </w:rPr>
        <w:t>法定代表人或委托代理人：（签字</w:t>
      </w:r>
      <w:r>
        <w:rPr>
          <w:rFonts w:hint="eastAsia" w:ascii="宋体" w:hAnsi="宋体"/>
          <w:color w:val="000000"/>
          <w:szCs w:val="21"/>
        </w:rPr>
        <w:t>）</w:t>
      </w:r>
    </w:p>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pStyle w:val="6"/>
        <w:ind w:firstLine="0" w:firstLineChars="0"/>
        <w:rPr>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附件7：</w:t>
      </w:r>
      <w:r>
        <w:rPr>
          <w:rFonts w:hint="eastAsia" w:ascii="黑体" w:hAnsi="黑体" w:eastAsia="黑体"/>
          <w:b/>
          <w:bCs/>
          <w:color w:val="000000" w:themeColor="text1"/>
          <w:sz w:val="24"/>
          <w:szCs w:val="24"/>
          <w:highlight w:val="none"/>
          <w14:textFill>
            <w14:solidFill>
              <w14:schemeClr w14:val="tx1"/>
            </w14:solidFill>
          </w14:textFill>
        </w:rPr>
        <w:t>报价</w:t>
      </w:r>
      <w:r>
        <w:rPr>
          <w:rFonts w:hint="eastAsia" w:ascii="黑体" w:hAnsi="黑体" w:eastAsia="黑体"/>
          <w:b/>
          <w:bCs/>
          <w:color w:val="000000" w:themeColor="text1"/>
          <w:sz w:val="24"/>
          <w:szCs w:val="24"/>
          <w:highlight w:val="none"/>
          <w:lang w:val="en-US" w:eastAsia="zh-CN"/>
          <w14:textFill>
            <w14:solidFill>
              <w14:schemeClr w14:val="tx1"/>
            </w14:solidFill>
          </w14:textFill>
        </w:rPr>
        <w:t>文件</w:t>
      </w:r>
    </w:p>
    <w:p>
      <w:pPr>
        <w:rPr>
          <w:rFonts w:ascii="黑体" w:hAnsi="黑体" w:eastAsia="黑体"/>
          <w:color w:val="000000" w:themeColor="text1"/>
          <w:sz w:val="21"/>
          <w:szCs w:val="21"/>
          <w:highlight w:val="none"/>
          <w14:textFill>
            <w14:solidFill>
              <w14:schemeClr w14:val="tx1"/>
            </w14:solidFill>
          </w14:textFill>
        </w:rPr>
      </w:pPr>
    </w:p>
    <w:p>
      <w:pPr>
        <w:pStyle w:val="20"/>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b/>
          <w:color w:val="000000" w:themeColor="text1"/>
          <w:sz w:val="21"/>
          <w:szCs w:val="21"/>
          <w:highlight w:val="none"/>
          <w14:textFill>
            <w14:solidFill>
              <w14:schemeClr w14:val="tx1"/>
            </w14:solidFill>
          </w14:textFill>
        </w:rPr>
        <w:t>报 价 单</w:t>
      </w:r>
    </w:p>
    <w:p>
      <w:pPr>
        <w:pStyle w:val="20"/>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p>
    <w:p>
      <w:pPr>
        <w:pStyle w:val="20"/>
        <w:spacing w:line="360" w:lineRule="auto"/>
        <w:ind w:left="-18" w:leftChars="-67" w:hanging="123" w:hangingChars="59"/>
        <w:rPr>
          <w:rFonts w:cs="Arial" w:asciiTheme="minorEastAsia" w:hAnsiTheme="minorEastAsia" w:eastAsiaTheme="minorEastAsia"/>
          <w:color w:val="000000" w:themeColor="text1"/>
          <w:sz w:val="21"/>
          <w:szCs w:val="21"/>
          <w:highlight w:val="none"/>
          <w14:textFill>
            <w14:solidFill>
              <w14:schemeClr w14:val="tx1"/>
            </w14:solidFill>
          </w14:textFill>
        </w:rPr>
      </w:pPr>
      <w:r>
        <w:rPr>
          <w:rFonts w:hint="eastAsia" w:cs="Arial" w:asciiTheme="minorEastAsia" w:hAnsiTheme="minorEastAsia" w:eastAsiaTheme="minorEastAsia"/>
          <w:color w:val="000000" w:themeColor="text1"/>
          <w:sz w:val="21"/>
          <w:szCs w:val="21"/>
          <w:highlight w:val="none"/>
          <w14:textFill>
            <w14:solidFill>
              <w14:schemeClr w14:val="tx1"/>
            </w14:solidFill>
          </w14:textFill>
        </w:rPr>
        <w:t>项目</w:t>
      </w:r>
      <w:r>
        <w:rPr>
          <w:rFonts w:cs="Arial"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t>除盐水设备机架采购</w:t>
      </w:r>
      <w:r>
        <w:rPr>
          <w:rFonts w:hint="eastAsia" w:cs="Arial" w:asciiTheme="minorEastAsia" w:hAnsiTheme="minorEastAsia" w:eastAsiaTheme="minorEastAsia"/>
          <w:color w:val="000000" w:themeColor="text1"/>
          <w:sz w:val="21"/>
          <w:szCs w:val="21"/>
          <w:highlight w:val="none"/>
          <w14:textFill>
            <w14:solidFill>
              <w14:schemeClr w14:val="tx1"/>
            </w14:solidFill>
          </w14:textFill>
        </w:rPr>
        <w:t xml:space="preserve">                 </w:t>
      </w:r>
      <w:r>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highlight w:val="none"/>
          <w14:textFill>
            <w14:solidFill>
              <w14:schemeClr w14:val="tx1"/>
            </w14:solidFill>
          </w14:textFill>
        </w:rPr>
        <w:t>报价</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单位：元；    货币</w:t>
      </w:r>
      <w:r>
        <w:rPr>
          <w:rFonts w:asciiTheme="minorEastAsia" w:hAnsiTheme="minorEastAsia" w:eastAsiaTheme="minorEastAsia"/>
          <w:color w:val="000000" w:themeColor="text1"/>
          <w:sz w:val="21"/>
          <w:szCs w:val="21"/>
          <w:highlight w:val="none"/>
          <w14:textFill>
            <w14:solidFill>
              <w14:schemeClr w14:val="tx1"/>
            </w14:solidFill>
          </w14:textFill>
        </w:rPr>
        <w:t>单位：</w:t>
      </w:r>
      <w:r>
        <w:rPr>
          <w:rFonts w:hint="eastAsia" w:asciiTheme="minorEastAsia" w:hAnsiTheme="minorEastAsia" w:eastAsiaTheme="minorEastAsia"/>
          <w:color w:val="000000" w:themeColor="text1"/>
          <w:sz w:val="21"/>
          <w:szCs w:val="21"/>
          <w:highlight w:val="none"/>
          <w14:textFill>
            <w14:solidFill>
              <w14:schemeClr w14:val="tx1"/>
            </w14:solidFill>
          </w14:textFill>
        </w:rPr>
        <w:t>人民币</w:t>
      </w:r>
    </w:p>
    <w:tbl>
      <w:tblPr>
        <w:tblStyle w:val="15"/>
        <w:tblW w:w="10596" w:type="dxa"/>
        <w:tblInd w:w="-1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584"/>
        <w:gridCol w:w="1914"/>
        <w:gridCol w:w="850"/>
        <w:gridCol w:w="709"/>
        <w:gridCol w:w="931"/>
        <w:gridCol w:w="1272"/>
        <w:gridCol w:w="1341"/>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序号</w:t>
            </w:r>
          </w:p>
        </w:tc>
        <w:tc>
          <w:tcPr>
            <w:tcW w:w="1584"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both"/>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货物</w:t>
            </w:r>
            <w:r>
              <w:rPr>
                <w:rFonts w:hint="default" w:asciiTheme="minorEastAsia" w:hAnsiTheme="minorEastAsia" w:eastAsiaTheme="minorEastAsia"/>
                <w:color w:val="000000" w:themeColor="text1"/>
                <w:sz w:val="21"/>
                <w:szCs w:val="21"/>
                <w:highlight w:val="none"/>
                <w14:textFill>
                  <w14:solidFill>
                    <w14:schemeClr w14:val="tx1"/>
                  </w14:solidFill>
                </w14:textFill>
              </w:rPr>
              <w:t>名称</w:t>
            </w:r>
          </w:p>
        </w:tc>
        <w:tc>
          <w:tcPr>
            <w:tcW w:w="1914"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技术</w:t>
            </w:r>
            <w:r>
              <w:rPr>
                <w:rFonts w:hint="default" w:asciiTheme="minorEastAsia" w:hAnsiTheme="minorEastAsia" w:eastAsiaTheme="minorEastAsia"/>
                <w:color w:val="000000" w:themeColor="text1"/>
                <w:sz w:val="21"/>
                <w:szCs w:val="21"/>
                <w:highlight w:val="none"/>
                <w14:textFill>
                  <w14:solidFill>
                    <w14:schemeClr w14:val="tx1"/>
                  </w14:solidFill>
                </w14:textFill>
              </w:rPr>
              <w:t>规格</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t>厂家</w:t>
            </w: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数量</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税率</w:t>
            </w: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不含税单价</w:t>
            </w: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不含税小计</w:t>
            </w: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hint="default" w:asciiTheme="minorEastAsia" w:hAnsiTheme="minorEastAsia" w:eastAsiaTheme="minorEastAsia"/>
                <w:color w:val="000000" w:themeColor="text1"/>
                <w:sz w:val="21"/>
                <w:szCs w:val="21"/>
                <w:highlight w:val="none"/>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w:t>
            </w:r>
          </w:p>
        </w:tc>
        <w:tc>
          <w:tcPr>
            <w:tcW w:w="158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sz w:val="21"/>
                <w:szCs w:val="21"/>
                <w:highlight w:val="none"/>
              </w:rPr>
            </w:pPr>
            <w:r>
              <w:rPr>
                <w:rFonts w:hint="default" w:ascii="Calibri" w:hAnsi="Calibri"/>
                <w:sz w:val="21"/>
                <w:szCs w:val="21"/>
                <w:highlight w:val="none"/>
              </w:rPr>
              <w:t>超滤装置</w:t>
            </w:r>
          </w:p>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Calibri" w:hAnsi="Calibri"/>
                <w:sz w:val="21"/>
                <w:szCs w:val="21"/>
                <w:highlight w:val="none"/>
              </w:rPr>
              <w:t>机架</w:t>
            </w:r>
          </w:p>
        </w:tc>
        <w:tc>
          <w:tcPr>
            <w:tcW w:w="191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lang w:bidi="ar"/>
              </w:rPr>
              <w:t>单套处理能力≥275m³/h，回收率≥90%，膜净通量≤50L/㎡·h</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5套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2</w:t>
            </w:r>
          </w:p>
        </w:tc>
        <w:tc>
          <w:tcPr>
            <w:tcW w:w="158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sz w:val="21"/>
                <w:szCs w:val="21"/>
                <w:highlight w:val="none"/>
              </w:rPr>
              <w:t>一级反渗透装置</w:t>
            </w:r>
            <w:r>
              <w:rPr>
                <w:rFonts w:hint="eastAsia" w:ascii="Calibri" w:hAnsi="Calibri"/>
                <w:sz w:val="21"/>
                <w:szCs w:val="21"/>
                <w:highlight w:val="none"/>
              </w:rPr>
              <w:t>机架</w:t>
            </w:r>
          </w:p>
        </w:tc>
        <w:tc>
          <w:tcPr>
            <w:tcW w:w="191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lang w:bidi="ar"/>
              </w:rPr>
              <w:t>单套产水能力≥260m³/h，回收率≥75%，膜通量≤20L/㎡·h</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5套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3</w:t>
            </w:r>
          </w:p>
        </w:tc>
        <w:tc>
          <w:tcPr>
            <w:tcW w:w="158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sz w:val="21"/>
                <w:szCs w:val="21"/>
                <w:highlight w:val="none"/>
              </w:rPr>
              <w:t>二级反渗透装置</w:t>
            </w:r>
            <w:r>
              <w:rPr>
                <w:rFonts w:hint="eastAsia" w:ascii="Calibri" w:hAnsi="Calibri"/>
                <w:sz w:val="21"/>
                <w:szCs w:val="21"/>
                <w:highlight w:val="none"/>
              </w:rPr>
              <w:t>机架</w:t>
            </w:r>
          </w:p>
        </w:tc>
        <w:tc>
          <w:tcPr>
            <w:tcW w:w="191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color w:val="000000"/>
                <w:kern w:val="0"/>
                <w:sz w:val="21"/>
                <w:szCs w:val="21"/>
                <w:highlight w:val="none"/>
                <w:lang w:bidi="ar"/>
              </w:rPr>
              <w:t>单套产水能力≥235m³/h，回收率≥90%，膜通量≤30L/㎡·h</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5套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4</w:t>
            </w:r>
          </w:p>
        </w:tc>
        <w:tc>
          <w:tcPr>
            <w:tcW w:w="158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sz w:val="21"/>
                <w:szCs w:val="21"/>
                <w:highlight w:val="none"/>
              </w:rPr>
              <w:t>浓水反渗透装置</w:t>
            </w:r>
            <w:r>
              <w:rPr>
                <w:rFonts w:hint="eastAsia" w:ascii="Calibri" w:hAnsi="Calibri"/>
                <w:sz w:val="21"/>
                <w:szCs w:val="21"/>
                <w:highlight w:val="none"/>
              </w:rPr>
              <w:t>机架</w:t>
            </w:r>
          </w:p>
        </w:tc>
        <w:tc>
          <w:tcPr>
            <w:tcW w:w="191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color w:val="000000"/>
                <w:kern w:val="0"/>
                <w:sz w:val="21"/>
                <w:szCs w:val="21"/>
                <w:highlight w:val="none"/>
                <w:lang w:bidi="ar"/>
              </w:rPr>
              <w:t>单套产水能力≥120m³/h，回收率≥70%，膜通量≤18L/㎡·h</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3套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5</w:t>
            </w:r>
          </w:p>
        </w:tc>
        <w:tc>
          <w:tcPr>
            <w:tcW w:w="158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sz w:val="21"/>
                <w:szCs w:val="21"/>
                <w:highlight w:val="none"/>
              </w:rPr>
            </w:pPr>
            <w:r>
              <w:rPr>
                <w:rFonts w:hint="default" w:ascii="Calibri" w:hAnsi="Calibri"/>
                <w:sz w:val="21"/>
                <w:szCs w:val="21"/>
                <w:highlight w:val="none"/>
              </w:rPr>
              <w:t>EDI装置</w:t>
            </w:r>
          </w:p>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Calibri" w:hAnsi="Calibri"/>
                <w:sz w:val="21"/>
                <w:szCs w:val="21"/>
                <w:highlight w:val="none"/>
              </w:rPr>
              <w:t>机架</w:t>
            </w:r>
          </w:p>
        </w:tc>
        <w:tc>
          <w:tcPr>
            <w:tcW w:w="191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color w:val="000000"/>
                <w:kern w:val="0"/>
                <w:sz w:val="21"/>
                <w:szCs w:val="21"/>
                <w:highlight w:val="none"/>
                <w:lang w:bidi="ar"/>
              </w:rPr>
              <w:t>单套产水能力≥210m³/h，回收率≥90%</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5套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6</w:t>
            </w:r>
          </w:p>
        </w:tc>
        <w:tc>
          <w:tcPr>
            <w:tcW w:w="1584"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Calibri" w:hAnsi="Calibri"/>
                <w:sz w:val="21"/>
                <w:szCs w:val="21"/>
                <w:highlight w:val="none"/>
              </w:rPr>
              <w:t>絮凝剂加药装置机架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 xml:space="preserve">含计量泵2台，溶液箱1个，搅拌器1台 </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7</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非氧化杀菌剂加药装置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含计量泵8台，溶液箱1个</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8</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氧化剂加药装置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含计量泵7台，溶液箱1个</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9</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酸加药装置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含计量泵7台，溶液箱1个</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10</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碱加药装置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含计量泵5台，溶液箱1个</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11</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还原剂加药装置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含计量泵6台，溶液箱2个，搅拌器2台</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12</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阻垢剂加药装置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含计量泵10台，溶液箱2个，搅拌器2台</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13</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UF化学清洗装置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含UF清洗水泵2台，保安过滤器1台，溶液箱1个，电加热器1个</w:t>
            </w:r>
          </w:p>
        </w:tc>
        <w:tc>
          <w:tcPr>
            <w:tcW w:w="850"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vAlign w:val="center"/>
          </w:tcPr>
          <w:p>
            <w:pPr>
              <w:pStyle w:val="20"/>
              <w:keepNext w:val="0"/>
              <w:keepLines w:val="0"/>
              <w:suppressLineNumbers w:val="0"/>
              <w:spacing w:before="0" w:beforeAutospacing="0" w:after="0" w:afterAutospacing="0" w:line="360" w:lineRule="auto"/>
              <w:ind w:left="0" w:right="0"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14</w:t>
            </w:r>
          </w:p>
        </w:tc>
        <w:tc>
          <w:tcPr>
            <w:tcW w:w="158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RO化学清洗装置</w:t>
            </w:r>
            <w:r>
              <w:rPr>
                <w:rFonts w:hint="eastAsia" w:ascii="Calibri" w:hAnsi="Calibri"/>
                <w:sz w:val="21"/>
                <w:szCs w:val="21"/>
                <w:highlight w:val="none"/>
              </w:rPr>
              <w:t>机架</w:t>
            </w:r>
          </w:p>
        </w:tc>
        <w:tc>
          <w:tcPr>
            <w:tcW w:w="1914" w:type="dxa"/>
            <w:shd w:val="clear" w:color="auto" w:fill="auto"/>
            <w:vAlign w:val="center"/>
          </w:tcPr>
          <w:p>
            <w:pPr>
              <w:keepNext w:val="0"/>
              <w:keepLines w:val="0"/>
              <w:suppressLineNumbers w:val="0"/>
              <w:autoSpaceDE w:val="0"/>
              <w:autoSpaceDN w:val="0"/>
              <w:adjustRightInd w:val="0"/>
              <w:spacing w:before="79" w:beforeAutospacing="0" w:after="0" w:afterAutospacing="0" w:line="240" w:lineRule="auto"/>
              <w:ind w:left="0" w:right="0" w:firstLine="0" w:firstLineChars="0"/>
              <w:jc w:val="center"/>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default" w:ascii="Calibri" w:hAnsi="Calibri"/>
                <w:kern w:val="0"/>
                <w:sz w:val="21"/>
                <w:szCs w:val="21"/>
                <w:highlight w:val="none"/>
              </w:rPr>
              <w:t>含RO清洗水泵2台，保安过滤器1台，溶液箱1个，电加热器1个</w:t>
            </w:r>
          </w:p>
        </w:tc>
        <w:tc>
          <w:tcPr>
            <w:tcW w:w="850"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c>
          <w:tcPr>
            <w:tcW w:w="709" w:type="dxa"/>
            <w:shd w:val="clear" w:color="auto" w:fill="auto"/>
          </w:tcPr>
          <w:p>
            <w:pPr>
              <w:pStyle w:val="20"/>
              <w:keepNext w:val="0"/>
              <w:keepLines w:val="0"/>
              <w:suppressLineNumbers w:val="0"/>
              <w:spacing w:before="0" w:beforeAutospacing="0" w:after="0" w:afterAutospacing="0" w:line="360" w:lineRule="auto"/>
              <w:ind w:left="0" w:leftChars="0" w:right="0" w:firstLine="0" w:firstLineChars="0"/>
              <w:jc w:val="left"/>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1套</w:t>
            </w:r>
          </w:p>
        </w:tc>
        <w:tc>
          <w:tcPr>
            <w:tcW w:w="931"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c>
          <w:tcPr>
            <w:tcW w:w="1272"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c>
          <w:tcPr>
            <w:tcW w:w="1341"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2" w:type="dxa"/>
            <w:gridSpan w:val="7"/>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合计</w:t>
            </w:r>
            <w:r>
              <w:rPr>
                <w:rFonts w:hint="default" w:asciiTheme="minorEastAsia" w:hAnsiTheme="minorEastAsia" w:eastAsiaTheme="minorEastAsia"/>
                <w:color w:val="000000" w:themeColor="text1"/>
                <w:sz w:val="21"/>
                <w:szCs w:val="21"/>
                <w:highlight w:val="none"/>
                <w14:textFill>
                  <w14:solidFill>
                    <w14:schemeClr w14:val="tx1"/>
                  </w14:solidFill>
                </w14:textFill>
              </w:rPr>
              <w:t>：</w:t>
            </w:r>
          </w:p>
        </w:tc>
        <w:tc>
          <w:tcPr>
            <w:tcW w:w="1341"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c>
          <w:tcPr>
            <w:tcW w:w="1263" w:type="dxa"/>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6" w:type="dxa"/>
            <w:gridSpan w:val="9"/>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hint="default"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（大写</w:t>
            </w:r>
            <w:r>
              <w:rPr>
                <w:rFonts w:hint="default" w:asciiTheme="minorEastAsia" w:hAnsiTheme="minorEastAsia" w:eastAsiaTheme="minorEastAsia"/>
                <w:color w:val="000000" w:themeColor="text1"/>
                <w:sz w:val="21"/>
                <w:szCs w:val="21"/>
                <w:highlight w:val="none"/>
                <w14:textFill>
                  <w14:solidFill>
                    <w14:schemeClr w14:val="tx1"/>
                  </w14:solidFill>
                </w14:textFill>
              </w:rPr>
              <w:t>人民币</w:t>
            </w:r>
            <w:r>
              <w:rPr>
                <w:rFonts w:hint="eastAsia" w:asciiTheme="minorEastAsia" w:hAnsiTheme="minorEastAsia" w:eastAsiaTheme="minorEastAsia"/>
                <w:color w:val="000000" w:themeColor="text1"/>
                <w:sz w:val="21"/>
                <w:szCs w:val="21"/>
                <w:highlight w:val="none"/>
                <w14:textFill>
                  <w14:solidFill>
                    <w14:schemeClr w14:val="tx1"/>
                  </w14:solidFill>
                </w14:textFill>
              </w:rPr>
              <w:t>）：圆整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6" w:type="dxa"/>
            <w:gridSpan w:val="9"/>
            <w:shd w:val="clear" w:color="auto" w:fill="auto"/>
          </w:tcPr>
          <w:p>
            <w:pPr>
              <w:pStyle w:val="20"/>
              <w:keepNext w:val="0"/>
              <w:keepLines w:val="0"/>
              <w:suppressLineNumbers w:val="0"/>
              <w:spacing w:before="0" w:beforeAutospacing="0" w:after="0" w:afterAutospacing="0" w:line="360" w:lineRule="auto"/>
              <w:ind w:left="0" w:right="0" w:firstLine="0"/>
              <w:jc w:val="left"/>
              <w:rPr>
                <w:rFonts w:hint="default"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w:t>
            </w:r>
            <w:r>
              <w:rPr>
                <w:rFonts w:hint="default"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（大写</w:t>
            </w:r>
            <w:r>
              <w:rPr>
                <w:rFonts w:hint="default" w:asciiTheme="minorEastAsia" w:hAnsiTheme="minorEastAsia" w:eastAsiaTheme="minorEastAsia"/>
                <w:color w:val="000000" w:themeColor="text1"/>
                <w:sz w:val="21"/>
                <w:szCs w:val="21"/>
                <w:highlight w:val="none"/>
                <w14:textFill>
                  <w14:solidFill>
                    <w14:schemeClr w14:val="tx1"/>
                  </w14:solidFill>
                </w14:textFill>
              </w:rPr>
              <w:t>人民币</w:t>
            </w:r>
            <w:r>
              <w:rPr>
                <w:rFonts w:hint="eastAsia" w:asciiTheme="minorEastAsia" w:hAnsiTheme="minorEastAsia" w:eastAsiaTheme="minorEastAsia"/>
                <w:color w:val="000000" w:themeColor="text1"/>
                <w:sz w:val="21"/>
                <w:szCs w:val="21"/>
                <w:highlight w:val="none"/>
                <w14:textFill>
                  <w14:solidFill>
                    <w14:schemeClr w14:val="tx1"/>
                  </w14:solidFill>
                </w14:textFill>
              </w:rPr>
              <w:t>）：圆整</w:t>
            </w:r>
          </w:p>
        </w:tc>
      </w:tr>
    </w:tbl>
    <w:p>
      <w:pPr>
        <w:snapToGrid w:val="0"/>
        <w:spacing w:line="360" w:lineRule="auto"/>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注：</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1、</w:t>
      </w:r>
      <w:r>
        <w:rPr>
          <w:rFonts w:asciiTheme="minorEastAsia" w:hAnsiTheme="minorEastAsia"/>
          <w:color w:val="000000" w:themeColor="text1"/>
          <w:sz w:val="21"/>
          <w:szCs w:val="21"/>
          <w:highlight w:val="none"/>
          <w14:textFill>
            <w14:solidFill>
              <w14:schemeClr w14:val="tx1"/>
            </w14:solidFill>
          </w14:textFill>
        </w:rPr>
        <w:t>报价有效期：</w:t>
      </w:r>
      <w:r>
        <w:rPr>
          <w:rFonts w:hint="eastAsia" w:asciiTheme="minorEastAsia" w:hAnsiTheme="minorEastAsia"/>
          <w:color w:val="000000" w:themeColor="text1"/>
          <w:sz w:val="21"/>
          <w:szCs w:val="21"/>
          <w:highlight w:val="none"/>
          <w14:textFill>
            <w14:solidFill>
              <w14:schemeClr w14:val="tx1"/>
            </w14:solidFill>
          </w14:textFill>
        </w:rPr>
        <w:t>自应答截止日次日起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lang w:val="en-US" w:eastAsia="zh-CN"/>
          <w14:textFill>
            <w14:solidFill>
              <w14:schemeClr w14:val="tx1"/>
            </w14:solidFill>
          </w14:textFill>
        </w:rPr>
        <w:t>货物类）</w:t>
      </w:r>
      <w:r>
        <w:rPr>
          <w:rFonts w:hint="eastAsia" w:asciiTheme="minorEastAsia" w:hAnsiTheme="minorEastAsia"/>
          <w:color w:val="000000" w:themeColor="text1"/>
          <w:sz w:val="21"/>
          <w:szCs w:val="21"/>
          <w:highlight w:val="none"/>
          <w14:textFill>
            <w14:solidFill>
              <w14:schemeClr w14:val="tx1"/>
            </w14:solidFill>
          </w14:textFill>
        </w:rPr>
        <w:t>交货期</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自合同订立之日起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pStyle w:val="2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olor w:val="000000" w:themeColor="text1"/>
          <w:sz w:val="21"/>
          <w:szCs w:val="21"/>
          <w:highlight w:val="none"/>
          <w14:textFill>
            <w14:solidFill>
              <w14:schemeClr w14:val="tx1"/>
            </w14:solidFill>
          </w14:textFill>
        </w:rPr>
        <w:t>、以上报价包括：</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费用。人工费、材料费、设施设备费、管理费、服务费、税费、利润、税金/其它应付款项，报价文件中规定的其它义务/风险/责任有关的费用及一切与履行本询价文件有关的于此处未列明的其它所有费用。固定单价在询价有效期和其必要的延长期内是固定的，不因通货膨胀、利/汇率、税/费变化而作任何调整</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响应</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2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4、开具</w:t>
      </w:r>
      <w:r>
        <w:rPr>
          <w:rFonts w:asciiTheme="minorEastAsia" w:hAnsiTheme="minorEastAsia" w:eastAsiaTheme="minorEastAsia"/>
          <w:color w:val="000000" w:themeColor="text1"/>
          <w:sz w:val="21"/>
          <w:szCs w:val="21"/>
          <w:highlight w:val="none"/>
          <w14:textFill>
            <w14:solidFill>
              <w14:schemeClr w14:val="tx1"/>
            </w14:solidFill>
          </w14:textFill>
        </w:rPr>
        <w:t>发票种类：增值税专用发票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增值税普通发票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其它</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如实填写</w:t>
      </w:r>
      <w:r>
        <w:rPr>
          <w:rFonts w:hint="eastAsia" w:asciiTheme="minorEastAsia" w:hAnsiTheme="minorEastAsia" w:eastAsiaTheme="minorEastAsia"/>
          <w:color w:val="000000" w:themeColor="text1"/>
          <w:sz w:val="21"/>
          <w:szCs w:val="21"/>
          <w:highlight w:val="none"/>
          <w14:textFill>
            <w14:solidFill>
              <w14:schemeClr w14:val="tx1"/>
            </w14:solidFill>
          </w14:textFill>
        </w:rPr>
        <w:t>具体</w:t>
      </w:r>
      <w:r>
        <w:rPr>
          <w:rFonts w:asciiTheme="minorEastAsia" w:hAnsiTheme="minorEastAsia" w:eastAsiaTheme="minorEastAsia"/>
          <w:color w:val="000000" w:themeColor="text1"/>
          <w:sz w:val="21"/>
          <w:szCs w:val="21"/>
          <w:highlight w:val="none"/>
          <w14:textFill>
            <w14:solidFill>
              <w14:schemeClr w14:val="tx1"/>
            </w14:solidFill>
          </w14:textFill>
        </w:rPr>
        <w:t>发票种类</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2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5、其它</w:t>
      </w:r>
      <w:r>
        <w:rPr>
          <w:rFonts w:asciiTheme="minorEastAsia" w:hAnsiTheme="minorEastAsia" w:eastAsiaTheme="minorEastAsia"/>
          <w:color w:val="000000" w:themeColor="text1"/>
          <w:sz w:val="21"/>
          <w:szCs w:val="21"/>
          <w:highlight w:val="none"/>
          <w14:textFill>
            <w14:solidFill>
              <w14:schemeClr w14:val="tx1"/>
            </w14:solidFill>
          </w14:textFill>
        </w:rPr>
        <w:t>。应答人如有其它说明请补充。</w:t>
      </w:r>
    </w:p>
    <w:p>
      <w:pPr>
        <w:pStyle w:val="20"/>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1"/>
          <w:szCs w:val="21"/>
          <w:highlight w:val="none"/>
          <w14:textFill>
            <w14:solidFill>
              <w14:schemeClr w14:val="tx1"/>
            </w14:solidFill>
          </w14:textFill>
        </w:rPr>
        <w:t>、应答人商务联系人姓名________电话_______________邮箱_______________</w:t>
      </w:r>
    </w:p>
    <w:p>
      <w:pPr>
        <w:pStyle w:val="20"/>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报价单位</w:t>
      </w:r>
      <w:r>
        <w:rPr>
          <w:rFonts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C00000"/>
          <w:sz w:val="21"/>
          <w:szCs w:val="21"/>
          <w:highlight w:val="none"/>
          <w:lang w:val="en-US" w:eastAsia="zh-CN"/>
        </w:rPr>
        <w:t>加</w:t>
      </w:r>
      <w:r>
        <w:rPr>
          <w:rFonts w:hint="eastAsia" w:asciiTheme="minorEastAsia" w:hAnsiTheme="minorEastAsia" w:eastAsiaTheme="minorEastAsia"/>
          <w:color w:val="000000" w:themeColor="text1"/>
          <w:sz w:val="21"/>
          <w:szCs w:val="21"/>
          <w:highlight w:val="none"/>
          <w14:textFill>
            <w14:solidFill>
              <w14:schemeClr w14:val="tx1"/>
            </w14:solidFill>
          </w14:textFill>
        </w:rPr>
        <w:t>盖</w:t>
      </w:r>
      <w:r>
        <w:rPr>
          <w:rFonts w:asciiTheme="minorEastAsia" w:hAnsiTheme="minorEastAsia" w:eastAsiaTheme="minorEastAsia"/>
          <w:color w:val="000000" w:themeColor="text1"/>
          <w:sz w:val="21"/>
          <w:szCs w:val="21"/>
          <w:highlight w:val="none"/>
          <w14:textFill>
            <w14:solidFill>
              <w14:schemeClr w14:val="tx1"/>
            </w14:solidFill>
          </w14:textFill>
        </w:rPr>
        <w:t>公章</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20"/>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仿宋" w:hAnsi="仿宋" w:eastAsia="仿宋" w:cs="仿宋"/>
          <w:bCs/>
          <w:color w:val="auto"/>
          <w:sz w:val="21"/>
          <w:szCs w:val="21"/>
          <w:highlight w:val="none"/>
          <w:lang w:eastAsia="zh-CN"/>
        </w:rPr>
        <w:t>法定代表人（单位负责人）或其委托代理人签字：</w:t>
      </w:r>
    </w:p>
    <w:p>
      <w:pPr>
        <w:pStyle w:val="20"/>
        <w:spacing w:line="360" w:lineRule="auto"/>
        <w:ind w:right="560" w:firstLine="4830" w:firstLineChars="230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报价日期</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***年**月**日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Noto Sans CJK DemiLight">
    <w:altName w:val="宋体"/>
    <w:panose1 w:val="00000000000000000000"/>
    <w:charset w:val="86"/>
    <w:family w:val="swiss"/>
    <w:pitch w:val="default"/>
    <w:sig w:usb0="00000000" w:usb1="00000000" w:usb2="00000016" w:usb3="00000000" w:csb0="002E0107"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7E5AE"/>
    <w:multiLevelType w:val="multilevel"/>
    <w:tmpl w:val="BDE7E5AE"/>
    <w:lvl w:ilvl="0" w:tentative="0">
      <w:start w:val="1"/>
      <w:numFmt w:val="decimal"/>
      <w:pStyle w:val="3"/>
      <w:suff w:val="space"/>
      <w:lvlText w:val="%1"/>
      <w:lvlJc w:val="left"/>
      <w:pPr>
        <w:tabs>
          <w:tab w:val="left" w:pos="0"/>
        </w:tabs>
        <w:ind w:left="425" w:hanging="425"/>
      </w:pPr>
      <w:rPr>
        <w:rFonts w:hint="default" w:ascii="Times New Roman" w:hAnsi="Times New Roman" w:eastAsia="宋体" w:cs="Times New Roman"/>
        <w:sz w:val="28"/>
        <w:szCs w:val="28"/>
      </w:rPr>
    </w:lvl>
    <w:lvl w:ilvl="1" w:tentative="0">
      <w:start w:val="1"/>
      <w:numFmt w:val="decimal"/>
      <w:suff w:val="space"/>
      <w:lvlText w:val="%1.%2"/>
      <w:lvlJc w:val="left"/>
      <w:pPr>
        <w:tabs>
          <w:tab w:val="left" w:pos="0"/>
        </w:tabs>
        <w:ind w:left="850" w:hanging="850"/>
      </w:pPr>
      <w:rPr>
        <w:rFonts w:hint="default" w:ascii="Times New Roman" w:hAnsi="Times New Roman" w:eastAsia="宋体" w:cs="Times New Roman"/>
        <w:sz w:val="28"/>
        <w:szCs w:val="28"/>
      </w:rPr>
    </w:lvl>
    <w:lvl w:ilvl="2" w:tentative="0">
      <w:start w:val="1"/>
      <w:numFmt w:val="decimal"/>
      <w:pStyle w:val="5"/>
      <w:lvlText w:val="%1.%2.%3"/>
      <w:lvlJc w:val="left"/>
      <w:pPr>
        <w:tabs>
          <w:tab w:val="left" w:pos="420"/>
        </w:tabs>
        <w:ind w:left="1508" w:hanging="708"/>
      </w:pPr>
      <w:rPr>
        <w:rFonts w:hint="default" w:ascii="宋体" w:hAnsi="宋体" w:eastAsia="宋体" w:cs="宋体"/>
      </w:rPr>
    </w:lvl>
    <w:lvl w:ilvl="3" w:tentative="0">
      <w:start w:val="1"/>
      <w:numFmt w:val="decimal"/>
      <w:suff w:val="space"/>
      <w:lvlText w:val="%1.%2.%3.%4"/>
      <w:lvlJc w:val="left"/>
      <w:pPr>
        <w:tabs>
          <w:tab w:val="left" w:pos="420"/>
        </w:tabs>
        <w:ind w:left="2053" w:hanging="853"/>
      </w:pPr>
      <w:rPr>
        <w:rFonts w:hint="default" w:ascii="宋体" w:hAnsi="宋体" w:eastAsia="宋体" w:cs="宋体"/>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0C5709C2"/>
    <w:multiLevelType w:val="singleLevel"/>
    <w:tmpl w:val="0C5709C2"/>
    <w:lvl w:ilvl="0" w:tentative="0">
      <w:start w:val="1"/>
      <w:numFmt w:val="decimal"/>
      <w:lvlText w:val="(%1)"/>
      <w:lvlJc w:val="left"/>
      <w:pPr>
        <w:ind w:left="425" w:hanging="425"/>
      </w:pPr>
      <w:rPr>
        <w:rFonts w:hint="default"/>
      </w:rPr>
    </w:lvl>
  </w:abstractNum>
  <w:abstractNum w:abstractNumId="2">
    <w:nsid w:val="0ECB3DC2"/>
    <w:multiLevelType w:val="multilevel"/>
    <w:tmpl w:val="0ECB3DC2"/>
    <w:lvl w:ilvl="0" w:tentative="0">
      <w:start w:val="1"/>
      <w:numFmt w:val="decimal"/>
      <w:lvlText w:val="10.%1"/>
      <w:lvlJc w:val="left"/>
      <w:pPr>
        <w:ind w:left="418" w:hanging="420"/>
      </w:pPr>
      <w:rPr>
        <w:rFonts w:hint="default" w:ascii="Times New Roman" w:hAnsi="Times New Roman" w:cs="Times New Roman"/>
        <w:b w:val="0"/>
        <w:i w:val="0"/>
        <w:color w:val="auto"/>
        <w:sz w:val="24"/>
        <w:szCs w:val="24"/>
      </w:rPr>
    </w:lvl>
    <w:lvl w:ilvl="1" w:tentative="0">
      <w:start w:val="1"/>
      <w:numFmt w:val="decimal"/>
      <w:lvlText w:val="(%2)"/>
      <w:lvlJc w:val="left"/>
      <w:pPr>
        <w:ind w:left="808" w:hanging="390"/>
      </w:pPr>
      <w:rPr>
        <w:rFonts w:hint="default"/>
      </w:r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3">
    <w:nsid w:val="104CED64"/>
    <w:multiLevelType w:val="singleLevel"/>
    <w:tmpl w:val="104CED64"/>
    <w:lvl w:ilvl="0" w:tentative="0">
      <w:start w:val="1"/>
      <w:numFmt w:val="decimal"/>
      <w:lvlText w:val="%1."/>
      <w:lvlJc w:val="left"/>
      <w:pPr>
        <w:tabs>
          <w:tab w:val="left" w:pos="312"/>
        </w:tabs>
      </w:pPr>
    </w:lvl>
  </w:abstractNum>
  <w:abstractNum w:abstractNumId="4">
    <w:nsid w:val="111D4901"/>
    <w:multiLevelType w:val="multilevel"/>
    <w:tmpl w:val="111D4901"/>
    <w:lvl w:ilvl="0" w:tentative="0">
      <w:start w:val="1"/>
      <w:numFmt w:val="decimal"/>
      <w:lvlText w:val="12.%1"/>
      <w:lvlJc w:val="left"/>
      <w:pPr>
        <w:ind w:left="420" w:hanging="420"/>
      </w:pPr>
      <w:rPr>
        <w:rFonts w:hint="default" w:ascii="Times New Roman" w:hAnsi="Times New Roman" w:cs="Times New Roman"/>
        <w:b w:val="0"/>
        <w:i w:val="0"/>
        <w:color w:val="auto"/>
        <w:sz w:val="24"/>
        <w:szCs w:val="24"/>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1594051"/>
    <w:multiLevelType w:val="multilevel"/>
    <w:tmpl w:val="11594051"/>
    <w:lvl w:ilvl="0" w:tentative="0">
      <w:start w:val="1"/>
      <w:numFmt w:val="decimal"/>
      <w:lvlText w:val="5.%1"/>
      <w:lvlJc w:val="left"/>
      <w:pPr>
        <w:ind w:left="420" w:hanging="420"/>
      </w:pPr>
      <w:rPr>
        <w:rFonts w:hint="eastAsia"/>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3AE254C"/>
    <w:multiLevelType w:val="multilevel"/>
    <w:tmpl w:val="13AE254C"/>
    <w:lvl w:ilvl="0" w:tentative="0">
      <w:start w:val="1"/>
      <w:numFmt w:val="decimal"/>
      <w:lvlText w:val="8.%1"/>
      <w:lvlJc w:val="left"/>
      <w:pPr>
        <w:ind w:left="704" w:hanging="420"/>
      </w:pPr>
      <w:rPr>
        <w:rFonts w:hint="eastAsia"/>
        <w:b w:val="0"/>
        <w:i w:val="0"/>
        <w:color w:val="auto"/>
        <w:sz w:val="24"/>
        <w:szCs w:val="24"/>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7">
    <w:nsid w:val="18324A0E"/>
    <w:multiLevelType w:val="singleLevel"/>
    <w:tmpl w:val="18324A0E"/>
    <w:lvl w:ilvl="0" w:tentative="0">
      <w:start w:val="1"/>
      <w:numFmt w:val="decimal"/>
      <w:suff w:val="nothing"/>
      <w:lvlText w:val="%1、"/>
      <w:lvlJc w:val="left"/>
    </w:lvl>
  </w:abstractNum>
  <w:abstractNum w:abstractNumId="8">
    <w:nsid w:val="187E4373"/>
    <w:multiLevelType w:val="multilevel"/>
    <w:tmpl w:val="187E4373"/>
    <w:lvl w:ilvl="0" w:tentative="0">
      <w:start w:val="1"/>
      <w:numFmt w:val="decimal"/>
      <w:lvlText w:val="19.%1"/>
      <w:lvlJc w:val="left"/>
      <w:pPr>
        <w:ind w:left="420" w:hanging="420"/>
      </w:pPr>
      <w:rPr>
        <w:rFonts w:hint="eastAsia"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0673A34"/>
    <w:multiLevelType w:val="multilevel"/>
    <w:tmpl w:val="20673A34"/>
    <w:lvl w:ilvl="0" w:tentative="0">
      <w:start w:val="1"/>
      <w:numFmt w:val="decimal"/>
      <w:lvlText w:val="9.%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2030A0D"/>
    <w:multiLevelType w:val="multilevel"/>
    <w:tmpl w:val="22030A0D"/>
    <w:lvl w:ilvl="0" w:tentative="0">
      <w:start w:val="1"/>
      <w:numFmt w:val="decimal"/>
      <w:lvlText w:val="17.%1"/>
      <w:lvlJc w:val="left"/>
      <w:pPr>
        <w:ind w:left="420" w:hanging="420"/>
      </w:pPr>
      <w:rPr>
        <w:rFonts w:hint="default" w:cs="Times New Roman" w:asciiTheme="minorEastAsia" w:hAnsiTheme="minorEastAsia" w:eastAsiaTheme="minorEastAsia"/>
        <w:b w:val="0"/>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88C4446"/>
    <w:multiLevelType w:val="multilevel"/>
    <w:tmpl w:val="288C4446"/>
    <w:lvl w:ilvl="0" w:tentative="0">
      <w:start w:val="1"/>
      <w:numFmt w:val="decimal"/>
      <w:lvlText w:val="11.%1"/>
      <w:lvlJc w:val="left"/>
      <w:pPr>
        <w:tabs>
          <w:tab w:val="left" w:pos="1860"/>
        </w:tabs>
        <w:ind w:left="1860" w:hanging="420"/>
      </w:pPr>
      <w:rPr>
        <w:rFonts w:hint="default" w:ascii="Times New Roman" w:hAnsi="Times New Roman" w:cs="Times New Roman"/>
        <w:b w:val="0"/>
        <w:i w:val="0"/>
        <w:color w:val="auto"/>
        <w:sz w:val="24"/>
        <w:szCs w:val="24"/>
        <w:lang w:eastAsia="zh-CN"/>
      </w:rPr>
    </w:lvl>
    <w:lvl w:ilvl="1" w:tentative="0">
      <w:start w:val="1"/>
      <w:numFmt w:val="decimal"/>
      <w:lvlText w:val="(%2)"/>
      <w:lvlJc w:val="left"/>
      <w:pPr>
        <w:tabs>
          <w:tab w:val="left" w:pos="840"/>
        </w:tabs>
        <w:ind w:left="840" w:hanging="420"/>
      </w:pPr>
      <w:rPr>
        <w:rFonts w:ascii="Times New Roman"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DC64C40"/>
    <w:multiLevelType w:val="multilevel"/>
    <w:tmpl w:val="2DC64C40"/>
    <w:lvl w:ilvl="0" w:tentative="0">
      <w:start w:val="1"/>
      <w:numFmt w:val="chineseCountingThousand"/>
      <w:lvlText w:val="第%1条"/>
      <w:lvlJc w:val="left"/>
      <w:pPr>
        <w:ind w:left="1697" w:hanging="420"/>
      </w:pPr>
      <w:rPr>
        <w:rFonts w:hint="eastAsia"/>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E967B86"/>
    <w:multiLevelType w:val="multilevel"/>
    <w:tmpl w:val="2E967B86"/>
    <w:lvl w:ilvl="0" w:tentative="0">
      <w:start w:val="1"/>
      <w:numFmt w:val="decimal"/>
      <w:lvlText w:val="7.%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44619A6"/>
    <w:multiLevelType w:val="multilevel"/>
    <w:tmpl w:val="344619A6"/>
    <w:lvl w:ilvl="0" w:tentative="0">
      <w:start w:val="1"/>
      <w:numFmt w:val="decimal"/>
      <w:lvlText w:val="18.%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7BB4534"/>
    <w:multiLevelType w:val="multilevel"/>
    <w:tmpl w:val="37BB4534"/>
    <w:lvl w:ilvl="0" w:tentative="0">
      <w:start w:val="1"/>
      <w:numFmt w:val="decimal"/>
      <w:lvlText w:val="(%1)"/>
      <w:lvlJc w:val="left"/>
      <w:pPr>
        <w:ind w:left="1068" w:hanging="420"/>
      </w:pPr>
      <w:rPr>
        <w:rFonts w:hint="eastAsia" w:ascii="Times New Roman" w:hAnsi="Times New Roman" w:eastAsia="宋体" w:cs="Times New Roman"/>
      </w:rPr>
    </w:lvl>
    <w:lvl w:ilvl="1" w:tentative="0">
      <w:start w:val="1"/>
      <w:numFmt w:val="decimal"/>
      <w:lvlText w:val="(%2)"/>
      <w:lvlJc w:val="left"/>
      <w:pPr>
        <w:ind w:left="1488" w:hanging="420"/>
      </w:pPr>
      <w:rPr>
        <w:rFonts w:hint="eastAsia" w:ascii="Times New Roman" w:hAnsi="Times New Roman" w:eastAsia="宋体" w:cs="Times New Roman"/>
      </w:r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16">
    <w:nsid w:val="3B6E3992"/>
    <w:multiLevelType w:val="multilevel"/>
    <w:tmpl w:val="3B6E3992"/>
    <w:lvl w:ilvl="0" w:tentative="0">
      <w:start w:val="1"/>
      <w:numFmt w:val="decimal"/>
      <w:lvlText w:val="16.%1"/>
      <w:lvlJc w:val="left"/>
      <w:pPr>
        <w:ind w:left="84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3EB85368"/>
    <w:multiLevelType w:val="multilevel"/>
    <w:tmpl w:val="3EB85368"/>
    <w:lvl w:ilvl="0" w:tentative="0">
      <w:start w:val="1"/>
      <w:numFmt w:val="decimal"/>
      <w:lvlText w:val="1.%1"/>
      <w:lvlJc w:val="left"/>
      <w:pPr>
        <w:tabs>
          <w:tab w:val="left" w:pos="2278"/>
        </w:tabs>
        <w:ind w:left="2278" w:hanging="42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3FC80A62"/>
    <w:multiLevelType w:val="multilevel"/>
    <w:tmpl w:val="3FC80A62"/>
    <w:lvl w:ilvl="0" w:tentative="0">
      <w:start w:val="1"/>
      <w:numFmt w:val="decimal"/>
      <w:lvlText w:val="4.%1"/>
      <w:lvlJc w:val="left"/>
      <w:pPr>
        <w:tabs>
          <w:tab w:val="left" w:pos="562"/>
        </w:tabs>
        <w:ind w:left="562" w:hanging="420"/>
      </w:pPr>
      <w:rPr>
        <w:rFonts w:hint="eastAsia"/>
        <w:b w:val="0"/>
        <w:i w:val="0"/>
        <w:color w:val="auto"/>
        <w:sz w:val="24"/>
        <w:szCs w:val="24"/>
      </w:rPr>
    </w:lvl>
    <w:lvl w:ilvl="1" w:tentative="0">
      <w:start w:val="1"/>
      <w:numFmt w:val="decimal"/>
      <w:lvlText w:val="(%2)"/>
      <w:lvlJc w:val="left"/>
      <w:pPr>
        <w:tabs>
          <w:tab w:val="left" w:pos="-140"/>
        </w:tabs>
        <w:ind w:left="154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0B6C9A8"/>
    <w:multiLevelType w:val="singleLevel"/>
    <w:tmpl w:val="40B6C9A8"/>
    <w:lvl w:ilvl="0" w:tentative="0">
      <w:start w:val="1"/>
      <w:numFmt w:val="decimal"/>
      <w:suff w:val="nothing"/>
      <w:lvlText w:val="%1、"/>
      <w:lvlJc w:val="left"/>
    </w:lvl>
  </w:abstractNum>
  <w:abstractNum w:abstractNumId="20">
    <w:nsid w:val="490B6D34"/>
    <w:multiLevelType w:val="multilevel"/>
    <w:tmpl w:val="490B6D34"/>
    <w:lvl w:ilvl="0" w:tentative="0">
      <w:start w:val="1"/>
      <w:numFmt w:val="decimal"/>
      <w:lvlText w:val="15.%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C4253E0"/>
    <w:multiLevelType w:val="multilevel"/>
    <w:tmpl w:val="4C4253E0"/>
    <w:lvl w:ilvl="0" w:tentative="0">
      <w:start w:val="1"/>
      <w:numFmt w:val="decimal"/>
      <w:lvlText w:val="(%1)"/>
      <w:lvlJc w:val="left"/>
      <w:pPr>
        <w:ind w:left="420" w:hanging="420"/>
      </w:pPr>
      <w:rPr>
        <w:rFonts w:hint="eastAsia" w:ascii="Times New Roman" w:hAnsi="Times New Roman" w:eastAsia="宋体" w:cs="Times New Roman"/>
      </w:rPr>
    </w:lvl>
    <w:lvl w:ilvl="1" w:tentative="0">
      <w:start w:val="1"/>
      <w:numFmt w:val="decimal"/>
      <w:lvlText w:val="(%2)"/>
      <w:lvlJc w:val="left"/>
      <w:pPr>
        <w:ind w:left="840" w:hanging="420"/>
      </w:pPr>
      <w:rPr>
        <w:rFonts w:hint="default" w:ascii="Times New Roman" w:hAnsi="Times New Roman" w:cs="Times New Roman"/>
        <w:b w:val="0"/>
        <w:i w:val="0"/>
        <w:color w:val="auto"/>
        <w:spacing w:val="0"/>
        <w:kern w:val="2"/>
        <w:sz w:val="24"/>
        <w:szCs w:val="24"/>
        <w:u w:val="none"/>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CE12B4A"/>
    <w:multiLevelType w:val="multilevel"/>
    <w:tmpl w:val="4CE12B4A"/>
    <w:lvl w:ilvl="0" w:tentative="0">
      <w:start w:val="5"/>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4EEC7676"/>
    <w:multiLevelType w:val="multilevel"/>
    <w:tmpl w:val="4EEC7676"/>
    <w:lvl w:ilvl="0" w:tentative="0">
      <w:start w:val="1"/>
      <w:numFmt w:val="decimal"/>
      <w:lvlText w:val="13.%1."/>
      <w:lvlJc w:val="left"/>
      <w:pPr>
        <w:tabs>
          <w:tab w:val="left" w:pos="3681"/>
        </w:tabs>
        <w:ind w:left="3681" w:hanging="420"/>
      </w:pPr>
      <w:rPr>
        <w:rFonts w:hint="default" w:ascii="Times New Roman" w:hAnsi="Times New Roman" w:cs="Times New Roman"/>
        <w:b w:val="0"/>
        <w:i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4F2A4C79"/>
    <w:multiLevelType w:val="multilevel"/>
    <w:tmpl w:val="4F2A4C79"/>
    <w:lvl w:ilvl="0" w:tentative="0">
      <w:start w:val="1"/>
      <w:numFmt w:val="decimal"/>
      <w:lvlText w:val="17.%1"/>
      <w:lvlJc w:val="left"/>
      <w:pPr>
        <w:ind w:left="1126" w:hanging="420"/>
      </w:pPr>
      <w:rPr>
        <w:rFonts w:hint="eastAsia" w:cs="Times New Roman"/>
        <w:b w:val="0"/>
        <w:color w:val="auto"/>
        <w:sz w:val="24"/>
        <w:szCs w:val="21"/>
      </w:rPr>
    </w:lvl>
    <w:lvl w:ilvl="1" w:tentative="0">
      <w:start w:val="1"/>
      <w:numFmt w:val="lowerLetter"/>
      <w:lvlText w:val="%2)"/>
      <w:lvlJc w:val="left"/>
      <w:pPr>
        <w:ind w:left="1546" w:hanging="420"/>
      </w:pPr>
    </w:lvl>
    <w:lvl w:ilvl="2" w:tentative="0">
      <w:start w:val="1"/>
      <w:numFmt w:val="lowerRoman"/>
      <w:lvlText w:val="%3."/>
      <w:lvlJc w:val="right"/>
      <w:pPr>
        <w:ind w:left="1966" w:hanging="420"/>
      </w:pPr>
    </w:lvl>
    <w:lvl w:ilvl="3" w:tentative="0">
      <w:start w:val="1"/>
      <w:numFmt w:val="decimal"/>
      <w:lvlText w:val="%4."/>
      <w:lvlJc w:val="left"/>
      <w:pPr>
        <w:ind w:left="2386" w:hanging="420"/>
      </w:pPr>
    </w:lvl>
    <w:lvl w:ilvl="4" w:tentative="0">
      <w:start w:val="1"/>
      <w:numFmt w:val="lowerLetter"/>
      <w:lvlText w:val="%5)"/>
      <w:lvlJc w:val="left"/>
      <w:pPr>
        <w:ind w:left="2806" w:hanging="420"/>
      </w:pPr>
    </w:lvl>
    <w:lvl w:ilvl="5" w:tentative="0">
      <w:start w:val="1"/>
      <w:numFmt w:val="lowerRoman"/>
      <w:lvlText w:val="%6."/>
      <w:lvlJc w:val="right"/>
      <w:pPr>
        <w:ind w:left="3226" w:hanging="420"/>
      </w:pPr>
    </w:lvl>
    <w:lvl w:ilvl="6" w:tentative="0">
      <w:start w:val="1"/>
      <w:numFmt w:val="decimal"/>
      <w:lvlText w:val="%7."/>
      <w:lvlJc w:val="left"/>
      <w:pPr>
        <w:ind w:left="3646" w:hanging="420"/>
      </w:pPr>
    </w:lvl>
    <w:lvl w:ilvl="7" w:tentative="0">
      <w:start w:val="1"/>
      <w:numFmt w:val="lowerLetter"/>
      <w:lvlText w:val="%8)"/>
      <w:lvlJc w:val="left"/>
      <w:pPr>
        <w:ind w:left="4066" w:hanging="420"/>
      </w:pPr>
    </w:lvl>
    <w:lvl w:ilvl="8" w:tentative="0">
      <w:start w:val="1"/>
      <w:numFmt w:val="lowerRoman"/>
      <w:lvlText w:val="%9."/>
      <w:lvlJc w:val="right"/>
      <w:pPr>
        <w:ind w:left="4486" w:hanging="420"/>
      </w:pPr>
    </w:lvl>
  </w:abstractNum>
  <w:abstractNum w:abstractNumId="25">
    <w:nsid w:val="56791D3E"/>
    <w:multiLevelType w:val="multilevel"/>
    <w:tmpl w:val="56791D3E"/>
    <w:lvl w:ilvl="0" w:tentative="0">
      <w:start w:val="1"/>
      <w:numFmt w:val="decimal"/>
      <w:lvlText w:val="(%1)"/>
      <w:lvlJc w:val="left"/>
      <w:pPr>
        <w:tabs>
          <w:tab w:val="left" w:pos="840"/>
        </w:tabs>
        <w:ind w:left="840" w:hanging="420"/>
      </w:pPr>
      <w:rPr>
        <w:rFonts w:ascii="Times New Roman" w:hAnsi="宋体" w:eastAsia="宋体" w:cs="Times New Roman"/>
      </w:rPr>
    </w:lvl>
    <w:lvl w:ilvl="1" w:tentative="0">
      <w:start w:val="1"/>
      <w:numFmt w:val="lowerLetter"/>
      <w:lvlText w:val="%2)"/>
      <w:lvlJc w:val="left"/>
      <w:pPr>
        <w:tabs>
          <w:tab w:val="left" w:pos="360"/>
        </w:tabs>
        <w:ind w:left="360" w:hanging="420"/>
      </w:pPr>
    </w:lvl>
    <w:lvl w:ilvl="2" w:tentative="0">
      <w:start w:val="1"/>
      <w:numFmt w:val="lowerRoman"/>
      <w:lvlText w:val="%3."/>
      <w:lvlJc w:val="right"/>
      <w:pPr>
        <w:tabs>
          <w:tab w:val="left" w:pos="780"/>
        </w:tabs>
        <w:ind w:left="780" w:hanging="420"/>
      </w:pPr>
    </w:lvl>
    <w:lvl w:ilvl="3" w:tentative="0">
      <w:start w:val="1"/>
      <w:numFmt w:val="decimal"/>
      <w:lvlText w:val="%4."/>
      <w:lvlJc w:val="left"/>
      <w:pPr>
        <w:tabs>
          <w:tab w:val="left" w:pos="1200"/>
        </w:tabs>
        <w:ind w:left="1200" w:hanging="420"/>
      </w:pPr>
    </w:lvl>
    <w:lvl w:ilvl="4" w:tentative="0">
      <w:start w:val="1"/>
      <w:numFmt w:val="lowerLetter"/>
      <w:lvlText w:val="%5)"/>
      <w:lvlJc w:val="left"/>
      <w:pPr>
        <w:tabs>
          <w:tab w:val="left" w:pos="1620"/>
        </w:tabs>
        <w:ind w:left="1620" w:hanging="420"/>
      </w:pPr>
    </w:lvl>
    <w:lvl w:ilvl="5" w:tentative="0">
      <w:start w:val="1"/>
      <w:numFmt w:val="lowerRoman"/>
      <w:lvlText w:val="%6."/>
      <w:lvlJc w:val="right"/>
      <w:pPr>
        <w:tabs>
          <w:tab w:val="left" w:pos="2040"/>
        </w:tabs>
        <w:ind w:left="2040" w:hanging="420"/>
      </w:pPr>
    </w:lvl>
    <w:lvl w:ilvl="6" w:tentative="0">
      <w:start w:val="1"/>
      <w:numFmt w:val="decimal"/>
      <w:lvlText w:val="%7."/>
      <w:lvlJc w:val="left"/>
      <w:pPr>
        <w:tabs>
          <w:tab w:val="left" w:pos="2460"/>
        </w:tabs>
        <w:ind w:left="2460" w:hanging="420"/>
      </w:pPr>
    </w:lvl>
    <w:lvl w:ilvl="7" w:tentative="0">
      <w:start w:val="1"/>
      <w:numFmt w:val="lowerLetter"/>
      <w:lvlText w:val="%8)"/>
      <w:lvlJc w:val="left"/>
      <w:pPr>
        <w:tabs>
          <w:tab w:val="left" w:pos="2880"/>
        </w:tabs>
        <w:ind w:left="2880" w:hanging="420"/>
      </w:pPr>
    </w:lvl>
    <w:lvl w:ilvl="8" w:tentative="0">
      <w:start w:val="1"/>
      <w:numFmt w:val="lowerRoman"/>
      <w:lvlText w:val="%9."/>
      <w:lvlJc w:val="right"/>
      <w:pPr>
        <w:tabs>
          <w:tab w:val="left" w:pos="3300"/>
        </w:tabs>
        <w:ind w:left="3300" w:hanging="420"/>
      </w:pPr>
    </w:lvl>
  </w:abstractNum>
  <w:abstractNum w:abstractNumId="26">
    <w:nsid w:val="5D5607AE"/>
    <w:multiLevelType w:val="multilevel"/>
    <w:tmpl w:val="5D5607AE"/>
    <w:lvl w:ilvl="0" w:tentative="0">
      <w:start w:val="1"/>
      <w:numFmt w:val="decimal"/>
      <w:lvlText w:val="2.%1"/>
      <w:lvlJc w:val="left"/>
      <w:pPr>
        <w:tabs>
          <w:tab w:val="left" w:pos="840"/>
        </w:tabs>
        <w:ind w:left="840" w:hanging="420"/>
      </w:pPr>
      <w:rPr>
        <w:rFonts w:hint="default" w:ascii="Times New Roman" w:hAnsi="Times New Roman" w:cs="Times New Roman"/>
      </w:rPr>
    </w:lvl>
    <w:lvl w:ilvl="1" w:tentative="0">
      <w:start w:val="1"/>
      <w:numFmt w:val="decimal"/>
      <w:lvlText w:val="(%2)"/>
      <w:lvlJc w:val="left"/>
      <w:pPr>
        <w:tabs>
          <w:tab w:val="left" w:pos="-560"/>
        </w:tabs>
        <w:ind w:left="112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DD16306"/>
    <w:multiLevelType w:val="multilevel"/>
    <w:tmpl w:val="5DD16306"/>
    <w:lvl w:ilvl="0" w:tentative="0">
      <w:start w:val="1"/>
      <w:numFmt w:val="decimal"/>
      <w:lvlText w:val="3.%1"/>
      <w:lvlJc w:val="left"/>
      <w:pPr>
        <w:tabs>
          <w:tab w:val="left" w:pos="840"/>
        </w:tabs>
        <w:ind w:left="840" w:hanging="420"/>
      </w:pPr>
      <w:rPr>
        <w:rFonts w:hint="eastAsia"/>
      </w:rPr>
    </w:lvl>
    <w:lvl w:ilvl="1" w:tentative="0">
      <w:start w:val="1"/>
      <w:numFmt w:val="decimal"/>
      <w:lvlText w:val="(%2)"/>
      <w:lvlJc w:val="left"/>
      <w:pPr>
        <w:tabs>
          <w:tab w:val="left" w:pos="-560"/>
        </w:tabs>
        <w:ind w:left="112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61694D6C"/>
    <w:multiLevelType w:val="singleLevel"/>
    <w:tmpl w:val="61694D6C"/>
    <w:lvl w:ilvl="0" w:tentative="0">
      <w:start w:val="1"/>
      <w:numFmt w:val="decimal"/>
      <w:suff w:val="nothing"/>
      <w:lvlText w:val="%1、"/>
      <w:lvlJc w:val="left"/>
    </w:lvl>
  </w:abstractNum>
  <w:abstractNum w:abstractNumId="29">
    <w:nsid w:val="69B179D7"/>
    <w:multiLevelType w:val="multilevel"/>
    <w:tmpl w:val="69B179D7"/>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CB93CF0"/>
    <w:multiLevelType w:val="multilevel"/>
    <w:tmpl w:val="6CB93CF0"/>
    <w:lvl w:ilvl="0" w:tentative="0">
      <w:start w:val="3"/>
      <w:numFmt w:val="none"/>
      <w:lvlText w:val="6"/>
      <w:lvlJc w:val="left"/>
      <w:pPr>
        <w:tabs>
          <w:tab w:val="left" w:pos="420"/>
        </w:tabs>
        <w:ind w:left="420" w:hanging="420"/>
      </w:pPr>
      <w:rPr>
        <w:rFonts w:hint="eastAsia"/>
      </w:rPr>
    </w:lvl>
    <w:lvl w:ilvl="1" w:tentative="0">
      <w:start w:val="1"/>
      <w:numFmt w:val="decimal"/>
      <w:lvlText w:val="20.%2"/>
      <w:lvlJc w:val="left"/>
      <w:pPr>
        <w:tabs>
          <w:tab w:val="left" w:pos="720"/>
        </w:tabs>
        <w:ind w:left="720" w:hanging="72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800"/>
        </w:tabs>
        <w:ind w:left="1800" w:hanging="1800"/>
      </w:pPr>
      <w:rPr>
        <w:rFonts w:hint="eastAsia"/>
      </w:rPr>
    </w:lvl>
    <w:lvl w:ilvl="6" w:tentative="0">
      <w:start w:val="1"/>
      <w:numFmt w:val="decimal"/>
      <w:lvlText w:val="%1.%2.%3.%4.%5.%6.%7"/>
      <w:lvlJc w:val="left"/>
      <w:pPr>
        <w:tabs>
          <w:tab w:val="left" w:pos="2160"/>
        </w:tabs>
        <w:ind w:left="2160" w:hanging="216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520"/>
        </w:tabs>
        <w:ind w:left="2520" w:hanging="2520"/>
      </w:pPr>
      <w:rPr>
        <w:rFonts w:hint="eastAsia"/>
      </w:rPr>
    </w:lvl>
  </w:abstractNum>
  <w:abstractNum w:abstractNumId="31">
    <w:nsid w:val="74B04668"/>
    <w:multiLevelType w:val="multilevel"/>
    <w:tmpl w:val="74B04668"/>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32">
    <w:nsid w:val="78E83899"/>
    <w:multiLevelType w:val="multilevel"/>
    <w:tmpl w:val="78E83899"/>
    <w:lvl w:ilvl="0" w:tentative="0">
      <w:start w:val="14"/>
      <w:numFmt w:val="decimal"/>
      <w:lvlText w:val="%1."/>
      <w:lvlJc w:val="left"/>
      <w:pPr>
        <w:tabs>
          <w:tab w:val="left" w:pos="0"/>
        </w:tabs>
        <w:ind w:left="810" w:hanging="810"/>
      </w:pPr>
      <w:rPr>
        <w:rFonts w:hint="default"/>
      </w:rPr>
    </w:lvl>
    <w:lvl w:ilvl="1" w:tentative="0">
      <w:start w:val="1"/>
      <w:numFmt w:val="decimal"/>
      <w:lvlText w:val="21.%2"/>
      <w:lvlJc w:val="left"/>
      <w:pPr>
        <w:tabs>
          <w:tab w:val="left" w:pos="0"/>
        </w:tabs>
        <w:ind w:left="810" w:hanging="81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0"/>
        </w:tabs>
        <w:ind w:left="1080" w:hanging="1080"/>
      </w:pPr>
      <w:rPr>
        <w:rFonts w:hint="default"/>
      </w:rPr>
    </w:lvl>
    <w:lvl w:ilvl="3" w:tentative="0">
      <w:start w:val="1"/>
      <w:numFmt w:val="decimal"/>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440" w:hanging="1440"/>
      </w:pPr>
      <w:rPr>
        <w:rFonts w:hint="default"/>
      </w:rPr>
    </w:lvl>
    <w:lvl w:ilvl="5" w:tentative="0">
      <w:start w:val="1"/>
      <w:numFmt w:val="decimal"/>
      <w:lvlText w:val="%1.%2、%3.%4.%5.%6."/>
      <w:lvlJc w:val="left"/>
      <w:pPr>
        <w:tabs>
          <w:tab w:val="left" w:pos="0"/>
        </w:tabs>
        <w:ind w:left="1800" w:hanging="1800"/>
      </w:pPr>
      <w:rPr>
        <w:rFonts w:hint="default"/>
      </w:rPr>
    </w:lvl>
    <w:lvl w:ilvl="6" w:tentative="0">
      <w:start w:val="1"/>
      <w:numFmt w:val="decimal"/>
      <w:lvlText w:val="%1.%2、%3.%4.%5.%6.%7."/>
      <w:lvlJc w:val="left"/>
      <w:pPr>
        <w:tabs>
          <w:tab w:val="left" w:pos="0"/>
        </w:tabs>
        <w:ind w:left="1800" w:hanging="1800"/>
      </w:pPr>
      <w:rPr>
        <w:rFonts w:hint="default"/>
      </w:rPr>
    </w:lvl>
    <w:lvl w:ilvl="7" w:tentative="0">
      <w:start w:val="1"/>
      <w:numFmt w:val="decimal"/>
      <w:lvlText w:val="%1.%2、%3.%4.%5.%6.%7.%8."/>
      <w:lvlJc w:val="left"/>
      <w:pPr>
        <w:tabs>
          <w:tab w:val="left" w:pos="0"/>
        </w:tabs>
        <w:ind w:left="2160" w:hanging="216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33">
    <w:nsid w:val="7C367DBC"/>
    <w:multiLevelType w:val="multilevel"/>
    <w:tmpl w:val="7C367DBC"/>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4">
    <w:nsid w:val="7C6A4F85"/>
    <w:multiLevelType w:val="multilevel"/>
    <w:tmpl w:val="7C6A4F85"/>
    <w:lvl w:ilvl="0" w:tentative="0">
      <w:start w:val="1"/>
      <w:numFmt w:val="decimal"/>
      <w:lvlText w:val="6.%1"/>
      <w:lvlJc w:val="left"/>
      <w:pPr>
        <w:ind w:left="420" w:hanging="420"/>
      </w:pPr>
      <w:rPr>
        <w:rFonts w:hint="eastAsia"/>
        <w:b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E7783DD"/>
    <w:multiLevelType w:val="singleLevel"/>
    <w:tmpl w:val="7E7783DD"/>
    <w:lvl w:ilvl="0" w:tentative="0">
      <w:start w:val="1"/>
      <w:numFmt w:val="decimal"/>
      <w:suff w:val="nothing"/>
      <w:lvlText w:val="%1、"/>
      <w:lvlJc w:val="left"/>
      <w:pPr>
        <w:ind w:left="0" w:firstLine="0"/>
      </w:pPr>
    </w:lvl>
  </w:abstractNum>
  <w:abstractNum w:abstractNumId="36">
    <w:nsid w:val="7F342A9A"/>
    <w:multiLevelType w:val="singleLevel"/>
    <w:tmpl w:val="7F342A9A"/>
    <w:lvl w:ilvl="0" w:tentative="0">
      <w:start w:val="2"/>
      <w:numFmt w:val="chineseCounting"/>
      <w:suff w:val="nothing"/>
      <w:lvlText w:val="%1、"/>
      <w:lvlJc w:val="left"/>
      <w:rPr>
        <w:rFonts w:hint="eastAsia"/>
      </w:rPr>
    </w:lvl>
  </w:abstractNum>
  <w:num w:numId="1">
    <w:abstractNumId w:val="0"/>
  </w:num>
  <w:num w:numId="2">
    <w:abstractNumId w:val="3"/>
  </w:num>
  <w:num w:numId="3">
    <w:abstractNumId w:val="36"/>
  </w:num>
  <w:num w:numId="4">
    <w:abstractNumId w:val="22"/>
  </w:num>
  <w:num w:numId="5">
    <w:abstractNumId w:val="31"/>
  </w:num>
  <w:num w:numId="6">
    <w:abstractNumId w:val="12"/>
  </w:num>
  <w:num w:numId="7">
    <w:abstractNumId w:val="17"/>
  </w:num>
  <w:num w:numId="8">
    <w:abstractNumId w:val="26"/>
  </w:num>
  <w:num w:numId="9">
    <w:abstractNumId w:val="27"/>
  </w:num>
  <w:num w:numId="10">
    <w:abstractNumId w:val="1"/>
  </w:num>
  <w:num w:numId="11">
    <w:abstractNumId w:val="18"/>
  </w:num>
  <w:num w:numId="12">
    <w:abstractNumId w:val="33"/>
  </w:num>
  <w:num w:numId="13">
    <w:abstractNumId w:val="5"/>
  </w:num>
  <w:num w:numId="14">
    <w:abstractNumId w:val="34"/>
  </w:num>
  <w:num w:numId="15">
    <w:abstractNumId w:val="13"/>
  </w:num>
  <w:num w:numId="16">
    <w:abstractNumId w:val="6"/>
  </w:num>
  <w:num w:numId="17">
    <w:abstractNumId w:val="9"/>
  </w:num>
  <w:num w:numId="18">
    <w:abstractNumId w:val="2"/>
  </w:num>
  <w:num w:numId="19">
    <w:abstractNumId w:val="11"/>
  </w:num>
  <w:num w:numId="20">
    <w:abstractNumId w:val="4"/>
  </w:num>
  <w:num w:numId="21">
    <w:abstractNumId w:val="21"/>
  </w:num>
  <w:num w:numId="22">
    <w:abstractNumId w:val="23"/>
  </w:num>
  <w:num w:numId="23">
    <w:abstractNumId w:val="25"/>
  </w:num>
  <w:num w:numId="24">
    <w:abstractNumId w:val="10"/>
  </w:num>
  <w:num w:numId="25">
    <w:abstractNumId w:val="20"/>
  </w:num>
  <w:num w:numId="26">
    <w:abstractNumId w:val="16"/>
  </w:num>
  <w:num w:numId="27">
    <w:abstractNumId w:val="24"/>
  </w:num>
  <w:num w:numId="28">
    <w:abstractNumId w:val="14"/>
  </w:num>
  <w:num w:numId="29">
    <w:abstractNumId w:val="8"/>
  </w:num>
  <w:num w:numId="30">
    <w:abstractNumId w:val="15"/>
  </w:num>
  <w:num w:numId="31">
    <w:abstractNumId w:val="30"/>
  </w:num>
  <w:num w:numId="32">
    <w:abstractNumId w:val="32"/>
  </w:num>
  <w:num w:numId="33">
    <w:abstractNumId w:val="35"/>
  </w:num>
  <w:num w:numId="34">
    <w:abstractNumId w:val="19"/>
  </w:num>
  <w:num w:numId="35">
    <w:abstractNumId w:val="7"/>
  </w:num>
  <w:num w:numId="36">
    <w:abstractNumId w:val="28"/>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2879D5"/>
    <w:rsid w:val="096A36FA"/>
    <w:rsid w:val="277A707B"/>
    <w:rsid w:val="39FF590F"/>
    <w:rsid w:val="3F611E48"/>
    <w:rsid w:val="4B292F5B"/>
    <w:rsid w:val="53821A8C"/>
    <w:rsid w:val="5C2879D5"/>
    <w:rsid w:val="61DD43D6"/>
    <w:rsid w:val="732F7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numPr>
        <w:ilvl w:val="0"/>
        <w:numId w:val="1"/>
      </w:numPr>
      <w:ind w:left="0" w:firstLine="0" w:firstLineChars="0"/>
      <w:jc w:val="left"/>
      <w:outlineLvl w:val="0"/>
    </w:pPr>
    <w:rPr>
      <w:rFonts w:eastAsia="微软雅黑"/>
      <w:b/>
      <w:bCs/>
      <w:kern w:val="44"/>
      <w:sz w:val="28"/>
      <w:szCs w:val="44"/>
    </w:rPr>
  </w:style>
  <w:style w:type="paragraph" w:styleId="4">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numPr>
        <w:ilvl w:val="2"/>
        <w:numId w:val="1"/>
      </w:numPr>
      <w:tabs>
        <w:tab w:val="left" w:pos="0"/>
      </w:tabs>
      <w:ind w:firstLine="0" w:firstLineChars="0"/>
      <w:outlineLvl w:val="2"/>
    </w:pPr>
    <w:rPr>
      <w:rFonts w:cs="微软雅黑"/>
      <w:b/>
    </w:rPr>
  </w:style>
  <w:style w:type="character" w:default="1" w:styleId="17">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pPr>
    <w:rPr>
      <w:sz w:val="18"/>
      <w:szCs w:val="18"/>
    </w:rPr>
  </w:style>
  <w:style w:type="paragraph" w:styleId="6">
    <w:name w:val="Normal Indent"/>
    <w:basedOn w:val="1"/>
    <w:next w:val="1"/>
    <w:qFormat/>
    <w:uiPriority w:val="0"/>
    <w:pPr>
      <w:ind w:firstLine="420" w:firstLineChars="200"/>
    </w:pPr>
    <w:rPr>
      <w:rFonts w:ascii="Times New Roman" w:hAnsi="Times New Roman"/>
      <w:szCs w:val="24"/>
    </w:rPr>
  </w:style>
  <w:style w:type="paragraph" w:styleId="7">
    <w:name w:val="annotation text"/>
    <w:basedOn w:val="1"/>
    <w:unhideWhenUsed/>
    <w:qFormat/>
    <w:uiPriority w:val="99"/>
    <w:pPr>
      <w:keepNext w:val="0"/>
      <w:keepLines w:val="0"/>
      <w:widowControl w:val="0"/>
      <w:suppressLineNumbers w:val="0"/>
      <w:spacing w:before="0" w:beforeAutospacing="0" w:after="0" w:afterAutospacing="0" w:line="360" w:lineRule="auto"/>
      <w:ind w:left="0" w:right="0" w:firstLine="1040" w:firstLineChars="200"/>
      <w:jc w:val="left"/>
    </w:pPr>
    <w:rPr>
      <w:rFonts w:hint="default" w:ascii="Times New Roman" w:hAnsi="Times New Roman" w:eastAsia="宋体" w:cs="Times New Roman"/>
      <w:kern w:val="2"/>
      <w:sz w:val="24"/>
      <w:szCs w:val="24"/>
      <w:lang w:val="en-US" w:eastAsia="zh-CN" w:bidi="ar"/>
    </w:rPr>
  </w:style>
  <w:style w:type="paragraph" w:styleId="8">
    <w:name w:val="Body Text"/>
    <w:basedOn w:val="1"/>
    <w:next w:val="1"/>
    <w:qFormat/>
    <w:uiPriority w:val="1"/>
    <w:pPr>
      <w:spacing w:before="36"/>
      <w:ind w:left="780"/>
      <w:jc w:val="left"/>
    </w:pPr>
    <w:rPr>
      <w:rFonts w:ascii="宋体" w:hAnsi="宋体" w:eastAsia="宋体"/>
      <w:kern w:val="0"/>
      <w:szCs w:val="21"/>
      <w:lang w:eastAsia="en-US"/>
    </w:rPr>
  </w:style>
  <w:style w:type="paragraph" w:styleId="9">
    <w:name w:val="Body Text Indent"/>
    <w:basedOn w:val="1"/>
    <w:unhideWhenUsed/>
    <w:qFormat/>
    <w:uiPriority w:val="0"/>
    <w:pPr>
      <w:spacing w:after="120"/>
      <w:ind w:left="420" w:leftChars="200"/>
      <w:jc w:val="left"/>
    </w:pPr>
    <w:rPr>
      <w:rFonts w:ascii="Calibri" w:hAnsi="Calibri"/>
      <w:kern w:val="0"/>
      <w:sz w:val="22"/>
      <w:szCs w:val="22"/>
      <w:lang w:eastAsia="en-US"/>
    </w:rPr>
  </w:style>
  <w:style w:type="paragraph" w:styleId="10">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608"/>
      </w:tabs>
      <w:spacing w:line="360" w:lineRule="auto"/>
      <w:ind w:firstLine="425" w:firstLineChars="177"/>
    </w:pPr>
  </w:style>
  <w:style w:type="paragraph" w:styleId="12">
    <w:name w:val="Normal (Web)"/>
    <w:basedOn w:val="1"/>
    <w:qFormat/>
    <w:uiPriority w:val="0"/>
    <w:rPr>
      <w:sz w:val="24"/>
    </w:rPr>
  </w:style>
  <w:style w:type="paragraph" w:styleId="13">
    <w:name w:val="Title"/>
    <w:basedOn w:val="1"/>
    <w:next w:val="1"/>
    <w:qFormat/>
    <w:uiPriority w:val="0"/>
    <w:pPr>
      <w:spacing w:before="240" w:after="60"/>
      <w:jc w:val="center"/>
      <w:outlineLvl w:val="0"/>
    </w:pPr>
    <w:rPr>
      <w:rFonts w:ascii="Arial" w:hAnsi="Arial" w:eastAsia="楷体_GB2312"/>
      <w:b/>
      <w:bCs/>
      <w:sz w:val="32"/>
      <w:szCs w:val="32"/>
    </w:rPr>
  </w:style>
  <w:style w:type="paragraph" w:styleId="14">
    <w:name w:val="Body Text First Indent"/>
    <w:basedOn w:val="8"/>
    <w:unhideWhenUsed/>
    <w:qFormat/>
    <w:uiPriority w:val="0"/>
    <w:pPr>
      <w:ind w:firstLine="602"/>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书目1"/>
    <w:basedOn w:val="1"/>
    <w:next w:val="1"/>
    <w:unhideWhenUsed/>
    <w:qFormat/>
    <w:uiPriority w:val="37"/>
  </w:style>
  <w:style w:type="paragraph" w:customStyle="1" w:styleId="19">
    <w:name w:val="Table Paragraph"/>
    <w:basedOn w:val="1"/>
    <w:qFormat/>
    <w:uiPriority w:val="0"/>
    <w:pPr>
      <w:jc w:val="left"/>
    </w:pPr>
    <w:rPr>
      <w:kern w:val="0"/>
      <w:sz w:val="22"/>
      <w:lang w:eastAsia="en-US"/>
    </w:rPr>
  </w:style>
  <w:style w:type="paragraph" w:styleId="20">
    <w:name w:val="List Paragraph"/>
    <w:basedOn w:val="1"/>
    <w:qFormat/>
    <w:uiPriority w:val="34"/>
    <w:pPr>
      <w:widowControl/>
      <w:ind w:firstLine="420"/>
    </w:pPr>
    <w:rPr>
      <w:rFonts w:ascii="Calibri" w:hAnsi="Calibri" w:eastAsia="宋体" w:cs="Calibri"/>
      <w:kern w:val="0"/>
      <w:szCs w:val="21"/>
    </w:rPr>
  </w:style>
  <w:style w:type="character" w:customStyle="1" w:styleId="21">
    <w:name w:val="font01"/>
    <w:basedOn w:val="17"/>
    <w:qFormat/>
    <w:uiPriority w:val="0"/>
    <w:rPr>
      <w:rFonts w:hint="eastAsia" w:ascii="宋体" w:hAnsi="宋体" w:eastAsia="宋体" w:cs="宋体"/>
      <w:color w:val="000000"/>
      <w:sz w:val="20"/>
      <w:szCs w:val="20"/>
      <w:u w:val="none"/>
    </w:rPr>
  </w:style>
  <w:style w:type="paragraph" w:customStyle="1" w:styleId="22">
    <w:name w:val="标题 22"/>
    <w:qFormat/>
    <w:uiPriority w:val="1"/>
    <w:pPr>
      <w:widowControl w:val="0"/>
      <w:ind w:right="5" w:rightChars="5"/>
      <w:jc w:val="left"/>
      <w:outlineLvl w:val="2"/>
    </w:pPr>
    <w:rPr>
      <w:rFonts w:ascii="Noto Sans CJK DemiLight" w:hAnsi="Noto Sans CJK DemiLight" w:eastAsia="Noto Sans CJK DemiLight" w:cs="Times New Roman"/>
      <w:kern w:val="0"/>
      <w:sz w:val="32"/>
      <w:szCs w:val="32"/>
      <w:lang w:val="en-US" w:eastAsia="en-US" w:bidi="ar-SA"/>
    </w:rPr>
  </w:style>
  <w:style w:type="paragraph" w:customStyle="1" w:styleId="2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4">
    <w:name w:val="Normal_1"/>
    <w:next w:val="25"/>
    <w:qFormat/>
    <w:uiPriority w:val="0"/>
    <w:rPr>
      <w:rFonts w:ascii="Times New Roman" w:hAnsi="Times New Roman" w:eastAsia="Times New Roman" w:cs="Times New Roman"/>
      <w:sz w:val="24"/>
      <w:szCs w:val="24"/>
    </w:rPr>
  </w:style>
  <w:style w:type="paragraph" w:customStyle="1" w:styleId="25">
    <w:name w:val="默认段落字体 Para Char"/>
    <w:basedOn w:val="26"/>
    <w:next w:val="1"/>
    <w:qFormat/>
    <w:uiPriority w:val="0"/>
    <w:pPr>
      <w:widowControl w:val="0"/>
      <w:spacing w:before="80" w:after="80" w:line="360" w:lineRule="auto"/>
      <w:jc w:val="both"/>
    </w:pPr>
    <w:rPr>
      <w:rFonts w:ascii="Calibri" w:hAnsi="Calibri" w:cs="Times New Roman"/>
      <w:kern w:val="2"/>
      <w:szCs w:val="20"/>
    </w:rPr>
  </w:style>
  <w:style w:type="paragraph" w:customStyle="1" w:styleId="26">
    <w:name w:val="Normal_0"/>
    <w:next w:val="25"/>
    <w:qFormat/>
    <w:uiPriority w:val="0"/>
    <w:pPr>
      <w:overflowPunct w:val="0"/>
      <w:autoSpaceDE w:val="0"/>
      <w:autoSpaceDN w:val="0"/>
      <w:adjustRightInd w:val="0"/>
    </w:pPr>
    <w:rPr>
      <w:rFonts w:ascii="Times New Roman" w:hAnsi="Times New Roman" w:eastAsia="宋体"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91</Pages>
  <Words>0</Words>
  <Characters>0</Characters>
  <Lines>1</Lines>
  <Paragraphs>1</Paragraphs>
  <TotalTime>1</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2025-08-25T07:18:00Z</dcterms:created>
  <dc:creator>user</dc:creator>
  <cp:lastModifiedBy>user</cp:lastModifiedBy>
  <dcterms:modified xsi:type="dcterms:W3CDTF">2025-08-26T08:49:23Z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CC11B29D0877425DB350F47699BF047E</vt:lpwstr>
  </property>
</Properties>
</file>