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5"/>
          <w:szCs w:val="5"/>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highlight w:val="none"/>
        </w:rPr>
      </w:pPr>
      <w:r>
        <w:rPr>
          <w:rFonts w:hint="eastAsia" w:asciiTheme="minorEastAsia" w:hAnsiTheme="minorEastAsia"/>
          <w:color w:val="auto"/>
          <w:spacing w:val="-3"/>
          <w:highlight w:val="none"/>
          <w:lang w:val="en-US" w:eastAsia="zh-CN"/>
        </w:rPr>
        <w:t>项目名称</w:t>
      </w:r>
      <w:r>
        <w:rPr>
          <w:rFonts w:asciiTheme="minorEastAsia" w:hAnsiTheme="minorEastAsia" w:eastAsiaTheme="minorEastAsia"/>
          <w:color w:val="auto"/>
          <w:spacing w:val="-3"/>
          <w:highlight w:val="none"/>
        </w:rPr>
        <w:t>：</w:t>
      </w:r>
      <w:r>
        <w:rPr>
          <w:rFonts w:hint="eastAsia" w:asciiTheme="minorEastAsia" w:hAnsiTheme="minorEastAsia" w:eastAsiaTheme="minorEastAsia"/>
          <w:color w:val="auto"/>
          <w:spacing w:val="-3"/>
          <w:highlight w:val="none"/>
          <w:u w:val="single"/>
          <w:lang w:val="en-US" w:eastAsia="zh-CN"/>
        </w:rPr>
        <w:t>信科公司上海分公司南区中控系统采购</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highlight w:val="none"/>
        </w:rPr>
      </w:pPr>
      <w:r>
        <w:rPr>
          <w:rFonts w:asciiTheme="minorEastAsia" w:hAnsiTheme="minorEastAsia" w:eastAsiaTheme="minorEastAsia"/>
          <w:color w:val="auto"/>
          <w:spacing w:val="-3"/>
          <w:highlight w:val="none"/>
        </w:rPr>
        <w:t>采购编号：</w:t>
      </w:r>
      <w:r>
        <w:rPr>
          <w:rFonts w:hint="eastAsia" w:asciiTheme="minorEastAsia" w:hAnsiTheme="minorEastAsia" w:eastAsiaTheme="minorEastAsia"/>
          <w:color w:val="auto"/>
          <w:spacing w:val="-3"/>
          <w:highlight w:val="none"/>
          <w:u w:val="single"/>
        </w:rPr>
        <w:t>GKXJ-2024-XK-2422</w:t>
      </w:r>
    </w:p>
    <w:p>
      <w:pPr>
        <w:pStyle w:val="9"/>
        <w:rPr>
          <w:color w:val="auto"/>
        </w:rPr>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0" w:firstLineChars="0"/>
        <w:jc w:val="center"/>
        <w:textAlignment w:val="auto"/>
        <w:outlineLvl w:val="9"/>
        <w:rPr>
          <w:rFonts w:hint="eastAsia" w:cs="宋体" w:asciiTheme="minorEastAsia" w:hAnsiTheme="minorEastAsia" w:eastAsiaTheme="minorEastAsia"/>
          <w:color w:val="000000" w:themeColor="text1"/>
          <w:sz w:val="28"/>
          <w:szCs w:val="28"/>
          <w:highlight w:val="none"/>
          <w:u w:val="single"/>
          <w:lang w:eastAsia="zh-CN"/>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lang w:val="en-US" w:eastAsia="zh-CN"/>
          <w14:textFill>
            <w14:solidFill>
              <w14:schemeClr w14:val="tx1"/>
            </w14:solidFill>
          </w14:textFill>
        </w:rPr>
        <w:t>中海油能源发展采办共享中心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宋体" w:asciiTheme="minorEastAsia" w:hAnsiTheme="minorEastAsia"/>
          <w:color w:val="000000" w:themeColor="text1"/>
          <w:sz w:val="28"/>
          <w:szCs w:val="28"/>
          <w:highlight w:val="none"/>
          <w14:textFill>
            <w14:solidFill>
              <w14:schemeClr w14:val="tx1"/>
            </w14:solidFill>
          </w14:textFill>
        </w:rPr>
        <w:t>年</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 xml:space="preserve"> 09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 xml:space="preserve">19 </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i w:val="0"/>
          <w:iCs w:val="0"/>
          <w:caps w:val="0"/>
          <w:spacing w:val="0"/>
          <w:sz w:val="21"/>
          <w:szCs w:val="21"/>
          <w:u w:val="single"/>
        </w:rPr>
        <w:t>信科公司上海分公司南区中控系统采购</w:t>
      </w:r>
      <w:r>
        <w:rPr>
          <w:rFonts w:hint="eastAsia" w:asciiTheme="minorEastAsia" w:hAnsiTheme="minorEastAsia" w:cstheme="minorEastAsia"/>
          <w:i w:val="0"/>
          <w:iCs w:val="0"/>
          <w:caps w:val="0"/>
          <w:spacing w:val="0"/>
          <w:sz w:val="21"/>
          <w:szCs w:val="21"/>
          <w:u w:val="single"/>
          <w:lang w:val="en-US" w:eastAsia="zh-CN"/>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FF"/>
          <w:sz w:val="21"/>
          <w:szCs w:val="21"/>
          <w:highlight w:val="none"/>
        </w:rPr>
      </w:pPr>
      <w:r>
        <w:rPr>
          <w:rFonts w:asciiTheme="minorEastAsia" w:hAnsiTheme="minorEastAsia"/>
          <w:color w:val="0000FF"/>
          <w:sz w:val="21"/>
          <w:szCs w:val="21"/>
          <w:highlight w:val="none"/>
        </w:rPr>
        <w:t>3</w:t>
      </w:r>
      <w:r>
        <w:rPr>
          <w:rFonts w:hint="eastAsia" w:asciiTheme="minorEastAsia" w:hAnsiTheme="minorEastAsia"/>
          <w:color w:val="0000FF"/>
          <w:sz w:val="21"/>
          <w:szCs w:val="21"/>
          <w:highlight w:val="none"/>
        </w:rPr>
        <w:t>.公告时间：自</w:t>
      </w:r>
      <w:r>
        <w:rPr>
          <w:rFonts w:hint="eastAsia" w:asciiTheme="minorEastAsia" w:hAnsiTheme="minorEastAsia"/>
          <w:color w:val="0000FF"/>
          <w:sz w:val="21"/>
          <w:szCs w:val="21"/>
          <w:highlight w:val="none"/>
          <w:u w:val="single"/>
          <w:lang w:val="en-US" w:eastAsia="zh-CN"/>
        </w:rPr>
        <w:t>2024</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rPr>
        <w:t>年</w:t>
      </w:r>
      <w:r>
        <w:rPr>
          <w:rFonts w:hint="eastAsia" w:asciiTheme="minorEastAsia" w:hAnsiTheme="minorEastAsia"/>
          <w:color w:val="0000FF"/>
          <w:sz w:val="21"/>
          <w:szCs w:val="21"/>
          <w:highlight w:val="none"/>
          <w:u w:val="single"/>
          <w:lang w:val="en-US" w:eastAsia="zh-CN"/>
        </w:rPr>
        <w:t xml:space="preserve"> 09</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rPr>
        <w:t>月</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u w:val="single"/>
          <w:lang w:val="en-US" w:eastAsia="zh-CN"/>
        </w:rPr>
        <w:t>19</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rPr>
        <w:t>日起至</w:t>
      </w:r>
      <w:r>
        <w:rPr>
          <w:rFonts w:hint="eastAsia" w:asciiTheme="minorEastAsia" w:hAnsiTheme="minorEastAsia"/>
          <w:color w:val="0000FF"/>
          <w:sz w:val="21"/>
          <w:szCs w:val="21"/>
          <w:highlight w:val="none"/>
          <w:u w:val="single"/>
          <w:lang w:val="en-US" w:eastAsia="zh-CN"/>
        </w:rPr>
        <w:t>2024</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rPr>
        <w:t>年</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u w:val="single"/>
          <w:lang w:val="en-US" w:eastAsia="zh-CN"/>
        </w:rPr>
        <w:t>09</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rPr>
        <w:t>月</w:t>
      </w:r>
      <w:r>
        <w:rPr>
          <w:rFonts w:hint="eastAsia" w:asciiTheme="minorEastAsia" w:hAnsiTheme="minorEastAsia"/>
          <w:color w:val="0000FF"/>
          <w:sz w:val="21"/>
          <w:szCs w:val="21"/>
          <w:highlight w:val="none"/>
          <w:u w:val="single"/>
          <w:lang w:val="en-US" w:eastAsia="zh-CN"/>
        </w:rPr>
        <w:t xml:space="preserve"> 29</w:t>
      </w:r>
      <w:r>
        <w:rPr>
          <w:rFonts w:hint="eastAsia" w:asciiTheme="minorEastAsia" w:hAnsiTheme="minorEastAsia"/>
          <w:color w:val="0000FF"/>
          <w:sz w:val="21"/>
          <w:szCs w:val="21"/>
          <w:highlight w:val="none"/>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w:t>
      </w:r>
      <w:bookmarkStart w:id="38" w:name="_GoBack"/>
      <w:bookmarkEnd w:id="38"/>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024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09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 xml:space="preserve">19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FF"/>
          <w:sz w:val="21"/>
          <w:szCs w:val="21"/>
          <w:highlight w:val="none"/>
        </w:rPr>
      </w:pPr>
      <w:r>
        <w:rPr>
          <w:rFonts w:asciiTheme="minorEastAsia" w:hAnsiTheme="minorEastAsia"/>
          <w:color w:val="0000FF"/>
          <w:sz w:val="21"/>
          <w:szCs w:val="21"/>
          <w:highlight w:val="none"/>
        </w:rPr>
        <w:t>4.递交响应文件的截止时间及地点：递交</w:t>
      </w:r>
      <w:r>
        <w:rPr>
          <w:rFonts w:hint="eastAsia" w:asciiTheme="minorEastAsia" w:hAnsiTheme="minorEastAsia"/>
          <w:color w:val="0000FF"/>
          <w:sz w:val="21"/>
          <w:szCs w:val="21"/>
          <w:highlight w:val="none"/>
        </w:rPr>
        <w:t>报价</w:t>
      </w:r>
      <w:r>
        <w:rPr>
          <w:rFonts w:asciiTheme="minorEastAsia" w:hAnsiTheme="minorEastAsia"/>
          <w:color w:val="0000FF"/>
          <w:sz w:val="21"/>
          <w:szCs w:val="21"/>
          <w:highlight w:val="none"/>
        </w:rPr>
        <w:t>文件的截止时间为</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u w:val="single"/>
          <w:lang w:val="en-US" w:eastAsia="zh-CN"/>
        </w:rPr>
        <w:t>2024</w:t>
      </w:r>
      <w:r>
        <w:rPr>
          <w:rFonts w:hint="eastAsia" w:asciiTheme="minorEastAsia" w:hAnsiTheme="minorEastAsia"/>
          <w:color w:val="0000FF"/>
          <w:sz w:val="21"/>
          <w:szCs w:val="21"/>
          <w:highlight w:val="none"/>
          <w:u w:val="single"/>
        </w:rPr>
        <w:t xml:space="preserve"> </w:t>
      </w:r>
      <w:r>
        <w:rPr>
          <w:rFonts w:asciiTheme="minorEastAsia" w:hAnsiTheme="minorEastAsia"/>
          <w:color w:val="0000FF"/>
          <w:sz w:val="21"/>
          <w:szCs w:val="21"/>
          <w:highlight w:val="none"/>
        </w:rPr>
        <w:t>年</w:t>
      </w:r>
      <w:r>
        <w:rPr>
          <w:rFonts w:hint="eastAsia" w:asciiTheme="minorEastAsia" w:hAnsiTheme="minorEastAsia"/>
          <w:color w:val="0000FF"/>
          <w:sz w:val="21"/>
          <w:szCs w:val="21"/>
          <w:highlight w:val="none"/>
          <w:u w:val="single"/>
        </w:rPr>
        <w:t xml:space="preserve"> </w:t>
      </w:r>
      <w:r>
        <w:rPr>
          <w:rFonts w:hint="eastAsia" w:asciiTheme="minorEastAsia" w:hAnsiTheme="minorEastAsia"/>
          <w:color w:val="0000FF"/>
          <w:sz w:val="21"/>
          <w:szCs w:val="21"/>
          <w:highlight w:val="none"/>
          <w:u w:val="single"/>
          <w:lang w:val="en-US" w:eastAsia="zh-CN"/>
        </w:rPr>
        <w:t xml:space="preserve">09 </w:t>
      </w:r>
      <w:r>
        <w:rPr>
          <w:rFonts w:asciiTheme="minorEastAsia" w:hAnsiTheme="minorEastAsia"/>
          <w:color w:val="0000FF"/>
          <w:sz w:val="21"/>
          <w:szCs w:val="21"/>
          <w:highlight w:val="none"/>
        </w:rPr>
        <w:t>月</w:t>
      </w:r>
      <w:r>
        <w:rPr>
          <w:rFonts w:hint="eastAsia" w:asciiTheme="minorEastAsia" w:hAnsiTheme="minorEastAsia"/>
          <w:color w:val="0000FF"/>
          <w:sz w:val="21"/>
          <w:szCs w:val="21"/>
          <w:highlight w:val="none"/>
          <w:u w:val="single"/>
          <w:lang w:val="en-US" w:eastAsia="zh-CN"/>
        </w:rPr>
        <w:t xml:space="preserve"> 29</w:t>
      </w:r>
      <w:r>
        <w:rPr>
          <w:rFonts w:hint="eastAsia" w:asciiTheme="minorEastAsia" w:hAnsiTheme="minorEastAsia"/>
          <w:color w:val="0000FF"/>
          <w:sz w:val="21"/>
          <w:szCs w:val="21"/>
          <w:highlight w:val="none"/>
          <w:u w:val="single"/>
        </w:rPr>
        <w:t xml:space="preserve"> </w:t>
      </w:r>
      <w:r>
        <w:rPr>
          <w:rFonts w:asciiTheme="minorEastAsia" w:hAnsiTheme="minorEastAsia"/>
          <w:color w:val="0000FF"/>
          <w:sz w:val="21"/>
          <w:szCs w:val="21"/>
          <w:highlight w:val="none"/>
        </w:rPr>
        <w:t>日</w:t>
      </w:r>
      <w:r>
        <w:rPr>
          <w:rFonts w:hint="eastAsia" w:asciiTheme="minorEastAsia" w:hAnsiTheme="minorEastAsia"/>
          <w:color w:val="0000FF"/>
          <w:sz w:val="21"/>
          <w:szCs w:val="21"/>
          <w:highlight w:val="yellow"/>
          <w:u w:val="single"/>
          <w:lang w:val="en-US" w:eastAsia="zh-CN"/>
        </w:rPr>
        <w:t xml:space="preserve">17 </w:t>
      </w:r>
      <w:r>
        <w:rPr>
          <w:rFonts w:asciiTheme="minorEastAsia" w:hAnsiTheme="minorEastAsia"/>
          <w:color w:val="0000FF"/>
          <w:sz w:val="21"/>
          <w:szCs w:val="21"/>
          <w:highlight w:val="yellow"/>
        </w:rPr>
        <w:t>时</w:t>
      </w:r>
      <w:r>
        <w:rPr>
          <w:rFonts w:asciiTheme="minorEastAsia" w:hAnsiTheme="minorEastAsia"/>
          <w:color w:val="0000FF"/>
          <w:sz w:val="21"/>
          <w:szCs w:val="21"/>
          <w:highlight w:val="none"/>
        </w:rPr>
        <w:t>，</w:t>
      </w:r>
      <w:r>
        <w:rPr>
          <w:rFonts w:hint="eastAsia" w:asciiTheme="minorEastAsia" w:hAnsiTheme="minorEastAsia"/>
          <w:color w:val="0000FF"/>
          <w:sz w:val="21"/>
          <w:szCs w:val="21"/>
          <w:highlight w:val="none"/>
        </w:rPr>
        <w:t>请在规定报价截止时间前通过系统报价及挂接</w:t>
      </w:r>
      <w:r>
        <w:rPr>
          <w:rFonts w:hint="eastAsia" w:asciiTheme="minorEastAsia" w:hAnsiTheme="minorEastAsia"/>
          <w:color w:val="0000FF"/>
          <w:sz w:val="21"/>
          <w:szCs w:val="21"/>
          <w:highlight w:val="none"/>
          <w:lang w:val="en-US" w:eastAsia="zh-CN"/>
        </w:rPr>
        <w:t>价格明细文件</w:t>
      </w:r>
      <w:r>
        <w:rPr>
          <w:rFonts w:hint="eastAsia" w:asciiTheme="minorEastAsia" w:hAnsiTheme="minorEastAsia"/>
          <w:color w:val="0000FF"/>
          <w:sz w:val="21"/>
          <w:szCs w:val="21"/>
          <w:highlight w:val="none"/>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7"/>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23"/>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7"/>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7"/>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7"/>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7"/>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9"/>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9"/>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9"/>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陈洁</w:t>
      </w:r>
    </w:p>
    <w:p>
      <w:pPr>
        <w:pStyle w:val="9"/>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021-22833350</w:t>
      </w:r>
    </w:p>
    <w:p>
      <w:pPr>
        <w:pStyle w:val="9"/>
        <w:ind w:left="415" w:leftChars="135" w:right="10" w:hanging="132" w:hangingChars="63"/>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chenjie@cnooc.com.cn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7"/>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7"/>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7"/>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9"/>
        <w:tblW w:w="5559" w:type="pct"/>
        <w:jc w:val="center"/>
        <w:tblLayout w:type="autofit"/>
        <w:tblCellMar>
          <w:top w:w="0" w:type="dxa"/>
          <w:left w:w="0" w:type="dxa"/>
          <w:bottom w:w="0" w:type="dxa"/>
          <w:right w:w="0" w:type="dxa"/>
        </w:tblCellMar>
      </w:tblPr>
      <w:tblGrid>
        <w:gridCol w:w="616"/>
        <w:gridCol w:w="533"/>
        <w:gridCol w:w="2275"/>
        <w:gridCol w:w="5828"/>
      </w:tblGrid>
      <w:tr>
        <w:tblPrEx>
          <w:tblCellMar>
            <w:top w:w="0" w:type="dxa"/>
            <w:left w:w="0" w:type="dxa"/>
            <w:bottom w:w="0" w:type="dxa"/>
            <w:right w:w="0" w:type="dxa"/>
          </w:tblCellMar>
        </w:tblPrEx>
        <w:trPr>
          <w:trHeight w:val="454" w:hRule="atLeast"/>
          <w:jc w:val="center"/>
        </w:trPr>
        <w:tc>
          <w:tcPr>
            <w:tcW w:w="621" w:type="pct"/>
            <w:gridSpan w:val="2"/>
            <w:tcBorders>
              <w:top w:val="single" w:color="000000" w:sz="4" w:space="0"/>
              <w:left w:val="single" w:color="000000" w:sz="4" w:space="0"/>
              <w:bottom w:val="single" w:color="000000" w:sz="4" w:space="0"/>
              <w:right w:val="single" w:color="000000" w:sz="4" w:space="0"/>
            </w:tcBorders>
            <w:vAlign w:val="center"/>
          </w:tcPr>
          <w:p>
            <w:pPr>
              <w:pStyle w:val="23"/>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29" w:type="pct"/>
            <w:tcBorders>
              <w:top w:val="single" w:color="000000" w:sz="4" w:space="0"/>
              <w:left w:val="nil"/>
              <w:bottom w:val="single" w:color="000000" w:sz="4" w:space="0"/>
              <w:right w:val="single" w:color="000000" w:sz="4" w:space="0"/>
            </w:tcBorders>
            <w:vAlign w:val="center"/>
          </w:tcPr>
          <w:p>
            <w:pPr>
              <w:pStyle w:val="23"/>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49" w:type="pct"/>
            <w:tcBorders>
              <w:top w:val="single" w:color="000000" w:sz="4" w:space="0"/>
              <w:left w:val="nil"/>
              <w:bottom w:val="single" w:color="000000" w:sz="4" w:space="0"/>
              <w:right w:val="single" w:color="000000" w:sz="4" w:space="0"/>
            </w:tcBorders>
            <w:vAlign w:val="center"/>
          </w:tcPr>
          <w:p>
            <w:pPr>
              <w:pStyle w:val="23"/>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3" w:type="pct"/>
            <w:vMerge w:val="restart"/>
            <w:tcBorders>
              <w:top w:val="nil"/>
              <w:left w:val="single" w:color="000000" w:sz="6" w:space="0"/>
              <w:right w:val="single" w:color="000000" w:sz="6" w:space="0"/>
            </w:tcBorders>
            <w:vAlign w:val="center"/>
          </w:tcPr>
          <w:p>
            <w:pPr>
              <w:pStyle w:val="2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7" w:type="pct"/>
            <w:vMerge w:val="restart"/>
            <w:tcBorders>
              <w:top w:val="nil"/>
              <w:left w:val="nil"/>
              <w:right w:val="single" w:color="000000" w:sz="6" w:space="0"/>
            </w:tcBorders>
            <w:textDirection w:val="tbRlV"/>
            <w:vAlign w:val="center"/>
          </w:tcPr>
          <w:p>
            <w:pPr>
              <w:pStyle w:val="23"/>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29" w:type="pct"/>
            <w:tcBorders>
              <w:top w:val="single" w:color="000000" w:sz="4" w:space="0"/>
              <w:left w:val="nil"/>
              <w:bottom w:val="single" w:color="000000" w:sz="4" w:space="0"/>
              <w:right w:val="single" w:color="000000" w:sz="4" w:space="0"/>
            </w:tcBorders>
            <w:vAlign w:val="center"/>
          </w:tcPr>
          <w:p>
            <w:pPr>
              <w:pStyle w:val="2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49" w:type="pct"/>
            <w:tcBorders>
              <w:top w:val="single" w:color="000000" w:sz="4" w:space="0"/>
              <w:left w:val="nil"/>
              <w:bottom w:val="single" w:color="000000" w:sz="4" w:space="0"/>
              <w:right w:val="single" w:color="000000" w:sz="4" w:space="0"/>
            </w:tcBorders>
            <w:vAlign w:val="center"/>
          </w:tcPr>
          <w:p>
            <w:pPr>
              <w:pStyle w:val="23"/>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nil"/>
              <w:right w:val="single" w:color="000000" w:sz="4" w:space="0"/>
            </w:tcBorders>
            <w:vAlign w:val="center"/>
          </w:tcPr>
          <w:p>
            <w:pPr>
              <w:pStyle w:val="2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49" w:type="pct"/>
            <w:tcBorders>
              <w:top w:val="single" w:color="000000" w:sz="4" w:space="0"/>
              <w:left w:val="nil"/>
              <w:bottom w:val="nil"/>
              <w:right w:val="single" w:color="000000" w:sz="4" w:space="0"/>
            </w:tcBorders>
            <w:vAlign w:val="center"/>
          </w:tcPr>
          <w:p>
            <w:pPr>
              <w:pStyle w:val="23"/>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single" w:color="000000" w:sz="4" w:space="0"/>
              <w:right w:val="single" w:color="000000" w:sz="4" w:space="0"/>
            </w:tcBorders>
            <w:vAlign w:val="center"/>
          </w:tcPr>
          <w:p>
            <w:pPr>
              <w:pStyle w:val="2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single" w:color="000000" w:sz="4" w:space="0"/>
              <w:right w:val="single" w:color="000000" w:sz="4" w:space="0"/>
            </w:tcBorders>
            <w:vAlign w:val="center"/>
          </w:tcPr>
          <w:p>
            <w:pPr>
              <w:pStyle w:val="23"/>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49" w:type="pct"/>
            <w:tcBorders>
              <w:top w:val="single" w:color="000000" w:sz="4" w:space="0"/>
              <w:left w:val="nil"/>
              <w:bottom w:val="single" w:color="000000" w:sz="4" w:space="0"/>
              <w:right w:val="single" w:color="000000" w:sz="4" w:space="0"/>
            </w:tcBorders>
            <w:vAlign w:val="center"/>
          </w:tcPr>
          <w:p>
            <w:pPr>
              <w:pStyle w:val="23"/>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23"/>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23"/>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69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23"/>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23"/>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p>
          <w:p>
            <w:pPr>
              <w:pStyle w:val="23"/>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0000FF"/>
                <w:kern w:val="2"/>
                <w:sz w:val="21"/>
                <w:szCs w:val="21"/>
                <w:highlight w:val="none"/>
                <w:lang w:val="en-US" w:eastAsia="zh-CN" w:bidi="ar-SA"/>
              </w:rPr>
              <w:t>（本次采购不涉及）</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1.专业资质:/</w:t>
            </w:r>
          </w:p>
        </w:tc>
      </w:tr>
      <w:tr>
        <w:tblPrEx>
          <w:tblCellMar>
            <w:top w:w="0" w:type="dxa"/>
            <w:left w:w="0" w:type="dxa"/>
            <w:bottom w:w="0" w:type="dxa"/>
            <w:right w:w="0" w:type="dxa"/>
          </w:tblCellMar>
        </w:tblPrEx>
        <w:trPr>
          <w:trHeight w:val="69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23"/>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p>
            <w:pPr>
              <w:pStyle w:val="2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0000FF"/>
                <w:kern w:val="2"/>
                <w:sz w:val="21"/>
                <w:szCs w:val="21"/>
                <w:highlight w:val="none"/>
                <w:lang w:val="en-US" w:eastAsia="zh-CN" w:bidi="ar-SA"/>
              </w:rPr>
              <w:t>（本次采购不涉及）</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体系认证文件：/</w:t>
            </w:r>
          </w:p>
          <w:p>
            <w:pPr>
              <w:pStyle w:val="23"/>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环境管理体系认证、质量管理体系认证、健康安全管理体系认证和国家强制产品认证等相关否决事项，</w:t>
            </w:r>
            <w:r>
              <w:rPr>
                <w:rFonts w:hint="eastAsia" w:ascii="仿宋" w:hAnsi="仿宋" w:eastAsia="仿宋" w:cs="仿宋"/>
                <w:color w:val="000000" w:themeColor="text1"/>
                <w:sz w:val="21"/>
                <w:szCs w:val="21"/>
                <w:highlight w:val="none"/>
                <w:lang w:val="en-US" w:eastAsia="zh-CN"/>
                <w14:textFill>
                  <w14:solidFill>
                    <w14:schemeClr w14:val="tx1"/>
                  </w14:solidFill>
                </w14:textFill>
              </w:rPr>
              <w:t>并可</w:t>
            </w:r>
            <w:r>
              <w:rPr>
                <w:rFonts w:hint="eastAsia" w:ascii="仿宋" w:hAnsi="仿宋" w:eastAsia="仿宋" w:cs="仿宋"/>
                <w:color w:val="000000" w:themeColor="text1"/>
                <w:sz w:val="21"/>
                <w:szCs w:val="21"/>
                <w:highlight w:val="none"/>
                <w:lang w:eastAsia="zh-CN"/>
                <w14:textFill>
                  <w14:solidFill>
                    <w14:schemeClr w14:val="tx1"/>
                  </w14:solidFill>
                </w14:textFill>
              </w:rPr>
              <w:t>在中国国家认证认可监督管理委员会网站（</w: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begin"/>
            </w:r>
            <w:r>
              <w:rPr>
                <w:rFonts w:hint="eastAsia" w:ascii="仿宋" w:hAnsi="仿宋" w:eastAsia="仿宋" w:cs="仿宋"/>
                <w:color w:val="000000" w:themeColor="text1"/>
                <w:sz w:val="21"/>
                <w:szCs w:val="21"/>
                <w:highlight w:val="none"/>
                <w:lang w:eastAsia="zh-CN"/>
                <w14:textFill>
                  <w14:solidFill>
                    <w14:schemeClr w14:val="tx1"/>
                  </w14:solidFill>
                </w14:textFill>
              </w:rPr>
              <w:instrText xml:space="preserve"> HYPERLINK "http://www.cnca.gov.cn）核实" </w:instrTex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separate"/>
            </w:r>
            <w:r>
              <w:rPr>
                <w:rFonts w:hint="eastAsia" w:ascii="仿宋" w:hAnsi="仿宋" w:eastAsia="仿宋" w:cs="仿宋"/>
                <w:color w:val="000000" w:themeColor="text1"/>
                <w:sz w:val="21"/>
                <w:szCs w:val="21"/>
                <w:highlight w:val="none"/>
                <w:lang w:eastAsia="zh-CN"/>
                <w14:textFill>
                  <w14:solidFill>
                    <w14:schemeClr w14:val="tx1"/>
                  </w14:solidFill>
                </w14:textFill>
              </w:rPr>
              <w:t>http://www.cnca.gov.cn）核实</w:t>
            </w:r>
            <w:r>
              <w:rPr>
                <w:rFonts w:hint="eastAsia" w:ascii="仿宋" w:hAnsi="仿宋" w:eastAsia="仿宋" w:cs="仿宋"/>
                <w:color w:val="000000" w:themeColor="text1"/>
                <w:sz w:val="21"/>
                <w:szCs w:val="21"/>
                <w:highlight w:val="none"/>
                <w:lang w:eastAsia="zh-CN"/>
                <w14:textFill>
                  <w14:solidFill>
                    <w14:schemeClr w14:val="tx1"/>
                  </w14:solidFill>
                </w14:textFill>
              </w:rPr>
              <w:fldChar w:fldCharType="end"/>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r>
      <w:tr>
        <w:tblPrEx>
          <w:tblCellMar>
            <w:top w:w="0" w:type="dxa"/>
            <w:left w:w="0" w:type="dxa"/>
            <w:bottom w:w="0" w:type="dxa"/>
            <w:right w:w="0" w:type="dxa"/>
          </w:tblCellMar>
        </w:tblPrEx>
        <w:trPr>
          <w:trHeight w:val="418"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2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000000" w:sz="6" w:space="0"/>
              <w:bottom w:val="single" w:color="000000" w:sz="4" w:space="0"/>
              <w:right w:val="single" w:color="000000" w:sz="4" w:space="0"/>
            </w:tcBorders>
            <w:vAlign w:val="center"/>
          </w:tcPr>
          <w:p>
            <w:pPr>
              <w:pStyle w:val="23"/>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49"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21</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FF"/>
                <w:sz w:val="21"/>
                <w:szCs w:val="21"/>
                <w:highlight w:val="none"/>
                <w:lang w:eastAsia="zh-CN"/>
              </w:rPr>
              <w:t>应答人应在应答文件中提供其公司章程</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2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23"/>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23"/>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23"/>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23"/>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23"/>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638"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2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right w:val="single" w:color="000000" w:sz="4" w:space="0"/>
            </w:tcBorders>
            <w:vAlign w:val="center"/>
          </w:tcPr>
          <w:p>
            <w:pPr>
              <w:pStyle w:val="9"/>
              <w:tabs>
                <w:tab w:val="left" w:pos="770"/>
              </w:tabs>
              <w:ind w:left="0" w:right="134"/>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p>
          <w:p>
            <w:pPr>
              <w:pStyle w:val="9"/>
              <w:tabs>
                <w:tab w:val="left" w:pos="770"/>
              </w:tabs>
              <w:ind w:left="0" w:right="134"/>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0000FF"/>
                <w:sz w:val="21"/>
                <w:szCs w:val="21"/>
                <w:highlight w:val="none"/>
                <w:lang w:val="en-US" w:eastAsia="zh-CN"/>
              </w:rPr>
              <w:t>（本项目不涉及）</w:t>
            </w:r>
          </w:p>
        </w:tc>
        <w:tc>
          <w:tcPr>
            <w:tcW w:w="3149" w:type="pct"/>
            <w:tcBorders>
              <w:top w:val="single" w:color="000000" w:sz="4" w:space="0"/>
              <w:left w:val="nil"/>
              <w:bottom w:val="single" w:color="000000" w:sz="4" w:space="0"/>
              <w:right w:val="single" w:color="000000" w:sz="4" w:space="0"/>
            </w:tcBorders>
            <w:vAlign w:val="center"/>
          </w:tcPr>
          <w:p>
            <w:pPr>
              <w:ind w:firstLine="0" w:firstLineChars="0"/>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w:t>
            </w:r>
          </w:p>
        </w:tc>
      </w:tr>
      <w:tr>
        <w:tblPrEx>
          <w:tblCellMar>
            <w:top w:w="0" w:type="dxa"/>
            <w:left w:w="0" w:type="dxa"/>
            <w:bottom w:w="0" w:type="dxa"/>
            <w:right w:w="0" w:type="dxa"/>
          </w:tblCellMar>
        </w:tblPrEx>
        <w:trPr>
          <w:trHeight w:val="479"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2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right w:val="single" w:color="000000" w:sz="4" w:space="0"/>
            </w:tcBorders>
            <w:vAlign w:val="center"/>
          </w:tcPr>
          <w:p>
            <w:pPr>
              <w:pStyle w:val="9"/>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★代理商、贸易商（</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49"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jc w:val="left"/>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提供近三年经审计的财务报表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p>
          <w:p>
            <w:pPr>
              <w:tabs>
                <w:tab w:val="left" w:pos="770"/>
              </w:tabs>
              <w:ind w:right="134" w:firstLine="0" w:firstLineChars="0"/>
              <w:jc w:val="left"/>
              <w:rPr>
                <w:rFonts w:hint="eastAsia"/>
                <w:color w:val="auto"/>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提供近三年经审计的财务报表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w:t>
            </w:r>
          </w:p>
        </w:tc>
      </w:tr>
      <w:tr>
        <w:tblPrEx>
          <w:tblCellMar>
            <w:top w:w="0" w:type="dxa"/>
            <w:left w:w="0" w:type="dxa"/>
            <w:bottom w:w="0" w:type="dxa"/>
            <w:right w:w="0" w:type="dxa"/>
          </w:tblCellMar>
        </w:tblPrEx>
        <w:trPr>
          <w:trHeight w:val="3272"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2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2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pPr>
              <w:pStyle w:val="2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货物类</w:t>
            </w:r>
            <w:r>
              <w:rPr>
                <w:rFonts w:hint="eastAsia" w:ascii="仿宋" w:hAnsi="仿宋" w:eastAsia="仿宋" w:cs="仿宋"/>
                <w:color w:val="000000" w:themeColor="text1"/>
                <w:sz w:val="21"/>
                <w:szCs w:val="21"/>
                <w:highlight w:val="none"/>
                <w14:textFill>
                  <w14:solidFill>
                    <w14:schemeClr w14:val="tx1"/>
                  </w14:solidFill>
                </w14:textFill>
              </w:rPr>
              <w:t>：</w:t>
            </w:r>
          </w:p>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2021年1月1日至应答截止日（以合同签署时间为准），应答人应具有至少1个已完成的</w:t>
            </w:r>
            <w:r>
              <w:rPr>
                <w:rFonts w:hint="eastAsia" w:ascii="仿宋" w:hAnsi="仿宋" w:eastAsia="仿宋" w:cs="仿宋"/>
                <w:color w:val="0000FF"/>
                <w:kern w:val="2"/>
                <w:sz w:val="21"/>
                <w:szCs w:val="21"/>
                <w:highlight w:val="none"/>
                <w:lang w:val="en-US" w:eastAsia="zh-CN" w:bidi="ar-SA"/>
              </w:rPr>
              <w:t>中控系统相关供货业绩</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w:t>
            </w:r>
          </w:p>
          <w:p>
            <w:pPr>
              <w:spacing w:line="240" w:lineRule="auto"/>
              <w:ind w:firstLine="420" w:firstLineChars="200"/>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应答人须按规定格式提交业绩表，并提交相关业绩证明文件。业绩证明文件必须至少体现以下内容：合同签署时间、项目名称及验收证明材料。具体包括：1）合同复印件（含相关技术附件）；2</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合同</w:t>
            </w:r>
            <w:r>
              <w:rPr>
                <w:rFonts w:hint="eastAsia" w:ascii="仿宋" w:hAnsi="仿宋" w:eastAsia="仿宋" w:cs="仿宋"/>
                <w:color w:val="000000" w:themeColor="text1"/>
                <w:sz w:val="21"/>
                <w:szCs w:val="21"/>
                <w:highlight w:val="none"/>
                <w14:textFill>
                  <w14:solidFill>
                    <w14:schemeClr w14:val="tx1"/>
                  </w14:solidFill>
                </w14:textFill>
              </w:rPr>
              <w:t>所对应的结算发票</w:t>
            </w:r>
            <w:r>
              <w:rPr>
                <w:rFonts w:hint="eastAsia" w:ascii="仿宋" w:hAnsi="仿宋" w:eastAsia="仿宋" w:cs="仿宋"/>
                <w:color w:val="000000" w:themeColor="text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国家税务总局全国增值税发票查验平台的发票查验截图。</w:t>
            </w:r>
          </w:p>
          <w:p>
            <w:pPr>
              <w:keepNext w:val="0"/>
              <w:keepLines w:val="0"/>
              <w:pageBreakBefore w:val="0"/>
              <w:widowControl/>
              <w:kinsoku/>
              <w:wordWrap/>
              <w:overflowPunct/>
              <w:topLinePunct w:val="0"/>
              <w:autoSpaceDE/>
              <w:autoSpaceDN/>
              <w:bidi w:val="0"/>
              <w:adjustRightInd/>
              <w:snapToGrid/>
              <w:spacing w:line="240" w:lineRule="auto"/>
              <w:ind w:right="0"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应答人所提交的业绩证明文件必须至少体现以下内容：合同签署时间、合同签署页（应有双方盖章）、货物名称及到货验收材料。</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auto" w:sz="4" w:space="0"/>
              <w:left w:val="single" w:color="000000" w:sz="6" w:space="0"/>
              <w:bottom w:val="nil"/>
              <w:right w:val="single" w:color="000000" w:sz="4" w:space="0"/>
            </w:tcBorders>
            <w:vAlign w:val="center"/>
          </w:tcPr>
          <w:p>
            <w:pPr>
              <w:pStyle w:val="2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49" w:type="pct"/>
            <w:tcBorders>
              <w:top w:val="single" w:color="auto" w:sz="4" w:space="0"/>
              <w:left w:val="nil"/>
              <w:bottom w:val="nil"/>
              <w:right w:val="single" w:color="000000" w:sz="4" w:space="0"/>
            </w:tcBorders>
            <w:vAlign w:val="center"/>
          </w:tcPr>
          <w:p>
            <w:pPr>
              <w:pStyle w:val="11"/>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1、付款方式：银行电汇。</w:t>
            </w:r>
          </w:p>
          <w:p>
            <w:pPr>
              <w:pStyle w:val="11"/>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2、付款周期要求：</w:t>
            </w:r>
          </w:p>
          <w:p>
            <w:pPr>
              <w:pStyle w:val="11"/>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（1）卖方在合同规定的时间内按要求将货物送达指定交货地点，并经买方验收合格后，卖方向买方开具合同总额100%的增值税专用发票，买方在收到发票及相关支持文件后45日以内支付合同总价的60%。</w:t>
            </w:r>
          </w:p>
          <w:p>
            <w:pPr>
              <w:pStyle w:val="11"/>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（2）安装调试验收合格，并提供调试报告审核完成后 ，买方在收到发票及相关支持文件后45日以内支付合同总价的30%。</w:t>
            </w:r>
          </w:p>
          <w:p>
            <w:pPr>
              <w:pStyle w:val="11"/>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（3）合同总价的10%作为质保金。于质保期到期后，卖方向买方提交付款申请且经买方签字确认质保期内无质量问题后45日内支付合同剩余10%的质保金。</w:t>
            </w:r>
          </w:p>
          <w:p>
            <w:pPr>
              <w:pStyle w:val="11"/>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如付款到期日为非银行工作日，则付款到期日顺延至下一个银行工作日。</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tc>
        <w:tc>
          <w:tcPr>
            <w:tcW w:w="287" w:type="pct"/>
            <w:vMerge w:val="continue"/>
            <w:tcBorders>
              <w:left w:val="single" w:color="000000" w:sz="6" w:space="0"/>
              <w:right w:val="single" w:color="000000" w:sz="6" w:space="0"/>
            </w:tcBorders>
            <w:vAlign w:val="center"/>
          </w:tcPr>
          <w:p/>
        </w:tc>
        <w:tc>
          <w:tcPr>
            <w:tcW w:w="1229"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49" w:type="pct"/>
            <w:tcBorders>
              <w:top w:val="single" w:color="000000" w:sz="4" w:space="0"/>
              <w:left w:val="nil"/>
              <w:bottom w:val="single" w:color="000000" w:sz="4" w:space="0"/>
              <w:right w:val="single" w:color="000000" w:sz="4" w:space="0"/>
            </w:tcBorders>
            <w:vAlign w:val="center"/>
          </w:tcPr>
          <w:p>
            <w:pPr>
              <w:rPr>
                <w:rFonts w:hint="default" w:eastAsiaTheme="minorEastAsia"/>
                <w:lang w:val="en-US" w:eastAsia="zh-CN"/>
              </w:rPr>
            </w:pPr>
            <w:r>
              <w:rPr>
                <w:rFonts w:hint="eastAsia" w:ascii="仿宋" w:hAnsi="仿宋" w:eastAsia="仿宋" w:cs="仿宋"/>
                <w:color w:val="000000" w:themeColor="text1"/>
                <w:szCs w:val="21"/>
                <w:highlight w:val="none"/>
                <w:lang w:val="en-US" w:eastAsia="zh-CN"/>
                <w14:textFill>
                  <w14:solidFill>
                    <w14:schemeClr w14:val="tx1"/>
                  </w14:solidFill>
                </w14:textFill>
              </w:rPr>
              <w:t>详见附件</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23"/>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49" w:type="pct"/>
            <w:tcBorders>
              <w:top w:val="single" w:color="000000" w:sz="4" w:space="0"/>
              <w:left w:val="nil"/>
              <w:bottom w:val="single" w:color="000000" w:sz="4" w:space="0"/>
              <w:right w:val="single" w:color="000000" w:sz="4" w:space="0"/>
            </w:tcBorders>
            <w:vAlign w:val="center"/>
          </w:tcPr>
          <w:p>
            <w:pPr>
              <w:pStyle w:val="23"/>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1.一般商务指标偏离超过2项，则评议不合格。</w:t>
            </w:r>
          </w:p>
          <w:p>
            <w:pPr>
              <w:pStyle w:val="23"/>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23"/>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23"/>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p>
        </w:tc>
        <w:tc>
          <w:tcPr>
            <w:tcW w:w="3149"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3" w:type="pct"/>
            <w:vMerge w:val="restart"/>
            <w:tcBorders>
              <w:top w:val="single" w:color="auto" w:sz="4" w:space="0"/>
              <w:left w:val="single" w:color="auto" w:sz="4" w:space="0"/>
              <w:bottom w:val="single" w:color="auto" w:sz="4" w:space="0"/>
              <w:right w:val="single" w:color="auto" w:sz="4" w:space="0"/>
            </w:tcBorders>
            <w:vAlign w:val="center"/>
          </w:tcPr>
          <w:p>
            <w:pPr>
              <w:pStyle w:val="23"/>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7"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23"/>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49" w:type="pct"/>
            <w:tcBorders>
              <w:top w:val="single" w:color="000000" w:sz="4" w:space="0"/>
              <w:left w:val="single" w:color="auto" w:sz="4" w:space="0"/>
              <w:bottom w:val="single" w:color="000000" w:sz="4" w:space="0"/>
              <w:right w:val="single" w:color="000000" w:sz="4" w:space="0"/>
            </w:tcBorders>
            <w:vAlign w:val="center"/>
          </w:tcPr>
          <w:p>
            <w:pPr>
              <w:widowControl/>
              <w:ind w:left="105" w:leftChars="50"/>
              <w:jc w:val="left"/>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val="0"/>
                <w:color w:val="000000" w:themeColor="text1"/>
                <w:kern w:val="0"/>
                <w:sz w:val="21"/>
                <w:szCs w:val="21"/>
                <w:highlight w:val="none"/>
                <w:lang w:val="en-US" w:eastAsia="zh-CN"/>
                <w14:textFill>
                  <w14:solidFill>
                    <w14:schemeClr w14:val="tx1"/>
                  </w14:solidFill>
                </w14:textFill>
              </w:rPr>
              <w:t>详见“</w:t>
            </w:r>
            <w:r>
              <w:rPr>
                <w:rFonts w:hint="eastAsia" w:ascii="仿宋" w:hAnsi="仿宋" w:eastAsia="仿宋" w:cs="仿宋"/>
                <w:b w:val="0"/>
                <w:bCs w:val="0"/>
                <w:color w:val="000000" w:themeColor="text1"/>
                <w:kern w:val="0"/>
                <w:sz w:val="21"/>
                <w:szCs w:val="21"/>
                <w:highlight w:val="none"/>
                <w14:textFill>
                  <w14:solidFill>
                    <w14:schemeClr w14:val="tx1"/>
                  </w14:solidFill>
                </w14:textFill>
              </w:rPr>
              <w:t>附件2</w:t>
            </w: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0"/>
                <w:sz w:val="21"/>
                <w:szCs w:val="21"/>
                <w:highlight w:val="none"/>
                <w14:textFill>
                  <w14:solidFill>
                    <w14:schemeClr w14:val="tx1"/>
                  </w14:solidFill>
                </w14:textFill>
              </w:rPr>
              <w:t>采</w:t>
            </w: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购</w:t>
            </w:r>
            <w:r>
              <w:rPr>
                <w:rFonts w:hint="eastAsia" w:ascii="仿宋" w:hAnsi="仿宋" w:eastAsia="仿宋" w:cs="仿宋"/>
                <w:b w:val="0"/>
                <w:bCs w:val="0"/>
                <w:color w:val="000000" w:themeColor="text1"/>
                <w:kern w:val="0"/>
                <w:sz w:val="21"/>
                <w:szCs w:val="21"/>
                <w:highlight w:val="none"/>
                <w14:textFill>
                  <w14:solidFill>
                    <w14:schemeClr w14:val="tx1"/>
                  </w14:solidFill>
                </w14:textFill>
              </w:rPr>
              <w:t>内容及技术要求</w:t>
            </w:r>
            <w:r>
              <w:rPr>
                <w:rFonts w:hint="eastAsia" w:ascii="仿宋" w:hAnsi="仿宋" w:eastAsia="仿宋" w:cs="仿宋"/>
                <w:bCs w:val="0"/>
                <w:color w:val="000000" w:themeColor="text1"/>
                <w:kern w:val="0"/>
                <w:sz w:val="21"/>
                <w:szCs w:val="21"/>
                <w:highlight w:val="none"/>
                <w:lang w:val="en-US" w:eastAsia="zh-CN"/>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3"/>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★交货期/服务期</w:t>
            </w:r>
          </w:p>
        </w:tc>
        <w:tc>
          <w:tcPr>
            <w:tcW w:w="3149" w:type="pct"/>
            <w:tcBorders>
              <w:top w:val="single" w:color="000000" w:sz="4" w:space="0"/>
              <w:left w:val="single" w:color="auto" w:sz="4" w:space="0"/>
              <w:bottom w:val="single" w:color="000000" w:sz="4" w:space="0"/>
              <w:right w:val="single" w:color="000000" w:sz="4" w:space="0"/>
            </w:tcBorders>
            <w:vAlign w:val="center"/>
          </w:tcPr>
          <w:p>
            <w:pPr>
              <w:widowControl/>
              <w:ind w:right="11"/>
              <w:jc w:val="lef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2024年10月31日前</w:t>
            </w:r>
          </w:p>
        </w:tc>
      </w:tr>
      <w:tr>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3"/>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工作内容</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24"/>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按要求</w:t>
            </w:r>
            <w:r>
              <w:rPr>
                <w:rFonts w:hint="eastAsia" w:ascii="仿宋" w:hAnsi="仿宋" w:eastAsia="仿宋" w:cs="仿宋"/>
                <w:b w:val="0"/>
                <w:bCs w:val="0"/>
                <w:color w:val="0000FF"/>
                <w:kern w:val="0"/>
                <w:sz w:val="21"/>
                <w:szCs w:val="21"/>
                <w:highlight w:val="none"/>
                <w:lang w:val="en-US" w:eastAsia="zh-CN" w:bidi="ar-SA"/>
              </w:rPr>
              <w:t>提供设备物资并进行厂调</w:t>
            </w: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w:t>
            </w:r>
          </w:p>
          <w:p>
            <w:pPr>
              <w:pStyle w:val="24"/>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调试完成后送往舟山运转大楼应急指挥中心</w:t>
            </w:r>
            <w:r>
              <w:rPr>
                <w:rFonts w:hint="eastAsia" w:ascii="仿宋" w:hAnsi="仿宋" w:eastAsia="仿宋" w:cs="仿宋"/>
                <w:b w:val="0"/>
                <w:bCs w:val="0"/>
                <w:color w:val="0000FF"/>
                <w:kern w:val="0"/>
                <w:sz w:val="21"/>
                <w:szCs w:val="21"/>
                <w:highlight w:val="none"/>
                <w:lang w:val="en-US" w:eastAsia="zh-CN" w:bidi="ar-SA"/>
              </w:rPr>
              <w:t>进行安装、调试</w:t>
            </w: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，实现东海海上天外天作业区&amp;残雪作业区生产平台远程操控功能。</w:t>
            </w:r>
          </w:p>
          <w:p>
            <w:pPr>
              <w:pStyle w:val="24"/>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FF"/>
                <w:kern w:val="0"/>
                <w:sz w:val="21"/>
                <w:szCs w:val="21"/>
                <w:highlight w:val="none"/>
                <w:lang w:val="en-US" w:eastAsia="zh-CN" w:bidi="ar-SA"/>
              </w:rPr>
              <w:t>需提供详细的技术方案保证远程操控功能的实现。</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3"/>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售后服务</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/服务/作业要求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widowControl w:val="0"/>
              <w:numPr>
                <w:ilvl w:val="0"/>
                <w:numId w:val="2"/>
              </w:numPr>
              <w:kinsoku/>
              <w:wordWrap/>
              <w:overflowPunct/>
              <w:topLinePunct w:val="0"/>
              <w:autoSpaceDE/>
              <w:autoSpaceDN/>
              <w:bidi w:val="0"/>
              <w:adjustRightInd/>
              <w:snapToGrid/>
              <w:spacing w:before="0" w:line="240" w:lineRule="auto"/>
              <w:ind w:left="0" w:leftChars="0" w:firstLine="400" w:firstLineChars="0"/>
              <w:textAlignment w:val="auto"/>
              <w:outlineLvl w:val="1"/>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卖方</w:t>
            </w:r>
            <w:r>
              <w:rPr>
                <w:rFonts w:hint="eastAsia" w:ascii="仿宋" w:hAnsi="仿宋" w:eastAsia="仿宋" w:cs="仿宋"/>
                <w:b w:val="0"/>
                <w:bCs w:val="0"/>
                <w:color w:val="0000FF"/>
                <w:kern w:val="0"/>
                <w:sz w:val="21"/>
                <w:szCs w:val="21"/>
                <w:highlight w:val="none"/>
                <w:lang w:val="en-US" w:eastAsia="zh-CN" w:bidi="ar-SA"/>
              </w:rPr>
              <w:t>投标时需提供详细、准确的实施方案</w:t>
            </w: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w:t>
            </w:r>
            <w:r>
              <w:rPr>
                <w:rFonts w:hint="eastAsia" w:ascii="仿宋" w:hAnsi="仿宋" w:eastAsia="仿宋" w:cs="仿宋"/>
                <w:b w:val="0"/>
                <w:bCs w:val="0"/>
                <w:color w:val="0000FF"/>
                <w:kern w:val="0"/>
                <w:sz w:val="21"/>
                <w:szCs w:val="21"/>
                <w:highlight w:val="none"/>
                <w:lang w:val="en-US" w:eastAsia="zh-CN" w:bidi="ar-SA"/>
              </w:rPr>
              <w:t>对维护和技术服务条款要有专门的描述</w:t>
            </w: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w:t>
            </w:r>
          </w:p>
          <w:p>
            <w:pPr>
              <w:pStyle w:val="9"/>
              <w:keepNext w:val="0"/>
              <w:keepLines w:val="0"/>
              <w:pageBreakBefore w:val="0"/>
              <w:widowControl w:val="0"/>
              <w:numPr>
                <w:ilvl w:val="0"/>
                <w:numId w:val="2"/>
              </w:numPr>
              <w:kinsoku/>
              <w:wordWrap/>
              <w:overflowPunct/>
              <w:topLinePunct w:val="0"/>
              <w:autoSpaceDE/>
              <w:autoSpaceDN/>
              <w:bidi w:val="0"/>
              <w:adjustRightInd/>
              <w:snapToGrid/>
              <w:spacing w:before="0" w:line="240" w:lineRule="auto"/>
              <w:ind w:left="0" w:leftChars="0" w:firstLine="400" w:firstLineChars="0"/>
              <w:textAlignment w:val="auto"/>
              <w:outlineLvl w:val="1"/>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安装、调试要求：设备到货后，卖方需要前往</w:t>
            </w:r>
            <w:r>
              <w:rPr>
                <w:rFonts w:hint="eastAsia" w:ascii="仿宋" w:hAnsi="仿宋" w:eastAsia="仿宋" w:cs="仿宋"/>
                <w:b w:val="0"/>
                <w:bCs w:val="0"/>
                <w:color w:val="0000FF"/>
                <w:kern w:val="0"/>
                <w:sz w:val="21"/>
                <w:szCs w:val="21"/>
                <w:highlight w:val="none"/>
                <w:lang w:val="en-US" w:eastAsia="zh-CN" w:bidi="ar-SA"/>
              </w:rPr>
              <w:t>中海油舟山员工运转大楼进行安装调试工作</w:t>
            </w: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w:t>
            </w:r>
          </w:p>
          <w:p>
            <w:pPr>
              <w:pStyle w:val="9"/>
              <w:keepNext w:val="0"/>
              <w:keepLines w:val="0"/>
              <w:pageBreakBefore w:val="0"/>
              <w:widowControl w:val="0"/>
              <w:numPr>
                <w:ilvl w:val="0"/>
                <w:numId w:val="2"/>
              </w:numPr>
              <w:kinsoku/>
              <w:wordWrap/>
              <w:overflowPunct/>
              <w:topLinePunct w:val="0"/>
              <w:autoSpaceDE/>
              <w:autoSpaceDN/>
              <w:bidi w:val="0"/>
              <w:adjustRightInd/>
              <w:snapToGrid/>
              <w:spacing w:before="0" w:line="240" w:lineRule="auto"/>
              <w:ind w:left="0" w:leftChars="0" w:firstLine="400" w:firstLineChars="0"/>
              <w:textAlignment w:val="auto"/>
              <w:outlineLvl w:val="1"/>
              <w:rPr>
                <w:rFonts w:hint="default"/>
                <w:lang w:val="en-US"/>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技术联络与响应：质保期内，如设备发生故障时，卖方需在接到买方通知后，指派技术人员赶到场解决问题；质保期内卖方提供设备质保内的7*24电话响应服务。</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23"/>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★交货地址</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7"/>
              <w:ind w:left="0" w:leftChars="0" w:firstLine="0" w:firstLineChars="0"/>
              <w:rPr>
                <w:rFonts w:hint="default"/>
                <w:lang w:val="en-US"/>
              </w:rPr>
            </w:pPr>
            <w:r>
              <w:rPr>
                <w:rFonts w:hint="eastAsia" w:ascii="仿宋" w:hAnsi="仿宋" w:eastAsia="仿宋" w:cs="仿宋"/>
                <w:b w:val="0"/>
                <w:bCs w:val="0"/>
                <w:color w:val="000000" w:themeColor="text1"/>
                <w:kern w:val="0"/>
                <w:sz w:val="21"/>
                <w:szCs w:val="21"/>
                <w:highlight w:val="none"/>
                <w:lang w:val="en-US" w:eastAsia="zh-CN" w:bidi="ar-SA"/>
                <w14:textFill>
                  <w14:solidFill>
                    <w14:schemeClr w14:val="tx1"/>
                  </w14:solidFill>
                </w14:textFill>
              </w:rPr>
              <w:t>浙江省舟山市普陀区东海西路9号  常昕 18964636889</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rightChars="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23"/>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7"/>
              <w:ind w:left="0" w:leftChars="0" w:firstLine="0" w:firstLineChars="0"/>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2401"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pStyle w:val="23"/>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7" w:type="pct"/>
            <w:tcBorders>
              <w:top w:val="single" w:color="auto" w:sz="4" w:space="0"/>
              <w:left w:val="single" w:color="auto" w:sz="4" w:space="0"/>
              <w:bottom w:val="single" w:color="auto" w:sz="4" w:space="0"/>
              <w:right w:val="single" w:color="auto" w:sz="4" w:space="0"/>
            </w:tcBorders>
            <w:vAlign w:val="center"/>
          </w:tcPr>
          <w:p>
            <w:pPr>
              <w:pStyle w:val="23"/>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23"/>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23"/>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23"/>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49"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6" w:type="pct"/>
            <w:gridSpan w:val="2"/>
            <w:tcBorders>
              <w:top w:val="single" w:color="auto" w:sz="4" w:space="0"/>
              <w:left w:val="single" w:color="auto" w:sz="4" w:space="0"/>
              <w:bottom w:val="single" w:color="auto" w:sz="4" w:space="0"/>
              <w:right w:val="single" w:color="000000" w:sz="4" w:space="0"/>
            </w:tcBorders>
            <w:vAlign w:val="center"/>
          </w:tcPr>
          <w:p>
            <w:pPr>
              <w:pStyle w:val="23"/>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23"/>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8"/>
              <w:ind w:right="11" w:firstLine="420"/>
              <w:rPr>
                <w:rFonts w:hint="eastAsia" w:ascii="仿宋" w:hAnsi="仿宋" w:eastAsia="仿宋" w:cs="仿宋"/>
                <w:bCs/>
                <w:color w:val="000000" w:themeColor="text1"/>
                <w:kern w:val="0"/>
                <w:sz w:val="21"/>
                <w:szCs w:val="21"/>
                <w:highlight w:val="none"/>
                <w14:textFill>
                  <w14:solidFill>
                    <w14:schemeClr w14:val="tx1"/>
                  </w14:solidFill>
                </w14:textFill>
              </w:rPr>
            </w:pPr>
          </w:p>
        </w:tc>
      </w:tr>
    </w:tbl>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pStyle w:val="6"/>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1"/>
          <w:szCs w:val="21"/>
        </w:rPr>
      </w:pPr>
      <w:bookmarkStart w:id="0" w:name="_Toc13249324"/>
      <w:bookmarkStart w:id="1" w:name="_Toc13248927"/>
      <w:r>
        <w:rPr>
          <w:rFonts w:hint="eastAsia" w:ascii="宋体" w:hAnsi="宋体" w:eastAsia="宋体" w:cs="宋体"/>
          <w:sz w:val="21"/>
          <w:szCs w:val="21"/>
        </w:rPr>
        <w:t>一、项目概况及总体要求</w:t>
      </w:r>
      <w:bookmarkEnd w:id="0"/>
      <w:bookmarkEnd w:id="1"/>
    </w:p>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1"/>
          <w:szCs w:val="21"/>
        </w:rPr>
      </w:pPr>
      <w:bookmarkStart w:id="2" w:name="_Toc13249325"/>
      <w:bookmarkStart w:id="3" w:name="_Toc13248928"/>
      <w:r>
        <w:rPr>
          <w:rFonts w:hint="eastAsia" w:ascii="宋体" w:hAnsi="宋体" w:eastAsia="宋体" w:cs="宋体"/>
          <w:sz w:val="21"/>
          <w:szCs w:val="21"/>
          <w:lang w:eastAsia="zh-CN"/>
        </w:rPr>
        <w:t>本次项目为</w:t>
      </w:r>
      <w:r>
        <w:rPr>
          <w:rFonts w:hint="eastAsia" w:ascii="宋体" w:hAnsi="宋体" w:eastAsia="宋体" w:cs="宋体"/>
          <w:spacing w:val="2"/>
          <w:sz w:val="21"/>
          <w:szCs w:val="21"/>
          <w:lang w:val="en-US" w:eastAsia="zh-CN" w:bidi="ar-SA"/>
        </w:rPr>
        <w:t>中控系统</w:t>
      </w:r>
      <w:r>
        <w:rPr>
          <w:rFonts w:hint="eastAsia" w:ascii="宋体" w:hAnsi="宋体" w:eastAsia="宋体" w:cs="宋体"/>
          <w:sz w:val="21"/>
          <w:szCs w:val="21"/>
          <w:lang w:eastAsia="zh-CN"/>
        </w:rPr>
        <w:t>设备，按照技术要求进行提供。</w:t>
      </w:r>
    </w:p>
    <w:p>
      <w:pPr>
        <w:pStyle w:val="6"/>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1"/>
          <w:szCs w:val="21"/>
        </w:rPr>
      </w:pPr>
      <w:r>
        <w:rPr>
          <w:rFonts w:hint="eastAsia" w:ascii="宋体" w:hAnsi="宋体" w:eastAsia="宋体" w:cs="宋体"/>
          <w:sz w:val="21"/>
          <w:szCs w:val="21"/>
        </w:rPr>
        <w:t>需求一览表</w:t>
      </w:r>
      <w:bookmarkEnd w:id="2"/>
      <w:bookmarkEnd w:id="3"/>
    </w:p>
    <w:p>
      <w:pPr>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需求清单</w:t>
      </w:r>
    </w:p>
    <w:tbl>
      <w:tblPr>
        <w:tblStyle w:val="19"/>
        <w:tblW w:w="92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1341"/>
        <w:gridCol w:w="619"/>
        <w:gridCol w:w="619"/>
        <w:gridCol w:w="4089"/>
        <w:gridCol w:w="17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758" w:type="dxa"/>
            <w:tcBorders>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kern w:val="2"/>
                <w:sz w:val="21"/>
                <w:szCs w:val="21"/>
                <w:lang w:eastAsia="zh-CN"/>
              </w:rPr>
            </w:pPr>
            <w:bookmarkStart w:id="4" w:name="_Toc13249326"/>
            <w:bookmarkStart w:id="5" w:name="_Toc13248929"/>
            <w:r>
              <w:rPr>
                <w:rFonts w:hint="eastAsia" w:asciiTheme="minorEastAsia" w:hAnsiTheme="minorEastAsia" w:eastAsiaTheme="minorEastAsia" w:cstheme="minorEastAsia"/>
                <w:b/>
                <w:bCs/>
                <w:kern w:val="2"/>
                <w:sz w:val="21"/>
                <w:szCs w:val="21"/>
                <w:lang w:eastAsia="zh-CN"/>
              </w:rPr>
              <w:t>序号</w:t>
            </w:r>
          </w:p>
        </w:tc>
        <w:tc>
          <w:tcPr>
            <w:tcW w:w="1341" w:type="dxa"/>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kern w:val="2"/>
                <w:sz w:val="21"/>
                <w:szCs w:val="21"/>
                <w:lang w:eastAsia="zh-CN"/>
              </w:rPr>
            </w:pPr>
            <w:r>
              <w:rPr>
                <w:rFonts w:hint="eastAsia" w:asciiTheme="minorEastAsia" w:hAnsiTheme="minorEastAsia" w:eastAsiaTheme="minorEastAsia" w:cstheme="minorEastAsia"/>
                <w:b/>
                <w:bCs/>
                <w:kern w:val="2"/>
                <w:sz w:val="21"/>
                <w:szCs w:val="21"/>
                <w:lang w:eastAsia="zh-CN"/>
              </w:rPr>
              <w:t>设备名称</w:t>
            </w:r>
          </w:p>
        </w:tc>
        <w:tc>
          <w:tcPr>
            <w:tcW w:w="619" w:type="dxa"/>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kern w:val="2"/>
                <w:sz w:val="21"/>
                <w:szCs w:val="21"/>
                <w:lang w:eastAsia="zh-CN"/>
              </w:rPr>
            </w:pPr>
            <w:r>
              <w:rPr>
                <w:rFonts w:hint="eastAsia" w:asciiTheme="minorEastAsia" w:hAnsiTheme="minorEastAsia" w:eastAsiaTheme="minorEastAsia" w:cstheme="minorEastAsia"/>
                <w:b/>
                <w:bCs/>
                <w:kern w:val="2"/>
                <w:sz w:val="21"/>
                <w:szCs w:val="21"/>
                <w:lang w:eastAsia="zh-CN"/>
              </w:rPr>
              <w:t>单位</w:t>
            </w:r>
          </w:p>
        </w:tc>
        <w:tc>
          <w:tcPr>
            <w:tcW w:w="619" w:type="dxa"/>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kern w:val="2"/>
                <w:sz w:val="21"/>
                <w:szCs w:val="21"/>
                <w:lang w:eastAsia="zh-CN"/>
              </w:rPr>
            </w:pPr>
            <w:r>
              <w:rPr>
                <w:rFonts w:hint="eastAsia" w:asciiTheme="minorEastAsia" w:hAnsiTheme="minorEastAsia" w:eastAsiaTheme="minorEastAsia" w:cstheme="minorEastAsia"/>
                <w:b/>
                <w:bCs/>
                <w:kern w:val="2"/>
                <w:sz w:val="21"/>
                <w:szCs w:val="21"/>
                <w:lang w:eastAsia="zh-CN"/>
              </w:rPr>
              <w:t>数量</w:t>
            </w:r>
          </w:p>
        </w:tc>
        <w:tc>
          <w:tcPr>
            <w:tcW w:w="4089" w:type="dxa"/>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kern w:val="2"/>
                <w:sz w:val="21"/>
                <w:szCs w:val="21"/>
                <w:lang w:eastAsia="zh-CN"/>
              </w:rPr>
            </w:pPr>
            <w:r>
              <w:rPr>
                <w:rFonts w:hint="eastAsia" w:asciiTheme="minorEastAsia" w:hAnsiTheme="minorEastAsia" w:eastAsiaTheme="minorEastAsia" w:cstheme="minorEastAsia"/>
                <w:b/>
                <w:bCs/>
                <w:kern w:val="2"/>
                <w:sz w:val="21"/>
                <w:szCs w:val="21"/>
                <w:lang w:eastAsia="zh-CN"/>
              </w:rPr>
              <w:t>备注</w:t>
            </w:r>
          </w:p>
        </w:tc>
        <w:tc>
          <w:tcPr>
            <w:tcW w:w="1781" w:type="dxa"/>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b/>
                <w:bCs/>
                <w:kern w:val="2"/>
                <w:sz w:val="21"/>
                <w:szCs w:val="21"/>
                <w:lang w:val="en-US" w:eastAsia="zh-CN"/>
              </w:rPr>
            </w:pPr>
            <w:r>
              <w:rPr>
                <w:rFonts w:hint="eastAsia" w:asciiTheme="minorEastAsia" w:hAnsiTheme="minorEastAsia" w:eastAsiaTheme="minorEastAsia" w:cstheme="minorEastAsia"/>
                <w:b/>
                <w:bCs/>
                <w:kern w:val="2"/>
                <w:sz w:val="21"/>
                <w:szCs w:val="21"/>
                <w:lang w:val="en-US" w:eastAsia="zh-CN"/>
              </w:rPr>
              <w:t>品牌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758"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w:t>
            </w:r>
          </w:p>
        </w:tc>
        <w:tc>
          <w:tcPr>
            <w:tcW w:w="1341"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过程控制器</w:t>
            </w:r>
          </w:p>
        </w:tc>
        <w:tc>
          <w:tcPr>
            <w:tcW w:w="61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台</w:t>
            </w:r>
          </w:p>
        </w:tc>
        <w:tc>
          <w:tcPr>
            <w:tcW w:w="61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sz w:val="21"/>
                <w:szCs w:val="21"/>
                <w:lang w:eastAsia="zh-CN" w:bidi="ar"/>
              </w:rPr>
              <w:t>7</w:t>
            </w:r>
          </w:p>
        </w:tc>
        <w:tc>
          <w:tcPr>
            <w:tcW w:w="408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完成对过程的直接控制，以及过程变量的数据采集，实时存储和传输</w:t>
            </w:r>
          </w:p>
        </w:tc>
        <w:tc>
          <w:tcPr>
            <w:tcW w:w="1781" w:type="dxa"/>
            <w:vMerge w:val="restart"/>
            <w:tcBorders>
              <w:top w:val="single" w:color="000000" w:sz="4" w:space="0"/>
              <w:left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val="en-US" w:eastAsia="zh-CN" w:bidi="ar"/>
              </w:rPr>
            </w:pPr>
            <w:r>
              <w:rPr>
                <w:rFonts w:hint="eastAsia" w:asciiTheme="minorEastAsia" w:hAnsiTheme="minorEastAsia" w:eastAsiaTheme="minorEastAsia" w:cstheme="minorEastAsia"/>
                <w:b/>
                <w:bCs/>
                <w:sz w:val="21"/>
                <w:szCs w:val="21"/>
                <w:lang w:val="en-US" w:eastAsia="zh-CN" w:bidi="ar"/>
              </w:rPr>
              <w:t>参照或相当于“艾默生”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8"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系统机柜</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套</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含供电模块，定制机架，机柜尺寸800mm*1000mm*2000mm</w:t>
            </w:r>
          </w:p>
        </w:tc>
        <w:tc>
          <w:tcPr>
            <w:tcW w:w="1781" w:type="dxa"/>
            <w:vMerge w:val="continue"/>
            <w:tcBorders>
              <w:left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758"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3</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系统硬件</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套</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DeltaV PK300 控制器、冗余CHRAM IO 卡及底板、CHARM 特性模块等</w:t>
            </w:r>
          </w:p>
        </w:tc>
        <w:tc>
          <w:tcPr>
            <w:tcW w:w="1781" w:type="dxa"/>
            <w:vMerge w:val="continue"/>
            <w:tcBorders>
              <w:left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9" w:hRule="atLeast"/>
          <w:jc w:val="center"/>
        </w:trPr>
        <w:tc>
          <w:tcPr>
            <w:tcW w:w="758" w:type="dxa"/>
            <w:tcBorders>
              <w:top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4</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操控台</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台</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2</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含关断，恢复按键，配信号指示灯</w:t>
            </w:r>
          </w:p>
        </w:tc>
        <w:tc>
          <w:tcPr>
            <w:tcW w:w="1781" w:type="dxa"/>
            <w:vMerge w:val="continue"/>
            <w:tcBorders>
              <w:left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9" w:hRule="atLeast"/>
          <w:jc w:val="center"/>
        </w:trPr>
        <w:tc>
          <w:tcPr>
            <w:tcW w:w="758" w:type="dxa"/>
            <w:tcBorders>
              <w:top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5</w:t>
            </w:r>
          </w:p>
        </w:tc>
        <w:tc>
          <w:tcPr>
            <w:tcW w:w="1341"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系统软件</w:t>
            </w:r>
          </w:p>
        </w:tc>
        <w:tc>
          <w:tcPr>
            <w:tcW w:w="619"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套</w:t>
            </w:r>
          </w:p>
        </w:tc>
        <w:tc>
          <w:tcPr>
            <w:tcW w:w="619"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sz w:val="21"/>
                <w:szCs w:val="21"/>
                <w:lang w:eastAsia="zh-CN" w:bidi="ar"/>
              </w:rPr>
              <w:t>1</w:t>
            </w:r>
          </w:p>
        </w:tc>
        <w:tc>
          <w:tcPr>
            <w:tcW w:w="4089"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p>
        </w:tc>
        <w:tc>
          <w:tcPr>
            <w:tcW w:w="1781" w:type="dxa"/>
            <w:vMerge w:val="continue"/>
            <w:tcBorders>
              <w:left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sz w:val="21"/>
                <w:szCs w:val="21"/>
                <w:lang w:eastAsia="zh-CN" w:bidi="ar"/>
              </w:rPr>
            </w:pPr>
          </w:p>
        </w:tc>
      </w:tr>
    </w:tbl>
    <w:p>
      <w:pPr>
        <w:pStyle w:val="6"/>
        <w:keepNext/>
        <w:keepLines/>
        <w:pageBreakBefore w:val="0"/>
        <w:widowControl w:val="0"/>
        <w:numPr>
          <w:ilvl w:val="0"/>
          <w:numId w:val="4"/>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★工作内容：</w:t>
      </w:r>
      <w:r>
        <w:rPr>
          <w:rFonts w:hint="eastAsia" w:ascii="宋体" w:hAnsi="宋体" w:eastAsia="宋体" w:cs="宋体"/>
          <w:color w:val="0000FF"/>
          <w:spacing w:val="0"/>
          <w:sz w:val="21"/>
          <w:szCs w:val="21"/>
        </w:rPr>
        <w:t>按要求提供设备物资并进行厂调，调试完成后送往舟山运转大楼应急指挥中心进行安装、调试，实现东海海上天外天作业区&amp;</w:t>
      </w:r>
      <w:r>
        <w:rPr>
          <w:rFonts w:hint="eastAsia" w:ascii="宋体" w:hAnsi="宋体" w:eastAsia="宋体" w:cs="宋体"/>
          <w:color w:val="0000FF"/>
          <w:spacing w:val="0"/>
          <w:sz w:val="21"/>
          <w:szCs w:val="21"/>
          <w:lang w:val="en-US" w:eastAsia="zh-CN"/>
        </w:rPr>
        <w:t>残雪</w:t>
      </w:r>
      <w:r>
        <w:rPr>
          <w:rFonts w:hint="eastAsia" w:ascii="宋体" w:hAnsi="宋体" w:eastAsia="宋体" w:cs="宋体"/>
          <w:color w:val="0000FF"/>
          <w:spacing w:val="0"/>
          <w:sz w:val="21"/>
          <w:szCs w:val="21"/>
        </w:rPr>
        <w:t>作业区生产平台远程操控功能。</w:t>
      </w:r>
      <w:r>
        <w:rPr>
          <w:rFonts w:hint="eastAsia" w:ascii="宋体" w:hAnsi="宋体" w:eastAsia="宋体" w:cs="宋体"/>
          <w:color w:val="0000FF"/>
          <w:spacing w:val="0"/>
          <w:sz w:val="21"/>
          <w:szCs w:val="21"/>
          <w:lang w:val="en-US" w:eastAsia="zh-CN"/>
        </w:rPr>
        <w:t>需提供详细的技术方案保证远程操控功能的实现。</w:t>
      </w:r>
    </w:p>
    <w:p>
      <w:pPr>
        <w:pStyle w:val="6"/>
        <w:keepNext/>
        <w:keepLines/>
        <w:pageBreakBefore w:val="0"/>
        <w:widowControl w:val="0"/>
        <w:numPr>
          <w:ilvl w:val="0"/>
          <w:numId w:val="4"/>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卖方在中标后，签订合同前，需与买方签订详细的技术协议。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bCs/>
          <w:sz w:val="21"/>
          <w:szCs w:val="21"/>
          <w:lang w:eastAsia="zh-CN"/>
        </w:rPr>
      </w:pPr>
      <w:r>
        <w:rPr>
          <w:rFonts w:hint="eastAsia" w:ascii="宋体" w:hAnsi="宋体" w:eastAsia="宋体" w:cs="宋体"/>
          <w:b/>
          <w:bCs/>
          <w:sz w:val="21"/>
          <w:szCs w:val="21"/>
          <w:lang w:eastAsia="zh-CN"/>
        </w:rPr>
        <w:t>技术需求书中</w:t>
      </w:r>
      <w:r>
        <w:rPr>
          <w:rFonts w:hint="eastAsia" w:ascii="宋体" w:hAnsi="宋体" w:eastAsia="宋体" w:cs="宋体"/>
          <w:b/>
          <w:bCs/>
          <w:color w:val="0000FF"/>
          <w:sz w:val="21"/>
          <w:szCs w:val="21"/>
          <w:lang w:eastAsia="zh-CN"/>
        </w:rPr>
        <w:t>标注“★”号的技术要求为重要指标，必须满足</w:t>
      </w:r>
      <w:r>
        <w:rPr>
          <w:rFonts w:hint="eastAsia" w:ascii="宋体" w:hAnsi="宋体" w:eastAsia="宋体" w:cs="宋体"/>
          <w:b/>
          <w:bCs/>
          <w:sz w:val="21"/>
          <w:szCs w:val="21"/>
          <w:lang w:eastAsia="zh-CN"/>
        </w:rPr>
        <w:t>，否则视为未实质性响应招标文件的要求，按无效投标处理。</w:t>
      </w:r>
      <w:r>
        <w:rPr>
          <w:rFonts w:hint="eastAsia" w:ascii="宋体" w:hAnsi="宋体" w:eastAsia="宋体" w:cs="宋体"/>
          <w:b/>
          <w:bCs/>
          <w:color w:val="0000FF"/>
          <w:sz w:val="21"/>
          <w:szCs w:val="21"/>
          <w:lang w:eastAsia="zh-CN"/>
        </w:rPr>
        <w:t>技术响应必须有实质性内容，大幅复制技术需求书文件，视为无效投标</w:t>
      </w:r>
      <w:r>
        <w:rPr>
          <w:rFonts w:hint="eastAsia" w:ascii="宋体" w:hAnsi="宋体" w:eastAsia="宋体" w:cs="宋体"/>
          <w:b/>
          <w:bCs/>
          <w:sz w:val="21"/>
          <w:szCs w:val="21"/>
          <w:lang w:eastAsia="zh-CN"/>
        </w:rPr>
        <w:t>。</w:t>
      </w:r>
    </w:p>
    <w:p>
      <w:pPr>
        <w:pStyle w:val="6"/>
        <w:pageBreakBefore w:val="0"/>
        <w:numPr>
          <w:ilvl w:val="0"/>
          <w:numId w:val="5"/>
        </w:numPr>
        <w:kinsoku/>
        <w:wordWrap/>
        <w:overflowPunct/>
        <w:topLinePunct w:val="0"/>
        <w:autoSpaceDE/>
        <w:autoSpaceDN/>
        <w:bidi w:val="0"/>
        <w:adjustRightInd/>
        <w:snapToGrid/>
        <w:spacing w:before="0" w:beforeLines="0" w:after="0" w:afterLines="0"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技术要求</w:t>
      </w:r>
      <w:bookmarkStart w:id="6" w:name="_Toc251860244"/>
    </w:p>
    <w:bookmarkEnd w:id="6"/>
    <w:p>
      <w:pPr>
        <w:pStyle w:val="9"/>
        <w:pageBreakBefore w:val="0"/>
        <w:kinsoku/>
        <w:wordWrap/>
        <w:overflowPunct/>
        <w:topLinePunct w:val="0"/>
        <w:autoSpaceDE/>
        <w:autoSpaceDN/>
        <w:bidi w:val="0"/>
        <w:adjustRightInd/>
        <w:snapToGrid/>
        <w:spacing w:before="0" w:line="360" w:lineRule="auto"/>
        <w:ind w:left="220" w:leftChars="0" w:firstLine="0" w:firstLineChars="0"/>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A）过程控制器：</w:t>
      </w:r>
    </w:p>
    <w:p>
      <w:pPr>
        <w:pStyle w:val="15"/>
        <w:pageBreakBefore w:val="0"/>
        <w:kinsoku/>
        <w:wordWrap/>
        <w:overflowPunct/>
        <w:topLinePunct w:val="0"/>
        <w:autoSpaceDE/>
        <w:autoSpaceDN/>
        <w:bidi w:val="0"/>
        <w:adjustRightInd/>
        <w:snapToGrid/>
        <w:spacing w:after="0" w:line="360" w:lineRule="auto"/>
        <w:ind w:left="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过程控制器提供组态和操作功能，面向对象，全局数据能够访所有数据，包括第三方应用程序。配备一套完整的操作，诊断和工程组态工具。</w:t>
      </w:r>
    </w:p>
    <w:p>
      <w:pPr>
        <w:pStyle w:val="15"/>
        <w:pageBreakBefore w:val="0"/>
        <w:kinsoku/>
        <w:wordWrap/>
        <w:overflowPunct/>
        <w:topLinePunct w:val="0"/>
        <w:autoSpaceDE/>
        <w:autoSpaceDN/>
        <w:bidi w:val="0"/>
        <w:adjustRightInd/>
        <w:snapToGrid/>
        <w:spacing w:after="0" w:line="360" w:lineRule="auto"/>
        <w:ind w:left="0"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过程控制器的全局数据库具有灵活性和可扩展性。集中式数据库为所有DeltaV数据提供单个数据接入点。过程控制器可以通过标签名称透明地访问任何系统信息，确保所有节点都识别所有其他节点，并且所有节点都知道其他节点的物理位置，数据库可便易扩。</w:t>
      </w:r>
    </w:p>
    <w:p>
      <w:pPr>
        <w:pageBreakBefore w:val="0"/>
        <w:widowControl/>
        <w:kinsoku/>
        <w:wordWrap/>
        <w:overflowPunct/>
        <w:topLinePunct w:val="0"/>
        <w:autoSpaceDE/>
        <w:autoSpaceDN/>
        <w:bidi w:val="0"/>
        <w:adjustRightInd/>
        <w:snapToGrid/>
        <w:spacing w:line="360" w:lineRule="auto"/>
        <w:ind w:firstLine="420" w:firstLineChars="200"/>
        <w:contextualSpacing/>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过程控制器应用程序具备监控流程画面，管理过程报警，查看事件以及图形化历史趋势图表的功能。无论是远程访问还是直接连接DeltaV系统，过程控制器均提供完整的操作能力。操作员可以从动画显示，面板，报警，历史值，趋势等访问到所有的操作功能和批量操作报告。</w:t>
      </w:r>
    </w:p>
    <w:p>
      <w:pPr>
        <w:pageBreakBefore w:val="0"/>
        <w:widowControl/>
        <w:kinsoku/>
        <w:wordWrap/>
        <w:overflowPunct/>
        <w:topLinePunct w:val="0"/>
        <w:autoSpaceDE/>
        <w:autoSpaceDN/>
        <w:bidi w:val="0"/>
        <w:adjustRightInd/>
        <w:snapToGrid/>
        <w:spacing w:line="360" w:lineRule="auto"/>
        <w:ind w:firstLine="420" w:firstLineChars="200"/>
        <w:contextualSpacing/>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个人用户可以指定具有哪些功能（例如，操作和调试），被允许执行的特定权限以及它们被允许改变的参数。这些用户权限可以具有特定的控制范围。每个过程控制器可以指定到某些区域进行查看和操作。可以为特定用户定义此安全功能。过程控制器还能够捕获模拟、离散和文本参数并存储以备将来分析。</w:t>
      </w:r>
    </w:p>
    <w:p>
      <w:pPr>
        <w:pStyle w:val="9"/>
        <w:pageBreakBefore w:val="0"/>
        <w:kinsoku/>
        <w:wordWrap/>
        <w:overflowPunct/>
        <w:topLinePunct w:val="0"/>
        <w:autoSpaceDE/>
        <w:autoSpaceDN/>
        <w:bidi w:val="0"/>
        <w:adjustRightInd/>
        <w:snapToGrid/>
        <w:spacing w:before="0" w:line="360" w:lineRule="auto"/>
        <w:ind w:left="220" w:leftChars="0" w:firstLine="0" w:firstLineChars="0"/>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B）系统机柜：</w:t>
      </w:r>
    </w:p>
    <w:p>
      <w:pPr>
        <w:pStyle w:val="9"/>
        <w:pageBreakBefore w:val="0"/>
        <w:kinsoku/>
        <w:wordWrap/>
        <w:overflowPunct/>
        <w:topLinePunct w:val="0"/>
        <w:autoSpaceDE/>
        <w:autoSpaceDN/>
        <w:bidi w:val="0"/>
        <w:adjustRightInd/>
        <w:snapToGrid/>
        <w:spacing w:before="0" w:line="360" w:lineRule="auto"/>
        <w:ind w:firstLine="0" w:firstLineChars="0"/>
        <w:textAlignment w:val="auto"/>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CHARM柜具有独立式外壳，标准机柜设计，电缆从底部进入。使温度和湿度控制在计算机/电子设备的要求范围内，提供电子布线，消除任何内部交叉布线，CHARM柜支持所有可用的低压CHARM I/O类型。</w:t>
      </w:r>
    </w:p>
    <w:p>
      <w:pPr>
        <w:pStyle w:val="7"/>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机柜尺寸要求：800mm(W)x1000mm(D)x2000mm(H)</w:t>
      </w:r>
    </w:p>
    <w:p>
      <w:pPr>
        <w:pStyle w:val="9"/>
        <w:pageBreakBefore w:val="0"/>
        <w:kinsoku/>
        <w:wordWrap/>
        <w:overflowPunct/>
        <w:topLinePunct w:val="0"/>
        <w:autoSpaceDE/>
        <w:autoSpaceDN/>
        <w:bidi w:val="0"/>
        <w:adjustRightInd/>
        <w:snapToGrid/>
        <w:spacing w:before="0" w:line="360" w:lineRule="auto"/>
        <w:ind w:left="220" w:leftChars="0" w:firstLine="0" w:firstLineChars="0"/>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C）系统硬件：</w:t>
      </w:r>
    </w:p>
    <w:p>
      <w:pPr>
        <w:pageBreakBefore w:val="0"/>
        <w:widowControl/>
        <w:kinsoku/>
        <w:wordWrap/>
        <w:overflowPunct/>
        <w:topLinePunct w:val="0"/>
        <w:autoSpaceDE/>
        <w:autoSpaceDN/>
        <w:bidi w:val="0"/>
        <w:adjustRightInd/>
        <w:snapToGrid/>
        <w:spacing w:line="360" w:lineRule="auto"/>
        <w:ind w:firstLine="420" w:firstLineChars="200"/>
        <w:contextualSpacing/>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DeltaV PK控制器基于来自I/O和以太网设备子系统的过程信号来执行控制逻辑。控制器可以根据指定的扫描速率自动调度控制模块使每个控制功能都可以根据过程动态进行优化，每个控制节点可以安装为单节点或冗余节点。</w:t>
      </w:r>
    </w:p>
    <w:p>
      <w:pPr>
        <w:pageBreakBefore w:val="0"/>
        <w:widowControl/>
        <w:kinsoku/>
        <w:wordWrap/>
        <w:overflowPunct/>
        <w:topLinePunct w:val="0"/>
        <w:autoSpaceDE/>
        <w:autoSpaceDN/>
        <w:bidi w:val="0"/>
        <w:adjustRightInd/>
        <w:snapToGrid/>
        <w:spacing w:line="360" w:lineRule="auto"/>
        <w:ind w:firstLine="420" w:firstLineChars="200"/>
        <w:contextualSpacing/>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控制器可以连接到DeltaV传统I/O底板。本地总线I/O最多可以连接8个底板，每个底板8个卡件，总共64个传统I/O卡。4宽I/O底板可以与8宽I/O底板组合使用，在这种情况下，最多保留8个I/O底板。</w:t>
      </w:r>
    </w:p>
    <w:p>
      <w:pPr>
        <w:pageBreakBefore w:val="0"/>
        <w:widowControl/>
        <w:kinsoku/>
        <w:wordWrap/>
        <w:overflowPunct/>
        <w:topLinePunct w:val="0"/>
        <w:autoSpaceDE/>
        <w:autoSpaceDN/>
        <w:bidi w:val="0"/>
        <w:adjustRightInd/>
        <w:snapToGrid/>
        <w:spacing w:line="360" w:lineRule="auto"/>
        <w:ind w:firstLine="420" w:firstLineChars="200"/>
        <w:contextualSpacing/>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除了传统的I/O卡之外，本地总线还支持现场总线技术，包括Foundation Fieldbus、DeviceNet、Profibus DP和AS-I协议，以及串行接口卡。DeltaV PK控制器还支持CHARMs和无线HART I/O卡。CHARM I/O卡(CIOC)通过控制器底板的冗余以太网端口连接，提供电子布线功能。</w:t>
      </w:r>
    </w:p>
    <w:p>
      <w:pPr>
        <w:pageBreakBefore w:val="0"/>
        <w:widowControl/>
        <w:kinsoku/>
        <w:wordWrap/>
        <w:overflowPunct/>
        <w:topLinePunct w:val="0"/>
        <w:autoSpaceDE/>
        <w:autoSpaceDN/>
        <w:bidi w:val="0"/>
        <w:adjustRightInd/>
        <w:snapToGrid/>
        <w:spacing w:line="360" w:lineRule="auto"/>
        <w:ind w:firstLine="420" w:firstLineChars="200"/>
        <w:contextualSpacing/>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DeltaV PK控制器适用于G3腐蚀环境，工作温度范围为-40℃—60℃，满足IP20的防护等级要求。</w:t>
      </w:r>
    </w:p>
    <w:p>
      <w:pPr>
        <w:pageBreakBefore w:val="0"/>
        <w:widowControl/>
        <w:kinsoku/>
        <w:wordWrap/>
        <w:overflowPunct/>
        <w:topLinePunct w:val="0"/>
        <w:autoSpaceDE/>
        <w:autoSpaceDN/>
        <w:bidi w:val="0"/>
        <w:adjustRightInd/>
        <w:snapToGrid/>
        <w:spacing w:line="360" w:lineRule="auto"/>
        <w:contextualSpacing/>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技术要求：</w:t>
      </w:r>
    </w:p>
    <w:p>
      <w:pPr>
        <w:pageBreakBefore w:val="0"/>
        <w:widowControl/>
        <w:kinsoku/>
        <w:wordWrap/>
        <w:overflowPunct/>
        <w:topLinePunct w:val="0"/>
        <w:autoSpaceDE/>
        <w:autoSpaceDN/>
        <w:bidi w:val="0"/>
        <w:adjustRightInd/>
        <w:snapToGrid/>
        <w:spacing w:line="360" w:lineRule="auto"/>
        <w:ind w:firstLine="420" w:firstLineChars="200"/>
        <w:contextualSpacing/>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高速：25、50、100ms+模块执行速率</w:t>
      </w:r>
    </w:p>
    <w:p>
      <w:pPr>
        <w:pageBreakBefore w:val="0"/>
        <w:widowControl/>
        <w:kinsoku/>
        <w:wordWrap/>
        <w:overflowPunct/>
        <w:topLinePunct w:val="0"/>
        <w:autoSpaceDE/>
        <w:autoSpaceDN/>
        <w:bidi w:val="0"/>
        <w:adjustRightInd/>
        <w:snapToGrid/>
        <w:spacing w:line="360" w:lineRule="auto"/>
        <w:ind w:firstLine="420" w:firstLineChars="200"/>
        <w:contextualSpacing/>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独立或集成：不需要PC连接启动或操作</w:t>
      </w:r>
    </w:p>
    <w:p>
      <w:pPr>
        <w:pageBreakBefore w:val="0"/>
        <w:widowControl/>
        <w:kinsoku/>
        <w:wordWrap/>
        <w:overflowPunct/>
        <w:topLinePunct w:val="0"/>
        <w:autoSpaceDE/>
        <w:autoSpaceDN/>
        <w:bidi w:val="0"/>
        <w:adjustRightInd/>
        <w:snapToGrid/>
        <w:spacing w:line="360" w:lineRule="auto"/>
        <w:ind w:firstLine="420" w:firstLineChars="200"/>
        <w:contextualSpacing/>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单控制器/冗余控制器:简单、经济高效的冗余，不增加占用空间</w:t>
      </w:r>
    </w:p>
    <w:p>
      <w:pPr>
        <w:pageBreakBefore w:val="0"/>
        <w:widowControl/>
        <w:kinsoku/>
        <w:wordWrap/>
        <w:overflowPunct/>
        <w:topLinePunct w:val="0"/>
        <w:autoSpaceDE/>
        <w:autoSpaceDN/>
        <w:bidi w:val="0"/>
        <w:adjustRightInd/>
        <w:snapToGrid/>
        <w:spacing w:line="360" w:lineRule="auto"/>
        <w:ind w:firstLine="420" w:firstLineChars="200"/>
        <w:contextualSpacing/>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板载配置保存：消除保留离线配置文件的需要</w:t>
      </w:r>
    </w:p>
    <w:p>
      <w:pPr>
        <w:pageBreakBefore w:val="0"/>
        <w:widowControl/>
        <w:kinsoku/>
        <w:wordWrap/>
        <w:overflowPunct/>
        <w:topLinePunct w:val="0"/>
        <w:autoSpaceDE/>
        <w:autoSpaceDN/>
        <w:bidi w:val="0"/>
        <w:adjustRightInd/>
        <w:snapToGrid/>
        <w:spacing w:line="360" w:lineRule="auto"/>
        <w:ind w:firstLine="420" w:firstLineChars="200"/>
        <w:contextualSpacing/>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掉电保护：断电长达18个月后正常启动</w:t>
      </w:r>
    </w:p>
    <w:p>
      <w:pPr>
        <w:pStyle w:val="7"/>
        <w:ind w:firstLine="0" w:firstLineChars="0"/>
      </w:pPr>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2"/>
          </w:tcPr>
          <w:p>
            <w:pPr>
              <w:widowControl/>
              <w:jc w:val="center"/>
              <w:textAlignment w:val="center"/>
              <w:rPr>
                <w:rFonts w:ascii="Arial" w:hAnsi="Arial" w:eastAsia="宋体" w:cs="Arial"/>
                <w:color w:val="000000"/>
                <w:lang w:eastAsia="zh-CN" w:bidi="ar"/>
              </w:rPr>
            </w:pPr>
            <w:r>
              <w:rPr>
                <w:rFonts w:hint="eastAsia" w:ascii="Arial" w:hAnsi="Arial" w:eastAsia="宋体" w:cs="Arial"/>
                <w:color w:val="000000"/>
                <w:lang w:eastAsia="zh-CN" w:bidi="ar"/>
              </w:rPr>
              <w:t>工作环境特性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pStyle w:val="16"/>
              <w:widowControl/>
              <w:spacing w:beforeAutospacing="0" w:afterAutospacing="0" w:line="360" w:lineRule="auto"/>
              <w:jc w:val="center"/>
              <w:rPr>
                <w:rFonts w:ascii="Arial" w:hAnsi="Arial" w:eastAsia="宋体" w:cs="Arial"/>
                <w:color w:val="000000"/>
                <w:sz w:val="22"/>
                <w:lang w:bidi="ar"/>
              </w:rPr>
            </w:pPr>
            <w:r>
              <w:rPr>
                <w:rFonts w:hint="eastAsia" w:ascii="Arial" w:hAnsi="Arial" w:eastAsia="宋体" w:cs="Arial"/>
                <w:color w:val="000000"/>
                <w:sz w:val="22"/>
                <w:lang w:bidi="ar"/>
              </w:rPr>
              <w:t>工作温度</w:t>
            </w:r>
          </w:p>
        </w:tc>
        <w:tc>
          <w:tcPr>
            <w:tcW w:w="4352" w:type="dxa"/>
            <w:vAlign w:val="center"/>
          </w:tcPr>
          <w:p>
            <w:pPr>
              <w:widowControl/>
              <w:jc w:val="center"/>
              <w:textAlignment w:val="center"/>
              <w:rPr>
                <w:rFonts w:ascii="Arial" w:hAnsi="Arial" w:eastAsia="宋体" w:cs="Arial"/>
                <w:color w:val="000000"/>
                <w:lang w:eastAsia="zh-CN" w:bidi="ar"/>
              </w:rPr>
            </w:pPr>
            <w:r>
              <w:rPr>
                <w:rFonts w:ascii="Arial" w:hAnsi="Arial" w:eastAsia="宋体" w:cs="Arial"/>
                <w:color w:val="000000"/>
                <w:lang w:eastAsia="zh-CN" w:bidi="ar"/>
              </w:rPr>
              <w:t>-40° to 60°C (-40° to 140°F)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pStyle w:val="16"/>
              <w:widowControl/>
              <w:spacing w:beforeAutospacing="0" w:afterAutospacing="0" w:line="360" w:lineRule="auto"/>
              <w:jc w:val="center"/>
              <w:rPr>
                <w:rFonts w:ascii="Arial" w:hAnsi="Arial" w:eastAsia="宋体" w:cs="Arial"/>
                <w:color w:val="000000"/>
                <w:sz w:val="22"/>
                <w:lang w:bidi="ar"/>
              </w:rPr>
            </w:pPr>
            <w:r>
              <w:rPr>
                <w:rFonts w:hint="eastAsia" w:ascii="Arial" w:hAnsi="Arial" w:eastAsia="宋体" w:cs="Arial"/>
                <w:color w:val="000000"/>
                <w:sz w:val="22"/>
                <w:lang w:bidi="ar"/>
              </w:rPr>
              <w:t>存储温度</w:t>
            </w:r>
          </w:p>
        </w:tc>
        <w:tc>
          <w:tcPr>
            <w:tcW w:w="4352" w:type="dxa"/>
            <w:vAlign w:val="center"/>
          </w:tcPr>
          <w:p>
            <w:pPr>
              <w:widowControl/>
              <w:jc w:val="center"/>
              <w:textAlignment w:val="center"/>
              <w:rPr>
                <w:rFonts w:ascii="Arial" w:hAnsi="Arial" w:eastAsia="宋体" w:cs="Arial"/>
                <w:color w:val="000000"/>
                <w:lang w:eastAsia="zh-CN" w:bidi="ar"/>
              </w:rPr>
            </w:pPr>
            <w:r>
              <w:rPr>
                <w:rFonts w:ascii="Arial" w:hAnsi="Arial" w:eastAsia="宋体" w:cs="Arial"/>
                <w:color w:val="000000"/>
                <w:lang w:eastAsia="zh-CN" w:bidi="ar"/>
              </w:rPr>
              <w:t>-40° to 85°C (-40° to 185°F)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pStyle w:val="16"/>
              <w:widowControl/>
              <w:spacing w:beforeAutospacing="0" w:afterAutospacing="0" w:line="360" w:lineRule="auto"/>
              <w:jc w:val="center"/>
              <w:rPr>
                <w:rFonts w:ascii="Arial" w:hAnsi="Arial" w:eastAsia="宋体" w:cs="Arial"/>
                <w:color w:val="000000"/>
                <w:sz w:val="22"/>
                <w:lang w:bidi="ar"/>
              </w:rPr>
            </w:pPr>
            <w:r>
              <w:rPr>
                <w:rFonts w:hint="eastAsia" w:ascii="Arial" w:hAnsi="Arial" w:eastAsia="宋体" w:cs="Arial"/>
                <w:color w:val="000000"/>
                <w:sz w:val="22"/>
                <w:lang w:bidi="ar"/>
              </w:rPr>
              <w:t>相对湿度</w:t>
            </w:r>
          </w:p>
        </w:tc>
        <w:tc>
          <w:tcPr>
            <w:tcW w:w="4352" w:type="dxa"/>
            <w:vAlign w:val="center"/>
          </w:tcPr>
          <w:p>
            <w:pPr>
              <w:widowControl/>
              <w:jc w:val="center"/>
              <w:textAlignment w:val="center"/>
              <w:rPr>
                <w:rFonts w:ascii="Arial" w:hAnsi="Arial" w:eastAsia="宋体" w:cs="Arial"/>
                <w:color w:val="000000"/>
                <w:lang w:eastAsia="zh-CN" w:bidi="ar"/>
              </w:rPr>
            </w:pPr>
            <w:r>
              <w:rPr>
                <w:rFonts w:ascii="Arial" w:hAnsi="Arial" w:eastAsia="宋体" w:cs="Arial"/>
                <w:color w:val="000000"/>
                <w:lang w:eastAsia="zh-CN" w:bidi="ar"/>
              </w:rPr>
              <w:t>5 to 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pStyle w:val="16"/>
              <w:widowControl/>
              <w:spacing w:beforeAutospacing="0" w:afterAutospacing="0" w:line="360" w:lineRule="auto"/>
              <w:jc w:val="center"/>
              <w:rPr>
                <w:rFonts w:ascii="Arial" w:hAnsi="Arial" w:eastAsia="宋体" w:cs="Arial"/>
                <w:color w:val="000000"/>
                <w:sz w:val="22"/>
                <w:lang w:bidi="ar"/>
              </w:rPr>
            </w:pPr>
            <w:r>
              <w:rPr>
                <w:rFonts w:hint="eastAsia" w:ascii="Arial" w:hAnsi="Arial" w:eastAsia="宋体" w:cs="Arial"/>
                <w:color w:val="000000"/>
                <w:sz w:val="22"/>
                <w:lang w:bidi="ar"/>
              </w:rPr>
              <w:t>防护等级</w:t>
            </w:r>
          </w:p>
        </w:tc>
        <w:tc>
          <w:tcPr>
            <w:tcW w:w="4352" w:type="dxa"/>
            <w:vAlign w:val="center"/>
          </w:tcPr>
          <w:p>
            <w:pPr>
              <w:widowControl/>
              <w:jc w:val="center"/>
              <w:textAlignment w:val="center"/>
              <w:rPr>
                <w:rFonts w:ascii="Arial" w:hAnsi="Arial" w:eastAsia="宋体" w:cs="Arial"/>
                <w:color w:val="000000"/>
                <w:lang w:eastAsia="zh-CN" w:bidi="ar"/>
              </w:rPr>
            </w:pPr>
            <w:r>
              <w:rPr>
                <w:rFonts w:ascii="Arial" w:hAnsi="Arial" w:eastAsia="宋体" w:cs="Arial"/>
                <w:color w:val="000000"/>
                <w:lang w:eastAsia="zh-CN" w:bidi="ar"/>
              </w:rPr>
              <w:t>IP20, NEMA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pStyle w:val="16"/>
              <w:widowControl/>
              <w:spacing w:beforeAutospacing="0" w:afterAutospacing="0" w:line="360" w:lineRule="auto"/>
              <w:jc w:val="center"/>
              <w:rPr>
                <w:rFonts w:ascii="Arial" w:hAnsi="Arial" w:eastAsia="宋体" w:cs="Arial"/>
                <w:color w:val="000000"/>
                <w:sz w:val="22"/>
                <w:lang w:bidi="ar"/>
              </w:rPr>
            </w:pPr>
            <w:r>
              <w:rPr>
                <w:rFonts w:hint="eastAsia" w:ascii="Arial" w:hAnsi="Arial" w:eastAsia="宋体" w:cs="Arial"/>
                <w:color w:val="000000"/>
                <w:sz w:val="22"/>
                <w:lang w:bidi="ar"/>
              </w:rPr>
              <w:t>空气污染物</w:t>
            </w:r>
          </w:p>
        </w:tc>
        <w:tc>
          <w:tcPr>
            <w:tcW w:w="4352" w:type="dxa"/>
            <w:vAlign w:val="center"/>
          </w:tcPr>
          <w:p>
            <w:pPr>
              <w:widowControl/>
              <w:jc w:val="center"/>
              <w:textAlignment w:val="center"/>
              <w:rPr>
                <w:rFonts w:ascii="Arial" w:hAnsi="Arial" w:eastAsia="宋体" w:cs="Arial"/>
                <w:color w:val="000000"/>
                <w:lang w:eastAsia="zh-CN" w:bidi="ar"/>
              </w:rPr>
            </w:pPr>
            <w:r>
              <w:rPr>
                <w:rFonts w:ascii="Arial" w:hAnsi="Arial" w:eastAsia="宋体" w:cs="Arial"/>
                <w:color w:val="000000"/>
                <w:lang w:eastAsia="zh-CN" w:bidi="ar"/>
              </w:rPr>
              <w:t>ISA-S71.04-1985 Airborne Contaminants Class G3 Conformal Coating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pStyle w:val="16"/>
              <w:widowControl/>
              <w:spacing w:beforeAutospacing="0" w:afterAutospacing="0" w:line="360" w:lineRule="auto"/>
              <w:jc w:val="center"/>
              <w:rPr>
                <w:rFonts w:ascii="Arial" w:hAnsi="Arial" w:eastAsia="宋体" w:cs="Arial"/>
                <w:color w:val="000000"/>
                <w:sz w:val="22"/>
                <w:lang w:bidi="ar"/>
              </w:rPr>
            </w:pPr>
            <w:r>
              <w:rPr>
                <w:rFonts w:hint="eastAsia" w:ascii="Arial" w:hAnsi="Arial" w:eastAsia="宋体" w:cs="Arial"/>
                <w:color w:val="000000"/>
                <w:sz w:val="22"/>
                <w:lang w:bidi="ar"/>
              </w:rPr>
              <w:t>重力加速度冲击</w:t>
            </w:r>
          </w:p>
        </w:tc>
        <w:tc>
          <w:tcPr>
            <w:tcW w:w="4352" w:type="dxa"/>
            <w:vAlign w:val="center"/>
          </w:tcPr>
          <w:p>
            <w:pPr>
              <w:widowControl/>
              <w:jc w:val="center"/>
              <w:textAlignment w:val="center"/>
              <w:rPr>
                <w:rFonts w:ascii="Arial" w:hAnsi="Arial" w:eastAsia="宋体" w:cs="Arial"/>
                <w:color w:val="000000"/>
                <w:lang w:eastAsia="zh-CN" w:bidi="ar"/>
              </w:rPr>
            </w:pPr>
            <w:r>
              <w:rPr>
                <w:rFonts w:ascii="Arial" w:hAnsi="Arial" w:eastAsia="宋体" w:cs="Arial"/>
                <w:color w:val="000000"/>
                <w:lang w:eastAsia="zh-CN" w:bidi="ar"/>
              </w:rPr>
              <w:t>10g ½-sine wave for 11ms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vAlign w:val="center"/>
          </w:tcPr>
          <w:p>
            <w:pPr>
              <w:pStyle w:val="16"/>
              <w:widowControl/>
              <w:spacing w:beforeAutospacing="0" w:afterAutospacing="0" w:line="360" w:lineRule="auto"/>
              <w:jc w:val="center"/>
              <w:rPr>
                <w:rFonts w:ascii="Arial" w:hAnsi="Arial" w:eastAsia="宋体" w:cs="Arial"/>
                <w:color w:val="000000"/>
                <w:sz w:val="22"/>
                <w:lang w:bidi="ar"/>
              </w:rPr>
            </w:pPr>
            <w:r>
              <w:rPr>
                <w:rFonts w:hint="eastAsia" w:ascii="Arial" w:hAnsi="Arial" w:eastAsia="宋体" w:cs="Arial"/>
                <w:color w:val="000000"/>
                <w:sz w:val="22"/>
                <w:lang w:bidi="ar"/>
              </w:rPr>
              <w:t>振动</w:t>
            </w:r>
          </w:p>
        </w:tc>
        <w:tc>
          <w:tcPr>
            <w:tcW w:w="4352" w:type="dxa"/>
            <w:vAlign w:val="center"/>
          </w:tcPr>
          <w:p>
            <w:pPr>
              <w:widowControl/>
              <w:jc w:val="center"/>
              <w:textAlignment w:val="center"/>
              <w:rPr>
                <w:rFonts w:ascii="Arial" w:hAnsi="Arial" w:eastAsia="宋体" w:cs="Arial"/>
                <w:color w:val="000000"/>
                <w:lang w:eastAsia="zh-CN" w:bidi="ar"/>
              </w:rPr>
            </w:pPr>
            <w:r>
              <w:rPr>
                <w:rFonts w:ascii="Arial" w:hAnsi="Arial" w:eastAsia="宋体" w:cs="Arial"/>
                <w:color w:val="000000"/>
                <w:lang w:eastAsia="zh-CN" w:bidi="ar"/>
              </w:rPr>
              <w:t>1mm peak-to-peak from 5Hz to 13.2Hz, 0.7g from 13.2Hz to 150Hz</w:t>
            </w:r>
          </w:p>
        </w:tc>
      </w:tr>
    </w:tbl>
    <w:p>
      <w:pPr>
        <w:pStyle w:val="7"/>
      </w:pPr>
    </w:p>
    <w:p>
      <w:pPr>
        <w:pStyle w:val="9"/>
        <w:keepNext w:val="0"/>
        <w:keepLines w:val="0"/>
        <w:pageBreakBefore w:val="0"/>
        <w:kinsoku/>
        <w:wordWrap/>
        <w:overflowPunct/>
        <w:topLinePunct w:val="0"/>
        <w:autoSpaceDE/>
        <w:autoSpaceDN/>
        <w:bidi w:val="0"/>
        <w:adjustRightInd/>
        <w:snapToGrid/>
        <w:spacing w:before="0" w:line="360" w:lineRule="auto"/>
        <w:ind w:left="220" w:leftChars="0" w:firstLine="0" w:firstLineChars="0"/>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val="en-US" w:eastAsia="zh-CN"/>
        </w:rPr>
        <w:t>D）</w:t>
      </w:r>
      <w:r>
        <w:rPr>
          <w:rFonts w:hint="eastAsia" w:asciiTheme="minorEastAsia" w:hAnsiTheme="minorEastAsia" w:eastAsiaTheme="minorEastAsia" w:cstheme="minorEastAsia"/>
          <w:b/>
          <w:bCs/>
          <w:spacing w:val="2"/>
          <w:sz w:val="21"/>
          <w:szCs w:val="21"/>
          <w:lang w:eastAsia="zh-CN"/>
        </w:rPr>
        <w:t>操控台：</w:t>
      </w:r>
    </w:p>
    <w:p>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含关断，恢复按键，配信号指示灯</w:t>
      </w:r>
    </w:p>
    <w:p>
      <w:pPr>
        <w:pStyle w:val="9"/>
        <w:keepNext w:val="0"/>
        <w:keepLines w:val="0"/>
        <w:pageBreakBefore w:val="0"/>
        <w:kinsoku/>
        <w:wordWrap/>
        <w:overflowPunct/>
        <w:topLinePunct w:val="0"/>
        <w:autoSpaceDE/>
        <w:autoSpaceDN/>
        <w:bidi w:val="0"/>
        <w:adjustRightInd/>
        <w:snapToGrid/>
        <w:spacing w:before="0" w:line="360" w:lineRule="auto"/>
        <w:ind w:left="220" w:leftChars="0" w:firstLine="0" w:firstLineChars="0"/>
        <w:textAlignment w:val="auto"/>
        <w:rPr>
          <w:rFonts w:hint="eastAsia" w:asciiTheme="minorEastAsia" w:hAnsiTheme="minorEastAsia" w:eastAsiaTheme="minorEastAsia" w:cstheme="minorEastAsia"/>
          <w:b/>
          <w:bCs/>
          <w:spacing w:val="2"/>
          <w:sz w:val="21"/>
          <w:szCs w:val="21"/>
          <w:lang w:val="en-US" w:eastAsia="zh-CN"/>
        </w:rPr>
      </w:pPr>
      <w:r>
        <w:rPr>
          <w:rFonts w:hint="eastAsia" w:asciiTheme="minorEastAsia" w:hAnsiTheme="minorEastAsia" w:eastAsiaTheme="minorEastAsia" w:cstheme="minorEastAsia"/>
          <w:b/>
          <w:bCs/>
          <w:spacing w:val="2"/>
          <w:sz w:val="21"/>
          <w:szCs w:val="21"/>
          <w:lang w:val="en-US" w:eastAsia="zh-CN"/>
        </w:rPr>
        <w:t>E）系统软件：</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DeltaV资源管理器</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在视图中呈现完整的系统，并允许直接访问任何项目。允许定义系统组件（如区域，节点，模块和警报），并查看系统的整体结构和布局。</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DeltaV Explorer内置的自动检测功能，在插入系统硬件，FOUNDATION现场总线设备和控制器时构建配置。</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控制工作室.</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允许以图形方式创建和修改构成控制策略的各个模块和模板。Control Studio将每个模块视为单独的实体，允许专注于特定模块，而不会影响可能在同一控制器中运行的其他模块。</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可以选择功能块图或顺序功能图来创建控制策略，选择适合的工艺流程语言。此外还可以在单个模块中混用控制语言。</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在线控制工作室.</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无论是在DeltaV还是Foundation现场总线设备上，都可以显示正在运行的控制策略。</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以图形方式显示执行的控制策略，方便修改参数。为操作员提供便捷的在线信息。运行策略的状态和错误被用颜色标记。</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在线调试功能</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提供完整的故障排除功能。通过功能块（FBD）进行在线调试。对于闭环控制功能和连续计算，Control Studio允许在线执行以下功能：</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从执行中停止功能块图：允许在没有控制策略变化的情况下查看策略值或进行多项修改。</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通过完整的模块或单个功能块逐步推进：允许分析每个功能块，一次一个。</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在功能块上设置断点：允许将模块执行到特定的功能块设置断点。</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强制输入值：如果发送器发生故障，可以使用覆盖值来代替，或者可以根据数据的变化，来确定控制策略的执行方式。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内部控制策略模拟：可以在功能块上使用模拟参数，并用模拟值覆盖I/O值。</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DeltaV 用户管理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DeltaV软件包含强大且灵活的系统安全架构。使用DeltaV系统，安全性完全可以根据用户的需求修改，以符合管理规定。系统级的安全参数定义每条数据。无论在DeltaV中做什么，还是Application Station上的第三方应用程序，都会检查安全性，以确保每个用户对每个任务具有正确的权限。</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DeltaV用户管理程序定义用户及他们的权限。</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DeltaV安全性与Windows 安全性密切相关。DeltaV用户密码作为Windows安全性的一部分进行维护。在DeltaV用户管理器中，可以定义有效的系统用户及其权限。用户管理器可以更新Windows 与新用户和修改用户的安全性。</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可以定义用户组，例如操作员或主管，并分配他们DeltaV权限。一组可以仅改变操作参数，而另一组也可以改变所选的PID参数。可以将用户限制在工厂的特定区域。</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eastAsia="zh-CN"/>
        </w:rPr>
        <w:tab/>
      </w:r>
      <w:r>
        <w:rPr>
          <w:rFonts w:hint="eastAsia" w:asciiTheme="minorEastAsia" w:hAnsiTheme="minorEastAsia" w:eastAsiaTheme="minorEastAsia" w:cstheme="minorEastAsia"/>
          <w:sz w:val="21"/>
          <w:szCs w:val="21"/>
          <w:lang w:eastAsia="zh-CN"/>
        </w:rPr>
        <w:t>DeltaV 批量编辑</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DeltaV提供了另一种工具，通常用于大量创建的数据库对象的快速配置。由用户定义的导入/导出接口处理的批量数据。数据可以在Excel或ODBC数据库中编辑。</w:t>
      </w:r>
    </w:p>
    <w:p>
      <w:pPr>
        <w:keepNext w:val="0"/>
        <w:keepLines w:val="0"/>
        <w:pageBreakBefore w:val="0"/>
        <w:widowControl/>
        <w:kinsoku/>
        <w:wordWrap/>
        <w:overflowPunct/>
        <w:topLinePunct w:val="0"/>
        <w:autoSpaceDE/>
        <w:autoSpaceDN/>
        <w:bidi w:val="0"/>
        <w:adjustRightInd/>
        <w:snapToGrid/>
        <w:spacing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DeltaV几乎涵盖了各种工业控制算法应用。从流行的PID，级联，反馈，分割器，超驰，选择等到复杂的顺序控制，批处理和APC应用程序，DeltaV为多级应用程序预配置了大量标准功能块和模板。使用图形化的模块化组态工具，只需拖放预定义的功能块和模板，从图形控制策略库中复制和粘贴。</w:t>
      </w:r>
    </w:p>
    <w:bookmarkEnd w:id="4"/>
    <w:bookmarkEnd w:id="5"/>
    <w:p>
      <w:pPr>
        <w:pStyle w:val="25"/>
        <w:keepNext w:val="0"/>
        <w:keepLines w:val="0"/>
        <w:pageBreakBefore w:val="0"/>
        <w:widowControl/>
        <w:kinsoku/>
        <w:wordWrap/>
        <w:overflowPunct/>
        <w:topLinePunct w:val="0"/>
        <w:bidi w:val="0"/>
        <w:snapToGrid/>
        <w:spacing w:line="360" w:lineRule="auto"/>
        <w:textAlignment w:val="auto"/>
        <w:outlineLvl w:val="0"/>
        <w:rPr>
          <w:rFonts w:hint="eastAsia" w:asciiTheme="minorEastAsia" w:hAnsiTheme="minorEastAsia" w:eastAsiaTheme="minorEastAsia" w:cstheme="minorEastAsia"/>
          <w:b/>
          <w:bCs/>
          <w:spacing w:val="2"/>
          <w:sz w:val="21"/>
          <w:szCs w:val="21"/>
        </w:rPr>
      </w:pPr>
      <w:r>
        <w:rPr>
          <w:rFonts w:hint="eastAsia" w:asciiTheme="minorEastAsia" w:hAnsiTheme="minorEastAsia" w:eastAsiaTheme="minorEastAsia" w:cstheme="minorEastAsia"/>
          <w:b/>
          <w:bCs/>
          <w:spacing w:val="2"/>
          <w:sz w:val="21"/>
          <w:szCs w:val="21"/>
        </w:rPr>
        <w:t>四、现场验收</w:t>
      </w:r>
    </w:p>
    <w:p>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w:t>
      </w:r>
      <w:r>
        <w:rPr>
          <w:rFonts w:hint="eastAsia" w:asciiTheme="minorEastAsia" w:hAnsiTheme="minorEastAsia" w:eastAsiaTheme="minorEastAsia" w:cstheme="minorEastAsia"/>
          <w:sz w:val="21"/>
          <w:szCs w:val="21"/>
          <w:lang w:eastAsia="zh-CN"/>
        </w:rPr>
        <w:t>到货验收：发货前需与买方沟通收发货事宜并提供验收相关资料。如果未沟通，买方有权拒收货物。</w:t>
      </w:r>
    </w:p>
    <w:p>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2.如出现货物短缺或不符合文件规定(质量、规格、数量)的情况时，卖方应及时给与补齐或更换，由此产生的一切费用由卖方承担。如果卖方所供货物（质量、规格、数量等）与文件规定严重不符，招标方有权拒收，并保留索赔的权利，由此产生的一切损失由卖方承担；</w:t>
      </w:r>
    </w:p>
    <w:p>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3.设备验收时发现各类问题供货方要在两天内提供解决方案，最后的处理结果要满足招标方要求；</w:t>
      </w:r>
    </w:p>
    <w:p>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4.要求提供完整的设备技术文档、项目实施过程文件以及完整的项目竣工资料。</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eastAsia="zh-CN"/>
        </w:rPr>
        <w:t>五、技术服务与售后服务</w:t>
      </w:r>
    </w:p>
    <w:p>
      <w:pPr>
        <w:pStyle w:val="9"/>
        <w:keepNext w:val="0"/>
        <w:keepLines w:val="0"/>
        <w:pageBreakBefore w:val="0"/>
        <w:numPr>
          <w:ilvl w:val="0"/>
          <w:numId w:val="6"/>
        </w:numPr>
        <w:kinsoku/>
        <w:wordWrap/>
        <w:overflowPunct/>
        <w:topLinePunct w:val="0"/>
        <w:bidi w:val="0"/>
        <w:snapToGrid/>
        <w:spacing w:before="0" w:line="360" w:lineRule="auto"/>
        <w:ind w:left="0" w:leftChars="0" w:firstLine="403" w:firstLineChars="0"/>
        <w:textAlignment w:val="auto"/>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卖方</w:t>
      </w:r>
      <w:r>
        <w:rPr>
          <w:rFonts w:hint="eastAsia" w:asciiTheme="minorEastAsia" w:hAnsiTheme="minorEastAsia" w:eastAsiaTheme="minorEastAsia" w:cstheme="minorEastAsia"/>
          <w:sz w:val="21"/>
          <w:szCs w:val="21"/>
          <w:lang w:val="en-US" w:eastAsia="zh-CN"/>
        </w:rPr>
        <w:t>投标时需</w:t>
      </w:r>
      <w:r>
        <w:rPr>
          <w:rFonts w:hint="eastAsia" w:asciiTheme="minorEastAsia" w:hAnsiTheme="minorEastAsia" w:eastAsiaTheme="minorEastAsia" w:cstheme="minorEastAsia"/>
          <w:sz w:val="21"/>
          <w:szCs w:val="21"/>
          <w:lang w:eastAsia="zh-CN"/>
        </w:rPr>
        <w:t>提供详细、准确</w:t>
      </w:r>
      <w:r>
        <w:rPr>
          <w:rFonts w:hint="eastAsia" w:asciiTheme="minorEastAsia" w:hAnsiTheme="minorEastAsia" w:eastAsiaTheme="minorEastAsia" w:cstheme="minorEastAsia"/>
          <w:sz w:val="21"/>
          <w:szCs w:val="21"/>
          <w:lang w:val="en-US" w:eastAsia="zh-CN"/>
        </w:rPr>
        <w:t>的实施</w:t>
      </w:r>
      <w:r>
        <w:rPr>
          <w:rFonts w:hint="eastAsia" w:asciiTheme="minorEastAsia" w:hAnsiTheme="minorEastAsia" w:eastAsiaTheme="minorEastAsia" w:cstheme="minorEastAsia"/>
          <w:sz w:val="21"/>
          <w:szCs w:val="21"/>
          <w:lang w:eastAsia="zh-CN"/>
        </w:rPr>
        <w:t>方案；对维护和技术服务条款要有专门的描述;</w:t>
      </w:r>
    </w:p>
    <w:p>
      <w:pPr>
        <w:pStyle w:val="9"/>
        <w:keepNext w:val="0"/>
        <w:keepLines w:val="0"/>
        <w:pageBreakBefore w:val="0"/>
        <w:numPr>
          <w:ilvl w:val="0"/>
          <w:numId w:val="6"/>
        </w:numPr>
        <w:kinsoku/>
        <w:wordWrap/>
        <w:overflowPunct/>
        <w:topLinePunct w:val="0"/>
        <w:bidi w:val="0"/>
        <w:snapToGrid/>
        <w:spacing w:before="0" w:line="360" w:lineRule="auto"/>
        <w:ind w:left="0" w:leftChars="0" w:firstLine="403" w:firstLineChars="0"/>
        <w:textAlignment w:val="auto"/>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安装、调试要求：设备到货后，卖方需要前往中海油舟山员工运转大楼进行安装调试工作。</w:t>
      </w:r>
    </w:p>
    <w:p>
      <w:pPr>
        <w:pStyle w:val="9"/>
        <w:keepNext w:val="0"/>
        <w:keepLines w:val="0"/>
        <w:pageBreakBefore w:val="0"/>
        <w:numPr>
          <w:ilvl w:val="0"/>
          <w:numId w:val="6"/>
        </w:numPr>
        <w:kinsoku/>
        <w:wordWrap/>
        <w:overflowPunct/>
        <w:topLinePunct w:val="0"/>
        <w:bidi w:val="0"/>
        <w:snapToGrid/>
        <w:spacing w:before="0" w:line="360" w:lineRule="auto"/>
        <w:ind w:left="0" w:leftChars="0" w:firstLine="403" w:firstLineChars="0"/>
        <w:textAlignment w:val="auto"/>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技术联络与响应：质保期内，如设备发生故障时，卖方需在接到买方通知后，指派技术人员赶到场解决问题；质保期内卖方提供设备质保内的7*24电话响应服务。</w:t>
      </w:r>
    </w:p>
    <w:p>
      <w:pPr>
        <w:pStyle w:val="9"/>
        <w:keepNext w:val="0"/>
        <w:keepLines w:val="0"/>
        <w:pageBreakBefore w:val="0"/>
        <w:numPr>
          <w:ilvl w:val="0"/>
          <w:numId w:val="7"/>
        </w:numPr>
        <w:kinsoku/>
        <w:wordWrap/>
        <w:overflowPunct/>
        <w:topLinePunct w:val="0"/>
        <w:bidi w:val="0"/>
        <w:snapToGrid/>
        <w:spacing w:before="0" w:line="360" w:lineRule="auto"/>
        <w:ind w:left="-200" w:leftChars="0" w:firstLineChars="0"/>
        <w:textAlignment w:val="auto"/>
        <w:outlineLvl w:val="1"/>
        <w:rPr>
          <w:rFonts w:hint="eastAsia" w:asciiTheme="minorEastAsia" w:hAnsiTheme="minorEastAsia" w:eastAsiaTheme="minorEastAsia" w:cstheme="minorEastAsia"/>
          <w:b/>
          <w:bCs/>
          <w:spacing w:val="2"/>
          <w:sz w:val="21"/>
          <w:szCs w:val="21"/>
          <w:lang w:val="en-US" w:eastAsia="zh-CN" w:bidi="ar-SA"/>
        </w:rPr>
      </w:pPr>
      <w:r>
        <w:rPr>
          <w:rFonts w:hint="eastAsia" w:asciiTheme="minorEastAsia" w:hAnsiTheme="minorEastAsia" w:eastAsiaTheme="minorEastAsia" w:cstheme="minorEastAsia"/>
          <w:b/>
          <w:bCs/>
          <w:spacing w:val="2"/>
          <w:sz w:val="21"/>
          <w:szCs w:val="21"/>
          <w:lang w:val="en-US" w:eastAsia="zh-CN" w:bidi="ar-SA"/>
        </w:rPr>
        <w:t>执行标准</w:t>
      </w:r>
    </w:p>
    <w:p>
      <w:pPr>
        <w:pStyle w:val="9"/>
        <w:keepNext w:val="0"/>
        <w:keepLines w:val="0"/>
        <w:pageBreakBefore w:val="0"/>
        <w:numPr>
          <w:ilvl w:val="0"/>
          <w:numId w:val="0"/>
        </w:numPr>
        <w:kinsoku/>
        <w:wordWrap/>
        <w:overflowPunct/>
        <w:topLinePunct w:val="0"/>
        <w:bidi w:val="0"/>
        <w:snapToGrid/>
        <w:spacing w:before="0" w:line="360" w:lineRule="auto"/>
        <w:ind w:firstLine="420" w:firstLineChars="20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GB/T 50493-2019 《石油化工可燃气体和有毒气体检测报警设计标准》</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val="en-US" w:eastAsia="zh-CN"/>
        </w:rPr>
        <w:t>七</w:t>
      </w:r>
      <w:r>
        <w:rPr>
          <w:rFonts w:hint="eastAsia" w:asciiTheme="minorEastAsia" w:hAnsiTheme="minorEastAsia" w:eastAsiaTheme="minorEastAsia" w:cstheme="minorEastAsia"/>
          <w:b/>
          <w:bCs/>
          <w:spacing w:val="2"/>
          <w:sz w:val="21"/>
          <w:szCs w:val="21"/>
          <w:lang w:eastAsia="zh-CN"/>
        </w:rPr>
        <w:t>、安全管理要求</w:t>
      </w:r>
    </w:p>
    <w:p>
      <w:pPr>
        <w:keepNext w:val="0"/>
        <w:keepLines w:val="0"/>
        <w:pageBreakBefore w:val="0"/>
        <w:numPr>
          <w:ilvl w:val="0"/>
          <w:numId w:val="8"/>
        </w:numPr>
        <w:kinsoku/>
        <w:wordWrap/>
        <w:overflowPunct/>
        <w:topLinePunct w:val="0"/>
        <w:bidi w:val="0"/>
        <w:snapToGrid/>
        <w:spacing w:line="360" w:lineRule="auto"/>
        <w:ind w:firstLine="420" w:firstLineChars="200"/>
        <w:textAlignment w:val="auto"/>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卖方提供服务时需自带防静电工作服、安全帽、工作鞋等劳保用品及满足现场施工要求的机具。</w:t>
      </w:r>
    </w:p>
    <w:p>
      <w:pPr>
        <w:keepNext w:val="0"/>
        <w:keepLines w:val="0"/>
        <w:pageBreakBefore w:val="0"/>
        <w:kinsoku/>
        <w:wordWrap/>
        <w:overflowPunct/>
        <w:topLinePunct w:val="0"/>
        <w:bidi w:val="0"/>
        <w:snapToGrid/>
        <w:spacing w:line="360" w:lineRule="auto"/>
        <w:ind w:left="420" w:leftChars="200"/>
        <w:textAlignment w:val="auto"/>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 卖方投标时提供相关企业安全管理制度，主要包括：全员安全生产责任制、双重预防制度、安全检查制度、安全培训管理制度、劳动防护用品配备标准等。</w:t>
      </w:r>
    </w:p>
    <w:p>
      <w:pPr>
        <w:keepNext w:val="0"/>
        <w:keepLines w:val="0"/>
        <w:pageBreakBefore w:val="0"/>
        <w:kinsoku/>
        <w:wordWrap/>
        <w:overflowPunct/>
        <w:topLinePunct w:val="0"/>
        <w:bidi w:val="0"/>
        <w:snapToGrid/>
        <w:spacing w:line="360" w:lineRule="auto"/>
        <w:ind w:left="420" w:leftChars="200"/>
        <w:textAlignment w:val="auto"/>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 卖方投标时提供符合本单位实际的应急预案。</w:t>
      </w:r>
    </w:p>
    <w:p>
      <w:pPr>
        <w:keepNext w:val="0"/>
        <w:keepLines w:val="0"/>
        <w:pageBreakBefore w:val="0"/>
        <w:kinsoku/>
        <w:wordWrap/>
        <w:overflowPunct/>
        <w:topLinePunct w:val="0"/>
        <w:bidi w:val="0"/>
        <w:snapToGrid/>
        <w:spacing w:line="360" w:lineRule="auto"/>
        <w:textAlignment w:val="auto"/>
        <w:rPr>
          <w:rFonts w:hint="eastAsia" w:asciiTheme="minorEastAsia" w:hAnsiTheme="minorEastAsia" w:eastAsiaTheme="minorEastAsia" w:cstheme="minorEastAsia"/>
          <w:b/>
          <w:bCs/>
          <w:spacing w:val="2"/>
          <w:sz w:val="21"/>
          <w:szCs w:val="21"/>
          <w:lang w:eastAsia="zh-CN"/>
        </w:rPr>
      </w:pPr>
      <w:r>
        <w:rPr>
          <w:rFonts w:hint="eastAsia" w:asciiTheme="minorEastAsia" w:hAnsiTheme="minorEastAsia" w:eastAsiaTheme="minorEastAsia" w:cstheme="minorEastAsia"/>
          <w:b/>
          <w:bCs/>
          <w:spacing w:val="2"/>
          <w:sz w:val="21"/>
          <w:szCs w:val="21"/>
          <w:lang w:val="en-US" w:eastAsia="zh-CN"/>
        </w:rPr>
        <w:t>八</w:t>
      </w:r>
      <w:r>
        <w:rPr>
          <w:rFonts w:hint="eastAsia" w:asciiTheme="minorEastAsia" w:hAnsiTheme="minorEastAsia" w:eastAsiaTheme="minorEastAsia" w:cstheme="minorEastAsia"/>
          <w:b/>
          <w:bCs/>
          <w:spacing w:val="2"/>
          <w:sz w:val="21"/>
          <w:szCs w:val="21"/>
          <w:lang w:eastAsia="zh-CN"/>
        </w:rPr>
        <w:t>、质量保证</w:t>
      </w:r>
    </w:p>
    <w:p>
      <w:pPr>
        <w:pStyle w:val="9"/>
        <w:keepNext w:val="0"/>
        <w:keepLines w:val="0"/>
        <w:pageBreakBefore w:val="0"/>
        <w:numPr>
          <w:ilvl w:val="0"/>
          <w:numId w:val="9"/>
        </w:numPr>
        <w:kinsoku/>
        <w:wordWrap/>
        <w:overflowPunct/>
        <w:topLinePunct w:val="0"/>
        <w:bidi w:val="0"/>
        <w:snapToGrid/>
        <w:spacing w:before="0" w:line="360" w:lineRule="auto"/>
        <w:ind w:left="0" w:leftChars="0" w:firstLine="400" w:firstLineChars="0"/>
        <w:textAlignment w:val="auto"/>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卖方须出具厂商提供的售后服务保证书，承诺售后服务由原厂商或由原厂商指定的具备资质的服务商承担。在保修期内，硬件设备出现故障时，卖方须负责进行免费维修、更换故障零部件或整机。卖方保证更换的零部件或整机均是原制造商生产、与所维修设备同型号、同样规格配置的优质产品。如果故障设备维修超过3次（或20天）仍存在问题，买方有权提出退货，卖方应按照原价给予退货；</w:t>
      </w:r>
    </w:p>
    <w:p>
      <w:pPr>
        <w:pStyle w:val="9"/>
        <w:keepNext w:val="0"/>
        <w:keepLines w:val="0"/>
        <w:pageBreakBefore w:val="0"/>
        <w:numPr>
          <w:ilvl w:val="0"/>
          <w:numId w:val="9"/>
        </w:numPr>
        <w:kinsoku/>
        <w:wordWrap/>
        <w:overflowPunct/>
        <w:topLinePunct w:val="0"/>
        <w:bidi w:val="0"/>
        <w:snapToGrid/>
        <w:spacing w:before="0" w:line="360" w:lineRule="auto"/>
        <w:ind w:left="0" w:leftChars="0" w:firstLine="400" w:firstLineChars="0"/>
        <w:textAlignment w:val="auto"/>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卖方必须严格按照要求书中对设备参数和数量等配置需求的描述投标；</w:t>
      </w:r>
    </w:p>
    <w:p>
      <w:pPr>
        <w:pStyle w:val="9"/>
        <w:keepNext w:val="0"/>
        <w:keepLines w:val="0"/>
        <w:pageBreakBefore w:val="0"/>
        <w:numPr>
          <w:ilvl w:val="0"/>
          <w:numId w:val="9"/>
        </w:numPr>
        <w:kinsoku/>
        <w:wordWrap/>
        <w:overflowPunct/>
        <w:topLinePunct w:val="0"/>
        <w:bidi w:val="0"/>
        <w:snapToGrid/>
        <w:spacing w:before="0" w:line="360" w:lineRule="auto"/>
        <w:ind w:left="0" w:leftChars="0" w:firstLine="400" w:firstLineChars="0"/>
        <w:textAlignment w:val="auto"/>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卖方所选产品必须是原设备厂商的认证产品和原设备厂商的直接组装产品，不能是任何其它组装的产品，应为崭新的且从未使用过的原装产品；</w:t>
      </w:r>
    </w:p>
    <w:p>
      <w:pPr>
        <w:pStyle w:val="9"/>
        <w:keepNext w:val="0"/>
        <w:keepLines w:val="0"/>
        <w:pageBreakBefore w:val="0"/>
        <w:numPr>
          <w:ilvl w:val="0"/>
          <w:numId w:val="9"/>
        </w:numPr>
        <w:kinsoku/>
        <w:wordWrap/>
        <w:overflowPunct/>
        <w:topLinePunct w:val="0"/>
        <w:bidi w:val="0"/>
        <w:snapToGrid/>
        <w:spacing w:before="0" w:line="360" w:lineRule="auto"/>
        <w:ind w:left="0" w:leftChars="0" w:firstLine="400" w:firstLineChars="0"/>
        <w:textAlignment w:val="auto"/>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因设备停产无法实现招标书中描述的设备配置要求，卖方必须在征得买方同意后，可以提出备选产品及解决方案，但必须满足买方的整体需求，设备配置不能降低；</w:t>
      </w:r>
    </w:p>
    <w:p>
      <w:pPr>
        <w:pStyle w:val="9"/>
        <w:keepNext w:val="0"/>
        <w:keepLines w:val="0"/>
        <w:pageBreakBefore w:val="0"/>
        <w:numPr>
          <w:ilvl w:val="0"/>
          <w:numId w:val="9"/>
        </w:numPr>
        <w:kinsoku/>
        <w:wordWrap/>
        <w:overflowPunct/>
        <w:topLinePunct w:val="0"/>
        <w:bidi w:val="0"/>
        <w:snapToGrid/>
        <w:spacing w:before="0" w:line="360" w:lineRule="auto"/>
        <w:ind w:left="0" w:leftChars="0" w:firstLine="400" w:firstLineChars="0"/>
        <w:textAlignment w:val="auto"/>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卖方对招标产品描述改变或增加某些配置，必须征得买方的同意；所有增加的配置如没有附加说明，必须为原厂配套配件；</w:t>
      </w:r>
    </w:p>
    <w:p>
      <w:pPr>
        <w:pStyle w:val="9"/>
        <w:keepNext w:val="0"/>
        <w:keepLines w:val="0"/>
        <w:pageBreakBefore w:val="0"/>
        <w:numPr>
          <w:ilvl w:val="0"/>
          <w:numId w:val="9"/>
        </w:numPr>
        <w:kinsoku/>
        <w:wordWrap/>
        <w:overflowPunct/>
        <w:topLinePunct w:val="0"/>
        <w:bidi w:val="0"/>
        <w:snapToGrid/>
        <w:spacing w:before="0" w:line="360" w:lineRule="auto"/>
        <w:ind w:left="0" w:leftChars="0" w:firstLine="400" w:firstLineChars="0"/>
        <w:textAlignment w:val="auto"/>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卖方在采办设备时遇到不能及时供货或无法按要求供货时，应在五天之内以邮件等书面方式将原厂不能按时供货的原因（卖方需要提供原厂商的原始通知函件（附日期））通知买方,并按要求提供解决方案，以便买方及时作相关变更，否则按延期处理；</w:t>
      </w:r>
    </w:p>
    <w:p>
      <w:pPr>
        <w:pStyle w:val="9"/>
        <w:keepNext w:val="0"/>
        <w:keepLines w:val="0"/>
        <w:pageBreakBefore w:val="0"/>
        <w:numPr>
          <w:ilvl w:val="0"/>
          <w:numId w:val="9"/>
        </w:numPr>
        <w:kinsoku/>
        <w:wordWrap/>
        <w:overflowPunct/>
        <w:topLinePunct w:val="0"/>
        <w:bidi w:val="0"/>
        <w:snapToGrid/>
        <w:spacing w:before="0" w:line="360" w:lineRule="auto"/>
        <w:ind w:left="0" w:leftChars="0" w:firstLine="400" w:firstLineChars="0"/>
        <w:textAlignment w:val="auto"/>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若发现设备损坏、数量缺少、设备不符合招标要求以及有任何导致设备不能正常使用的等问题，买方有权追责卖方，要求卖方必须尽快提供解决方案，在15天之内解决问题，最迟不得超过30天，否则按延期供货处理。同时，</w:t>
      </w:r>
      <w:r>
        <w:rPr>
          <w:rFonts w:hint="eastAsia" w:asciiTheme="minorEastAsia" w:hAnsiTheme="minorEastAsia" w:eastAsiaTheme="minorEastAsia" w:cstheme="minorEastAsia"/>
          <w:sz w:val="21"/>
          <w:szCs w:val="21"/>
          <w:lang w:val="en-US" w:eastAsia="zh-CN"/>
        </w:rPr>
        <w:t>买方</w:t>
      </w:r>
      <w:r>
        <w:rPr>
          <w:rFonts w:hint="eastAsia" w:asciiTheme="minorEastAsia" w:hAnsiTheme="minorEastAsia" w:eastAsiaTheme="minorEastAsia" w:cstheme="minorEastAsia"/>
          <w:sz w:val="21"/>
          <w:szCs w:val="21"/>
          <w:lang w:eastAsia="zh-CN"/>
        </w:rPr>
        <w:t>保留向卖方追索由此而受到的所有损失的权利；</w:t>
      </w:r>
    </w:p>
    <w:p>
      <w:pPr>
        <w:pStyle w:val="9"/>
        <w:keepNext w:val="0"/>
        <w:keepLines w:val="0"/>
        <w:pageBreakBefore w:val="0"/>
        <w:numPr>
          <w:ilvl w:val="0"/>
          <w:numId w:val="9"/>
        </w:numPr>
        <w:kinsoku/>
        <w:wordWrap/>
        <w:overflowPunct/>
        <w:topLinePunct w:val="0"/>
        <w:bidi w:val="0"/>
        <w:snapToGrid/>
        <w:spacing w:before="0" w:line="360" w:lineRule="auto"/>
        <w:ind w:left="0" w:leftChars="0" w:firstLine="40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质保期：质保期为12个月，于安装调试合格之次日起开始计算。</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pacing w:val="2"/>
          <w:sz w:val="21"/>
          <w:szCs w:val="21"/>
          <w:lang w:val="en-US" w:eastAsia="zh-CN"/>
        </w:rPr>
      </w:pPr>
      <w:r>
        <w:rPr>
          <w:rFonts w:hint="eastAsia" w:asciiTheme="minorEastAsia" w:hAnsiTheme="minorEastAsia" w:eastAsiaTheme="minorEastAsia" w:cstheme="minorEastAsia"/>
          <w:b/>
          <w:bCs/>
          <w:spacing w:val="2"/>
          <w:sz w:val="21"/>
          <w:szCs w:val="21"/>
          <w:lang w:val="en-US" w:eastAsia="zh-CN"/>
        </w:rPr>
        <w:t>商务要求</w:t>
      </w:r>
    </w:p>
    <w:p>
      <w:pPr>
        <w:keepNext w:val="0"/>
        <w:keepLines w:val="0"/>
        <w:pageBreakBefore w:val="0"/>
        <w:widowControl w:val="0"/>
        <w:kinsoku/>
        <w:wordWrap/>
        <w:overflowPunct/>
        <w:topLinePunct w:val="0"/>
        <w:autoSpaceDE/>
        <w:autoSpaceDN/>
        <w:bidi w:val="0"/>
        <w:adjustRightInd/>
        <w:spacing w:line="360" w:lineRule="auto"/>
        <w:jc w:val="both"/>
        <w:textAlignment w:val="auto"/>
        <w:outlineLvl w:val="0"/>
        <w:rPr>
          <w:rFonts w:hint="eastAsia" w:asciiTheme="minorEastAsia" w:hAnsiTheme="minorEastAsia" w:eastAsiaTheme="minorEastAsia" w:cstheme="minorEastAsia"/>
          <w:b w:val="0"/>
          <w:bCs w:val="0"/>
          <w:color w:val="auto"/>
          <w:kern w:val="44"/>
          <w:sz w:val="21"/>
          <w:szCs w:val="21"/>
          <w:highlight w:val="none"/>
          <w:lang w:val="en-US" w:eastAsia="zh-CN"/>
        </w:rPr>
      </w:pPr>
      <w:r>
        <w:rPr>
          <w:rFonts w:hint="eastAsia" w:asciiTheme="minorEastAsia" w:hAnsiTheme="minorEastAsia" w:eastAsiaTheme="minorEastAsia" w:cstheme="minorEastAsia"/>
          <w:b w:val="0"/>
          <w:bCs w:val="0"/>
          <w:color w:val="auto"/>
          <w:kern w:val="44"/>
          <w:sz w:val="21"/>
          <w:szCs w:val="21"/>
          <w:highlight w:val="none"/>
          <w:lang w:val="en-US" w:eastAsia="zh-CN"/>
        </w:rPr>
        <w:t>1、商务资质要求</w:t>
      </w:r>
    </w:p>
    <w:p>
      <w:pPr>
        <w:keepNext w:val="0"/>
        <w:keepLines w:val="0"/>
        <w:pageBreakBefore w:val="0"/>
        <w:widowControl w:val="0"/>
        <w:kinsoku/>
        <w:wordWrap/>
        <w:overflowPunct/>
        <w:topLinePunct w:val="0"/>
        <w:autoSpaceDE/>
        <w:autoSpaceDN/>
        <w:bidi w:val="0"/>
        <w:adjustRightInd/>
        <w:spacing w:line="360" w:lineRule="auto"/>
        <w:ind w:firstLine="420" w:firstLineChars="200"/>
        <w:jc w:val="both"/>
        <w:textAlignment w:val="auto"/>
        <w:outlineLvl w:val="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投标人具有独立法人地位，需具有营业执照。投标人需提供相关设备的制造商授权函，并提供本次项目的售后服务承诺函，承诺相关设备的售后服务由原厂商或由原厂商指定的具备资质的服务商承担。</w:t>
      </w:r>
    </w:p>
    <w:p>
      <w:pPr>
        <w:keepNext w:val="0"/>
        <w:keepLines w:val="0"/>
        <w:pageBreakBefore w:val="0"/>
        <w:widowControl w:val="0"/>
        <w:kinsoku/>
        <w:wordWrap/>
        <w:overflowPunct/>
        <w:topLinePunct w:val="0"/>
        <w:autoSpaceDE/>
        <w:autoSpaceDN/>
        <w:bidi w:val="0"/>
        <w:adjustRightInd/>
        <w:spacing w:line="360" w:lineRule="auto"/>
        <w:jc w:val="both"/>
        <w:textAlignment w:val="auto"/>
        <w:outlineLvl w:val="0"/>
        <w:rPr>
          <w:rFonts w:hint="eastAsia" w:asciiTheme="minorEastAsia" w:hAnsiTheme="minorEastAsia" w:eastAsiaTheme="minorEastAsia" w:cstheme="minorEastAsia"/>
          <w:b w:val="0"/>
          <w:bCs w:val="0"/>
          <w:color w:val="auto"/>
          <w:kern w:val="44"/>
          <w:sz w:val="21"/>
          <w:szCs w:val="21"/>
          <w:highlight w:val="none"/>
          <w:lang w:val="en-US" w:eastAsia="zh-CN" w:bidi="ar-SA"/>
        </w:rPr>
      </w:pPr>
      <w:r>
        <w:rPr>
          <w:rFonts w:hint="eastAsia" w:asciiTheme="minorEastAsia" w:hAnsiTheme="minorEastAsia" w:eastAsiaTheme="minorEastAsia" w:cstheme="minorEastAsia"/>
          <w:b w:val="0"/>
          <w:bCs w:val="0"/>
          <w:color w:val="auto"/>
          <w:kern w:val="44"/>
          <w:sz w:val="21"/>
          <w:szCs w:val="21"/>
          <w:highlight w:val="none"/>
          <w:lang w:val="en-US" w:eastAsia="zh-CN" w:bidi="ar-SA"/>
        </w:rPr>
        <w:t>2、资格条件要求</w:t>
      </w:r>
    </w:p>
    <w:p>
      <w:pPr>
        <w:pStyle w:val="7"/>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参加应答活动前三年内，在经营活动中无重大违法记录或无不良行为记录（如该记录对禁止参与询价响应活动有明确规定的，从其规定）。</w:t>
      </w:r>
    </w:p>
    <w:p>
      <w:pPr>
        <w:keepNext w:val="0"/>
        <w:keepLines w:val="0"/>
        <w:pageBreakBefore w:val="0"/>
        <w:widowControl w:val="0"/>
        <w:kinsoku/>
        <w:wordWrap/>
        <w:overflowPunct/>
        <w:topLinePunct w:val="0"/>
        <w:autoSpaceDE/>
        <w:autoSpaceDN/>
        <w:bidi w:val="0"/>
        <w:adjustRightInd/>
        <w:spacing w:line="360" w:lineRule="auto"/>
        <w:jc w:val="both"/>
        <w:textAlignment w:val="auto"/>
        <w:outlineLvl w:val="0"/>
        <w:rPr>
          <w:rFonts w:hint="eastAsia" w:asciiTheme="minorEastAsia" w:hAnsiTheme="minorEastAsia" w:eastAsiaTheme="minorEastAsia" w:cstheme="minorEastAsia"/>
          <w:b w:val="0"/>
          <w:bCs w:val="0"/>
          <w:color w:val="auto"/>
          <w:kern w:val="44"/>
          <w:sz w:val="21"/>
          <w:szCs w:val="21"/>
          <w:highlight w:val="none"/>
          <w:lang w:val="en-US" w:eastAsia="zh-CN" w:bidi="ar-SA"/>
        </w:rPr>
      </w:pPr>
      <w:r>
        <w:rPr>
          <w:rFonts w:hint="eastAsia" w:asciiTheme="minorEastAsia" w:hAnsiTheme="minorEastAsia" w:eastAsiaTheme="minorEastAsia" w:cstheme="minorEastAsia"/>
          <w:b w:val="0"/>
          <w:bCs w:val="0"/>
          <w:color w:val="auto"/>
          <w:kern w:val="44"/>
          <w:sz w:val="21"/>
          <w:szCs w:val="21"/>
          <w:highlight w:val="none"/>
          <w:lang w:val="en-US" w:eastAsia="zh-CN" w:bidi="ar-SA"/>
        </w:rPr>
        <w:t>3、业绩条件要求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jc w:val="both"/>
        <w:textAlignment w:val="auto"/>
        <w:outlineLvl w:val="0"/>
        <w:rPr>
          <w:rFonts w:hint="eastAsia" w:asciiTheme="minorEastAsia" w:hAnsiTheme="minorEastAsia" w:eastAsiaTheme="minorEastAsia" w:cstheme="minorEastAsia"/>
          <w:b w:val="0"/>
          <w:bCs w:val="0"/>
          <w:color w:val="auto"/>
          <w:kern w:val="44"/>
          <w:sz w:val="21"/>
          <w:szCs w:val="21"/>
          <w:highlight w:val="none"/>
          <w:lang w:val="en-US" w:eastAsia="zh-CN" w:bidi="ar-SA"/>
        </w:rPr>
      </w:pPr>
      <w:r>
        <w:rPr>
          <w:rFonts w:hint="eastAsia" w:asciiTheme="minorEastAsia" w:hAnsiTheme="minorEastAsia" w:eastAsiaTheme="minorEastAsia" w:cstheme="minorEastAsia"/>
          <w:b w:val="0"/>
          <w:bCs w:val="0"/>
          <w:color w:val="auto"/>
          <w:kern w:val="44"/>
          <w:sz w:val="21"/>
          <w:szCs w:val="21"/>
          <w:highlight w:val="none"/>
          <w:lang w:val="en-US" w:eastAsia="zh-CN" w:bidi="ar-SA"/>
        </w:rPr>
        <w:t>提供近3年内有该类似项目业绩2项，并提供相关合同扫描件及验收文件。</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outlineLvl w:val="0"/>
        <w:rPr>
          <w:rFonts w:hint="eastAsia" w:asciiTheme="minorEastAsia" w:hAnsiTheme="minorEastAsia" w:eastAsiaTheme="minorEastAsia" w:cstheme="minorEastAsia"/>
          <w:b w:val="0"/>
          <w:bCs w:val="0"/>
          <w:color w:val="auto"/>
          <w:kern w:val="44"/>
          <w:sz w:val="21"/>
          <w:szCs w:val="21"/>
          <w:highlight w:val="none"/>
          <w:lang w:val="en-US" w:eastAsia="zh-CN" w:bidi="ar-SA"/>
        </w:rPr>
      </w:pPr>
      <w:r>
        <w:rPr>
          <w:rFonts w:hint="eastAsia" w:asciiTheme="minorEastAsia" w:hAnsiTheme="minorEastAsia" w:eastAsiaTheme="minorEastAsia" w:cstheme="minorEastAsia"/>
          <w:b w:val="0"/>
          <w:bCs w:val="0"/>
          <w:color w:val="auto"/>
          <w:kern w:val="44"/>
          <w:sz w:val="21"/>
          <w:szCs w:val="21"/>
          <w:highlight w:val="none"/>
          <w:lang w:val="en-US" w:eastAsia="zh-CN" w:bidi="ar-SA"/>
        </w:rPr>
        <w:t>4、财务条件要求</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b w:val="0"/>
          <w:bCs w:val="0"/>
          <w:color w:val="auto"/>
          <w:kern w:val="44"/>
          <w:sz w:val="21"/>
          <w:szCs w:val="21"/>
          <w:highlight w:val="none"/>
          <w:lang w:val="en-US" w:eastAsia="zh-CN" w:bidi="ar-SA"/>
        </w:rPr>
      </w:pPr>
      <w:r>
        <w:rPr>
          <w:rFonts w:hint="eastAsia" w:asciiTheme="minorEastAsia" w:hAnsiTheme="minorEastAsia" w:eastAsiaTheme="minorEastAsia" w:cstheme="minorEastAsia"/>
          <w:b w:val="0"/>
          <w:bCs w:val="0"/>
          <w:color w:val="auto"/>
          <w:kern w:val="44"/>
          <w:sz w:val="21"/>
          <w:szCs w:val="21"/>
          <w:highlight w:val="none"/>
          <w:lang w:val="en-US" w:eastAsia="zh-CN" w:bidi="ar-SA"/>
        </w:rPr>
        <w:t>具有良好的商业信誉和健全的财务会计制度；资产运营良好，不存在因借贷、担保等可能影响谈判供应商履行本采购项目的情况，具有良好的经营业绩，有提供优质服务的能力。</w:t>
      </w:r>
    </w:p>
    <w:p>
      <w:pPr>
        <w:pStyle w:val="11"/>
        <w:keepNext w:val="0"/>
        <w:keepLines w:val="0"/>
        <w:pageBreakBefore w:val="0"/>
        <w:widowControl w:val="0"/>
        <w:numPr>
          <w:ilvl w:val="0"/>
          <w:numId w:val="11"/>
        </w:numPr>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val="0"/>
          <w:bCs w:val="0"/>
          <w:color w:val="auto"/>
          <w:kern w:val="44"/>
          <w:sz w:val="21"/>
          <w:szCs w:val="21"/>
          <w:highlight w:val="none"/>
          <w:lang w:val="en-US" w:eastAsia="zh-CN" w:bidi="ar-SA"/>
        </w:rPr>
      </w:pPr>
      <w:r>
        <w:rPr>
          <w:rFonts w:hint="eastAsia" w:asciiTheme="minorEastAsia" w:hAnsiTheme="minorEastAsia" w:eastAsiaTheme="minorEastAsia" w:cstheme="minorEastAsia"/>
          <w:b w:val="0"/>
          <w:bCs w:val="0"/>
          <w:color w:val="auto"/>
          <w:kern w:val="44"/>
          <w:sz w:val="21"/>
          <w:szCs w:val="21"/>
          <w:highlight w:val="none"/>
          <w:lang w:val="en-US" w:eastAsia="zh-CN" w:bidi="ar-SA"/>
        </w:rPr>
        <w:t>其他</w:t>
      </w:r>
    </w:p>
    <w:p>
      <w:pPr>
        <w:pStyle w:val="9"/>
        <w:keepNext w:val="0"/>
        <w:keepLines w:val="0"/>
        <w:pageBreakBefore w:val="0"/>
        <w:widowControl w:val="0"/>
        <w:numPr>
          <w:ilvl w:val="0"/>
          <w:numId w:val="0"/>
        </w:numPr>
        <w:kinsoku/>
        <w:wordWrap/>
        <w:overflowPunct/>
        <w:topLinePunct w:val="0"/>
        <w:autoSpaceDE/>
        <w:autoSpaceDN/>
        <w:bidi w:val="0"/>
        <w:adjustRightInd/>
        <w:spacing w:before="0" w:line="360" w:lineRule="auto"/>
        <w:ind w:left="220" w:leftChars="0" w:firstLine="210" w:firstLineChars="100"/>
        <w:jc w:val="left"/>
        <w:textAlignment w:val="auto"/>
        <w:outlineLvl w:val="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1.收货信息：</w:t>
      </w:r>
      <w:r>
        <w:rPr>
          <w:rFonts w:hint="eastAsia" w:asciiTheme="minorEastAsia" w:hAnsiTheme="minorEastAsia" w:eastAsiaTheme="minorEastAsia" w:cstheme="minorEastAsia"/>
          <w:sz w:val="21"/>
          <w:szCs w:val="21"/>
          <w:lang w:eastAsia="zh-CN"/>
        </w:rPr>
        <w:t>浙江省舟山市普陀区东海西路9号</w:t>
      </w:r>
      <w:r>
        <w:rPr>
          <w:rFonts w:hint="eastAsia" w:asciiTheme="minorEastAsia" w:hAnsiTheme="minorEastAsia" w:eastAsiaTheme="minorEastAsia" w:cstheme="minorEastAsia"/>
          <w:sz w:val="21"/>
          <w:szCs w:val="21"/>
          <w:lang w:val="en-US" w:eastAsia="zh-CN"/>
        </w:rPr>
        <w:t xml:space="preserve">  常昕 </w:t>
      </w:r>
      <w:r>
        <w:rPr>
          <w:rFonts w:hint="eastAsia" w:asciiTheme="minorEastAsia" w:hAnsiTheme="minorEastAsia" w:eastAsiaTheme="minorEastAsia" w:cstheme="minorEastAsia"/>
          <w:sz w:val="21"/>
          <w:szCs w:val="21"/>
          <w:lang w:eastAsia="zh-CN"/>
        </w:rPr>
        <w:t>18964636889</w:t>
      </w:r>
    </w:p>
    <w:p>
      <w:pPr>
        <w:pStyle w:val="38"/>
        <w:keepNext w:val="0"/>
        <w:keepLines w:val="0"/>
        <w:pageBreakBefore w:val="0"/>
        <w:widowControl w:val="0"/>
        <w:kinsoku/>
        <w:wordWrap/>
        <w:overflowPunct/>
        <w:topLinePunct w:val="0"/>
        <w:autoSpaceDE/>
        <w:autoSpaceDN/>
        <w:bidi w:val="0"/>
        <w:adjustRightInd/>
        <w:spacing w:line="360" w:lineRule="auto"/>
        <w:ind w:firstLine="476" w:firstLineChars="227"/>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2.付款周期要求：</w:t>
      </w:r>
    </w:p>
    <w:p>
      <w:pPr>
        <w:pStyle w:val="38"/>
        <w:keepNext w:val="0"/>
        <w:keepLines w:val="0"/>
        <w:pageBreakBefore w:val="0"/>
        <w:widowControl w:val="0"/>
        <w:kinsoku/>
        <w:wordWrap/>
        <w:overflowPunct/>
        <w:topLinePunct w:val="0"/>
        <w:autoSpaceDE/>
        <w:autoSpaceDN/>
        <w:bidi w:val="0"/>
        <w:adjustRightInd/>
        <w:spacing w:line="360" w:lineRule="auto"/>
        <w:ind w:firstLine="476" w:firstLineChars="227"/>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1）货到验收合格，并提供相关支持文件后，接买方通知开具全额增值税发票，买方收到发票后45天内支付合同总额的60%；</w:t>
      </w:r>
    </w:p>
    <w:p>
      <w:pPr>
        <w:pStyle w:val="38"/>
        <w:keepNext w:val="0"/>
        <w:keepLines w:val="0"/>
        <w:pageBreakBefore w:val="0"/>
        <w:widowControl w:val="0"/>
        <w:kinsoku/>
        <w:wordWrap/>
        <w:overflowPunct/>
        <w:topLinePunct w:val="0"/>
        <w:autoSpaceDE/>
        <w:autoSpaceDN/>
        <w:bidi w:val="0"/>
        <w:adjustRightInd/>
        <w:spacing w:line="360" w:lineRule="auto"/>
        <w:ind w:firstLine="476" w:firstLineChars="227"/>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2）安装调试验收合格，并提供调试报告审核完成后，买方收到发票后45天付款30%；</w:t>
      </w:r>
    </w:p>
    <w:p>
      <w:pPr>
        <w:pStyle w:val="7"/>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SA"/>
        </w:rPr>
        <w:t>3）质保10%,由卖方向买方提交付款申请，买方确认无质量问题后45天内支付。</w:t>
      </w:r>
    </w:p>
    <w:p>
      <w:pPr>
        <w:pageBreakBefore w:val="0"/>
        <w:widowControl/>
        <w:numPr>
          <w:ilvl w:val="0"/>
          <w:numId w:val="12"/>
        </w:numPr>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
      <w:pPr>
        <w:spacing w:before="72" w:beforeLines="30" w:after="72" w:afterLines="30"/>
        <w:jc w:val="center"/>
        <w:rPr>
          <w:rFonts w:hAnsi="宋体"/>
          <w:b/>
          <w:bCs/>
          <w:color w:val="auto"/>
          <w:sz w:val="36"/>
          <w:szCs w:val="36"/>
          <w:highlight w:val="none"/>
        </w:rPr>
      </w:pPr>
      <w:r>
        <w:rPr>
          <w:rFonts w:hint="eastAsia" w:ascii="Times New Roman" w:hAnsi="宋体" w:eastAsia="宋体" w:cs="Times New Roman"/>
          <w:b/>
          <w:bCs/>
          <w:color w:val="auto"/>
          <w:sz w:val="36"/>
          <w:szCs w:val="36"/>
          <w:highlight w:val="none"/>
          <w:lang w:val="en-US" w:eastAsia="zh-CN"/>
        </w:rPr>
        <w:t>信科公司上海分公司南区中控系统采购合同</w:t>
      </w:r>
    </w:p>
    <w:p>
      <w:pPr>
        <w:spacing w:after="100" w:afterAutospacing="1"/>
        <w:jc w:val="right"/>
        <w:rPr>
          <w:rFonts w:hint="default" w:hAnsi="宋体"/>
          <w:bCs/>
          <w:color w:val="auto"/>
          <w:szCs w:val="21"/>
          <w:highlight w:val="none"/>
          <w:u w:val="single"/>
          <w:lang w:val="en-US"/>
        </w:rPr>
      </w:pPr>
      <w:r>
        <w:rPr>
          <w:rFonts w:hint="eastAsia" w:hAnsi="宋体"/>
          <w:bCs/>
          <w:color w:val="auto"/>
          <w:szCs w:val="21"/>
          <w:highlight w:val="none"/>
        </w:rPr>
        <w:t>合同编号：</w:t>
      </w:r>
      <w:r>
        <w:rPr>
          <w:rFonts w:hint="eastAsia"/>
          <w:color w:val="auto"/>
          <w:szCs w:val="21"/>
          <w:highlight w:val="none"/>
          <w:u w:val="single"/>
          <w:lang w:val="en-US" w:eastAsia="zh-CN"/>
        </w:rPr>
        <w:t>************</w:t>
      </w:r>
    </w:p>
    <w:p>
      <w:pPr>
        <w:pStyle w:val="13"/>
        <w:spacing w:before="72" w:beforeLines="30" w:after="72" w:afterLines="30"/>
        <w:rPr>
          <w:rFonts w:hint="eastAsia" w:ascii="Times New Roman" w:hAnsi="Times New Roman" w:eastAsia="宋体" w:cs="Times New Roman"/>
          <w:color w:val="auto"/>
          <w:sz w:val="24"/>
          <w:highlight w:val="none"/>
        </w:rPr>
      </w:pPr>
      <w:r>
        <w:rPr>
          <w:rFonts w:hint="eastAsia"/>
          <w:color w:val="auto"/>
          <w:sz w:val="24"/>
          <w:highlight w:val="none"/>
        </w:rPr>
        <w:t>本货物买卖合同（</w:t>
      </w:r>
      <w:r>
        <w:rPr>
          <w:rFonts w:hint="eastAsia" w:ascii="Times New Roman" w:hAnsi="Times New Roman" w:eastAsia="宋体" w:cs="Times New Roman"/>
          <w:color w:val="auto"/>
          <w:sz w:val="24"/>
          <w:highlight w:val="none"/>
        </w:rPr>
        <w:t>以下称“合同”或“本合同”）由以下双方于【</w:t>
      </w:r>
      <w:r>
        <w:rPr>
          <w:rFonts w:hint="eastAsia" w:ascii="Times New Roman" w:hAnsi="Times New Roman" w:eastAsia="宋体" w:cs="Times New Roman"/>
          <w:i w:val="0"/>
          <w:color w:val="auto"/>
          <w:sz w:val="24"/>
          <w:highlight w:val="none"/>
          <w:lang w:val="en-US" w:eastAsia="zh-CN"/>
        </w:rPr>
        <w:t>202</w:t>
      </w:r>
      <w:r>
        <w:rPr>
          <w:rFonts w:hint="eastAsia" w:cs="Times New Roman"/>
          <w:i w:val="0"/>
          <w:color w:val="auto"/>
          <w:sz w:val="24"/>
          <w:highlight w:val="none"/>
          <w:lang w:val="en-US" w:eastAsia="zh-CN"/>
        </w:rPr>
        <w:t>4</w:t>
      </w:r>
      <w:r>
        <w:rPr>
          <w:rFonts w:hint="eastAsia" w:ascii="Times New Roman" w:hAnsi="Times New Roman" w:eastAsia="宋体" w:cs="Times New Roman"/>
          <w:i w:val="0"/>
          <w:color w:val="auto"/>
          <w:sz w:val="24"/>
          <w:highlight w:val="none"/>
          <w:lang w:val="en-US" w:eastAsia="zh-CN"/>
        </w:rPr>
        <w:t>年</w:t>
      </w:r>
      <w:r>
        <w:rPr>
          <w:rFonts w:hint="eastAsia" w:cs="Times New Roman"/>
          <w:i w:val="0"/>
          <w:color w:val="auto"/>
          <w:sz w:val="24"/>
          <w:highlight w:val="none"/>
          <w:lang w:val="en-US" w:eastAsia="zh-CN"/>
        </w:rPr>
        <w:t xml:space="preserve">  </w:t>
      </w:r>
      <w:r>
        <w:rPr>
          <w:rFonts w:hint="eastAsia" w:ascii="Times New Roman" w:hAnsi="Times New Roman" w:eastAsia="宋体" w:cs="Times New Roman"/>
          <w:i w:val="0"/>
          <w:color w:val="auto"/>
          <w:sz w:val="24"/>
          <w:highlight w:val="none"/>
          <w:lang w:val="en-US" w:eastAsia="zh-CN"/>
        </w:rPr>
        <w:t>月</w:t>
      </w:r>
      <w:r>
        <w:rPr>
          <w:rFonts w:hint="eastAsia" w:ascii="Times New Roman" w:hAnsi="Times New Roman" w:eastAsia="宋体" w:cs="Times New Roman"/>
          <w:color w:val="auto"/>
          <w:sz w:val="24"/>
          <w:highlight w:val="none"/>
        </w:rPr>
        <w:t>】在【</w:t>
      </w:r>
      <w:r>
        <w:rPr>
          <w:rFonts w:hint="eastAsia" w:ascii="Times New Roman" w:hAnsi="Times New Roman" w:eastAsia="宋体" w:cs="Times New Roman"/>
          <w:i w:val="0"/>
          <w:color w:val="auto"/>
          <w:sz w:val="24"/>
          <w:highlight w:val="none"/>
          <w:lang w:eastAsia="zh-CN"/>
        </w:rPr>
        <w:t>上海</w:t>
      </w:r>
      <w:r>
        <w:rPr>
          <w:rFonts w:hint="eastAsia" w:ascii="Times New Roman" w:hAnsi="Times New Roman" w:eastAsia="宋体" w:cs="Times New Roman"/>
          <w:color w:val="auto"/>
          <w:sz w:val="24"/>
          <w:highlight w:val="none"/>
        </w:rPr>
        <w:t>】签署。</w:t>
      </w:r>
    </w:p>
    <w:p>
      <w:pPr>
        <w:tabs>
          <w:tab w:val="left" w:pos="3060"/>
        </w:tabs>
        <w:spacing w:before="72" w:beforeLines="30" w:after="72" w:afterLines="30"/>
        <w:ind w:left="0" w:leftChars="0" w:firstLine="0" w:firstLineChars="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买方：</w:t>
      </w:r>
      <w:r>
        <w:rPr>
          <w:rFonts w:hint="eastAsia" w:asciiTheme="minorEastAsia" w:hAnsiTheme="minorEastAsia" w:eastAsiaTheme="minorEastAsia" w:cstheme="minorEastAsia"/>
          <w:color w:val="auto"/>
          <w:kern w:val="0"/>
          <w:sz w:val="24"/>
          <w:highlight w:val="none"/>
          <w:u w:val="single"/>
        </w:rPr>
        <w:t>中海油信息科技有限公司</w:t>
      </w:r>
    </w:p>
    <w:p>
      <w:pPr>
        <w:pStyle w:val="7"/>
        <w:ind w:left="0" w:leftChars="0" w:firstLine="0" w:firstLineChars="0"/>
        <w:rPr>
          <w:rFonts w:hint="default" w:eastAsiaTheme="minorEastAsia"/>
          <w:color w:val="auto"/>
          <w:highlight w:val="none"/>
          <w:lang w:val="en-US" w:eastAsia="zh-CN"/>
        </w:rPr>
      </w:pPr>
      <w:r>
        <w:rPr>
          <w:rFonts w:hint="eastAsia" w:asciiTheme="minorEastAsia" w:hAnsiTheme="minorEastAsia" w:eastAsiaTheme="minorEastAsia" w:cstheme="minorEastAsia"/>
          <w:color w:val="auto"/>
          <w:kern w:val="0"/>
          <w:sz w:val="24"/>
          <w:highlight w:val="none"/>
          <w:u w:val="none"/>
          <w:lang w:val="en-US" w:eastAsia="zh-CN"/>
        </w:rPr>
        <w:t>法定代表人：</w:t>
      </w:r>
      <w:r>
        <w:rPr>
          <w:rFonts w:hint="eastAsia" w:asciiTheme="minorEastAsia" w:hAnsiTheme="minorEastAsia" w:eastAsiaTheme="minorEastAsia" w:cstheme="minorEastAsia"/>
          <w:color w:val="auto"/>
          <w:kern w:val="0"/>
          <w:sz w:val="24"/>
          <w:highlight w:val="none"/>
          <w:u w:val="single"/>
          <w:lang w:val="en-US" w:eastAsia="zh-CN"/>
        </w:rPr>
        <w:t>许刚强</w:t>
      </w:r>
    </w:p>
    <w:p>
      <w:pPr>
        <w:tabs>
          <w:tab w:val="left" w:pos="3060"/>
        </w:tabs>
        <w:spacing w:before="72" w:beforeLines="30" w:after="72" w:afterLines="30"/>
        <w:ind w:left="0" w:leftChars="0" w:firstLine="0" w:firstLineChars="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rPr>
        <w:t>注册地址：</w:t>
      </w:r>
      <w:r>
        <w:rPr>
          <w:rFonts w:hint="eastAsia" w:asciiTheme="minorEastAsia" w:hAnsiTheme="minorEastAsia" w:eastAsiaTheme="minorEastAsia" w:cstheme="minorEastAsia"/>
          <w:color w:val="auto"/>
          <w:kern w:val="0"/>
          <w:sz w:val="24"/>
          <w:highlight w:val="none"/>
          <w:u w:val="single"/>
        </w:rPr>
        <w:t>深圳市南山区粤海街道蔚蓝海岸社区后海滨路3168号中海油大厦B3305</w:t>
      </w:r>
    </w:p>
    <w:p>
      <w:pPr>
        <w:tabs>
          <w:tab w:val="left" w:pos="3060"/>
        </w:tabs>
        <w:spacing w:before="72" w:beforeLines="30" w:after="72" w:afterLines="30"/>
        <w:ind w:left="0" w:leftChars="0" w:firstLine="0" w:firstLineChars="0"/>
        <w:rPr>
          <w:rFonts w:hint="eastAsia"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kern w:val="0"/>
          <w:sz w:val="24"/>
          <w:highlight w:val="none"/>
          <w:lang w:val="en-US" w:eastAsia="zh-CN"/>
        </w:rPr>
        <w:t>买方</w:t>
      </w:r>
      <w:r>
        <w:rPr>
          <w:rFonts w:hint="eastAsia" w:asciiTheme="minorEastAsia" w:hAnsiTheme="minorEastAsia" w:eastAsiaTheme="minorEastAsia" w:cstheme="minorEastAsia"/>
          <w:color w:val="auto"/>
          <w:kern w:val="0"/>
          <w:sz w:val="24"/>
          <w:highlight w:val="none"/>
        </w:rPr>
        <w:t>执行方：</w:t>
      </w:r>
      <w:r>
        <w:rPr>
          <w:rFonts w:hint="eastAsia" w:asciiTheme="minorEastAsia" w:hAnsiTheme="minorEastAsia" w:eastAsiaTheme="minorEastAsia" w:cstheme="minorEastAsia"/>
          <w:color w:val="auto"/>
          <w:kern w:val="0"/>
          <w:sz w:val="24"/>
          <w:highlight w:val="none"/>
          <w:u w:val="single"/>
        </w:rPr>
        <w:t>中海油信息科技有限公司上海分公司</w:t>
      </w:r>
    </w:p>
    <w:p>
      <w:pPr>
        <w:pStyle w:val="7"/>
        <w:ind w:left="0" w:leftChars="0" w:firstLine="0" w:firstLineChars="0"/>
        <w:rPr>
          <w:rFonts w:hint="eastAsia"/>
          <w:color w:val="auto"/>
          <w:highlight w:val="none"/>
        </w:rPr>
      </w:pPr>
      <w:r>
        <w:rPr>
          <w:rFonts w:hint="eastAsia" w:asciiTheme="minorEastAsia" w:hAnsiTheme="minorEastAsia" w:eastAsiaTheme="minorEastAsia" w:cstheme="minorEastAsia"/>
          <w:color w:val="auto"/>
          <w:kern w:val="0"/>
          <w:sz w:val="24"/>
          <w:highlight w:val="none"/>
          <w:lang w:val="en-US" w:eastAsia="zh-CN"/>
        </w:rPr>
        <w:t>授权代表：</w:t>
      </w:r>
      <w:r>
        <w:rPr>
          <w:rFonts w:hint="eastAsia" w:asciiTheme="minorEastAsia" w:hAnsiTheme="minorEastAsia" w:eastAsiaTheme="minorEastAsia" w:cstheme="minorEastAsia"/>
          <w:color w:val="auto"/>
          <w:kern w:val="0"/>
          <w:sz w:val="24"/>
          <w:highlight w:val="none"/>
          <w:u w:val="single"/>
          <w:lang w:val="en-US" w:eastAsia="zh-CN"/>
        </w:rPr>
        <w:t>刘玮</w:t>
      </w:r>
    </w:p>
    <w:p>
      <w:pPr>
        <w:pStyle w:val="13"/>
        <w:spacing w:before="72" w:beforeLines="30" w:after="72" w:afterLines="30"/>
        <w:ind w:left="0" w:leftChars="0" w:firstLine="0" w:firstLineChars="0"/>
        <w:rPr>
          <w:rFonts w:hint="eastAsia" w:asciiTheme="minorEastAsia" w:hAnsiTheme="minorEastAsia" w:eastAsiaTheme="minorEastAsia" w:cstheme="minorEastAsia"/>
          <w:color w:val="auto"/>
          <w:sz w:val="24"/>
          <w:highlight w:val="none"/>
        </w:rPr>
      </w:pPr>
    </w:p>
    <w:p>
      <w:pPr>
        <w:tabs>
          <w:tab w:val="left" w:pos="540"/>
          <w:tab w:val="left" w:pos="900"/>
        </w:tabs>
        <w:spacing w:before="72" w:beforeLines="30"/>
        <w:ind w:left="0" w:leftChars="0" w:right="-57" w:rightChars="-27" w:firstLine="0" w:firstLineChars="0"/>
        <w:rPr>
          <w:rFonts w:hint="default"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卖方：</w:t>
      </w:r>
      <w:r>
        <w:rPr>
          <w:rFonts w:hint="eastAsia" w:asciiTheme="minorEastAsia" w:hAnsiTheme="minorEastAsia" w:cstheme="minorEastAsia"/>
          <w:color w:val="auto"/>
          <w:kern w:val="0"/>
          <w:sz w:val="24"/>
          <w:szCs w:val="24"/>
          <w:highlight w:val="none"/>
          <w:u w:val="single"/>
          <w:lang w:val="en-US" w:eastAsia="zh-CN"/>
        </w:rPr>
        <w:t xml:space="preserve">                   </w:t>
      </w:r>
    </w:p>
    <w:p>
      <w:pPr>
        <w:tabs>
          <w:tab w:val="left" w:pos="540"/>
          <w:tab w:val="left" w:pos="900"/>
        </w:tabs>
        <w:spacing w:before="72" w:beforeLines="30"/>
        <w:ind w:left="0" w:leftChars="0" w:right="-57" w:rightChars="-27" w:firstLine="0" w:firstLineChars="0"/>
        <w:rPr>
          <w:rFonts w:hint="default"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u w:val="none"/>
          <w:lang w:val="en-US" w:eastAsia="zh-CN"/>
        </w:rPr>
        <w:t>法定代表人：</w:t>
      </w:r>
      <w:r>
        <w:rPr>
          <w:rFonts w:hint="eastAsia" w:asciiTheme="minorEastAsia" w:hAnsiTheme="minorEastAsia" w:cstheme="minorEastAsia"/>
          <w:color w:val="auto"/>
          <w:kern w:val="0"/>
          <w:sz w:val="24"/>
          <w:szCs w:val="24"/>
          <w:highlight w:val="none"/>
          <w:u w:val="single"/>
          <w:lang w:val="en-US" w:eastAsia="zh-CN"/>
        </w:rPr>
        <w:t xml:space="preserve">             </w:t>
      </w:r>
    </w:p>
    <w:p>
      <w:pPr>
        <w:tabs>
          <w:tab w:val="left" w:pos="540"/>
          <w:tab w:val="left" w:pos="900"/>
        </w:tabs>
        <w:spacing w:before="72" w:beforeLines="30"/>
        <w:ind w:left="0" w:leftChars="0" w:right="-57" w:rightChars="-27" w:firstLine="0" w:firstLineChars="0"/>
        <w:rPr>
          <w:rFonts w:hint="default"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注册地址</w:t>
      </w:r>
      <w:r>
        <w:rPr>
          <w:rFonts w:hint="eastAsia" w:asciiTheme="minorEastAsia" w:hAnsiTheme="minorEastAsia" w:eastAsiaTheme="minorEastAsia" w:cstheme="minorEastAsia"/>
          <w:color w:val="auto"/>
          <w:kern w:val="0"/>
          <w:sz w:val="24"/>
          <w:szCs w:val="24"/>
          <w:highlight w:val="none"/>
          <w:u w:val="none"/>
          <w:lang w:val="en-US" w:eastAsia="zh-CN"/>
        </w:rPr>
        <w:t>：</w:t>
      </w:r>
      <w:r>
        <w:rPr>
          <w:rFonts w:hint="eastAsia" w:asciiTheme="minorEastAsia" w:hAnsiTheme="minorEastAsia" w:cstheme="minorEastAsia"/>
          <w:color w:val="auto"/>
          <w:kern w:val="0"/>
          <w:sz w:val="24"/>
          <w:szCs w:val="24"/>
          <w:highlight w:val="none"/>
          <w:u w:val="single"/>
          <w:lang w:val="en-US" w:eastAsia="zh-CN"/>
        </w:rPr>
        <w:t xml:space="preserve">               </w:t>
      </w:r>
    </w:p>
    <w:p>
      <w:pPr>
        <w:rPr>
          <w:rFonts w:hint="eastAsia" w:asciiTheme="minorEastAsia" w:hAnsiTheme="minorEastAsia" w:eastAsiaTheme="minorEastAsia" w:cstheme="minorEastAsia"/>
          <w:color w:val="auto"/>
          <w:sz w:val="24"/>
          <w:szCs w:val="24"/>
          <w:highlight w:val="none"/>
        </w:rPr>
      </w:pPr>
    </w:p>
    <w:p>
      <w:pPr>
        <w:pStyle w:val="13"/>
        <w:spacing w:before="72" w:beforeLines="30" w:after="72" w:afterLines="30"/>
        <w:rPr>
          <w:color w:val="auto"/>
          <w:sz w:val="24"/>
          <w:highlight w:val="none"/>
        </w:rPr>
      </w:pPr>
      <w:r>
        <w:rPr>
          <w:rFonts w:hint="eastAsia" w:hAnsi="宋体"/>
          <w:color w:val="auto"/>
          <w:sz w:val="24"/>
          <w:highlight w:val="none"/>
        </w:rPr>
        <w:t>中海油信息科技有限公司（买方）授权中海油信息科技有限公司上海分公司代表买方执行本合同。根据《中华人民共和国民法典》及相关法律法规的规定，</w:t>
      </w:r>
      <w:r>
        <w:rPr>
          <w:rFonts w:hint="eastAsia" w:ascii="Times New Roman" w:hAnsi="宋体" w:eastAsia="宋体" w:cs="Times New Roman"/>
          <w:color w:val="auto"/>
          <w:sz w:val="24"/>
          <w:highlight w:val="none"/>
        </w:rPr>
        <w:t>就【</w:t>
      </w:r>
      <w:r>
        <w:rPr>
          <w:rFonts w:hint="eastAsia" w:hAnsi="宋体" w:cs="Times New Roman"/>
          <w:color w:val="auto"/>
          <w:sz w:val="24"/>
          <w:highlight w:val="none"/>
          <w:lang w:val="en-US" w:eastAsia="zh-CN"/>
        </w:rPr>
        <w:t>信科公司上海分公司南区中控系统</w:t>
      </w:r>
      <w:r>
        <w:rPr>
          <w:rFonts w:hint="eastAsia" w:ascii="Times New Roman" w:hAnsi="宋体" w:eastAsia="宋体" w:cs="Times New Roman"/>
          <w:color w:val="auto"/>
          <w:sz w:val="24"/>
          <w:highlight w:val="none"/>
        </w:rPr>
        <w:t>】的</w:t>
      </w:r>
      <w:r>
        <w:rPr>
          <w:rFonts w:hint="eastAsia" w:hAnsi="宋体"/>
          <w:color w:val="auto"/>
          <w:sz w:val="24"/>
          <w:highlight w:val="none"/>
        </w:rPr>
        <w:t>采购和销售及</w:t>
      </w:r>
      <w:r>
        <w:rPr>
          <w:rFonts w:hAnsi="宋体"/>
          <w:color w:val="auto"/>
          <w:sz w:val="24"/>
          <w:highlight w:val="none"/>
        </w:rPr>
        <w:t>相关事宜，</w:t>
      </w:r>
      <w:r>
        <w:rPr>
          <w:rFonts w:hint="eastAsia" w:hAnsi="宋体"/>
          <w:color w:val="auto"/>
          <w:sz w:val="24"/>
          <w:highlight w:val="none"/>
        </w:rPr>
        <w:t>经协商一致，双方</w:t>
      </w:r>
      <w:r>
        <w:rPr>
          <w:rFonts w:hAnsi="宋体"/>
          <w:color w:val="auto"/>
          <w:sz w:val="24"/>
          <w:highlight w:val="none"/>
        </w:rPr>
        <w:t>达成如下</w:t>
      </w:r>
      <w:r>
        <w:rPr>
          <w:rFonts w:hint="eastAsia" w:hAnsi="宋体"/>
          <w:color w:val="auto"/>
          <w:sz w:val="24"/>
          <w:highlight w:val="none"/>
        </w:rPr>
        <w:t>合同条款，以兹共同遵守。</w:t>
      </w:r>
    </w:p>
    <w:p>
      <w:pPr>
        <w:pStyle w:val="17"/>
        <w:numPr>
          <w:ilvl w:val="0"/>
          <w:numId w:val="13"/>
        </w:numPr>
        <w:spacing w:before="72" w:beforeLines="30" w:after="72" w:afterLines="30" w:line="360" w:lineRule="auto"/>
        <w:ind w:left="851" w:hanging="851"/>
        <w:jc w:val="left"/>
        <w:rPr>
          <w:color w:val="auto"/>
          <w:sz w:val="24"/>
          <w:highlight w:val="none"/>
        </w:rPr>
      </w:pPr>
      <w:r>
        <w:rPr>
          <w:color w:val="auto"/>
          <w:sz w:val="24"/>
          <w:szCs w:val="24"/>
          <w:highlight w:val="none"/>
        </w:rPr>
        <w:t>合同标的</w:t>
      </w:r>
    </w:p>
    <w:p>
      <w:pPr>
        <w:numPr>
          <w:ilvl w:val="0"/>
          <w:numId w:val="14"/>
        </w:numP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color w:val="auto"/>
          <w:sz w:val="24"/>
          <w:highlight w:val="none"/>
        </w:rPr>
        <w:t>卖方向买方供应的货物的名称、数量、型号、规格、单价、原产地等（详见附件一 价格明细表）</w:t>
      </w:r>
    </w:p>
    <w:p>
      <w:pPr>
        <w:numPr>
          <w:ilvl w:val="0"/>
          <w:numId w:val="14"/>
        </w:numP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买方应根据本合同的规定向卖方购买货物，并支付合同总价，卖方应根据本合同的规定向买方出售、交付货物并提供与货物使用和安装相关的技术资料和技术服务。</w:t>
      </w:r>
    </w:p>
    <w:p>
      <w:pPr>
        <w:numPr>
          <w:ilvl w:val="0"/>
          <w:numId w:val="14"/>
        </w:numP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货物</w:t>
      </w:r>
      <w:r>
        <w:rPr>
          <w:rFonts w:hAnsi="宋体"/>
          <w:color w:val="auto"/>
          <w:sz w:val="24"/>
          <w:highlight w:val="none"/>
        </w:rPr>
        <w:t>将用</w:t>
      </w:r>
      <w:r>
        <w:rPr>
          <w:rFonts w:hint="eastAsia" w:ascii="Times New Roman" w:hAnsi="宋体" w:eastAsia="宋体" w:cs="Times New Roman"/>
          <w:color w:val="auto"/>
          <w:sz w:val="24"/>
          <w:highlight w:val="none"/>
        </w:rPr>
        <w:t>于【中海油信息科技有限公司上海分公司】。</w:t>
      </w:r>
    </w:p>
    <w:p>
      <w:pPr>
        <w:numPr>
          <w:ilvl w:val="0"/>
          <w:numId w:val="14"/>
        </w:numPr>
        <w:shd w:val="clea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技术要求详见【附件二 技术规格书】</w:t>
      </w:r>
    </w:p>
    <w:p>
      <w:pPr>
        <w:numPr>
          <w:ilvl w:val="0"/>
          <w:numId w:val="14"/>
        </w:numPr>
        <w:shd w:val="clear"/>
        <w:tabs>
          <w:tab w:val="left" w:pos="567"/>
          <w:tab w:val="clear" w:pos="2278"/>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lang w:val="en-US" w:eastAsia="zh-CN"/>
        </w:rPr>
        <w:t>送货单详见【附件三 送货单（格式）】</w:t>
      </w:r>
    </w:p>
    <w:p>
      <w:pPr>
        <w:numPr>
          <w:ilvl w:val="0"/>
          <w:numId w:val="14"/>
        </w:numPr>
        <w:shd w:val="clear"/>
        <w:tabs>
          <w:tab w:val="left" w:pos="567"/>
          <w:tab w:val="clear" w:pos="2278"/>
        </w:tabs>
        <w:spacing w:before="72" w:beforeLines="30" w:after="72" w:afterLines="30" w:line="360" w:lineRule="auto"/>
        <w:ind w:left="567" w:hanging="567"/>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廉洁承诺书详见【附件</w:t>
      </w:r>
      <w:r>
        <w:rPr>
          <w:rFonts w:hint="eastAsia" w:hAnsi="宋体" w:cs="Times New Roman"/>
          <w:color w:val="auto"/>
          <w:sz w:val="24"/>
          <w:highlight w:val="none"/>
          <w:lang w:val="en-US" w:eastAsia="zh-CN"/>
        </w:rPr>
        <w:t>四</w:t>
      </w:r>
      <w:r>
        <w:rPr>
          <w:rFonts w:hint="eastAsia" w:ascii="Times New Roman" w:hAnsi="宋体" w:eastAsia="宋体" w:cs="Times New Roman"/>
          <w:color w:val="auto"/>
          <w:sz w:val="24"/>
          <w:highlight w:val="none"/>
        </w:rPr>
        <w:t>】</w:t>
      </w:r>
    </w:p>
    <w:p>
      <w:pPr>
        <w:numPr>
          <w:ilvl w:val="0"/>
          <w:numId w:val="14"/>
        </w:numPr>
        <w:tabs>
          <w:tab w:val="left" w:pos="567"/>
          <w:tab w:val="clear" w:pos="2278"/>
        </w:tabs>
        <w:spacing w:before="72" w:beforeLines="30" w:after="72" w:afterLines="30" w:line="360" w:lineRule="auto"/>
        <w:ind w:left="567" w:hanging="567"/>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szCs w:val="24"/>
          <w:highlight w:val="none"/>
          <w:lang w:val="en-US" w:eastAsia="zh-CN"/>
        </w:rPr>
        <w:t>HSE管理协议详见</w:t>
      </w:r>
      <w:r>
        <w:rPr>
          <w:rFonts w:hint="eastAsia" w:ascii="Times New Roman" w:hAnsi="宋体" w:eastAsia="宋体" w:cs="Times New Roman"/>
          <w:color w:val="auto"/>
          <w:sz w:val="24"/>
          <w:highlight w:val="none"/>
        </w:rPr>
        <w:t>【</w:t>
      </w:r>
      <w:r>
        <w:rPr>
          <w:rFonts w:hint="eastAsia" w:ascii="Times New Roman" w:hAnsi="宋体" w:eastAsia="宋体" w:cs="Times New Roman"/>
          <w:color w:val="auto"/>
          <w:sz w:val="24"/>
          <w:szCs w:val="24"/>
          <w:highlight w:val="none"/>
          <w:lang w:val="en-US" w:eastAsia="zh-CN"/>
        </w:rPr>
        <w:t>附件五</w:t>
      </w:r>
      <w:r>
        <w:rPr>
          <w:rFonts w:hint="eastAsia" w:ascii="Times New Roman" w:hAnsi="宋体" w:eastAsia="宋体" w:cs="Times New Roman"/>
          <w:color w:val="auto"/>
          <w:sz w:val="24"/>
          <w:highlight w:val="none"/>
        </w:rPr>
        <w:t>】</w:t>
      </w:r>
    </w:p>
    <w:p>
      <w:pPr>
        <w:numPr>
          <w:ilvl w:val="0"/>
          <w:numId w:val="14"/>
        </w:numPr>
        <w:shd w:val="clear"/>
        <w:tabs>
          <w:tab w:val="left" w:pos="567"/>
          <w:tab w:val="clear" w:pos="2278"/>
        </w:tabs>
        <w:spacing w:before="72" w:beforeLines="30" w:after="72" w:afterLines="30" w:line="360" w:lineRule="auto"/>
        <w:ind w:left="567" w:hanging="567"/>
        <w:rPr>
          <w:rFonts w:hint="eastAsia"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供应商合规承诺书详见【附件</w:t>
      </w:r>
      <w:r>
        <w:rPr>
          <w:rFonts w:hint="eastAsia" w:ascii="Times New Roman" w:hAnsi="宋体" w:eastAsia="宋体" w:cs="Times New Roman"/>
          <w:color w:val="auto"/>
          <w:sz w:val="24"/>
          <w:highlight w:val="none"/>
          <w:lang w:val="en-US" w:eastAsia="zh-CN"/>
        </w:rPr>
        <w:t>六</w:t>
      </w:r>
      <w:r>
        <w:rPr>
          <w:rFonts w:hint="eastAsia" w:ascii="Times New Roman" w:hAnsi="宋体" w:eastAsia="宋体" w:cs="Times New Roman"/>
          <w:color w:val="auto"/>
          <w:sz w:val="24"/>
          <w:highlight w:val="none"/>
        </w:rPr>
        <w:t>】</w:t>
      </w:r>
    </w:p>
    <w:p>
      <w:pPr>
        <w:pStyle w:val="17"/>
        <w:numPr>
          <w:ilvl w:val="0"/>
          <w:numId w:val="13"/>
        </w:numPr>
        <w:spacing w:before="72" w:beforeLines="30" w:after="72" w:afterLines="30" w:line="360" w:lineRule="auto"/>
        <w:ind w:left="851" w:hanging="851"/>
        <w:jc w:val="left"/>
        <w:rPr>
          <w:color w:val="auto"/>
          <w:sz w:val="24"/>
          <w:szCs w:val="24"/>
          <w:highlight w:val="none"/>
        </w:rPr>
      </w:pPr>
      <w:r>
        <w:rPr>
          <w:color w:val="auto"/>
          <w:sz w:val="24"/>
          <w:szCs w:val="24"/>
          <w:highlight w:val="none"/>
        </w:rPr>
        <w:t>合同</w:t>
      </w:r>
      <w:r>
        <w:rPr>
          <w:rFonts w:hint="eastAsia"/>
          <w:color w:val="auto"/>
          <w:sz w:val="24"/>
          <w:szCs w:val="24"/>
          <w:highlight w:val="none"/>
        </w:rPr>
        <w:t>总价</w:t>
      </w:r>
    </w:p>
    <w:p>
      <w:pPr>
        <w:numPr>
          <w:ilvl w:val="0"/>
          <w:numId w:val="15"/>
        </w:numPr>
        <w:tabs>
          <w:tab w:val="left" w:pos="567"/>
          <w:tab w:val="clear" w:pos="840"/>
        </w:tabs>
        <w:spacing w:before="72" w:beforeLines="30" w:after="72" w:afterLines="30" w:line="360" w:lineRule="auto"/>
        <w:ind w:left="567" w:hanging="567"/>
        <w:rPr>
          <w:color w:val="auto"/>
          <w:sz w:val="24"/>
          <w:highlight w:val="none"/>
        </w:rPr>
      </w:pPr>
      <w:r>
        <w:rPr>
          <w:rFonts w:hint="eastAsia"/>
          <w:color w:val="auto"/>
          <w:sz w:val="24"/>
          <w:highlight w:val="none"/>
        </w:rPr>
        <w:t>双方经协商一致，最终确定合同</w:t>
      </w:r>
      <w:r>
        <w:rPr>
          <w:rFonts w:hint="eastAsia" w:ascii="Times New Roman" w:hAnsi="Times New Roman" w:eastAsia="宋体" w:cs="Times New Roman"/>
          <w:color w:val="auto"/>
          <w:sz w:val="24"/>
          <w:highlight w:val="none"/>
        </w:rPr>
        <w:t>总价为【RMB】【</w:t>
      </w:r>
      <w:r>
        <w:rPr>
          <w:rFonts w:hint="eastAsia" w:ascii="Times New Roman" w:hAnsi="Times New Roman" w:eastAsia="宋体"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rPr>
        <w:t>】（大写：【人民币】【</w:t>
      </w:r>
      <w:r>
        <w:rPr>
          <w:rFonts w:hint="eastAsia" w:ascii="Times New Roman" w:hAnsi="Times New Roman" w:eastAsia="宋体" w:cs="Times New Roman"/>
          <w:color w:val="auto"/>
          <w:sz w:val="24"/>
          <w:highlight w:val="none"/>
          <w:lang w:val="en-US" w:eastAsia="zh-CN"/>
        </w:rPr>
        <w:t xml:space="preserve"> 】）。合同总价为含税（包括增值税）总金额。其中，不含增值税合同价款为【RMB】【  】（大写：【人民币】【 】）</w:t>
      </w:r>
      <w:r>
        <w:rPr>
          <w:rFonts w:hint="eastAsia" w:eastAsia="宋体"/>
          <w:color w:val="auto"/>
          <w:sz w:val="24"/>
          <w:highlight w:val="none"/>
          <w:lang w:val="en-US" w:eastAsia="zh-CN"/>
        </w:rPr>
        <w:t>，增值税税率为【</w:t>
      </w:r>
      <w:r>
        <w:rPr>
          <w:rFonts w:hint="eastAsia" w:ascii="Times New Roman" w:hAnsi="Times New Roman" w:eastAsia="宋体" w:cs="Times New Roman"/>
          <w:color w:val="auto"/>
          <w:sz w:val="24"/>
          <w:highlight w:val="none"/>
          <w:lang w:val="en-US" w:eastAsia="zh-CN"/>
        </w:rPr>
        <w:t>13】%。合同总价的各分项价格和组成：【详见本合同附件一</w:t>
      </w:r>
      <w:r>
        <w:rPr>
          <w:rFonts w:hint="eastAsia" w:ascii="Times New Roman" w:hAnsi="Times New Roman" w:eastAsia="宋体" w:cs="Times New Roman"/>
          <w:color w:val="auto"/>
          <w:sz w:val="24"/>
          <w:highlight w:val="none"/>
        </w:rPr>
        <w:t>】。</w:t>
      </w:r>
    </w:p>
    <w:p>
      <w:pPr>
        <w:numPr>
          <w:ilvl w:val="0"/>
          <w:numId w:val="15"/>
        </w:numPr>
        <w:tabs>
          <w:tab w:val="left" w:pos="567"/>
          <w:tab w:val="clear" w:pos="840"/>
        </w:tabs>
        <w:spacing w:before="72" w:beforeLines="30" w:after="72" w:afterLines="30" w:line="360" w:lineRule="auto"/>
        <w:ind w:left="567" w:hanging="567"/>
        <w:rPr>
          <w:color w:val="auto"/>
          <w:sz w:val="24"/>
          <w:szCs w:val="24"/>
          <w:highlight w:val="none"/>
        </w:rPr>
      </w:pPr>
      <w:r>
        <w:rPr>
          <w:rFonts w:hint="eastAsia" w:ascii="Arial" w:hAnsi="Arial" w:cs="Arial"/>
          <w:color w:val="auto"/>
          <w:sz w:val="24"/>
          <w:highlight w:val="none"/>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卖方所有的风险、义务和责任，以及合同中明确说明由卖方承担的成本与费用等。除买方同意某项费用属于额外的工作项目需另行支付费用外，买方不向卖方支付任何超出合同总价的款项。为免疑义，如果增值税税率因国家增值税税率调整而发生变化，合同总价自动调整，但不含增值税的合同价款保持不变。为免疑义，如果增值税税率因国家增值税税率调整而发生变化，合同总价自动调整，但不含增值税的合同价款保持不变。卖方应以含税金额开票，不含税金额及增值税额以税控系统实际计算为准。</w:t>
      </w:r>
    </w:p>
    <w:p>
      <w:pPr>
        <w:numPr>
          <w:ilvl w:val="0"/>
          <w:numId w:val="15"/>
        </w:numPr>
        <w:tabs>
          <w:tab w:val="left" w:pos="567"/>
          <w:tab w:val="clear" w:pos="840"/>
        </w:tabs>
        <w:spacing w:before="72" w:beforeLines="30" w:after="72" w:afterLines="30" w:line="360" w:lineRule="auto"/>
        <w:ind w:left="567" w:hanging="567"/>
        <w:rPr>
          <w:color w:val="auto"/>
          <w:sz w:val="24"/>
          <w:highlight w:val="none"/>
        </w:rPr>
      </w:pPr>
      <w:r>
        <w:rPr>
          <w:rFonts w:hint="eastAsia" w:ascii="Arial" w:hAnsi="Arial" w:cs="Arial"/>
          <w:color w:val="auto"/>
          <w:sz w:val="24"/>
          <w:highlight w:val="none"/>
        </w:rPr>
        <w:t>双方应根据法律法规各自承担其应承担的与本合同有关的所有税费。</w:t>
      </w:r>
      <w:r>
        <w:rPr>
          <w:rFonts w:hint="eastAsia"/>
          <w:color w:val="auto"/>
          <w:sz w:val="24"/>
          <w:highlight w:val="none"/>
        </w:rPr>
        <w:t>买方有权根据法律法规和本合同的规定从应支付给卖方的合同总价中扣除应由买方代扣、代缴的卖方应付税费，但应向卖方提供完税证明。</w:t>
      </w:r>
    </w:p>
    <w:p>
      <w:pPr>
        <w:pStyle w:val="17"/>
        <w:numPr>
          <w:ilvl w:val="0"/>
          <w:numId w:val="13"/>
        </w:numPr>
        <w:spacing w:before="72" w:beforeLines="30" w:after="72" w:afterLines="30" w:line="360" w:lineRule="auto"/>
        <w:ind w:left="709" w:hanging="709"/>
        <w:jc w:val="left"/>
        <w:rPr>
          <w:rFonts w:hint="eastAsia" w:ascii="Times New Roman" w:hAnsi="Times New Roman" w:eastAsia="宋体" w:cs="Times New Roman"/>
          <w:b w:val="0"/>
          <w:bCs w:val="0"/>
          <w:color w:val="auto"/>
          <w:kern w:val="2"/>
          <w:sz w:val="24"/>
          <w:szCs w:val="24"/>
          <w:highlight w:val="none"/>
          <w:lang w:val="en-US" w:eastAsia="zh-CN" w:bidi="ar-SA"/>
        </w:rPr>
      </w:pPr>
      <w:r>
        <w:rPr>
          <w:rFonts w:hint="eastAsia"/>
          <w:color w:val="auto"/>
          <w:sz w:val="24"/>
          <w:szCs w:val="24"/>
          <w:highlight w:val="none"/>
        </w:rPr>
        <w:t>付款</w:t>
      </w:r>
    </w:p>
    <w:p>
      <w:pPr>
        <w:numPr>
          <w:ilvl w:val="0"/>
          <w:numId w:val="16"/>
        </w:numPr>
        <w:tabs>
          <w:tab w:val="left" w:pos="567"/>
          <w:tab w:val="clear" w:pos="840"/>
        </w:tabs>
        <w:spacing w:before="72" w:beforeLines="30" w:after="72" w:afterLines="30" w:line="360" w:lineRule="auto"/>
        <w:ind w:left="567" w:hanging="567"/>
        <w:rPr>
          <w:color w:val="auto"/>
          <w:sz w:val="24"/>
          <w:highlight w:val="none"/>
        </w:rPr>
      </w:pPr>
      <w:r>
        <w:rPr>
          <w:rFonts w:hint="eastAsia" w:ascii="Times New Roman" w:hAnsi="Times New Roman" w:eastAsia="宋体" w:cs="Times New Roman"/>
          <w:b w:val="0"/>
          <w:bCs w:val="0"/>
          <w:color w:val="auto"/>
          <w:kern w:val="2"/>
          <w:sz w:val="24"/>
          <w:szCs w:val="24"/>
          <w:highlight w:val="none"/>
          <w:lang w:val="en-US" w:eastAsia="zh-CN" w:bidi="ar-SA"/>
        </w:rPr>
        <w:t>本合同项下的付款方式为：</w:t>
      </w:r>
      <w:r>
        <w:rPr>
          <w:rFonts w:hint="eastAsia" w:asciiTheme="minorEastAsia" w:hAnsiTheme="minorEastAsia" w:cstheme="minorEastAsia"/>
          <w:color w:val="auto"/>
          <w:kern w:val="0"/>
          <w:sz w:val="24"/>
          <w:szCs w:val="24"/>
          <w:lang w:val="en-US" w:eastAsia="zh-CN" w:bidi="ar"/>
        </w:rPr>
        <w:t>****</w:t>
      </w:r>
      <w:r>
        <w:rPr>
          <w:rFonts w:hint="eastAsia" w:ascii="Times New Roman" w:hAnsi="Times New Roman" w:eastAsia="宋体" w:cs="Times New Roman"/>
          <w:b w:val="0"/>
          <w:bCs w:val="0"/>
          <w:color w:val="auto"/>
          <w:kern w:val="2"/>
          <w:sz w:val="24"/>
          <w:szCs w:val="24"/>
          <w:highlight w:val="none"/>
          <w:lang w:val="en-US" w:eastAsia="zh-CN" w:bidi="ar-SA"/>
        </w:rPr>
        <w:t>。</w:t>
      </w:r>
    </w:p>
    <w:p>
      <w:pPr>
        <w:numPr>
          <w:ilvl w:val="0"/>
          <w:numId w:val="16"/>
        </w:numPr>
        <w:tabs>
          <w:tab w:val="left" w:pos="567"/>
        </w:tabs>
        <w:spacing w:before="72" w:beforeLines="30" w:after="72" w:afterLines="30" w:line="360" w:lineRule="auto"/>
        <w:ind w:left="567" w:hanging="567"/>
        <w:rPr>
          <w:rFonts w:hint="eastAsia"/>
          <w:color w:val="auto"/>
          <w:sz w:val="24"/>
          <w:highlight w:val="none"/>
        </w:rPr>
      </w:pPr>
      <w:r>
        <w:rPr>
          <w:rFonts w:hint="eastAsia"/>
          <w:color w:val="auto"/>
          <w:sz w:val="24"/>
          <w:highlight w:val="none"/>
        </w:rPr>
        <w:t>付款进度</w:t>
      </w:r>
    </w:p>
    <w:p>
      <w:pPr>
        <w:pStyle w:val="28"/>
        <w:numPr>
          <w:ilvl w:val="0"/>
          <w:numId w:val="0"/>
        </w:numPr>
        <w:tabs>
          <w:tab w:val="left" w:pos="567"/>
        </w:tabs>
        <w:spacing w:before="72" w:beforeLines="30" w:after="72" w:afterLines="30" w:line="360" w:lineRule="auto"/>
        <w:ind w:left="567" w:leftChars="0"/>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w:t>
      </w:r>
    </w:p>
    <w:p>
      <w:pPr>
        <w:numPr>
          <w:ilvl w:val="0"/>
          <w:numId w:val="16"/>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卖方应根据合同规定的付款条件和进度，提前向买方开具符合中国法律法规要求的发票并提供相关支持文件。如</w:t>
      </w:r>
      <w:r>
        <w:rPr>
          <w:rFonts w:hint="eastAsia"/>
          <w:color w:val="auto"/>
          <w:sz w:val="24"/>
          <w:highlight w:val="none"/>
          <w:lang w:eastAsia="zh-CN"/>
        </w:rPr>
        <w:t>卖方</w:t>
      </w:r>
      <w:r>
        <w:rPr>
          <w:rFonts w:hint="eastAsia"/>
          <w:color w:val="auto"/>
          <w:sz w:val="24"/>
          <w:highlight w:val="none"/>
        </w:rPr>
        <w:t>提供的服务属于增值税应税范围，</w:t>
      </w:r>
      <w:r>
        <w:rPr>
          <w:rFonts w:hint="eastAsia"/>
          <w:color w:val="auto"/>
          <w:sz w:val="24"/>
          <w:highlight w:val="none"/>
          <w:lang w:eastAsia="zh-CN"/>
        </w:rPr>
        <w:t>卖方</w:t>
      </w:r>
      <w:r>
        <w:rPr>
          <w:rFonts w:hint="eastAsia"/>
          <w:color w:val="auto"/>
          <w:sz w:val="24"/>
          <w:highlight w:val="none"/>
        </w:rPr>
        <w:t>应为</w:t>
      </w:r>
      <w:r>
        <w:rPr>
          <w:rFonts w:hint="eastAsia"/>
          <w:color w:val="auto"/>
          <w:sz w:val="24"/>
          <w:highlight w:val="none"/>
          <w:lang w:eastAsia="zh-CN"/>
        </w:rPr>
        <w:t>买方</w:t>
      </w:r>
      <w:r>
        <w:rPr>
          <w:rFonts w:hint="eastAsia"/>
          <w:color w:val="auto"/>
          <w:sz w:val="24"/>
          <w:highlight w:val="none"/>
        </w:rPr>
        <w:t>开具增值税专用发票。</w:t>
      </w:r>
      <w:r>
        <w:rPr>
          <w:rFonts w:hint="eastAsia" w:cs="新宋体-18030"/>
          <w:color w:val="auto"/>
          <w:sz w:val="24"/>
          <w:highlight w:val="none"/>
        </w:rPr>
        <w:t>发票</w:t>
      </w:r>
      <w:r>
        <w:rPr>
          <w:rFonts w:hint="eastAsia"/>
          <w:color w:val="auto"/>
          <w:sz w:val="24"/>
          <w:highlight w:val="none"/>
        </w:rPr>
        <w:t>抬头应为：</w:t>
      </w:r>
      <w:r>
        <w:rPr>
          <w:rFonts w:hint="eastAsia" w:ascii="Times New Roman" w:hAnsi="Times New Roman" w:eastAsia="宋体" w:cs="Times New Roman"/>
          <w:color w:val="auto"/>
          <w:sz w:val="24"/>
          <w:highlight w:val="none"/>
        </w:rPr>
        <w:t>【</w:t>
      </w:r>
      <w:r>
        <w:rPr>
          <w:rFonts w:hint="eastAsia"/>
          <w:color w:val="auto"/>
          <w:sz w:val="24"/>
          <w:highlight w:val="none"/>
        </w:rPr>
        <w:t>中海油信息科技有限公司上海分公司</w:t>
      </w:r>
      <w:r>
        <w:rPr>
          <w:rFonts w:hint="eastAsia" w:ascii="Times New Roman" w:hAnsi="Times New Roman" w:eastAsia="宋体" w:cs="Times New Roman"/>
          <w:color w:val="auto"/>
          <w:sz w:val="24"/>
          <w:highlight w:val="none"/>
        </w:rPr>
        <w:t>】。如</w:t>
      </w:r>
      <w:r>
        <w:rPr>
          <w:rFonts w:hint="eastAsia"/>
          <w:color w:val="auto"/>
          <w:sz w:val="24"/>
          <w:highlight w:val="none"/>
        </w:rPr>
        <w:t>卖方未开具上述发票并提供相关支持文件，买方有权拒付相关合同价款。如果买方对卖方出具的该等发票和提供的相关支持文件无异议，应</w:t>
      </w:r>
      <w:r>
        <w:rPr>
          <w:rFonts w:hint="eastAsia"/>
          <w:color w:val="auto"/>
          <w:sz w:val="24"/>
          <w:highlight w:val="none"/>
          <w:lang w:val="en-US" w:eastAsia="zh-CN"/>
        </w:rPr>
        <w:t>根据合同付款进度条款中相关要求</w:t>
      </w:r>
      <w:r>
        <w:rPr>
          <w:rFonts w:hint="eastAsia"/>
          <w:color w:val="auto"/>
          <w:sz w:val="24"/>
          <w:highlight w:val="none"/>
        </w:rPr>
        <w:t>向卖方付款。如</w:t>
      </w:r>
      <w:r>
        <w:rPr>
          <w:rFonts w:hint="eastAsia"/>
          <w:color w:val="auto"/>
          <w:sz w:val="24"/>
          <w:szCs w:val="24"/>
          <w:highlight w:val="none"/>
        </w:rPr>
        <w:t>付款到期日非为银行工作日，则付款到期日顺延至下一个银行工作日。</w:t>
      </w:r>
      <w:r>
        <w:rPr>
          <w:rFonts w:hint="eastAsia" w:ascii="Times New Roman" w:hAnsi="Times New Roman" w:eastAsia="宋体" w:cs="Times New Roman"/>
          <w:color w:val="auto"/>
          <w:sz w:val="24"/>
          <w:highlight w:val="none"/>
        </w:rPr>
        <w:t>如</w:t>
      </w:r>
      <w:r>
        <w:rPr>
          <w:rFonts w:hint="eastAsia" w:cs="Times New Roman"/>
          <w:color w:val="auto"/>
          <w:sz w:val="24"/>
          <w:highlight w:val="none"/>
          <w:lang w:eastAsia="zh-CN"/>
        </w:rPr>
        <w:t>买方</w:t>
      </w:r>
      <w:r>
        <w:rPr>
          <w:rFonts w:hint="eastAsia" w:ascii="Times New Roman" w:hAnsi="Times New Roman" w:eastAsia="宋体" w:cs="Times New Roman"/>
          <w:color w:val="auto"/>
          <w:sz w:val="24"/>
          <w:highlight w:val="none"/>
        </w:rPr>
        <w:t>对</w:t>
      </w:r>
      <w:r>
        <w:rPr>
          <w:rFonts w:hint="eastAsia" w:cs="Times New Roman"/>
          <w:color w:val="auto"/>
          <w:sz w:val="24"/>
          <w:highlight w:val="none"/>
          <w:lang w:eastAsia="zh-CN"/>
        </w:rPr>
        <w:t>卖方</w:t>
      </w:r>
      <w:r>
        <w:rPr>
          <w:rFonts w:hint="eastAsia" w:ascii="Times New Roman" w:hAnsi="Times New Roman" w:eastAsia="宋体" w:cs="Times New Roman"/>
          <w:color w:val="auto"/>
          <w:sz w:val="24"/>
          <w:highlight w:val="none"/>
        </w:rPr>
        <w:t>开具的该等发票和相关支持文件有异议，应于收到发票及相关支持文件后【十（10）】日内通知</w:t>
      </w:r>
      <w:r>
        <w:rPr>
          <w:rFonts w:hint="eastAsia" w:cs="Times New Roman"/>
          <w:color w:val="auto"/>
          <w:sz w:val="24"/>
          <w:highlight w:val="none"/>
          <w:lang w:eastAsia="zh-CN"/>
        </w:rPr>
        <w:t>卖方</w:t>
      </w:r>
      <w:r>
        <w:rPr>
          <w:rFonts w:hint="eastAsia"/>
          <w:color w:val="auto"/>
          <w:sz w:val="24"/>
          <w:highlight w:val="none"/>
        </w:rPr>
        <w:t>，</w:t>
      </w:r>
      <w:r>
        <w:rPr>
          <w:rFonts w:hint="eastAsia"/>
          <w:color w:val="auto"/>
          <w:sz w:val="24"/>
          <w:highlight w:val="none"/>
          <w:lang w:eastAsia="zh-CN"/>
        </w:rPr>
        <w:t>卖方</w:t>
      </w:r>
      <w:r>
        <w:rPr>
          <w:rFonts w:hint="eastAsia"/>
          <w:color w:val="auto"/>
          <w:sz w:val="24"/>
          <w:highlight w:val="none"/>
        </w:rPr>
        <w:t>应重新开具发票和相关支持文件，买方应于收到卖方重新开具的发票和相关支持文件之日</w:t>
      </w:r>
      <w:r>
        <w:rPr>
          <w:rFonts w:hint="eastAsia" w:ascii="Times New Roman" w:hAnsi="Times New Roman" w:eastAsia="宋体" w:cs="Times New Roman"/>
          <w:color w:val="auto"/>
          <w:sz w:val="24"/>
          <w:highlight w:val="none"/>
        </w:rPr>
        <w:t>起</w:t>
      </w:r>
      <w:r>
        <w:rPr>
          <w:rFonts w:hint="eastAsia" w:ascii="Times New Roman" w:hAnsi="Times New Roman" w:eastAsia="宋体" w:cs="Times New Roman"/>
          <w:color w:val="auto"/>
          <w:sz w:val="24"/>
          <w:highlight w:val="none"/>
          <w:lang w:val="en-US" w:eastAsia="zh-CN"/>
        </w:rPr>
        <w:t>重新计算，并根据合同付款进度条款中相关要求</w:t>
      </w:r>
      <w:r>
        <w:rPr>
          <w:rFonts w:hint="eastAsia" w:ascii="Times New Roman" w:hAnsi="Times New Roman" w:eastAsia="宋体" w:cs="Times New Roman"/>
          <w:color w:val="auto"/>
          <w:sz w:val="24"/>
          <w:highlight w:val="none"/>
        </w:rPr>
        <w:t>向卖方付款</w:t>
      </w:r>
      <w:r>
        <w:rPr>
          <w:rFonts w:hint="eastAsia"/>
          <w:color w:val="auto"/>
          <w:sz w:val="24"/>
          <w:highlight w:val="none"/>
        </w:rPr>
        <w:t>。</w:t>
      </w:r>
    </w:p>
    <w:p>
      <w:pPr>
        <w:numPr>
          <w:ilvl w:val="0"/>
          <w:numId w:val="16"/>
        </w:numPr>
        <w:shd w:val="clear"/>
        <w:tabs>
          <w:tab w:val="left" w:pos="567"/>
        </w:tabs>
        <w:spacing w:before="72" w:beforeLines="30" w:after="72" w:afterLines="30" w:line="360" w:lineRule="auto"/>
        <w:ind w:left="709" w:hanging="709"/>
        <w:rPr>
          <w:rFonts w:hAnsi="宋体"/>
          <w:color w:val="auto"/>
          <w:sz w:val="24"/>
          <w:highlight w:val="none"/>
        </w:rPr>
      </w:pPr>
      <w:r>
        <w:rPr>
          <w:rFonts w:hint="eastAsia" w:hAnsi="宋体"/>
          <w:color w:val="auto"/>
          <w:sz w:val="24"/>
          <w:highlight w:val="none"/>
        </w:rPr>
        <w:t>买方发票联系人及联系方式：</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eastAsia"/>
          <w:color w:val="auto"/>
          <w:sz w:val="24"/>
          <w:highlight w:val="none"/>
        </w:rPr>
        <w:t>姓名：</w:t>
      </w:r>
      <w:r>
        <w:rPr>
          <w:rFonts w:hint="eastAsia"/>
          <w:color w:val="auto"/>
          <w:sz w:val="24"/>
          <w:highlight w:val="none"/>
          <w:lang w:val="en-US" w:eastAsia="zh-CN"/>
        </w:rPr>
        <w:t>张季</w:t>
      </w:r>
      <w:r>
        <w:rPr>
          <w:rFonts w:hint="eastAsia"/>
          <w:color w:val="auto"/>
          <w:sz w:val="24"/>
          <w:highlight w:val="none"/>
        </w:rPr>
        <w:t xml:space="preserve">          电话：021-228330</w:t>
      </w:r>
      <w:r>
        <w:rPr>
          <w:rFonts w:hint="eastAsia"/>
          <w:color w:val="auto"/>
          <w:sz w:val="24"/>
          <w:highlight w:val="none"/>
          <w:lang w:val="en-US" w:eastAsia="zh-CN"/>
        </w:rPr>
        <w:t>31</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地址：上海市长宁区通协路388号中海油大厦B座4楼</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开票信息：</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买方名称：中海油信息科技有限公司上海分公司</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地</w:t>
      </w:r>
      <w:r>
        <w:rPr>
          <w:color w:val="auto"/>
          <w:sz w:val="24"/>
          <w:highlight w:val="none"/>
        </w:rPr>
        <w:t xml:space="preserve">    </w:t>
      </w:r>
      <w:r>
        <w:rPr>
          <w:rFonts w:hint="eastAsia"/>
          <w:color w:val="auto"/>
          <w:sz w:val="24"/>
          <w:highlight w:val="none"/>
        </w:rPr>
        <w:t xml:space="preserve">址：上海市长宁区通协路388号中海油大厦B座402室 </w:t>
      </w:r>
    </w:p>
    <w:p>
      <w:pPr>
        <w:shd w:val="clear"/>
        <w:tabs>
          <w:tab w:val="left" w:pos="567"/>
          <w:tab w:val="left" w:pos="1418"/>
        </w:tabs>
        <w:spacing w:before="72" w:beforeLines="30" w:after="72" w:afterLines="30" w:line="288" w:lineRule="auto"/>
        <w:ind w:left="565" w:leftChars="269" w:right="0" w:rightChars="0"/>
        <w:rPr>
          <w:rFonts w:hint="eastAsia"/>
          <w:color w:val="auto"/>
          <w:sz w:val="24"/>
          <w:highlight w:val="none"/>
          <w:lang w:eastAsia="zh-CN"/>
        </w:rPr>
      </w:pPr>
      <w:r>
        <w:rPr>
          <w:rFonts w:hint="eastAsia"/>
          <w:color w:val="auto"/>
          <w:sz w:val="24"/>
          <w:highlight w:val="none"/>
        </w:rPr>
        <w:t>电</w:t>
      </w:r>
      <w:r>
        <w:rPr>
          <w:color w:val="auto"/>
          <w:sz w:val="24"/>
          <w:highlight w:val="none"/>
        </w:rPr>
        <w:t xml:space="preserve">    </w:t>
      </w:r>
      <w:r>
        <w:rPr>
          <w:rFonts w:hint="eastAsia"/>
          <w:color w:val="auto"/>
          <w:sz w:val="24"/>
          <w:highlight w:val="none"/>
        </w:rPr>
        <w:t>话：021-2283309</w:t>
      </w:r>
      <w:r>
        <w:rPr>
          <w:rFonts w:hint="eastAsia"/>
          <w:color w:val="auto"/>
          <w:sz w:val="24"/>
          <w:highlight w:val="none"/>
          <w:lang w:val="en-US" w:eastAsia="zh-CN"/>
        </w:rPr>
        <w:t>8</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税</w:t>
      </w:r>
      <w:r>
        <w:rPr>
          <w:color w:val="auto"/>
          <w:sz w:val="24"/>
          <w:highlight w:val="none"/>
        </w:rPr>
        <w:t xml:space="preserve">    </w:t>
      </w:r>
      <w:r>
        <w:rPr>
          <w:rFonts w:hint="eastAsia"/>
          <w:color w:val="auto"/>
          <w:sz w:val="24"/>
          <w:highlight w:val="none"/>
        </w:rPr>
        <w:t>号：913101055648381834</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开户银行：中海石油财务有限责任公司</w:t>
      </w:r>
    </w:p>
    <w:p>
      <w:pPr>
        <w:shd w:val="clear"/>
        <w:tabs>
          <w:tab w:val="left" w:pos="567"/>
          <w:tab w:val="left" w:pos="1418"/>
        </w:tabs>
        <w:spacing w:before="72" w:beforeLines="30" w:after="72" w:afterLines="30" w:line="288" w:lineRule="auto"/>
        <w:ind w:left="565" w:leftChars="269" w:right="0" w:rightChars="0"/>
        <w:rPr>
          <w:color w:val="auto"/>
          <w:sz w:val="24"/>
          <w:highlight w:val="none"/>
        </w:rPr>
      </w:pPr>
      <w:r>
        <w:rPr>
          <w:rFonts w:hint="eastAsia"/>
          <w:color w:val="auto"/>
          <w:sz w:val="24"/>
          <w:highlight w:val="none"/>
        </w:rPr>
        <w:t>账</w:t>
      </w:r>
      <w:r>
        <w:rPr>
          <w:color w:val="auto"/>
          <w:sz w:val="24"/>
          <w:highlight w:val="none"/>
        </w:rPr>
        <w:t xml:space="preserve">    </w:t>
      </w:r>
      <w:r>
        <w:rPr>
          <w:rFonts w:hint="eastAsia"/>
          <w:color w:val="auto"/>
          <w:sz w:val="24"/>
          <w:highlight w:val="none"/>
        </w:rPr>
        <w:t>号：040140096-02-0680</w:t>
      </w:r>
    </w:p>
    <w:p>
      <w:pPr>
        <w:numPr>
          <w:ilvl w:val="0"/>
          <w:numId w:val="16"/>
        </w:numPr>
        <w:tabs>
          <w:tab w:val="left" w:pos="567"/>
        </w:tabs>
        <w:spacing w:before="72" w:beforeLines="30" w:after="72" w:afterLines="30" w:line="360" w:lineRule="auto"/>
        <w:ind w:left="709" w:hanging="709"/>
        <w:rPr>
          <w:color w:val="auto"/>
          <w:sz w:val="24"/>
          <w:highlight w:val="none"/>
        </w:rPr>
      </w:pPr>
      <w:r>
        <w:rPr>
          <w:rFonts w:hint="eastAsia" w:hAnsi="宋体"/>
          <w:color w:val="auto"/>
          <w:sz w:val="24"/>
          <w:highlight w:val="none"/>
        </w:rPr>
        <w:t>卖方</w:t>
      </w:r>
      <w:r>
        <w:rPr>
          <w:rFonts w:hAnsi="宋体"/>
          <w:color w:val="auto"/>
          <w:sz w:val="24"/>
          <w:highlight w:val="none"/>
        </w:rPr>
        <w:t>账户</w:t>
      </w:r>
    </w:p>
    <w:p>
      <w:pPr>
        <w:tabs>
          <w:tab w:val="left" w:pos="567"/>
          <w:tab w:val="left" w:pos="1418"/>
        </w:tabs>
        <w:spacing w:before="72" w:beforeLines="30" w:after="72" w:afterLines="30" w:line="288" w:lineRule="auto"/>
        <w:ind w:left="565" w:leftChars="269"/>
        <w:rPr>
          <w:color w:val="auto"/>
          <w:sz w:val="24"/>
          <w:highlight w:val="none"/>
        </w:rPr>
      </w:pPr>
      <w:r>
        <w:rPr>
          <w:color w:val="auto"/>
          <w:sz w:val="24"/>
          <w:highlight w:val="none"/>
        </w:rPr>
        <w:t>卖方应通过如下账户收取合同总价及其它款项，并通过该账户向买方支付与合同有关的任何款项：</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eastAsia"/>
          <w:color w:val="auto"/>
          <w:sz w:val="24"/>
          <w:highlight w:val="none"/>
        </w:rPr>
        <w:t>卖方名称：</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eastAsia"/>
          <w:color w:val="auto"/>
          <w:sz w:val="24"/>
          <w:highlight w:val="none"/>
        </w:rPr>
        <w:t>账号：</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eastAsia"/>
          <w:color w:val="auto"/>
          <w:sz w:val="24"/>
          <w:highlight w:val="none"/>
        </w:rPr>
        <w:t>开户行名称：</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default"/>
          <w:color w:val="auto"/>
          <w:sz w:val="24"/>
          <w:highlight w:val="none"/>
          <w:lang w:eastAsia="zh-CN"/>
        </w:rPr>
        <w:t>联系人：</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default"/>
          <w:color w:val="auto"/>
          <w:sz w:val="24"/>
          <w:highlight w:val="none"/>
          <w:lang w:eastAsia="zh-CN"/>
        </w:rPr>
        <w:t>联系方式：</w:t>
      </w:r>
    </w:p>
    <w:p>
      <w:pPr>
        <w:shd w:val="clear"/>
        <w:tabs>
          <w:tab w:val="left" w:pos="567"/>
          <w:tab w:val="left" w:pos="1418"/>
        </w:tabs>
        <w:spacing w:before="72" w:beforeLines="30" w:after="72" w:afterLines="30" w:line="288" w:lineRule="auto"/>
        <w:ind w:left="565" w:leftChars="269" w:right="0" w:rightChars="0"/>
        <w:rPr>
          <w:rFonts w:hint="default"/>
          <w:color w:val="auto"/>
          <w:sz w:val="24"/>
          <w:highlight w:val="none"/>
          <w:lang w:val="en-US" w:eastAsia="zh-CN"/>
        </w:rPr>
      </w:pPr>
      <w:r>
        <w:rPr>
          <w:rFonts w:hint="default"/>
          <w:color w:val="auto"/>
          <w:sz w:val="24"/>
          <w:highlight w:val="none"/>
          <w:lang w:val="en-US" w:eastAsia="zh-CN"/>
        </w:rPr>
        <w:t>电子邮箱：</w:t>
      </w:r>
    </w:p>
    <w:p>
      <w:pPr>
        <w:pStyle w:val="17"/>
        <w:numPr>
          <w:ilvl w:val="0"/>
          <w:numId w:val="13"/>
        </w:numPr>
        <w:spacing w:before="72" w:beforeLines="30" w:after="72" w:afterLines="30" w:line="360" w:lineRule="auto"/>
        <w:ind w:left="851" w:hanging="851"/>
        <w:jc w:val="left"/>
        <w:rPr>
          <w:color w:val="auto"/>
          <w:sz w:val="24"/>
          <w:szCs w:val="24"/>
          <w:highlight w:val="none"/>
        </w:rPr>
      </w:pPr>
      <w:r>
        <w:rPr>
          <w:rFonts w:hint="eastAsia"/>
          <w:color w:val="auto"/>
          <w:sz w:val="24"/>
          <w:szCs w:val="24"/>
          <w:highlight w:val="none"/>
        </w:rPr>
        <w:t>货物交付</w:t>
      </w:r>
    </w:p>
    <w:p>
      <w:pPr>
        <w:numPr>
          <w:ilvl w:val="0"/>
          <w:numId w:val="17"/>
        </w:numPr>
        <w:tabs>
          <w:tab w:val="left" w:pos="567"/>
          <w:tab w:val="clear" w:pos="562"/>
        </w:tabs>
        <w:spacing w:before="72" w:beforeLines="30" w:after="72" w:afterLines="30" w:line="360" w:lineRule="auto"/>
        <w:ind w:left="567" w:hanging="567"/>
        <w:outlineLvl w:val="0"/>
        <w:rPr>
          <w:b/>
          <w:color w:val="auto"/>
          <w:sz w:val="24"/>
          <w:highlight w:val="none"/>
        </w:rPr>
      </w:pPr>
      <w:r>
        <w:rPr>
          <w:rFonts w:hAnsi="宋体"/>
          <w:b/>
          <w:color w:val="auto"/>
          <w:sz w:val="24"/>
          <w:highlight w:val="none"/>
        </w:rPr>
        <w:t>交货日期</w:t>
      </w:r>
    </w:p>
    <w:p>
      <w:pPr>
        <w:numPr>
          <w:ilvl w:val="0"/>
          <w:numId w:val="18"/>
        </w:numPr>
        <w:tabs>
          <w:tab w:val="left" w:pos="993"/>
        </w:tabs>
        <w:spacing w:before="72" w:beforeLines="30" w:after="72" w:afterLines="30" w:line="360" w:lineRule="auto"/>
        <w:ind w:left="1047" w:leftChars="268" w:hanging="484" w:hangingChars="202"/>
        <w:outlineLvl w:val="0"/>
        <w:rPr>
          <w:rFonts w:ascii="Times New Roman" w:hAnsi="宋体" w:eastAsia="宋体" w:cs="Times New Roman"/>
          <w:color w:val="auto"/>
          <w:sz w:val="24"/>
          <w:highlight w:val="none"/>
        </w:rPr>
      </w:pPr>
      <w:r>
        <w:rPr>
          <w:rFonts w:hint="eastAsia" w:ascii="Times New Roman" w:hAnsi="宋体" w:eastAsia="宋体" w:cs="Times New Roman"/>
          <w:color w:val="auto"/>
          <w:sz w:val="24"/>
          <w:highlight w:val="none"/>
          <w:lang w:val="en-US" w:eastAsia="zh-CN"/>
        </w:rPr>
        <w:t>******</w:t>
      </w:r>
    </w:p>
    <w:p>
      <w:pPr>
        <w:numPr>
          <w:ilvl w:val="0"/>
          <w:numId w:val="17"/>
        </w:numPr>
        <w:tabs>
          <w:tab w:val="left" w:pos="709"/>
        </w:tabs>
        <w:spacing w:before="72" w:beforeLines="30" w:after="72" w:afterLines="30" w:line="360" w:lineRule="auto"/>
        <w:ind w:left="567" w:hanging="567"/>
        <w:outlineLvl w:val="0"/>
        <w:rPr>
          <w:color w:val="auto"/>
          <w:sz w:val="24"/>
          <w:szCs w:val="24"/>
          <w:highlight w:val="none"/>
        </w:rPr>
      </w:pPr>
      <w:r>
        <w:rPr>
          <w:rFonts w:hAnsi="宋体"/>
          <w:color w:val="auto"/>
          <w:sz w:val="24"/>
          <w:szCs w:val="24"/>
          <w:highlight w:val="none"/>
        </w:rPr>
        <w:t>每批</w:t>
      </w:r>
      <w:r>
        <w:rPr>
          <w:rFonts w:hint="eastAsia" w:hAnsi="宋体"/>
          <w:color w:val="auto"/>
          <w:sz w:val="24"/>
          <w:szCs w:val="24"/>
          <w:highlight w:val="none"/>
        </w:rPr>
        <w:t>货</w:t>
      </w:r>
      <w:r>
        <w:rPr>
          <w:rFonts w:hint="eastAsia"/>
          <w:color w:val="auto"/>
          <w:sz w:val="24"/>
          <w:szCs w:val="24"/>
          <w:highlight w:val="none"/>
        </w:rPr>
        <w:t>物</w:t>
      </w:r>
      <w:r>
        <w:rPr>
          <w:color w:val="auto"/>
          <w:sz w:val="24"/>
          <w:szCs w:val="24"/>
          <w:highlight w:val="none"/>
        </w:rPr>
        <w:t>交付运</w:t>
      </w:r>
      <w:r>
        <w:rPr>
          <w:rFonts w:ascii="Times New Roman" w:hAnsi="Times New Roman" w:eastAsia="宋体" w:cs="Times New Roman"/>
          <w:color w:val="auto"/>
          <w:sz w:val="24"/>
          <w:szCs w:val="24"/>
          <w:highlight w:val="none"/>
        </w:rPr>
        <w:t>输后</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小</w:t>
      </w:r>
      <w:r>
        <w:rPr>
          <w:color w:val="auto"/>
          <w:sz w:val="24"/>
          <w:szCs w:val="24"/>
          <w:highlight w:val="none"/>
        </w:rPr>
        <w:t>时内，卖方应通过将下列</w:t>
      </w:r>
      <w:r>
        <w:rPr>
          <w:rFonts w:hint="eastAsia"/>
          <w:color w:val="auto"/>
          <w:sz w:val="24"/>
          <w:szCs w:val="24"/>
          <w:highlight w:val="none"/>
        </w:rPr>
        <w:t>材料、</w:t>
      </w:r>
      <w:r>
        <w:rPr>
          <w:color w:val="auto"/>
          <w:sz w:val="24"/>
          <w:szCs w:val="24"/>
          <w:highlight w:val="none"/>
        </w:rPr>
        <w:t>信息通知买方</w:t>
      </w:r>
      <w:r>
        <w:rPr>
          <w:rFonts w:hint="eastAsia"/>
          <w:color w:val="auto"/>
          <w:sz w:val="24"/>
          <w:szCs w:val="24"/>
          <w:highlight w:val="none"/>
        </w:rPr>
        <w:t>：</w:t>
      </w:r>
      <w:r>
        <w:rPr>
          <w:color w:val="auto"/>
          <w:sz w:val="24"/>
          <w:szCs w:val="24"/>
          <w:highlight w:val="none"/>
        </w:rPr>
        <w:t>合同号</w:t>
      </w:r>
      <w:r>
        <w:rPr>
          <w:rFonts w:hint="eastAsia"/>
          <w:color w:val="auto"/>
          <w:sz w:val="24"/>
          <w:szCs w:val="24"/>
          <w:highlight w:val="none"/>
        </w:rPr>
        <w:t>、</w:t>
      </w:r>
      <w:r>
        <w:rPr>
          <w:color w:val="auto"/>
          <w:sz w:val="24"/>
          <w:szCs w:val="24"/>
          <w:highlight w:val="none"/>
        </w:rPr>
        <w:t>货物名称及编号</w:t>
      </w:r>
      <w:r>
        <w:rPr>
          <w:rFonts w:hint="eastAsia"/>
          <w:color w:val="auto"/>
          <w:sz w:val="24"/>
          <w:szCs w:val="24"/>
          <w:highlight w:val="none"/>
        </w:rPr>
        <w:t>、货物数量、</w:t>
      </w:r>
      <w:r>
        <w:rPr>
          <w:color w:val="auto"/>
          <w:sz w:val="24"/>
          <w:szCs w:val="24"/>
          <w:highlight w:val="none"/>
        </w:rPr>
        <w:t>货物总重量</w:t>
      </w:r>
      <w:r>
        <w:rPr>
          <w:rFonts w:hint="eastAsia"/>
          <w:color w:val="auto"/>
          <w:sz w:val="24"/>
          <w:szCs w:val="24"/>
          <w:highlight w:val="none"/>
        </w:rPr>
        <w:t>和货运单号等。</w:t>
      </w:r>
    </w:p>
    <w:p>
      <w:pPr>
        <w:numPr>
          <w:ilvl w:val="0"/>
          <w:numId w:val="17"/>
        </w:numPr>
        <w:tabs>
          <w:tab w:val="left" w:pos="567"/>
          <w:tab w:val="left" w:pos="709"/>
          <w:tab w:val="clear" w:pos="562"/>
        </w:tabs>
        <w:spacing w:before="72" w:beforeLines="30" w:after="72" w:afterLines="30" w:line="360" w:lineRule="auto"/>
        <w:ind w:left="567" w:hanging="567"/>
        <w:outlineLvl w:val="0"/>
        <w:rPr>
          <w:b/>
          <w:color w:val="auto"/>
          <w:sz w:val="24"/>
          <w:highlight w:val="none"/>
        </w:rPr>
      </w:pPr>
      <w:r>
        <w:rPr>
          <w:rFonts w:hint="eastAsia"/>
          <w:b/>
          <w:color w:val="auto"/>
          <w:sz w:val="24"/>
          <w:highlight w:val="none"/>
        </w:rPr>
        <w:t>包装</w:t>
      </w:r>
    </w:p>
    <w:p>
      <w:pPr>
        <w:pStyle w:val="28"/>
        <w:spacing w:line="360" w:lineRule="auto"/>
        <w:ind w:left="567" w:leftChars="270" w:firstLine="0" w:firstLineChars="0"/>
        <w:rPr>
          <w:rFonts w:hAnsi="宋体"/>
          <w:color w:val="auto"/>
          <w:sz w:val="24"/>
          <w:highlight w:val="none"/>
        </w:rPr>
      </w:pPr>
      <w:r>
        <w:rPr>
          <w:rFonts w:hAnsi="宋体"/>
          <w:color w:val="auto"/>
          <w:sz w:val="24"/>
          <w:highlight w:val="none"/>
        </w:rPr>
        <w:t>卖方应提供将货物</w:t>
      </w:r>
      <w:r>
        <w:rPr>
          <w:rFonts w:hint="eastAsia" w:hAnsi="宋体"/>
          <w:color w:val="auto"/>
          <w:sz w:val="24"/>
          <w:highlight w:val="none"/>
        </w:rPr>
        <w:t>、货物资料</w:t>
      </w:r>
      <w:r>
        <w:rPr>
          <w:rFonts w:hAnsi="宋体"/>
          <w:color w:val="auto"/>
          <w:sz w:val="24"/>
          <w:highlight w:val="none"/>
        </w:rPr>
        <w:t>运至</w:t>
      </w:r>
      <w:r>
        <w:rPr>
          <w:rFonts w:hint="eastAsia" w:hAnsi="宋体"/>
          <w:color w:val="auto"/>
          <w:sz w:val="24"/>
          <w:highlight w:val="none"/>
        </w:rPr>
        <w:t>交货</w:t>
      </w:r>
      <w:r>
        <w:rPr>
          <w:rFonts w:hAnsi="宋体"/>
          <w:color w:val="auto"/>
          <w:sz w:val="24"/>
          <w:highlight w:val="none"/>
        </w:rPr>
        <w:t>地点所需要的包装，以防止货物</w:t>
      </w:r>
      <w:r>
        <w:rPr>
          <w:rFonts w:hint="eastAsia" w:hAnsi="宋体"/>
          <w:color w:val="auto"/>
          <w:sz w:val="24"/>
          <w:highlight w:val="none"/>
        </w:rPr>
        <w:t>、货物资料</w:t>
      </w:r>
      <w:r>
        <w:rPr>
          <w:rFonts w:hAnsi="宋体"/>
          <w:color w:val="auto"/>
          <w:sz w:val="24"/>
          <w:highlight w:val="none"/>
        </w:rPr>
        <w:t>在运输中损坏或变质。货物</w:t>
      </w:r>
      <w:r>
        <w:rPr>
          <w:rFonts w:hint="eastAsia" w:hAnsi="宋体"/>
          <w:color w:val="auto"/>
          <w:sz w:val="24"/>
          <w:highlight w:val="none"/>
        </w:rPr>
        <w:t>、货物资料</w:t>
      </w:r>
      <w:r>
        <w:rPr>
          <w:rFonts w:hAnsi="宋体"/>
          <w:color w:val="auto"/>
          <w:sz w:val="24"/>
          <w:highlight w:val="none"/>
        </w:rPr>
        <w:t>的包装应采用防潮、防晒、防锈、防腐蚀、防震动、防野蛮装卸及防止其它损坏的必要保护措施，保护货物</w:t>
      </w:r>
      <w:r>
        <w:rPr>
          <w:rFonts w:hint="eastAsia" w:hAnsi="宋体"/>
          <w:color w:val="auto"/>
          <w:sz w:val="24"/>
          <w:highlight w:val="none"/>
        </w:rPr>
        <w:t>、货物资料</w:t>
      </w:r>
      <w:r>
        <w:rPr>
          <w:rFonts w:hAnsi="宋体"/>
          <w:color w:val="auto"/>
          <w:sz w:val="24"/>
          <w:highlight w:val="none"/>
        </w:rPr>
        <w:t>能够经受多次搬运、装卸及远洋和内陆长途运输。</w:t>
      </w:r>
    </w:p>
    <w:p>
      <w:pPr>
        <w:numPr>
          <w:ilvl w:val="0"/>
          <w:numId w:val="17"/>
        </w:numPr>
        <w:tabs>
          <w:tab w:val="left" w:pos="567"/>
          <w:tab w:val="left" w:pos="709"/>
          <w:tab w:val="clear" w:pos="562"/>
        </w:tabs>
        <w:spacing w:before="72" w:beforeLines="30" w:after="72" w:afterLines="30" w:line="360" w:lineRule="auto"/>
        <w:ind w:left="567" w:hanging="567"/>
        <w:outlineLvl w:val="0"/>
        <w:rPr>
          <w:b/>
          <w:color w:val="auto"/>
          <w:sz w:val="24"/>
          <w:highlight w:val="none"/>
        </w:rPr>
      </w:pPr>
      <w:r>
        <w:rPr>
          <w:rFonts w:hint="eastAsia"/>
          <w:b/>
          <w:color w:val="auto"/>
          <w:sz w:val="24"/>
          <w:highlight w:val="none"/>
        </w:rPr>
        <w:t>货物资料的交付</w:t>
      </w:r>
    </w:p>
    <w:p>
      <w:pPr>
        <w:pStyle w:val="28"/>
        <w:numPr>
          <w:ilvl w:val="0"/>
          <w:numId w:val="19"/>
        </w:numPr>
        <w:tabs>
          <w:tab w:val="left" w:pos="709"/>
        </w:tabs>
        <w:spacing w:before="72" w:beforeLines="30" w:after="72" w:afterLines="30" w:line="360" w:lineRule="auto"/>
        <w:ind w:firstLineChars="0"/>
        <w:outlineLvl w:val="0"/>
        <w:rPr>
          <w:color w:val="auto"/>
          <w:sz w:val="24"/>
          <w:highlight w:val="none"/>
        </w:rPr>
      </w:pPr>
      <w:r>
        <w:rPr>
          <w:rFonts w:hint="eastAsia"/>
          <w:color w:val="auto"/>
          <w:sz w:val="24"/>
          <w:highlight w:val="none"/>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color w:val="auto"/>
          <w:sz w:val="24"/>
          <w:highlight w:val="none"/>
        </w:rPr>
        <w:t>如买方发现货物资料存在任何</w:t>
      </w:r>
      <w:r>
        <w:rPr>
          <w:rFonts w:hint="eastAsia"/>
          <w:color w:val="auto"/>
          <w:sz w:val="24"/>
          <w:highlight w:val="none"/>
        </w:rPr>
        <w:t>错漏、</w:t>
      </w:r>
      <w:r>
        <w:rPr>
          <w:color w:val="auto"/>
          <w:sz w:val="24"/>
          <w:highlight w:val="none"/>
        </w:rPr>
        <w:t>短缺、损坏、遗失，买方应于收到之日起</w:t>
      </w:r>
      <w:r>
        <w:rPr>
          <w:rFonts w:hint="eastAsia" w:hAnsi="宋体"/>
          <w:color w:val="auto"/>
          <w:sz w:val="24"/>
          <w:highlight w:val="none"/>
        </w:rPr>
        <w:t>合理期限</w:t>
      </w:r>
      <w:r>
        <w:rPr>
          <w:color w:val="auto"/>
          <w:sz w:val="24"/>
          <w:highlight w:val="none"/>
        </w:rPr>
        <w:t>内通知卖方；卖方收到通知</w:t>
      </w:r>
      <w:r>
        <w:rPr>
          <w:rFonts w:hint="eastAsia" w:ascii="Times New Roman" w:hAnsi="宋体" w:eastAsia="宋体" w:cs="Times New Roman"/>
          <w:color w:val="auto"/>
          <w:sz w:val="24"/>
          <w:highlight w:val="none"/>
        </w:rPr>
        <w:t>后【</w:t>
      </w:r>
      <w:r>
        <w:rPr>
          <w:rFonts w:hint="eastAsia" w:ascii="Times New Roman" w:hAnsi="宋体" w:eastAsia="宋体" w:cs="Times New Roman"/>
          <w:color w:val="auto"/>
          <w:sz w:val="24"/>
          <w:highlight w:val="none"/>
          <w:lang w:val="en-US" w:eastAsia="zh-CN"/>
        </w:rPr>
        <w:t>3</w:t>
      </w:r>
      <w:r>
        <w:rPr>
          <w:rFonts w:hint="eastAsia" w:ascii="Times New Roman" w:hAnsi="宋体" w:eastAsia="宋体" w:cs="Times New Roman"/>
          <w:color w:val="auto"/>
          <w:sz w:val="24"/>
          <w:highlight w:val="none"/>
        </w:rPr>
        <w:t>】</w:t>
      </w:r>
      <w:r>
        <w:rPr>
          <w:color w:val="auto"/>
          <w:sz w:val="24"/>
          <w:highlight w:val="none"/>
        </w:rPr>
        <w:t>日内应</w:t>
      </w:r>
      <w:r>
        <w:rPr>
          <w:rFonts w:hint="eastAsia"/>
          <w:color w:val="auto"/>
          <w:sz w:val="24"/>
          <w:highlight w:val="none"/>
        </w:rPr>
        <w:t>自行承担费用</w:t>
      </w:r>
      <w:r>
        <w:rPr>
          <w:color w:val="auto"/>
          <w:sz w:val="24"/>
          <w:highlight w:val="none"/>
        </w:rPr>
        <w:t>将补充或替换的货物资料送达买方，</w:t>
      </w:r>
      <w:r>
        <w:rPr>
          <w:rFonts w:hint="eastAsia"/>
          <w:color w:val="auto"/>
          <w:sz w:val="24"/>
          <w:highlight w:val="none"/>
        </w:rPr>
        <w:t>并</w:t>
      </w:r>
      <w:r>
        <w:rPr>
          <w:color w:val="auto"/>
          <w:sz w:val="24"/>
          <w:highlight w:val="none"/>
        </w:rPr>
        <w:t>不得因此影响交货进度</w:t>
      </w:r>
      <w:r>
        <w:rPr>
          <w:rFonts w:hint="eastAsia"/>
          <w:color w:val="auto"/>
          <w:sz w:val="24"/>
          <w:highlight w:val="none"/>
        </w:rPr>
        <w:t>。</w:t>
      </w:r>
    </w:p>
    <w:p>
      <w:pPr>
        <w:pStyle w:val="28"/>
        <w:numPr>
          <w:ilvl w:val="0"/>
          <w:numId w:val="19"/>
        </w:numPr>
        <w:tabs>
          <w:tab w:val="left" w:pos="709"/>
        </w:tabs>
        <w:spacing w:before="72" w:beforeLines="30" w:after="72" w:afterLines="30" w:line="360" w:lineRule="auto"/>
        <w:ind w:firstLineChars="0"/>
        <w:outlineLvl w:val="0"/>
        <w:rPr>
          <w:rFonts w:hint="eastAsia" w:ascii="Times New Roman" w:hAnsi="Times New Roman" w:eastAsia="宋体" w:cs="Times New Roman"/>
          <w:color w:val="auto"/>
          <w:sz w:val="24"/>
          <w:highlight w:val="none"/>
        </w:rPr>
      </w:pPr>
      <w:r>
        <w:rPr>
          <w:rFonts w:hint="eastAsia"/>
          <w:color w:val="auto"/>
          <w:sz w:val="24"/>
          <w:highlight w:val="none"/>
        </w:rPr>
        <w:t>货物资料的名称、数量及交付时间</w:t>
      </w:r>
      <w:r>
        <w:rPr>
          <w:rFonts w:hint="eastAsia" w:ascii="Times New Roman" w:hAnsi="Times New Roman" w:eastAsia="宋体" w:cs="Times New Roman"/>
          <w:color w:val="auto"/>
          <w:sz w:val="24"/>
          <w:highlight w:val="none"/>
        </w:rPr>
        <w:t>为：【</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w:t>
      </w:r>
    </w:p>
    <w:p>
      <w:pPr>
        <w:pStyle w:val="17"/>
        <w:numPr>
          <w:ilvl w:val="0"/>
          <w:numId w:val="13"/>
        </w:numPr>
        <w:tabs>
          <w:tab w:val="left" w:pos="567"/>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货物要求</w:t>
      </w:r>
    </w:p>
    <w:p>
      <w:pPr>
        <w:pStyle w:val="28"/>
        <w:numPr>
          <w:ilvl w:val="0"/>
          <w:numId w:val="20"/>
        </w:numPr>
        <w:spacing w:before="72" w:beforeLines="30" w:after="72" w:afterLines="30" w:line="360" w:lineRule="auto"/>
        <w:ind w:left="567" w:hanging="567" w:firstLineChars="0"/>
        <w:outlineLvl w:val="0"/>
        <w:rPr>
          <w:rFonts w:hAnsi="宋体"/>
          <w:color w:val="auto"/>
          <w:sz w:val="24"/>
          <w:highlight w:val="none"/>
        </w:rPr>
      </w:pPr>
      <w:r>
        <w:rPr>
          <w:rFonts w:hAnsi="宋体"/>
          <w:color w:val="auto"/>
          <w:sz w:val="24"/>
          <w:highlight w:val="none"/>
        </w:rPr>
        <w:t>卖方应根据合同规定</w:t>
      </w:r>
      <w:r>
        <w:rPr>
          <w:rFonts w:hint="eastAsia" w:hAnsi="宋体"/>
          <w:color w:val="auto"/>
          <w:sz w:val="24"/>
          <w:highlight w:val="none"/>
        </w:rPr>
        <w:t>提供</w:t>
      </w:r>
      <w:r>
        <w:rPr>
          <w:rFonts w:hAnsi="宋体"/>
          <w:color w:val="auto"/>
          <w:sz w:val="24"/>
          <w:highlight w:val="none"/>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color w:val="auto"/>
          <w:sz w:val="24"/>
          <w:highlight w:val="none"/>
        </w:rPr>
        <w:t>适用</w:t>
      </w:r>
      <w:r>
        <w:rPr>
          <w:rFonts w:hAnsi="宋体"/>
          <w:color w:val="auto"/>
          <w:sz w:val="24"/>
          <w:highlight w:val="none"/>
        </w:rPr>
        <w:t>符合本合同目的的标准。</w:t>
      </w:r>
    </w:p>
    <w:p>
      <w:pPr>
        <w:pStyle w:val="28"/>
        <w:numPr>
          <w:ilvl w:val="0"/>
          <w:numId w:val="20"/>
        </w:numPr>
        <w:spacing w:before="72" w:beforeLines="30" w:after="72" w:afterLines="30" w:line="360" w:lineRule="auto"/>
        <w:ind w:left="567" w:hanging="567" w:firstLineChars="0"/>
        <w:outlineLvl w:val="0"/>
        <w:rPr>
          <w:rFonts w:hAnsi="宋体"/>
          <w:color w:val="auto"/>
          <w:sz w:val="24"/>
          <w:highlight w:val="none"/>
        </w:rPr>
      </w:pPr>
      <w:r>
        <w:rPr>
          <w:rFonts w:hAnsi="宋体"/>
          <w:color w:val="auto"/>
          <w:sz w:val="24"/>
          <w:highlight w:val="none"/>
        </w:rPr>
        <w:t>在履行合同过程中，买方接受卖方的有关货物的建议和要求或买方的任何批准、认可不得免除卖方</w:t>
      </w:r>
      <w:r>
        <w:rPr>
          <w:rFonts w:hint="eastAsia" w:hAnsi="宋体"/>
          <w:color w:val="auto"/>
          <w:sz w:val="24"/>
          <w:highlight w:val="none"/>
        </w:rPr>
        <w:t>在本合同项下的任何</w:t>
      </w:r>
      <w:r>
        <w:rPr>
          <w:rFonts w:hAnsi="宋体"/>
          <w:color w:val="auto"/>
          <w:sz w:val="24"/>
          <w:highlight w:val="none"/>
        </w:rPr>
        <w:t>义务（包括卖方对货物应符合本合同</w:t>
      </w:r>
      <w:r>
        <w:rPr>
          <w:rFonts w:hint="eastAsia" w:hAnsi="宋体"/>
          <w:color w:val="auto"/>
          <w:sz w:val="24"/>
          <w:highlight w:val="none"/>
        </w:rPr>
        <w:t>规定的</w:t>
      </w:r>
      <w:r>
        <w:rPr>
          <w:rFonts w:hAnsi="宋体"/>
          <w:color w:val="auto"/>
          <w:sz w:val="24"/>
          <w:highlight w:val="none"/>
        </w:rPr>
        <w:t>质量和规格</w:t>
      </w:r>
      <w:r>
        <w:rPr>
          <w:rFonts w:hint="eastAsia" w:hAnsi="宋体"/>
          <w:color w:val="auto"/>
          <w:sz w:val="24"/>
          <w:highlight w:val="none"/>
        </w:rPr>
        <w:t>等</w:t>
      </w:r>
      <w:r>
        <w:rPr>
          <w:rFonts w:hAnsi="宋体"/>
          <w:color w:val="auto"/>
          <w:sz w:val="24"/>
          <w:highlight w:val="none"/>
        </w:rPr>
        <w:t>要求应承担的责任）。</w:t>
      </w:r>
    </w:p>
    <w:p>
      <w:pPr>
        <w:pStyle w:val="17"/>
        <w:numPr>
          <w:ilvl w:val="0"/>
          <w:numId w:val="13"/>
        </w:numPr>
        <w:tabs>
          <w:tab w:val="left" w:pos="567"/>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运输和保险</w:t>
      </w:r>
    </w:p>
    <w:p>
      <w:pPr>
        <w:pStyle w:val="28"/>
        <w:numPr>
          <w:ilvl w:val="0"/>
          <w:numId w:val="21"/>
        </w:numPr>
        <w:spacing w:before="72" w:beforeLines="30" w:after="72" w:afterLines="30" w:line="360" w:lineRule="auto"/>
        <w:ind w:left="567" w:hanging="567" w:firstLineChars="0"/>
        <w:outlineLvl w:val="0"/>
        <w:rPr>
          <w:color w:val="auto"/>
          <w:sz w:val="24"/>
          <w:highlight w:val="none"/>
        </w:rPr>
      </w:pPr>
      <w:r>
        <w:rPr>
          <w:color w:val="auto"/>
          <w:sz w:val="24"/>
          <w:highlight w:val="none"/>
        </w:rPr>
        <w:t>运输</w:t>
      </w:r>
      <w:r>
        <w:rPr>
          <w:rFonts w:hint="eastAsia"/>
          <w:color w:val="auto"/>
          <w:sz w:val="24"/>
          <w:highlight w:val="none"/>
        </w:rPr>
        <w:t>方式</w:t>
      </w:r>
      <w:r>
        <w:rPr>
          <w:rFonts w:hint="eastAsia" w:ascii="Times New Roman" w:hAnsi="宋体" w:eastAsia="宋体" w:cs="Times New Roman"/>
          <w:color w:val="auto"/>
          <w:sz w:val="24"/>
          <w:highlight w:val="none"/>
        </w:rPr>
        <w:t>：【</w:t>
      </w:r>
      <w:r>
        <w:rPr>
          <w:rFonts w:hint="eastAsia" w:hAnsi="宋体" w:cs="Times New Roman"/>
          <w:color w:val="auto"/>
          <w:sz w:val="24"/>
          <w:highlight w:val="none"/>
          <w:lang w:val="en-US" w:eastAsia="zh-CN"/>
        </w:rPr>
        <w:t>卖方自行决定</w:t>
      </w:r>
      <w:r>
        <w:rPr>
          <w:rFonts w:hint="eastAsia" w:ascii="Times New Roman" w:hAnsi="宋体" w:eastAsia="宋体" w:cs="Times New Roman"/>
          <w:color w:val="auto"/>
          <w:sz w:val="24"/>
          <w:highlight w:val="none"/>
        </w:rPr>
        <w:t>】。</w:t>
      </w:r>
    </w:p>
    <w:p>
      <w:pPr>
        <w:pStyle w:val="28"/>
        <w:numPr>
          <w:ilvl w:val="0"/>
          <w:numId w:val="21"/>
        </w:numPr>
        <w:spacing w:before="72" w:beforeLines="30" w:after="72" w:afterLines="30" w:line="360" w:lineRule="auto"/>
        <w:ind w:left="567" w:hanging="567" w:firstLineChars="0"/>
        <w:outlineLvl w:val="0"/>
        <w:rPr>
          <w:rFonts w:hAnsi="宋体"/>
          <w:color w:val="auto"/>
          <w:sz w:val="24"/>
          <w:highlight w:val="none"/>
        </w:rPr>
      </w:pPr>
      <w:r>
        <w:rPr>
          <w:rFonts w:hint="eastAsia"/>
          <w:color w:val="auto"/>
          <w:sz w:val="24"/>
          <w:highlight w:val="none"/>
        </w:rPr>
        <w:t>除非本合同另有明确规定，</w:t>
      </w:r>
      <w:r>
        <w:rPr>
          <w:rFonts w:hAnsi="宋体"/>
          <w:color w:val="auto"/>
          <w:sz w:val="24"/>
          <w:highlight w:val="none"/>
        </w:rPr>
        <w:t>卖方负责将货物</w:t>
      </w:r>
      <w:r>
        <w:rPr>
          <w:rFonts w:hint="eastAsia" w:hAnsi="宋体"/>
          <w:color w:val="auto"/>
          <w:sz w:val="24"/>
          <w:highlight w:val="none"/>
        </w:rPr>
        <w:t>及配套软件、货物资料</w:t>
      </w:r>
      <w:r>
        <w:rPr>
          <w:rFonts w:hAnsi="宋体"/>
          <w:color w:val="auto"/>
          <w:sz w:val="24"/>
          <w:highlight w:val="none"/>
        </w:rPr>
        <w:t>运至交货地点，运输</w:t>
      </w:r>
      <w:r>
        <w:rPr>
          <w:rFonts w:hint="eastAsia" w:ascii="Times New Roman" w:hAnsi="宋体" w:eastAsia="宋体" w:cs="Times New Roman"/>
          <w:color w:val="auto"/>
          <w:sz w:val="24"/>
          <w:highlight w:val="none"/>
        </w:rPr>
        <w:t>费用全部包含于合同总价中。如卖方需改变本合同规定的运输方式，卖方应提前【</w:t>
      </w:r>
      <w:r>
        <w:rPr>
          <w:rFonts w:hint="eastAsia" w:ascii="Times New Roman" w:hAnsi="宋体" w:eastAsia="宋体" w:cs="Times New Roman"/>
          <w:color w:val="auto"/>
          <w:sz w:val="24"/>
          <w:highlight w:val="none"/>
          <w:lang w:val="en-US" w:eastAsia="zh-CN"/>
        </w:rPr>
        <w:t>3日</w:t>
      </w:r>
      <w:r>
        <w:rPr>
          <w:rFonts w:hint="eastAsia" w:ascii="Times New Roman" w:hAnsi="宋体" w:eastAsia="宋体" w:cs="Times New Roman"/>
          <w:color w:val="auto"/>
          <w:sz w:val="24"/>
          <w:highlight w:val="none"/>
        </w:rPr>
        <w:t>】通知买</w:t>
      </w:r>
      <w:r>
        <w:rPr>
          <w:rFonts w:hAnsi="宋体"/>
          <w:color w:val="auto"/>
          <w:sz w:val="24"/>
          <w:highlight w:val="none"/>
        </w:rPr>
        <w:t>方，并获得买方的书面认可</w:t>
      </w:r>
      <w:r>
        <w:rPr>
          <w:rFonts w:hint="eastAsia" w:hAnsi="宋体"/>
          <w:color w:val="auto"/>
          <w:sz w:val="24"/>
          <w:highlight w:val="none"/>
        </w:rPr>
        <w:t>。</w:t>
      </w:r>
    </w:p>
    <w:p>
      <w:pPr>
        <w:pStyle w:val="28"/>
        <w:numPr>
          <w:ilvl w:val="0"/>
          <w:numId w:val="21"/>
        </w:numPr>
        <w:spacing w:before="72" w:beforeLines="30" w:after="72" w:afterLines="30" w:line="360" w:lineRule="auto"/>
        <w:ind w:left="567" w:hanging="567" w:firstLineChars="0"/>
        <w:outlineLvl w:val="0"/>
        <w:rPr>
          <w:rFonts w:hAnsi="宋体"/>
          <w:color w:val="auto"/>
          <w:sz w:val="24"/>
          <w:highlight w:val="none"/>
        </w:rPr>
      </w:pPr>
      <w:r>
        <w:rPr>
          <w:rFonts w:hAnsi="宋体"/>
          <w:color w:val="auto"/>
          <w:sz w:val="24"/>
          <w:highlight w:val="none"/>
        </w:rPr>
        <w:t>货物在交货地点的卸货由卖方负责，卸货费用由卖方承担，卖方应在买方指定的地点卸货，且遵守买方有关卸货的指示</w:t>
      </w:r>
      <w:r>
        <w:rPr>
          <w:rFonts w:hint="eastAsia" w:hAnsi="宋体"/>
          <w:color w:val="auto"/>
          <w:sz w:val="24"/>
          <w:highlight w:val="none"/>
        </w:rPr>
        <w:t>。</w:t>
      </w:r>
    </w:p>
    <w:p>
      <w:pPr>
        <w:pStyle w:val="28"/>
        <w:numPr>
          <w:ilvl w:val="0"/>
          <w:numId w:val="21"/>
        </w:numPr>
        <w:spacing w:before="72" w:beforeLines="30" w:after="72" w:afterLines="30" w:line="360" w:lineRule="auto"/>
        <w:ind w:left="567" w:hanging="567" w:firstLineChars="0"/>
        <w:outlineLvl w:val="0"/>
        <w:rPr>
          <w:rFonts w:hAnsi="宋体"/>
          <w:color w:val="auto"/>
          <w:sz w:val="24"/>
          <w:highlight w:val="none"/>
        </w:rPr>
      </w:pPr>
      <w:r>
        <w:rPr>
          <w:rFonts w:hAnsi="宋体"/>
          <w:color w:val="auto"/>
          <w:sz w:val="24"/>
          <w:highlight w:val="none"/>
        </w:rPr>
        <w:t>卖方承担与货物</w:t>
      </w:r>
      <w:r>
        <w:rPr>
          <w:rFonts w:hint="eastAsia" w:hAnsi="宋体"/>
          <w:color w:val="auto"/>
          <w:sz w:val="24"/>
          <w:highlight w:val="none"/>
        </w:rPr>
        <w:t>和货物资料</w:t>
      </w:r>
      <w:r>
        <w:rPr>
          <w:rFonts w:hAnsi="宋体"/>
          <w:color w:val="auto"/>
          <w:sz w:val="24"/>
          <w:highlight w:val="none"/>
        </w:rPr>
        <w:t>运输相关的全部费用，该等费用已包含于合同总价中。</w:t>
      </w:r>
    </w:p>
    <w:p>
      <w:pPr>
        <w:pStyle w:val="28"/>
        <w:numPr>
          <w:ilvl w:val="0"/>
          <w:numId w:val="21"/>
        </w:numPr>
        <w:spacing w:line="360" w:lineRule="auto"/>
        <w:ind w:left="567" w:hanging="567" w:firstLineChars="0"/>
        <w:rPr>
          <w:color w:val="auto"/>
          <w:sz w:val="24"/>
          <w:highlight w:val="none"/>
        </w:rPr>
      </w:pPr>
      <w:r>
        <w:rPr>
          <w:rFonts w:hint="eastAsia"/>
          <w:color w:val="auto"/>
          <w:sz w:val="24"/>
          <w:highlight w:val="none"/>
        </w:rPr>
        <w:t>运输保险</w:t>
      </w:r>
    </w:p>
    <w:p>
      <w:pPr>
        <w:pStyle w:val="28"/>
        <w:spacing w:line="360" w:lineRule="auto"/>
        <w:ind w:left="567" w:firstLine="0" w:firstLineChars="0"/>
        <w:rPr>
          <w:rFonts w:hAnsi="宋体"/>
          <w:bCs/>
          <w:color w:val="auto"/>
          <w:sz w:val="24"/>
          <w:highlight w:val="none"/>
        </w:rPr>
      </w:pPr>
      <w:r>
        <w:rPr>
          <w:rFonts w:hAnsi="宋体"/>
          <w:color w:val="auto"/>
          <w:sz w:val="24"/>
          <w:highlight w:val="none"/>
        </w:rPr>
        <w:t>卖方应</w:t>
      </w:r>
      <w:r>
        <w:rPr>
          <w:rFonts w:hAnsi="宋体"/>
          <w:bCs/>
          <w:color w:val="auto"/>
          <w:sz w:val="24"/>
          <w:highlight w:val="none"/>
        </w:rPr>
        <w:t>根据运输方式，向</w:t>
      </w:r>
      <w:r>
        <w:rPr>
          <w:rFonts w:hint="eastAsia" w:hAnsi="宋体"/>
          <w:bCs/>
          <w:color w:val="auto"/>
          <w:sz w:val="24"/>
          <w:highlight w:val="none"/>
        </w:rPr>
        <w:t>买方认可的、拥有合法资质的著名保险公司投保货物运输一切险或综合险，保险</w:t>
      </w:r>
      <w:r>
        <w:rPr>
          <w:rFonts w:hAnsi="宋体"/>
          <w:bCs/>
          <w:color w:val="auto"/>
          <w:sz w:val="24"/>
          <w:highlight w:val="none"/>
        </w:rPr>
        <w:t>金额不低于合同总价，</w:t>
      </w:r>
      <w:r>
        <w:rPr>
          <w:rFonts w:hint="eastAsia" w:hAnsi="宋体"/>
          <w:bCs/>
          <w:color w:val="auto"/>
          <w:sz w:val="24"/>
          <w:highlight w:val="none"/>
        </w:rPr>
        <w:t>并将买方列为共同被保险人或受益人。保障</w:t>
      </w:r>
      <w:r>
        <w:rPr>
          <w:rFonts w:hAnsi="宋体"/>
          <w:bCs/>
          <w:color w:val="auto"/>
          <w:sz w:val="24"/>
          <w:highlight w:val="none"/>
        </w:rPr>
        <w:t>区段为卖方制造厂存储货物的仓库到项目现场用于存储货物的仓库，</w:t>
      </w:r>
      <w:r>
        <w:rPr>
          <w:rFonts w:hint="eastAsia" w:hAnsi="宋体"/>
          <w:bCs/>
          <w:color w:val="auto"/>
          <w:sz w:val="24"/>
          <w:highlight w:val="none"/>
        </w:rPr>
        <w:t>保险期限</w:t>
      </w:r>
      <w:r>
        <w:rPr>
          <w:rFonts w:hAnsi="宋体"/>
          <w:bCs/>
          <w:color w:val="auto"/>
          <w:sz w:val="24"/>
          <w:highlight w:val="none"/>
        </w:rPr>
        <w:t>始于装货（含装货）止</w:t>
      </w:r>
      <w:r>
        <w:rPr>
          <w:rFonts w:ascii="Times New Roman" w:hAnsi="宋体" w:eastAsia="宋体" w:cs="Times New Roman"/>
          <w:bCs/>
          <w:color w:val="auto"/>
          <w:sz w:val="24"/>
          <w:highlight w:val="none"/>
        </w:rPr>
        <w:t>于</w:t>
      </w:r>
      <w:r>
        <w:rPr>
          <w:rFonts w:hint="eastAsia" w:ascii="Times New Roman" w:hAnsi="宋体" w:eastAsia="宋体" w:cs="Times New Roman"/>
          <w:bCs/>
          <w:color w:val="auto"/>
          <w:sz w:val="24"/>
          <w:highlight w:val="none"/>
        </w:rPr>
        <w:t>【</w:t>
      </w:r>
      <w:r>
        <w:rPr>
          <w:rFonts w:ascii="Times New Roman" w:hAnsi="宋体" w:eastAsia="宋体" w:cs="Times New Roman"/>
          <w:bCs/>
          <w:color w:val="auto"/>
          <w:sz w:val="24"/>
          <w:highlight w:val="none"/>
        </w:rPr>
        <w:t>卸货后</w:t>
      </w:r>
      <w:r>
        <w:rPr>
          <w:rFonts w:hint="eastAsia" w:hAnsi="宋体"/>
          <w:bCs/>
          <w:color w:val="auto"/>
          <w:sz w:val="24"/>
          <w:highlight w:val="none"/>
        </w:rPr>
        <w:t>三十（30）</w:t>
      </w:r>
      <w:r>
        <w:rPr>
          <w:rFonts w:hAnsi="宋体"/>
          <w:bCs/>
          <w:color w:val="auto"/>
          <w:sz w:val="24"/>
          <w:highlight w:val="none"/>
        </w:rPr>
        <w:t>日。</w:t>
      </w:r>
    </w:p>
    <w:p>
      <w:pPr>
        <w:pStyle w:val="28"/>
        <w:numPr>
          <w:ilvl w:val="0"/>
          <w:numId w:val="21"/>
        </w:numPr>
        <w:spacing w:line="360" w:lineRule="auto"/>
        <w:ind w:left="420" w:leftChars="0" w:hanging="420" w:firstLineChars="0"/>
        <w:rPr>
          <w:color w:val="auto"/>
          <w:sz w:val="24"/>
          <w:szCs w:val="24"/>
          <w:highlight w:val="none"/>
        </w:rPr>
      </w:pPr>
      <w:r>
        <w:rPr>
          <w:rFonts w:hint="eastAsia"/>
          <w:color w:val="auto"/>
          <w:sz w:val="24"/>
          <w:szCs w:val="24"/>
          <w:highlight w:val="none"/>
        </w:rPr>
        <w:t>关于运输、卸货等内容的特别约定：</w:t>
      </w:r>
      <w:r>
        <w:rPr>
          <w:rFonts w:hint="eastAsia" w:asciiTheme="minorEastAsia" w:hAnsiTheme="minorEastAsia" w:eastAsiaTheme="minorEastAsia" w:cstheme="minorEastAsia"/>
          <w:color w:val="auto"/>
          <w:sz w:val="24"/>
          <w:szCs w:val="24"/>
          <w:highlight w:val="none"/>
          <w:lang w:eastAsia="zh-CN"/>
        </w:rPr>
        <w:t>送货至厂区指定卸货地点，需至少提前2天上报车辆及司机相关信息，进厂区后遵守国家管网QHSE管理要求等。</w:t>
      </w:r>
    </w:p>
    <w:p>
      <w:pPr>
        <w:pStyle w:val="17"/>
        <w:numPr>
          <w:ilvl w:val="0"/>
          <w:numId w:val="13"/>
        </w:numPr>
        <w:tabs>
          <w:tab w:val="left" w:pos="567"/>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验收</w:t>
      </w:r>
    </w:p>
    <w:p>
      <w:pPr>
        <w:numPr>
          <w:ilvl w:val="0"/>
          <w:numId w:val="22"/>
        </w:numPr>
        <w:tabs>
          <w:tab w:val="left" w:pos="567"/>
          <w:tab w:val="left" w:pos="709"/>
          <w:tab w:val="clear" w:pos="1860"/>
        </w:tabs>
        <w:snapToGrid w:val="0"/>
        <w:spacing w:before="72" w:beforeLines="30" w:after="72" w:afterLines="30" w:line="360" w:lineRule="auto"/>
        <w:ind w:left="567" w:hanging="567"/>
        <w:rPr>
          <w:b/>
          <w:color w:val="auto"/>
          <w:sz w:val="24"/>
          <w:highlight w:val="none"/>
        </w:rPr>
      </w:pPr>
      <w:r>
        <w:rPr>
          <w:rFonts w:hint="eastAsia"/>
          <w:color w:val="auto"/>
          <w:sz w:val="24"/>
          <w:highlight w:val="none"/>
        </w:rPr>
        <w:t>合同货物交付前，卖方应对其进行全面检验，并在交付货物时向买方提交货物的质量合格证书。</w:t>
      </w:r>
    </w:p>
    <w:p>
      <w:pPr>
        <w:numPr>
          <w:ilvl w:val="0"/>
          <w:numId w:val="22"/>
        </w:numPr>
        <w:tabs>
          <w:tab w:val="left" w:pos="567"/>
          <w:tab w:val="left" w:pos="709"/>
          <w:tab w:val="clear" w:pos="1860"/>
        </w:tabs>
        <w:snapToGrid w:val="0"/>
        <w:spacing w:before="72" w:beforeLines="30" w:after="72" w:afterLines="30" w:line="360" w:lineRule="auto"/>
        <w:ind w:left="567" w:hanging="567"/>
        <w:rPr>
          <w:b/>
          <w:color w:val="auto"/>
          <w:sz w:val="24"/>
          <w:highlight w:val="none"/>
        </w:rPr>
      </w:pPr>
      <w:r>
        <w:rPr>
          <w:rFonts w:hint="eastAsia" w:hAnsi="宋体"/>
          <w:color w:val="auto"/>
          <w:sz w:val="24"/>
          <w:highlight w:val="none"/>
        </w:rPr>
        <w:t>货物运抵交货地点时，双方应共同对货物进行验收。如果货物通过验收，买方向卖方签发验收证明。如货物不符合本合同的规定，买方有权拒绝接受货物。</w:t>
      </w:r>
    </w:p>
    <w:p>
      <w:pPr>
        <w:numPr>
          <w:ilvl w:val="0"/>
          <w:numId w:val="22"/>
        </w:numPr>
        <w:tabs>
          <w:tab w:val="left" w:pos="567"/>
          <w:tab w:val="left" w:pos="709"/>
          <w:tab w:val="clear" w:pos="1860"/>
        </w:tabs>
        <w:snapToGrid w:val="0"/>
        <w:spacing w:before="72" w:beforeLines="30" w:after="72" w:afterLines="30" w:line="360" w:lineRule="auto"/>
        <w:ind w:left="567" w:hanging="567"/>
        <w:rPr>
          <w:color w:val="auto"/>
          <w:sz w:val="24"/>
          <w:highlight w:val="none"/>
        </w:rPr>
      </w:pPr>
      <w:r>
        <w:rPr>
          <w:rFonts w:hint="eastAsia" w:hAnsi="宋体"/>
          <w:color w:val="auto"/>
          <w:sz w:val="24"/>
          <w:highlight w:val="none"/>
        </w:rPr>
        <w:t>买方验收货物不减少、免除卖方在本合同项下的任何义务（包括卖方对货物应符合本合同质量、规格要求应承担的责任）。</w:t>
      </w:r>
    </w:p>
    <w:p>
      <w:pPr>
        <w:pStyle w:val="17"/>
        <w:numPr>
          <w:ilvl w:val="0"/>
          <w:numId w:val="13"/>
        </w:numPr>
        <w:tabs>
          <w:tab w:val="left" w:pos="567"/>
        </w:tabs>
        <w:spacing w:before="72" w:beforeLines="30" w:after="72" w:afterLines="30" w:line="360" w:lineRule="auto"/>
        <w:ind w:left="567" w:hanging="567"/>
        <w:jc w:val="left"/>
        <w:rPr>
          <w:rFonts w:ascii="Times New Roman" w:hAnsi="Times New Roman"/>
          <w:color w:val="auto"/>
          <w:sz w:val="24"/>
          <w:szCs w:val="24"/>
          <w:highlight w:val="none"/>
        </w:rPr>
      </w:pPr>
      <w:r>
        <w:rPr>
          <w:rFonts w:ascii="Times New Roman" w:hAnsi="Times New Roman"/>
          <w:color w:val="auto"/>
          <w:sz w:val="24"/>
          <w:szCs w:val="24"/>
          <w:highlight w:val="none"/>
        </w:rPr>
        <w:t>风险和</w:t>
      </w:r>
      <w:r>
        <w:rPr>
          <w:rFonts w:hint="eastAsia" w:ascii="Times New Roman" w:hAnsi="Times New Roman"/>
          <w:color w:val="auto"/>
          <w:sz w:val="24"/>
          <w:szCs w:val="24"/>
          <w:highlight w:val="none"/>
        </w:rPr>
        <w:t>所有</w:t>
      </w:r>
      <w:r>
        <w:rPr>
          <w:rFonts w:ascii="Times New Roman" w:hAnsi="Times New Roman"/>
          <w:color w:val="auto"/>
          <w:sz w:val="24"/>
          <w:szCs w:val="24"/>
          <w:highlight w:val="none"/>
        </w:rPr>
        <w:t>权的转移</w:t>
      </w:r>
    </w:p>
    <w:p>
      <w:pPr>
        <w:numPr>
          <w:ilvl w:val="0"/>
          <w:numId w:val="23"/>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除非本合同另有明确规定，</w:t>
      </w:r>
      <w:r>
        <w:rPr>
          <w:rFonts w:hint="eastAsia"/>
          <w:color w:val="auto"/>
          <w:sz w:val="24"/>
          <w:highlight w:val="none"/>
        </w:rPr>
        <w:t>卖方</w:t>
      </w:r>
      <w:r>
        <w:rPr>
          <w:color w:val="auto"/>
          <w:sz w:val="24"/>
          <w:highlight w:val="none"/>
        </w:rPr>
        <w:t>在指定交货地点</w:t>
      </w:r>
      <w:r>
        <w:rPr>
          <w:rFonts w:hint="eastAsia"/>
          <w:color w:val="auto"/>
          <w:sz w:val="24"/>
          <w:highlight w:val="none"/>
        </w:rPr>
        <w:t>将货物交付给买方且买方签收货物之</w:t>
      </w:r>
      <w:r>
        <w:rPr>
          <w:color w:val="auto"/>
          <w:sz w:val="24"/>
          <w:highlight w:val="none"/>
        </w:rPr>
        <w:t>前</w:t>
      </w:r>
      <w:r>
        <w:rPr>
          <w:rFonts w:hint="eastAsia"/>
          <w:color w:val="auto"/>
          <w:sz w:val="24"/>
          <w:highlight w:val="none"/>
        </w:rPr>
        <w:t>，货物的一切</w:t>
      </w:r>
      <w:r>
        <w:rPr>
          <w:color w:val="auto"/>
          <w:sz w:val="24"/>
          <w:highlight w:val="none"/>
        </w:rPr>
        <w:t>风险</w:t>
      </w:r>
      <w:r>
        <w:rPr>
          <w:rFonts w:hint="eastAsia"/>
          <w:color w:val="auto"/>
          <w:sz w:val="24"/>
          <w:highlight w:val="none"/>
        </w:rPr>
        <w:t>（</w:t>
      </w:r>
      <w:r>
        <w:rPr>
          <w:color w:val="auto"/>
          <w:sz w:val="24"/>
          <w:highlight w:val="none"/>
        </w:rPr>
        <w:t>包括</w:t>
      </w:r>
      <w:r>
        <w:rPr>
          <w:rFonts w:hint="eastAsia"/>
          <w:color w:val="auto"/>
          <w:sz w:val="24"/>
          <w:highlight w:val="none"/>
        </w:rPr>
        <w:t>货物</w:t>
      </w:r>
      <w:r>
        <w:rPr>
          <w:color w:val="auto"/>
          <w:sz w:val="24"/>
          <w:highlight w:val="none"/>
        </w:rPr>
        <w:t>在制造、储存和</w:t>
      </w:r>
      <w:r>
        <w:rPr>
          <w:rFonts w:hint="eastAsia"/>
          <w:color w:val="auto"/>
          <w:sz w:val="24"/>
          <w:highlight w:val="none"/>
        </w:rPr>
        <w:t>自</w:t>
      </w:r>
      <w:r>
        <w:rPr>
          <w:color w:val="auto"/>
          <w:sz w:val="24"/>
          <w:highlight w:val="none"/>
        </w:rPr>
        <w:t>发货地点至指定</w:t>
      </w:r>
      <w:r>
        <w:rPr>
          <w:rFonts w:hint="eastAsia"/>
          <w:color w:val="auto"/>
          <w:sz w:val="24"/>
          <w:highlight w:val="none"/>
        </w:rPr>
        <w:t>交</w:t>
      </w:r>
      <w:r>
        <w:rPr>
          <w:color w:val="auto"/>
          <w:sz w:val="24"/>
          <w:highlight w:val="none"/>
        </w:rPr>
        <w:t>货地点运输</w:t>
      </w:r>
      <w:r>
        <w:rPr>
          <w:rFonts w:hint="eastAsia"/>
          <w:color w:val="auto"/>
          <w:sz w:val="24"/>
          <w:highlight w:val="none"/>
        </w:rPr>
        <w:t>及装卸货</w:t>
      </w:r>
      <w:r>
        <w:rPr>
          <w:color w:val="auto"/>
          <w:sz w:val="24"/>
          <w:highlight w:val="none"/>
        </w:rPr>
        <w:t>过程中</w:t>
      </w:r>
      <w:r>
        <w:rPr>
          <w:rFonts w:hint="eastAsia"/>
          <w:color w:val="auto"/>
          <w:sz w:val="24"/>
          <w:highlight w:val="none"/>
        </w:rPr>
        <w:t>毁损、灭失的</w:t>
      </w:r>
      <w:r>
        <w:rPr>
          <w:color w:val="auto"/>
          <w:sz w:val="24"/>
          <w:highlight w:val="none"/>
        </w:rPr>
        <w:t>风险</w:t>
      </w:r>
      <w:r>
        <w:rPr>
          <w:rFonts w:hint="eastAsia"/>
          <w:color w:val="auto"/>
          <w:sz w:val="24"/>
          <w:highlight w:val="none"/>
        </w:rPr>
        <w:t>）由卖方承担。卖方在指定交货地点将货物交付给买方且买方签收货物之后，货物</w:t>
      </w:r>
      <w:r>
        <w:rPr>
          <w:color w:val="auto"/>
          <w:sz w:val="24"/>
          <w:highlight w:val="none"/>
        </w:rPr>
        <w:t>的</w:t>
      </w:r>
      <w:r>
        <w:rPr>
          <w:rFonts w:hint="eastAsia"/>
          <w:color w:val="auto"/>
          <w:sz w:val="24"/>
          <w:highlight w:val="none"/>
        </w:rPr>
        <w:t>一切</w:t>
      </w:r>
      <w:r>
        <w:rPr>
          <w:color w:val="auto"/>
          <w:sz w:val="24"/>
          <w:highlight w:val="none"/>
        </w:rPr>
        <w:t>风险</w:t>
      </w:r>
      <w:r>
        <w:rPr>
          <w:rFonts w:hint="eastAsia"/>
          <w:color w:val="auto"/>
          <w:sz w:val="24"/>
          <w:highlight w:val="none"/>
        </w:rPr>
        <w:t>由买</w:t>
      </w:r>
      <w:r>
        <w:rPr>
          <w:color w:val="auto"/>
          <w:sz w:val="24"/>
          <w:highlight w:val="none"/>
        </w:rPr>
        <w:t>方</w:t>
      </w:r>
      <w:r>
        <w:rPr>
          <w:rFonts w:hint="eastAsia"/>
          <w:color w:val="auto"/>
          <w:sz w:val="24"/>
          <w:highlight w:val="none"/>
        </w:rPr>
        <w:t>承担</w:t>
      </w:r>
      <w:r>
        <w:rPr>
          <w:color w:val="auto"/>
          <w:sz w:val="24"/>
          <w:highlight w:val="none"/>
        </w:rPr>
        <w:t>。</w:t>
      </w:r>
    </w:p>
    <w:p>
      <w:pPr>
        <w:numPr>
          <w:ilvl w:val="0"/>
          <w:numId w:val="23"/>
        </w:numPr>
        <w:tabs>
          <w:tab w:val="left" w:pos="567"/>
          <w:tab w:val="left" w:pos="709"/>
          <w:tab w:val="left" w:pos="3060"/>
        </w:tabs>
        <w:spacing w:before="72" w:beforeLines="30" w:after="72" w:afterLines="30" w:line="360" w:lineRule="auto"/>
        <w:ind w:left="567" w:hanging="567"/>
        <w:rPr>
          <w:color w:val="auto"/>
          <w:sz w:val="24"/>
          <w:highlight w:val="none"/>
        </w:rPr>
      </w:pPr>
      <w:r>
        <w:rPr>
          <w:rFonts w:hint="eastAsia"/>
          <w:color w:val="auto"/>
          <w:sz w:val="24"/>
          <w:highlight w:val="none"/>
        </w:rPr>
        <w:t>未经买方同意，卖方将货物留置或自行处置，不得视为货物合法、有效地交付买方。未经合法、有效交付，货物的风险仍由卖方承担。</w:t>
      </w:r>
    </w:p>
    <w:p>
      <w:pPr>
        <w:numPr>
          <w:ilvl w:val="0"/>
          <w:numId w:val="23"/>
        </w:numPr>
        <w:tabs>
          <w:tab w:val="left" w:pos="567"/>
          <w:tab w:val="left" w:pos="709"/>
          <w:tab w:val="left" w:pos="3060"/>
        </w:tabs>
        <w:spacing w:before="72" w:beforeLines="30" w:after="72" w:afterLines="30" w:line="360" w:lineRule="auto"/>
        <w:ind w:left="567" w:hanging="567"/>
        <w:rPr>
          <w:color w:val="auto"/>
          <w:sz w:val="24"/>
          <w:highlight w:val="none"/>
        </w:rPr>
      </w:pPr>
      <w:r>
        <w:rPr>
          <w:rFonts w:hint="eastAsia"/>
          <w:color w:val="auto"/>
          <w:sz w:val="24"/>
          <w:highlight w:val="none"/>
        </w:rPr>
        <w:t>虽然有前述规定，但是，如果货物的风险系因卖方违反合同规定、卖方的过错或者其它可归咎于卖方的原因造成的，货物的风险由卖方承担。</w:t>
      </w:r>
    </w:p>
    <w:p>
      <w:pPr>
        <w:numPr>
          <w:ilvl w:val="0"/>
          <w:numId w:val="23"/>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卖方在</w:t>
      </w:r>
      <w:r>
        <w:rPr>
          <w:rFonts w:hint="eastAsia"/>
          <w:color w:val="auto"/>
          <w:sz w:val="24"/>
          <w:highlight w:val="none"/>
        </w:rPr>
        <w:t>约定</w:t>
      </w:r>
      <w:r>
        <w:rPr>
          <w:color w:val="auto"/>
          <w:sz w:val="24"/>
          <w:highlight w:val="none"/>
        </w:rPr>
        <w:t>交货地点交货后，</w:t>
      </w:r>
      <w:r>
        <w:rPr>
          <w:rFonts w:hint="eastAsia"/>
          <w:color w:val="auto"/>
          <w:sz w:val="24"/>
          <w:highlight w:val="none"/>
        </w:rPr>
        <w:t>货物</w:t>
      </w:r>
      <w:r>
        <w:rPr>
          <w:color w:val="auto"/>
          <w:sz w:val="24"/>
          <w:highlight w:val="none"/>
        </w:rPr>
        <w:t>的</w:t>
      </w:r>
      <w:r>
        <w:rPr>
          <w:rFonts w:hint="eastAsia"/>
          <w:color w:val="auto"/>
          <w:sz w:val="24"/>
          <w:highlight w:val="none"/>
        </w:rPr>
        <w:t>所有</w:t>
      </w:r>
      <w:r>
        <w:rPr>
          <w:color w:val="auto"/>
          <w:sz w:val="24"/>
          <w:highlight w:val="none"/>
        </w:rPr>
        <w:t>权转移</w:t>
      </w:r>
      <w:r>
        <w:rPr>
          <w:rFonts w:hint="eastAsia"/>
          <w:color w:val="auto"/>
          <w:sz w:val="24"/>
          <w:highlight w:val="none"/>
        </w:rPr>
        <w:t>至</w:t>
      </w:r>
      <w:r>
        <w:rPr>
          <w:color w:val="auto"/>
          <w:sz w:val="24"/>
          <w:highlight w:val="none"/>
        </w:rPr>
        <w:t>买方。</w:t>
      </w:r>
    </w:p>
    <w:p>
      <w:pPr>
        <w:pStyle w:val="17"/>
        <w:numPr>
          <w:ilvl w:val="0"/>
          <w:numId w:val="13"/>
        </w:numPr>
        <w:tabs>
          <w:tab w:val="left" w:pos="993"/>
        </w:tabs>
        <w:spacing w:before="72" w:beforeLines="30" w:after="72" w:afterLines="30" w:line="360" w:lineRule="auto"/>
        <w:ind w:left="567" w:hanging="567"/>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技术服务</w:t>
      </w:r>
    </w:p>
    <w:p>
      <w:pPr>
        <w:numPr>
          <w:ilvl w:val="0"/>
          <w:numId w:val="24"/>
        </w:numPr>
        <w:tabs>
          <w:tab w:val="left" w:pos="567"/>
          <w:tab w:val="clear" w:pos="1860"/>
        </w:tabs>
        <w:snapToGrid w:val="0"/>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卖方应根据本合同的规定提供技术服务。相关费用已经包含在合同总价中，技术服务的内容和具体要求【</w:t>
      </w:r>
      <w:r>
        <w:rPr>
          <w:rFonts w:hint="eastAsia" w:hAnsi="宋体"/>
          <w:i/>
          <w:color w:val="auto"/>
          <w:sz w:val="24"/>
          <w:highlight w:val="none"/>
        </w:rPr>
        <w:t>详见本合同附件二</w:t>
      </w:r>
      <w:r>
        <w:rPr>
          <w:rFonts w:hint="eastAsia" w:hAnsi="宋体"/>
          <w:color w:val="auto"/>
          <w:sz w:val="24"/>
          <w:highlight w:val="none"/>
        </w:rPr>
        <w:t>】。</w:t>
      </w:r>
    </w:p>
    <w:p>
      <w:pPr>
        <w:numPr>
          <w:ilvl w:val="0"/>
          <w:numId w:val="24"/>
        </w:numPr>
        <w:tabs>
          <w:tab w:val="left" w:pos="567"/>
        </w:tabs>
        <w:snapToGrid w:val="0"/>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卖方应根据买方要求，指派服务人员到项目现场或买方指定的其它地点提供技术服务。</w:t>
      </w:r>
    </w:p>
    <w:p>
      <w:pPr>
        <w:numPr>
          <w:ilvl w:val="0"/>
          <w:numId w:val="24"/>
        </w:numPr>
        <w:tabs>
          <w:tab w:val="left" w:pos="567"/>
        </w:tabs>
        <w:snapToGrid w:val="0"/>
        <w:spacing w:before="72" w:beforeLines="30" w:after="72" w:afterLines="30" w:line="360" w:lineRule="auto"/>
        <w:ind w:left="567" w:hanging="567"/>
        <w:rPr>
          <w:color w:val="auto"/>
          <w:sz w:val="24"/>
          <w:highlight w:val="none"/>
        </w:rPr>
      </w:pPr>
      <w:r>
        <w:rPr>
          <w:rFonts w:hint="eastAsia" w:hAnsi="宋体"/>
          <w:color w:val="auto"/>
          <w:sz w:val="24"/>
          <w:highlight w:val="none"/>
        </w:rPr>
        <w:t>如果买方认为卖方指派的服务人员提供的技术服务无法满足本合同的要求，卖方应更换服务人员并负担由此产生的全部费用。</w:t>
      </w:r>
    </w:p>
    <w:p>
      <w:pPr>
        <w:numPr>
          <w:ilvl w:val="0"/>
          <w:numId w:val="24"/>
        </w:numPr>
        <w:tabs>
          <w:tab w:val="left" w:pos="567"/>
        </w:tabs>
        <w:snapToGrid w:val="0"/>
        <w:spacing w:before="72" w:beforeLines="30" w:after="72" w:afterLines="30" w:line="360" w:lineRule="auto"/>
        <w:ind w:left="567" w:hanging="567"/>
        <w:rPr>
          <w:color w:val="auto"/>
          <w:sz w:val="24"/>
          <w:highlight w:val="none"/>
        </w:rPr>
      </w:pPr>
      <w:r>
        <w:rPr>
          <w:rFonts w:hint="eastAsia"/>
          <w:color w:val="auto"/>
          <w:sz w:val="24"/>
          <w:highlight w:val="none"/>
        </w:rPr>
        <w:t>卖方指派的服务人员在为买方提供技术服务期间所遭受的人身和财产损失由卖方自行承担，除非该人身损害系因买方造成或该财产损失系因买方重大过失造成。</w:t>
      </w:r>
    </w:p>
    <w:p>
      <w:pPr>
        <w:pStyle w:val="17"/>
        <w:numPr>
          <w:ilvl w:val="0"/>
          <w:numId w:val="13"/>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权利保证</w:t>
      </w:r>
    </w:p>
    <w:p>
      <w:pPr>
        <w:widowControl/>
        <w:numPr>
          <w:ilvl w:val="0"/>
          <w:numId w:val="25"/>
        </w:numPr>
        <w:tabs>
          <w:tab w:val="left" w:pos="567"/>
          <w:tab w:val="left" w:pos="709"/>
        </w:tabs>
        <w:spacing w:before="72" w:beforeLines="30" w:after="72" w:afterLines="30" w:line="360" w:lineRule="auto"/>
        <w:ind w:left="567" w:hanging="567"/>
        <w:rPr>
          <w:color w:val="auto"/>
          <w:sz w:val="24"/>
          <w:highlight w:val="none"/>
        </w:rPr>
      </w:pPr>
      <w:r>
        <w:rPr>
          <w:color w:val="auto"/>
          <w:sz w:val="24"/>
          <w:highlight w:val="none"/>
        </w:rPr>
        <w:t>卖方保证，</w:t>
      </w:r>
      <w:r>
        <w:rPr>
          <w:rFonts w:hint="eastAsia"/>
          <w:color w:val="auto"/>
          <w:sz w:val="24"/>
          <w:highlight w:val="none"/>
        </w:rPr>
        <w:t>货物未</w:t>
      </w:r>
      <w:r>
        <w:rPr>
          <w:color w:val="auto"/>
          <w:sz w:val="24"/>
          <w:highlight w:val="none"/>
        </w:rPr>
        <w:t>侵犯任何第三方的专利权、商标权</w:t>
      </w:r>
      <w:r>
        <w:rPr>
          <w:rFonts w:hint="eastAsia"/>
          <w:color w:val="auto"/>
          <w:sz w:val="24"/>
          <w:highlight w:val="none"/>
        </w:rPr>
        <w:t>或其它知识产</w:t>
      </w:r>
      <w:r>
        <w:rPr>
          <w:color w:val="auto"/>
          <w:sz w:val="24"/>
          <w:highlight w:val="none"/>
        </w:rPr>
        <w:t>权</w:t>
      </w:r>
      <w:r>
        <w:rPr>
          <w:rFonts w:hint="eastAsia"/>
          <w:color w:val="auto"/>
          <w:sz w:val="24"/>
          <w:highlight w:val="none"/>
        </w:rPr>
        <w:t>，货物</w:t>
      </w:r>
      <w:r>
        <w:rPr>
          <w:color w:val="auto"/>
          <w:sz w:val="24"/>
          <w:highlight w:val="none"/>
        </w:rPr>
        <w:t>包含的全部专利、商标</w:t>
      </w:r>
      <w:r>
        <w:rPr>
          <w:rFonts w:hint="eastAsia"/>
          <w:color w:val="auto"/>
          <w:sz w:val="24"/>
          <w:highlight w:val="none"/>
        </w:rPr>
        <w:t>及其它知识产权</w:t>
      </w:r>
      <w:r>
        <w:rPr>
          <w:color w:val="auto"/>
          <w:sz w:val="24"/>
          <w:highlight w:val="none"/>
        </w:rPr>
        <w:t>均为卖方</w:t>
      </w:r>
      <w:r>
        <w:rPr>
          <w:rFonts w:hint="eastAsia"/>
          <w:color w:val="auto"/>
          <w:sz w:val="24"/>
          <w:highlight w:val="none"/>
        </w:rPr>
        <w:t>合法</w:t>
      </w:r>
      <w:r>
        <w:rPr>
          <w:color w:val="auto"/>
          <w:sz w:val="24"/>
          <w:highlight w:val="none"/>
        </w:rPr>
        <w:t>拥有或已获得</w:t>
      </w:r>
      <w:r>
        <w:rPr>
          <w:rFonts w:hint="eastAsia"/>
          <w:color w:val="auto"/>
          <w:sz w:val="24"/>
          <w:highlight w:val="none"/>
        </w:rPr>
        <w:t>第三方</w:t>
      </w:r>
      <w:r>
        <w:rPr>
          <w:color w:val="auto"/>
          <w:sz w:val="24"/>
          <w:highlight w:val="none"/>
        </w:rPr>
        <w:t>的</w:t>
      </w:r>
      <w:r>
        <w:rPr>
          <w:rFonts w:hint="eastAsia"/>
          <w:color w:val="auto"/>
          <w:sz w:val="24"/>
          <w:highlight w:val="none"/>
        </w:rPr>
        <w:t>有效</w:t>
      </w:r>
      <w:r>
        <w:rPr>
          <w:color w:val="auto"/>
          <w:sz w:val="24"/>
          <w:highlight w:val="none"/>
        </w:rPr>
        <w:t>授权。</w:t>
      </w:r>
    </w:p>
    <w:p>
      <w:pPr>
        <w:widowControl/>
        <w:numPr>
          <w:ilvl w:val="0"/>
          <w:numId w:val="25"/>
        </w:numPr>
        <w:tabs>
          <w:tab w:val="left" w:pos="567"/>
          <w:tab w:val="left" w:pos="709"/>
        </w:tabs>
        <w:spacing w:before="72" w:beforeLines="30" w:after="72" w:afterLines="30" w:line="360" w:lineRule="auto"/>
        <w:ind w:left="567" w:hanging="567"/>
        <w:rPr>
          <w:color w:val="auto"/>
          <w:sz w:val="24"/>
          <w:highlight w:val="none"/>
        </w:rPr>
      </w:pPr>
      <w:r>
        <w:rPr>
          <w:color w:val="auto"/>
          <w:sz w:val="24"/>
          <w:highlight w:val="none"/>
        </w:rPr>
        <w:t>卖方保证，</w:t>
      </w:r>
      <w:r>
        <w:rPr>
          <w:rFonts w:hint="eastAsia"/>
          <w:color w:val="auto"/>
          <w:sz w:val="24"/>
          <w:highlight w:val="none"/>
        </w:rPr>
        <w:t>货物交付前，</w:t>
      </w:r>
      <w:r>
        <w:rPr>
          <w:color w:val="auto"/>
          <w:sz w:val="24"/>
          <w:highlight w:val="none"/>
        </w:rPr>
        <w:t>卖方</w:t>
      </w:r>
      <w:r>
        <w:rPr>
          <w:rFonts w:hint="eastAsia"/>
          <w:color w:val="auto"/>
          <w:sz w:val="24"/>
          <w:highlight w:val="none"/>
        </w:rPr>
        <w:t>对其货物享有完整的所有权，且货物上不存在任何形式的担保物权及其它任何权利负担，亦未</w:t>
      </w:r>
      <w:r>
        <w:rPr>
          <w:color w:val="auto"/>
          <w:sz w:val="24"/>
          <w:highlight w:val="none"/>
        </w:rPr>
        <w:t>侵犯任何第三方的</w:t>
      </w:r>
      <w:r>
        <w:rPr>
          <w:rFonts w:hint="eastAsia"/>
          <w:color w:val="auto"/>
          <w:sz w:val="24"/>
          <w:highlight w:val="none"/>
        </w:rPr>
        <w:t>权利。</w:t>
      </w:r>
    </w:p>
    <w:p>
      <w:pPr>
        <w:widowControl/>
        <w:numPr>
          <w:ilvl w:val="0"/>
          <w:numId w:val="25"/>
        </w:numPr>
        <w:tabs>
          <w:tab w:val="left" w:pos="567"/>
          <w:tab w:val="left" w:pos="709"/>
        </w:tabs>
        <w:spacing w:before="72" w:beforeLines="30" w:after="72" w:afterLines="30" w:line="360" w:lineRule="auto"/>
        <w:ind w:left="567" w:hanging="567"/>
        <w:rPr>
          <w:color w:val="auto"/>
          <w:sz w:val="24"/>
          <w:highlight w:val="none"/>
        </w:rPr>
      </w:pPr>
      <w:r>
        <w:rPr>
          <w:rFonts w:hint="eastAsia"/>
          <w:color w:val="auto"/>
          <w:sz w:val="24"/>
          <w:highlight w:val="none"/>
        </w:rPr>
        <w:t>如货物侵犯任何第三方的权利（包括</w:t>
      </w:r>
      <w:r>
        <w:rPr>
          <w:color w:val="auto"/>
          <w:sz w:val="24"/>
          <w:highlight w:val="none"/>
        </w:rPr>
        <w:t>知识产权</w:t>
      </w:r>
      <w:r>
        <w:rPr>
          <w:rFonts w:hint="eastAsia"/>
          <w:color w:val="auto"/>
          <w:sz w:val="24"/>
          <w:highlight w:val="none"/>
        </w:rPr>
        <w:t>）</w:t>
      </w:r>
      <w:r>
        <w:rPr>
          <w:color w:val="auto"/>
          <w:sz w:val="24"/>
          <w:highlight w:val="none"/>
        </w:rPr>
        <w:t>，卖方应根据买方</w:t>
      </w:r>
      <w:r>
        <w:rPr>
          <w:rFonts w:hint="eastAsia"/>
          <w:color w:val="auto"/>
          <w:sz w:val="24"/>
          <w:highlight w:val="none"/>
        </w:rPr>
        <w:t>的</w:t>
      </w:r>
      <w:r>
        <w:rPr>
          <w:color w:val="auto"/>
          <w:sz w:val="24"/>
          <w:highlight w:val="none"/>
        </w:rPr>
        <w:t>要求</w:t>
      </w:r>
      <w:r>
        <w:rPr>
          <w:rFonts w:hint="eastAsia"/>
          <w:color w:val="auto"/>
          <w:sz w:val="24"/>
          <w:highlight w:val="none"/>
        </w:rPr>
        <w:t>自行承担费用</w:t>
      </w:r>
      <w:r>
        <w:rPr>
          <w:color w:val="auto"/>
          <w:sz w:val="24"/>
          <w:highlight w:val="none"/>
        </w:rPr>
        <w:t>采取一切措施确保买方继续获得</w:t>
      </w:r>
      <w:r>
        <w:rPr>
          <w:rFonts w:hint="eastAsia"/>
          <w:color w:val="auto"/>
          <w:sz w:val="24"/>
          <w:highlight w:val="none"/>
        </w:rPr>
        <w:t>货物</w:t>
      </w:r>
      <w:r>
        <w:rPr>
          <w:color w:val="auto"/>
          <w:sz w:val="24"/>
          <w:highlight w:val="none"/>
        </w:rPr>
        <w:t>的权利，包括为买方</w:t>
      </w:r>
      <w:r>
        <w:rPr>
          <w:rFonts w:hint="eastAsia"/>
          <w:color w:val="auto"/>
          <w:sz w:val="24"/>
          <w:highlight w:val="none"/>
        </w:rPr>
        <w:t>的利益</w:t>
      </w:r>
      <w:r>
        <w:rPr>
          <w:color w:val="auto"/>
          <w:sz w:val="24"/>
          <w:highlight w:val="none"/>
        </w:rPr>
        <w:t>购买</w:t>
      </w:r>
      <w:r>
        <w:rPr>
          <w:rFonts w:hint="eastAsia"/>
          <w:color w:val="auto"/>
          <w:sz w:val="24"/>
          <w:highlight w:val="none"/>
        </w:rPr>
        <w:t>货物的全部权益（包括但不限于知识产权），或采用</w:t>
      </w:r>
      <w:r>
        <w:rPr>
          <w:color w:val="auto"/>
          <w:sz w:val="24"/>
          <w:highlight w:val="none"/>
        </w:rPr>
        <w:t>不侵权的材料、零部件、设计、技术、工艺、方法对</w:t>
      </w:r>
      <w:r>
        <w:rPr>
          <w:rFonts w:hint="eastAsia"/>
          <w:color w:val="auto"/>
          <w:sz w:val="24"/>
          <w:highlight w:val="none"/>
        </w:rPr>
        <w:t>货物</w:t>
      </w:r>
      <w:r>
        <w:rPr>
          <w:color w:val="auto"/>
          <w:sz w:val="24"/>
          <w:highlight w:val="none"/>
        </w:rPr>
        <w:t>进行变更，变更后</w:t>
      </w:r>
      <w:r>
        <w:rPr>
          <w:rFonts w:hint="eastAsia"/>
          <w:color w:val="auto"/>
          <w:sz w:val="24"/>
          <w:highlight w:val="none"/>
        </w:rPr>
        <w:t>货物</w:t>
      </w:r>
      <w:r>
        <w:rPr>
          <w:color w:val="auto"/>
          <w:sz w:val="24"/>
          <w:highlight w:val="none"/>
        </w:rPr>
        <w:t>的功能、品质和水平应符合本合同的</w:t>
      </w:r>
      <w:r>
        <w:rPr>
          <w:rFonts w:hint="eastAsia"/>
          <w:color w:val="auto"/>
          <w:sz w:val="24"/>
          <w:highlight w:val="none"/>
        </w:rPr>
        <w:t>规定，且</w:t>
      </w:r>
      <w:r>
        <w:rPr>
          <w:color w:val="auto"/>
          <w:sz w:val="24"/>
          <w:highlight w:val="none"/>
        </w:rPr>
        <w:t>不低于变更前的</w:t>
      </w:r>
      <w:r>
        <w:rPr>
          <w:rFonts w:hint="eastAsia"/>
          <w:color w:val="auto"/>
          <w:sz w:val="24"/>
          <w:highlight w:val="none"/>
        </w:rPr>
        <w:t>货物</w:t>
      </w:r>
      <w:r>
        <w:rPr>
          <w:color w:val="auto"/>
          <w:sz w:val="24"/>
          <w:highlight w:val="none"/>
        </w:rPr>
        <w:t>。</w:t>
      </w:r>
    </w:p>
    <w:p>
      <w:pPr>
        <w:widowControl/>
        <w:numPr>
          <w:ilvl w:val="0"/>
          <w:numId w:val="25"/>
        </w:numPr>
        <w:tabs>
          <w:tab w:val="left" w:pos="567"/>
          <w:tab w:val="left" w:pos="709"/>
        </w:tabs>
        <w:spacing w:before="72" w:beforeLines="30" w:after="72" w:afterLines="30" w:line="360" w:lineRule="auto"/>
        <w:ind w:left="567" w:hanging="567"/>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双方同意，除非本合同另有约定，货物交付且买方按照本合同约定支付合同价款之后，买方不自动获得并拥有货物自身附有的相关知识产权，但卖方同意无偿许可买方使用与货物有关的所有知识产权。</w:t>
      </w:r>
    </w:p>
    <w:p>
      <w:pPr>
        <w:pStyle w:val="17"/>
        <w:numPr>
          <w:ilvl w:val="0"/>
          <w:numId w:val="13"/>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w:t>
      </w:r>
      <w:r>
        <w:rPr>
          <w:color w:val="auto"/>
          <w:sz w:val="24"/>
          <w:szCs w:val="24"/>
          <w:highlight w:val="none"/>
        </w:rPr>
        <w:t>质量保证</w:t>
      </w:r>
    </w:p>
    <w:p>
      <w:pPr>
        <w:numPr>
          <w:ilvl w:val="0"/>
          <w:numId w:val="26"/>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color w:val="auto"/>
          <w:sz w:val="24"/>
          <w:highlight w:val="none"/>
        </w:rPr>
        <w:t>卖方特此保证提供的货物</w:t>
      </w:r>
      <w:r>
        <w:rPr>
          <w:rFonts w:hint="eastAsia"/>
          <w:color w:val="auto"/>
          <w:sz w:val="24"/>
          <w:highlight w:val="none"/>
        </w:rPr>
        <w:t>是崭新、从未使用过的，采用先进技术制造，具备优良的制造工艺和水平，符合本合同规定的要求，不存在任何缺陷。</w:t>
      </w:r>
    </w:p>
    <w:p>
      <w:pPr>
        <w:numPr>
          <w:ilvl w:val="0"/>
          <w:numId w:val="26"/>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0000FF"/>
          <w:sz w:val="24"/>
          <w:highlight w:val="none"/>
        </w:rPr>
      </w:pPr>
      <w:r>
        <w:rPr>
          <w:rFonts w:hint="eastAsia"/>
          <w:color w:val="0000FF"/>
          <w:sz w:val="24"/>
          <w:highlight w:val="none"/>
        </w:rPr>
        <w:t>货物的质保期为</w:t>
      </w:r>
      <w:r>
        <w:rPr>
          <w:rFonts w:hint="eastAsia"/>
          <w:color w:val="0000FF"/>
          <w:sz w:val="24"/>
          <w:highlight w:val="none"/>
          <w:lang w:eastAsia="zh-CN"/>
        </w:rPr>
        <w:t>12个月，于安装调试合格之次日起开始计算</w:t>
      </w:r>
      <w:r>
        <w:rPr>
          <w:rFonts w:hint="eastAsia"/>
          <w:color w:val="0000FF"/>
          <w:sz w:val="24"/>
          <w:highlight w:val="none"/>
        </w:rPr>
        <w:t>。</w:t>
      </w:r>
    </w:p>
    <w:p>
      <w:pPr>
        <w:numPr>
          <w:ilvl w:val="0"/>
          <w:numId w:val="26"/>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rFonts w:hint="eastAsia"/>
          <w:color w:val="auto"/>
          <w:sz w:val="24"/>
          <w:highlight w:val="none"/>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color w:val="auto"/>
          <w:sz w:val="24"/>
          <w:highlight w:val="none"/>
        </w:rPr>
      </w:pPr>
      <w:r>
        <w:rPr>
          <w:rFonts w:hint="eastAsia"/>
          <w:color w:val="auto"/>
          <w:sz w:val="24"/>
          <w:highlight w:val="none"/>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color w:val="auto"/>
          <w:sz w:val="24"/>
          <w:highlight w:val="none"/>
        </w:rPr>
      </w:pPr>
      <w:r>
        <w:rPr>
          <w:rFonts w:hint="eastAsia"/>
          <w:color w:val="auto"/>
          <w:sz w:val="24"/>
          <w:highlight w:val="none"/>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color w:val="auto"/>
          <w:sz w:val="24"/>
          <w:highlight w:val="none"/>
        </w:rPr>
      </w:pPr>
      <w:r>
        <w:rPr>
          <w:rFonts w:hint="eastAsia"/>
          <w:color w:val="auto"/>
          <w:sz w:val="24"/>
          <w:highlight w:val="none"/>
        </w:rPr>
        <w:t>（3）退货。卖方承担由此产生的费用。</w:t>
      </w:r>
    </w:p>
    <w:p>
      <w:pPr>
        <w:numPr>
          <w:ilvl w:val="0"/>
          <w:numId w:val="26"/>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rFonts w:hAnsi="宋体"/>
          <w:color w:val="auto"/>
          <w:sz w:val="24"/>
          <w:highlight w:val="none"/>
        </w:rPr>
        <w:t>对于任何修复或更换，卖方应在收到</w:t>
      </w:r>
      <w:r>
        <w:rPr>
          <w:rFonts w:hint="eastAsia" w:hAnsi="宋体"/>
          <w:color w:val="auto"/>
          <w:sz w:val="24"/>
          <w:highlight w:val="none"/>
        </w:rPr>
        <w:t>买方发出的</w:t>
      </w:r>
      <w:r>
        <w:rPr>
          <w:rFonts w:hAnsi="宋体"/>
          <w:color w:val="auto"/>
          <w:sz w:val="24"/>
          <w:highlight w:val="none"/>
        </w:rPr>
        <w:t>货物缺陷通知后</w:t>
      </w:r>
      <w:r>
        <w:rPr>
          <w:rFonts w:hint="eastAsia"/>
          <w:color w:val="auto"/>
          <w:sz w:val="24"/>
          <w:highlight w:val="none"/>
        </w:rPr>
        <w:t>【</w:t>
      </w:r>
      <w:r>
        <w:rPr>
          <w:rFonts w:hint="eastAsia"/>
          <w:i/>
          <w:color w:val="auto"/>
          <w:sz w:val="24"/>
          <w:highlight w:val="none"/>
          <w:lang w:val="en-US" w:eastAsia="zh-CN"/>
        </w:rPr>
        <w:t>5</w:t>
      </w:r>
      <w:r>
        <w:rPr>
          <w:rFonts w:hint="eastAsia"/>
          <w:color w:val="auto"/>
          <w:sz w:val="24"/>
          <w:highlight w:val="none"/>
        </w:rPr>
        <w:t>】</w:t>
      </w:r>
      <w:r>
        <w:rPr>
          <w:rFonts w:hint="eastAsia" w:hAnsi="宋体"/>
          <w:color w:val="auto"/>
          <w:sz w:val="24"/>
          <w:highlight w:val="none"/>
        </w:rPr>
        <w:t>日</w:t>
      </w:r>
      <w:r>
        <w:rPr>
          <w:rFonts w:hAnsi="宋体"/>
          <w:color w:val="auto"/>
          <w:sz w:val="24"/>
          <w:highlight w:val="none"/>
        </w:rPr>
        <w:t>内完成。</w:t>
      </w:r>
      <w:r>
        <w:rPr>
          <w:rFonts w:hint="eastAsia" w:hAnsi="宋体"/>
          <w:color w:val="auto"/>
          <w:sz w:val="24"/>
          <w:highlight w:val="none"/>
        </w:rPr>
        <w:t>若卖方</w:t>
      </w:r>
      <w:r>
        <w:rPr>
          <w:rFonts w:hint="eastAsia" w:hAnsi="宋体"/>
          <w:color w:val="auto"/>
          <w:sz w:val="24"/>
          <w:highlight w:val="none"/>
          <w:lang w:val="en-US" w:eastAsia="zh-CN"/>
        </w:rPr>
        <w:t>收</w:t>
      </w:r>
      <w:r>
        <w:rPr>
          <w:rFonts w:hint="eastAsia" w:hAnsi="宋体"/>
          <w:color w:val="auto"/>
          <w:sz w:val="24"/>
          <w:highlight w:val="none"/>
        </w:rPr>
        <w:t>到通知后未在规定的时间内及时维修、重作、更换以弥补缺陷，</w:t>
      </w:r>
      <w:r>
        <w:rPr>
          <w:rFonts w:hint="eastAsia" w:hAnsi="宋体"/>
          <w:color w:val="auto"/>
          <w:sz w:val="24"/>
          <w:highlight w:val="none"/>
          <w:lang w:val="en-US" w:eastAsia="zh-CN"/>
        </w:rPr>
        <w:t>买</w:t>
      </w:r>
      <w:r>
        <w:rPr>
          <w:rFonts w:hint="eastAsia" w:hAnsi="宋体"/>
          <w:color w:val="auto"/>
          <w:sz w:val="24"/>
          <w:highlight w:val="none"/>
        </w:rPr>
        <w:t>方可采取必要的补救措施，但其风险和费用将由</w:t>
      </w:r>
      <w:r>
        <w:rPr>
          <w:rFonts w:hint="eastAsia" w:hAnsi="宋体"/>
          <w:color w:val="auto"/>
          <w:sz w:val="24"/>
          <w:highlight w:val="none"/>
          <w:lang w:val="en-US" w:eastAsia="zh-CN"/>
        </w:rPr>
        <w:t>卖</w:t>
      </w:r>
      <w:r>
        <w:rPr>
          <w:rFonts w:hint="eastAsia" w:hAnsi="宋体"/>
          <w:color w:val="auto"/>
          <w:sz w:val="24"/>
          <w:highlight w:val="none"/>
        </w:rPr>
        <w:t>方承担，买方根据合同规定对</w:t>
      </w:r>
      <w:r>
        <w:rPr>
          <w:rFonts w:hint="eastAsia" w:hAnsi="宋体"/>
          <w:color w:val="auto"/>
          <w:sz w:val="24"/>
          <w:highlight w:val="none"/>
          <w:lang w:val="en-US" w:eastAsia="zh-CN"/>
        </w:rPr>
        <w:t>卖</w:t>
      </w:r>
      <w:r>
        <w:rPr>
          <w:rFonts w:hint="eastAsia" w:hAnsi="宋体"/>
          <w:color w:val="auto"/>
          <w:sz w:val="24"/>
          <w:highlight w:val="none"/>
        </w:rPr>
        <w:t>方行使的其他权利不受影响。</w:t>
      </w:r>
      <w:r>
        <w:rPr>
          <w:rFonts w:hAnsi="宋体"/>
          <w:color w:val="auto"/>
          <w:sz w:val="24"/>
          <w:highlight w:val="none"/>
        </w:rPr>
        <w:t>如经修复、更换仍无法消除该等缺陷，买方有权要求退货。卖方应赔偿买方因货物存在前述缺陷遭受的全部损失。</w:t>
      </w:r>
    </w:p>
    <w:p>
      <w:pPr>
        <w:numPr>
          <w:ilvl w:val="0"/>
          <w:numId w:val="26"/>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rFonts w:hAnsi="宋体"/>
          <w:color w:val="auto"/>
          <w:sz w:val="24"/>
          <w:highlight w:val="none"/>
        </w:rPr>
        <w:t>如在质保期内发生</w:t>
      </w:r>
      <w:r>
        <w:rPr>
          <w:rFonts w:hint="eastAsia" w:hAnsi="宋体"/>
          <w:color w:val="auto"/>
          <w:sz w:val="24"/>
          <w:highlight w:val="none"/>
        </w:rPr>
        <w:t>维修、重作、更换以弥补缺陷事件，</w:t>
      </w:r>
      <w:r>
        <w:rPr>
          <w:rFonts w:hAnsi="宋体"/>
          <w:color w:val="auto"/>
          <w:sz w:val="24"/>
          <w:highlight w:val="none"/>
        </w:rPr>
        <w:t>则相应的质保期应重新计算</w:t>
      </w:r>
      <w:r>
        <w:rPr>
          <w:rFonts w:hint="eastAsia" w:hAnsi="宋体"/>
          <w:color w:val="auto"/>
          <w:sz w:val="24"/>
          <w:highlight w:val="none"/>
        </w:rPr>
        <w:t>。</w:t>
      </w:r>
    </w:p>
    <w:p>
      <w:pPr>
        <w:numPr>
          <w:ilvl w:val="0"/>
          <w:numId w:val="26"/>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auto"/>
          <w:sz w:val="24"/>
          <w:highlight w:val="none"/>
        </w:rPr>
      </w:pPr>
      <w:r>
        <w:rPr>
          <w:rFonts w:hint="eastAsia" w:hAnsi="宋体"/>
          <w:color w:val="auto"/>
          <w:sz w:val="24"/>
          <w:highlight w:val="none"/>
        </w:rPr>
        <w:t>质保期结束，买方向卖方签发货物最终接收证书。买方签发最终接收证书不减少、免除卖方在本合同项下的任何义务（包括卖方对货物应符合本合同质量、规格要求应承担的责任）。</w:t>
      </w:r>
    </w:p>
    <w:p>
      <w:pPr>
        <w:pStyle w:val="17"/>
        <w:numPr>
          <w:ilvl w:val="0"/>
          <w:numId w:val="13"/>
        </w:numPr>
        <w:tabs>
          <w:tab w:val="left" w:pos="993"/>
        </w:tabs>
        <w:spacing w:before="72" w:beforeLines="30" w:after="72" w:afterLines="30" w:line="360" w:lineRule="auto"/>
        <w:ind w:left="567" w:hanging="567"/>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违约责任</w:t>
      </w:r>
    </w:p>
    <w:p>
      <w:pPr>
        <w:numPr>
          <w:ilvl w:val="0"/>
          <w:numId w:val="27"/>
        </w:numPr>
        <w:tabs>
          <w:tab w:val="left" w:pos="567"/>
          <w:tab w:val="left" w:pos="709"/>
          <w:tab w:val="left" w:pos="3060"/>
        </w:tabs>
        <w:spacing w:before="72" w:beforeLines="30" w:after="72" w:afterLines="30" w:line="360" w:lineRule="auto"/>
        <w:ind w:left="567" w:hanging="567"/>
        <w:rPr>
          <w:color w:val="auto"/>
          <w:sz w:val="24"/>
          <w:highlight w:val="none"/>
        </w:rPr>
      </w:pPr>
      <w:r>
        <w:rPr>
          <w:rFonts w:hint="eastAsia"/>
          <w:color w:val="auto"/>
          <w:sz w:val="24"/>
          <w:highlight w:val="none"/>
        </w:rPr>
        <w:t>卖方发生下列任一违约行为时，应向买方支付合同总价【15%】的违约金，并赔偿买方因此遭受的全部损失：</w:t>
      </w:r>
    </w:p>
    <w:p>
      <w:pPr>
        <w:numPr>
          <w:ilvl w:val="1"/>
          <w:numId w:val="28"/>
        </w:numPr>
        <w:tabs>
          <w:tab w:val="left" w:pos="567"/>
          <w:tab w:val="left" w:pos="993"/>
        </w:tabs>
        <w:snapToGrid w:val="0"/>
        <w:spacing w:before="72" w:beforeLines="30" w:after="72" w:afterLines="30" w:line="360" w:lineRule="auto"/>
        <w:ind w:left="567" w:firstLine="0"/>
        <w:rPr>
          <w:color w:val="auto"/>
          <w:sz w:val="24"/>
          <w:highlight w:val="none"/>
        </w:rPr>
      </w:pPr>
      <w:r>
        <w:rPr>
          <w:rFonts w:hint="eastAsia"/>
          <w:color w:val="auto"/>
          <w:sz w:val="24"/>
          <w:highlight w:val="none"/>
        </w:rPr>
        <w:t>卖方未按照合同的规定提供货物和相关服务；</w:t>
      </w:r>
    </w:p>
    <w:p>
      <w:pPr>
        <w:numPr>
          <w:ilvl w:val="1"/>
          <w:numId w:val="28"/>
        </w:numPr>
        <w:tabs>
          <w:tab w:val="left" w:pos="567"/>
          <w:tab w:val="left" w:pos="993"/>
        </w:tabs>
        <w:snapToGrid w:val="0"/>
        <w:spacing w:before="72" w:beforeLines="30" w:after="72" w:afterLines="30" w:line="360" w:lineRule="auto"/>
        <w:ind w:left="567" w:firstLine="0"/>
        <w:rPr>
          <w:color w:val="auto"/>
          <w:sz w:val="24"/>
          <w:highlight w:val="none"/>
        </w:rPr>
      </w:pPr>
      <w:r>
        <w:rPr>
          <w:rFonts w:hint="eastAsia"/>
          <w:color w:val="auto"/>
          <w:sz w:val="24"/>
          <w:highlight w:val="none"/>
        </w:rPr>
        <w:t>卖方提供的货物不合格，且卖方未根据合同规定及时更换为合格产品；</w:t>
      </w:r>
    </w:p>
    <w:p>
      <w:pPr>
        <w:numPr>
          <w:ilvl w:val="1"/>
          <w:numId w:val="28"/>
        </w:numPr>
        <w:tabs>
          <w:tab w:val="left" w:pos="567"/>
          <w:tab w:val="left" w:pos="993"/>
        </w:tabs>
        <w:snapToGrid w:val="0"/>
        <w:spacing w:before="72" w:beforeLines="30" w:after="72" w:afterLines="30" w:line="360" w:lineRule="auto"/>
        <w:ind w:left="567" w:firstLine="0"/>
        <w:rPr>
          <w:color w:val="auto"/>
          <w:sz w:val="24"/>
          <w:highlight w:val="none"/>
        </w:rPr>
      </w:pPr>
      <w:r>
        <w:rPr>
          <w:rFonts w:hint="eastAsia"/>
          <w:color w:val="auto"/>
          <w:sz w:val="24"/>
          <w:highlight w:val="none"/>
        </w:rPr>
        <w:t>卖方违反本合同规定的承诺、保证或其它义务。</w:t>
      </w:r>
    </w:p>
    <w:p>
      <w:pPr>
        <w:numPr>
          <w:ilvl w:val="0"/>
          <w:numId w:val="27"/>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就卖方的上述违约行为</w:t>
      </w:r>
      <w:r>
        <w:rPr>
          <w:rFonts w:hint="eastAsia"/>
          <w:color w:val="auto"/>
          <w:sz w:val="24"/>
          <w:highlight w:val="none"/>
        </w:rPr>
        <w:t>，买方除有权依据本合同第12.1款要求卖方承担违约责任外，有权</w:t>
      </w:r>
      <w:r>
        <w:rPr>
          <w:color w:val="auto"/>
          <w:sz w:val="24"/>
          <w:highlight w:val="none"/>
        </w:rPr>
        <w:t>向卖方出具书面通知，要求卖方进行更正或整改</w:t>
      </w:r>
      <w:r>
        <w:rPr>
          <w:rFonts w:hint="eastAsia"/>
          <w:color w:val="auto"/>
          <w:sz w:val="24"/>
          <w:highlight w:val="none"/>
        </w:rPr>
        <w:t>。如</w:t>
      </w:r>
      <w:r>
        <w:rPr>
          <w:color w:val="auto"/>
          <w:sz w:val="24"/>
          <w:highlight w:val="none"/>
        </w:rPr>
        <w:t>卖方</w:t>
      </w:r>
      <w:r>
        <w:rPr>
          <w:rFonts w:hint="eastAsia"/>
          <w:color w:val="auto"/>
          <w:sz w:val="24"/>
          <w:highlight w:val="none"/>
        </w:rPr>
        <w:t>收到该等通知后【十（10）】</w:t>
      </w:r>
      <w:r>
        <w:rPr>
          <w:color w:val="auto"/>
          <w:sz w:val="24"/>
          <w:highlight w:val="none"/>
        </w:rPr>
        <w:t>个工作日内未按照买方要求</w:t>
      </w:r>
      <w:r>
        <w:rPr>
          <w:rFonts w:hint="eastAsia"/>
          <w:color w:val="auto"/>
          <w:sz w:val="24"/>
          <w:highlight w:val="none"/>
        </w:rPr>
        <w:t>作出</w:t>
      </w:r>
      <w:r>
        <w:rPr>
          <w:color w:val="auto"/>
          <w:sz w:val="24"/>
          <w:highlight w:val="none"/>
        </w:rPr>
        <w:t>更正或进行整改的，买方有权立即</w:t>
      </w:r>
      <w:r>
        <w:rPr>
          <w:rFonts w:hint="eastAsia"/>
          <w:color w:val="auto"/>
          <w:sz w:val="24"/>
          <w:highlight w:val="none"/>
        </w:rPr>
        <w:t>解除</w:t>
      </w:r>
      <w:r>
        <w:rPr>
          <w:color w:val="auto"/>
          <w:sz w:val="24"/>
          <w:highlight w:val="none"/>
        </w:rPr>
        <w:t>本合同，卖方应赔偿买方</w:t>
      </w:r>
      <w:r>
        <w:rPr>
          <w:rFonts w:hint="eastAsia"/>
          <w:color w:val="auto"/>
          <w:sz w:val="24"/>
          <w:highlight w:val="none"/>
        </w:rPr>
        <w:t>因此</w:t>
      </w:r>
      <w:r>
        <w:rPr>
          <w:color w:val="auto"/>
          <w:sz w:val="24"/>
          <w:highlight w:val="none"/>
        </w:rPr>
        <w:t>而遭受的全部损失。</w:t>
      </w:r>
    </w:p>
    <w:p>
      <w:pPr>
        <w:numPr>
          <w:ilvl w:val="0"/>
          <w:numId w:val="27"/>
        </w:numPr>
        <w:tabs>
          <w:tab w:val="left" w:pos="567"/>
          <w:tab w:val="left" w:pos="709"/>
          <w:tab w:val="left" w:pos="3060"/>
        </w:tabs>
        <w:spacing w:before="72" w:beforeLines="30" w:after="72" w:afterLines="30" w:line="360" w:lineRule="auto"/>
        <w:ind w:left="567" w:hanging="567"/>
        <w:rPr>
          <w:rFonts w:hAnsi="宋体"/>
          <w:bCs/>
          <w:color w:val="auto"/>
          <w:sz w:val="24"/>
          <w:highlight w:val="none"/>
        </w:rPr>
      </w:pPr>
      <w:r>
        <w:rPr>
          <w:rFonts w:hint="eastAsia"/>
          <w:color w:val="auto"/>
          <w:sz w:val="24"/>
          <w:highlight w:val="none"/>
        </w:rPr>
        <w:t>如卖方未能在交付日期交付货物，每延期交付一日，卖方应向买方支付合同总价的【3‰】作为延期违约金，但是，该等延期违约金最高不得超过合同总价的【15%】。</w:t>
      </w:r>
      <w:r>
        <w:rPr>
          <w:rFonts w:hint="eastAsia" w:hAnsi="宋体"/>
          <w:bCs/>
          <w:color w:val="auto"/>
          <w:sz w:val="24"/>
          <w:highlight w:val="none"/>
        </w:rPr>
        <w:t>如延期超过</w:t>
      </w:r>
      <w:r>
        <w:rPr>
          <w:rFonts w:hAnsi="宋体"/>
          <w:bCs/>
          <w:color w:val="auto"/>
          <w:sz w:val="24"/>
          <w:highlight w:val="none"/>
        </w:rPr>
        <w:t>【</w:t>
      </w:r>
      <w:r>
        <w:rPr>
          <w:rFonts w:hint="eastAsia"/>
          <w:color w:val="auto"/>
          <w:sz w:val="24"/>
          <w:highlight w:val="none"/>
        </w:rPr>
        <w:t>20</w:t>
      </w:r>
      <w:r>
        <w:rPr>
          <w:rFonts w:hAnsi="宋体"/>
          <w:bCs/>
          <w:color w:val="auto"/>
          <w:sz w:val="24"/>
          <w:highlight w:val="none"/>
        </w:rPr>
        <w:t>】</w:t>
      </w:r>
      <w:r>
        <w:rPr>
          <w:rFonts w:hint="eastAsia" w:hAnsi="宋体"/>
          <w:bCs/>
          <w:color w:val="auto"/>
          <w:sz w:val="24"/>
          <w:highlight w:val="none"/>
        </w:rPr>
        <w:t>日，除要求卖方支付违约金外，买方有权解除本合同，并有权要求卖方赔偿买方因此遭受的全部损失。</w:t>
      </w:r>
    </w:p>
    <w:p>
      <w:pPr>
        <w:numPr>
          <w:ilvl w:val="0"/>
          <w:numId w:val="27"/>
        </w:numPr>
        <w:tabs>
          <w:tab w:val="left" w:pos="567"/>
          <w:tab w:val="left" w:pos="709"/>
          <w:tab w:val="left" w:pos="3060"/>
        </w:tabs>
        <w:spacing w:before="72" w:beforeLines="30" w:after="72" w:afterLines="30" w:line="360" w:lineRule="auto"/>
        <w:ind w:left="567" w:hanging="567"/>
        <w:rPr>
          <w:color w:val="auto"/>
          <w:sz w:val="24"/>
          <w:highlight w:val="none"/>
        </w:rPr>
      </w:pPr>
      <w:r>
        <w:rPr>
          <w:rFonts w:hint="eastAsia"/>
          <w:color w:val="auto"/>
          <w:sz w:val="24"/>
          <w:highlight w:val="none"/>
        </w:rPr>
        <w:t>如仅因买方原因，买方逾期向卖方付款，卖方应向买方发出书面催款通知，买方应在收到该等通知后【</w:t>
      </w:r>
      <w:r>
        <w:rPr>
          <w:rFonts w:hint="eastAsia"/>
          <w:color w:val="auto"/>
          <w:sz w:val="24"/>
          <w:highlight w:val="none"/>
          <w:lang w:val="en-US" w:eastAsia="zh-CN"/>
        </w:rPr>
        <w:t>45</w:t>
      </w:r>
      <w:r>
        <w:rPr>
          <w:rFonts w:hint="eastAsia"/>
          <w:color w:val="auto"/>
          <w:sz w:val="24"/>
          <w:highlight w:val="none"/>
        </w:rPr>
        <w:t>】日内付款，否则，即应自该等【</w:t>
      </w:r>
      <w:r>
        <w:rPr>
          <w:rFonts w:hint="eastAsia"/>
          <w:color w:val="auto"/>
          <w:sz w:val="24"/>
          <w:highlight w:val="none"/>
          <w:lang w:val="en-US" w:eastAsia="zh-CN"/>
        </w:rPr>
        <w:t>45</w:t>
      </w:r>
      <w:r>
        <w:rPr>
          <w:rFonts w:hint="eastAsia"/>
          <w:color w:val="auto"/>
          <w:sz w:val="24"/>
          <w:highlight w:val="none"/>
        </w:rPr>
        <w:t>】日期间结束之日起，按合同订立时1年期贷款市场报价利率计算并支付应付未付合同价款的利息，最高不超过相关应付未付合同价款的【15%】。双方同意，该等利息的支付是买方就未能如期支付相关合同价款所需承担的全部责任。</w:t>
      </w:r>
    </w:p>
    <w:p>
      <w:pPr>
        <w:numPr>
          <w:ilvl w:val="0"/>
          <w:numId w:val="27"/>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卖方根据本合同的规定应承担违约金或赔偿责任的，买方有权从合同总价余额</w:t>
      </w:r>
      <w:r>
        <w:rPr>
          <w:rFonts w:hint="eastAsia"/>
          <w:color w:val="auto"/>
          <w:sz w:val="24"/>
          <w:highlight w:val="none"/>
        </w:rPr>
        <w:t>中直接扣除</w:t>
      </w:r>
      <w:r>
        <w:rPr>
          <w:color w:val="auto"/>
          <w:sz w:val="24"/>
          <w:highlight w:val="none"/>
        </w:rPr>
        <w:t>。</w:t>
      </w:r>
    </w:p>
    <w:p>
      <w:pPr>
        <w:pStyle w:val="17"/>
        <w:numPr>
          <w:ilvl w:val="0"/>
          <w:numId w:val="13"/>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highlight w:val="none"/>
        </w:rPr>
        <w:t xml:space="preserve"> </w:t>
      </w:r>
      <w:r>
        <w:rPr>
          <w:rFonts w:hint="eastAsia" w:ascii="Times New Roman" w:hAnsi="Times New Roman"/>
          <w:color w:val="auto"/>
          <w:sz w:val="24"/>
          <w:szCs w:val="24"/>
          <w:highlight w:val="none"/>
        </w:rPr>
        <w:t>合同的解除和</w:t>
      </w:r>
      <w:r>
        <w:rPr>
          <w:color w:val="auto"/>
          <w:sz w:val="24"/>
          <w:szCs w:val="24"/>
          <w:highlight w:val="none"/>
        </w:rPr>
        <w:t>终止</w:t>
      </w:r>
    </w:p>
    <w:p>
      <w:pPr>
        <w:numPr>
          <w:ilvl w:val="0"/>
          <w:numId w:val="29"/>
        </w:numPr>
        <w:tabs>
          <w:tab w:val="left" w:pos="567"/>
          <w:tab w:val="left" w:pos="709"/>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如</w:t>
      </w:r>
      <w:r>
        <w:rPr>
          <w:rFonts w:hAnsi="宋体"/>
          <w:color w:val="auto"/>
          <w:sz w:val="24"/>
          <w:highlight w:val="none"/>
        </w:rPr>
        <w:t>发生以下任</w:t>
      </w:r>
      <w:r>
        <w:rPr>
          <w:rFonts w:hint="eastAsia" w:hAnsi="宋体"/>
          <w:color w:val="auto"/>
          <w:sz w:val="24"/>
          <w:highlight w:val="none"/>
        </w:rPr>
        <w:t>一情形，经书面通知卖方，</w:t>
      </w:r>
      <w:r>
        <w:rPr>
          <w:rFonts w:hAnsi="宋体"/>
          <w:color w:val="auto"/>
          <w:sz w:val="24"/>
          <w:highlight w:val="none"/>
        </w:rPr>
        <w:t>买方</w:t>
      </w:r>
      <w:r>
        <w:rPr>
          <w:rFonts w:hint="eastAsia" w:hAnsi="宋体"/>
          <w:color w:val="auto"/>
          <w:sz w:val="24"/>
          <w:highlight w:val="none"/>
        </w:rPr>
        <w:t>有权解除本</w:t>
      </w:r>
      <w:r>
        <w:rPr>
          <w:rFonts w:hAnsi="宋体"/>
          <w:color w:val="auto"/>
          <w:sz w:val="24"/>
          <w:highlight w:val="none"/>
        </w:rPr>
        <w:t>合同：</w:t>
      </w:r>
      <w:r>
        <w:rPr>
          <w:rFonts w:hint="eastAsia" w:hAnsi="宋体"/>
          <w:color w:val="auto"/>
          <w:sz w:val="24"/>
          <w:highlight w:val="none"/>
        </w:rPr>
        <w:t xml:space="preserve"> </w:t>
      </w:r>
    </w:p>
    <w:p>
      <w:pPr>
        <w:widowControl/>
        <w:numPr>
          <w:ilvl w:val="0"/>
          <w:numId w:val="30"/>
        </w:numPr>
        <w:tabs>
          <w:tab w:val="left" w:pos="993"/>
          <w:tab w:val="clear" w:pos="840"/>
        </w:tabs>
        <w:spacing w:before="72" w:beforeLines="30" w:after="72" w:afterLines="30" w:line="360" w:lineRule="auto"/>
        <w:ind w:left="1378" w:leftChars="270" w:hanging="811" w:hangingChars="338"/>
        <w:jc w:val="left"/>
        <w:rPr>
          <w:color w:val="auto"/>
          <w:sz w:val="24"/>
          <w:highlight w:val="none"/>
        </w:rPr>
      </w:pPr>
      <w:r>
        <w:rPr>
          <w:rFonts w:hint="eastAsia"/>
          <w:color w:val="auto"/>
          <w:sz w:val="24"/>
          <w:highlight w:val="none"/>
        </w:rPr>
        <w:t>本合同明确规定买方有权解除合同的情形；</w:t>
      </w:r>
    </w:p>
    <w:p>
      <w:pPr>
        <w:widowControl/>
        <w:numPr>
          <w:ilvl w:val="0"/>
          <w:numId w:val="30"/>
        </w:numPr>
        <w:tabs>
          <w:tab w:val="left" w:pos="993"/>
          <w:tab w:val="clear" w:pos="840"/>
        </w:tabs>
        <w:spacing w:before="72" w:beforeLines="30" w:after="72" w:afterLines="30" w:line="360" w:lineRule="auto"/>
        <w:ind w:left="1378" w:leftChars="270" w:hanging="811" w:hangingChars="338"/>
        <w:jc w:val="left"/>
        <w:rPr>
          <w:color w:val="auto"/>
          <w:sz w:val="24"/>
          <w:highlight w:val="none"/>
        </w:rPr>
      </w:pPr>
      <w:r>
        <w:rPr>
          <w:color w:val="auto"/>
          <w:sz w:val="24"/>
          <w:highlight w:val="none"/>
        </w:rPr>
        <w:t>卖方破产、资不抵债、停业清理、解散、被兼并、被查封</w:t>
      </w:r>
      <w:r>
        <w:rPr>
          <w:rFonts w:hint="eastAsia"/>
          <w:color w:val="auto"/>
          <w:sz w:val="24"/>
          <w:highlight w:val="none"/>
        </w:rPr>
        <w:t>；</w:t>
      </w:r>
    </w:p>
    <w:p>
      <w:pPr>
        <w:widowControl/>
        <w:numPr>
          <w:ilvl w:val="0"/>
          <w:numId w:val="30"/>
        </w:numPr>
        <w:tabs>
          <w:tab w:val="left" w:pos="993"/>
          <w:tab w:val="clear" w:pos="840"/>
        </w:tabs>
        <w:spacing w:before="72" w:beforeLines="30" w:after="72" w:afterLines="30" w:line="360" w:lineRule="auto"/>
        <w:ind w:left="1378" w:leftChars="270" w:hanging="811" w:hangingChars="338"/>
        <w:jc w:val="left"/>
        <w:rPr>
          <w:color w:val="auto"/>
          <w:sz w:val="24"/>
          <w:highlight w:val="none"/>
        </w:rPr>
      </w:pPr>
      <w:r>
        <w:rPr>
          <w:color w:val="auto"/>
          <w:sz w:val="24"/>
          <w:highlight w:val="none"/>
        </w:rPr>
        <w:t>卖方</w:t>
      </w:r>
      <w:r>
        <w:rPr>
          <w:rFonts w:hint="eastAsia"/>
          <w:color w:val="auto"/>
          <w:sz w:val="24"/>
          <w:highlight w:val="none"/>
        </w:rPr>
        <w:t>发生其它严重违约</w:t>
      </w:r>
      <w:r>
        <w:rPr>
          <w:color w:val="auto"/>
          <w:sz w:val="24"/>
          <w:highlight w:val="none"/>
        </w:rPr>
        <w:t>，</w:t>
      </w:r>
      <w:r>
        <w:rPr>
          <w:rFonts w:hint="eastAsia"/>
          <w:color w:val="auto"/>
          <w:sz w:val="24"/>
          <w:highlight w:val="none"/>
        </w:rPr>
        <w:t>且未在买方要求的合理期限内纠正；</w:t>
      </w:r>
    </w:p>
    <w:p>
      <w:pPr>
        <w:widowControl/>
        <w:numPr>
          <w:ilvl w:val="0"/>
          <w:numId w:val="30"/>
        </w:numPr>
        <w:tabs>
          <w:tab w:val="left" w:pos="993"/>
          <w:tab w:val="clear" w:pos="840"/>
        </w:tabs>
        <w:spacing w:before="72" w:beforeLines="30" w:after="72" w:afterLines="30" w:line="360" w:lineRule="auto"/>
        <w:ind w:left="1378" w:leftChars="270" w:hanging="811" w:hangingChars="338"/>
        <w:jc w:val="left"/>
        <w:rPr>
          <w:color w:val="auto"/>
          <w:sz w:val="24"/>
          <w:highlight w:val="none"/>
        </w:rPr>
      </w:pPr>
      <w:r>
        <w:rPr>
          <w:rFonts w:hint="eastAsia"/>
          <w:color w:val="auto"/>
          <w:sz w:val="24"/>
          <w:highlight w:val="none"/>
        </w:rPr>
        <w:t>不可抗力</w:t>
      </w:r>
      <w:r>
        <w:rPr>
          <w:color w:val="auto"/>
          <w:sz w:val="24"/>
          <w:highlight w:val="none"/>
        </w:rPr>
        <w:t>持续超过【</w:t>
      </w:r>
      <w:r>
        <w:rPr>
          <w:rFonts w:hint="eastAsia"/>
          <w:color w:val="auto"/>
          <w:sz w:val="24"/>
          <w:highlight w:val="none"/>
        </w:rPr>
        <w:t>六十（60）</w:t>
      </w:r>
      <w:r>
        <w:rPr>
          <w:color w:val="auto"/>
          <w:sz w:val="24"/>
          <w:highlight w:val="none"/>
        </w:rPr>
        <w:t>】</w:t>
      </w:r>
      <w:r>
        <w:rPr>
          <w:rFonts w:hint="eastAsia"/>
          <w:color w:val="auto"/>
          <w:sz w:val="24"/>
          <w:highlight w:val="none"/>
        </w:rPr>
        <w:t>日。</w:t>
      </w:r>
    </w:p>
    <w:p>
      <w:pPr>
        <w:numPr>
          <w:ilvl w:val="0"/>
          <w:numId w:val="29"/>
        </w:numPr>
        <w:tabs>
          <w:tab w:val="left" w:pos="567"/>
          <w:tab w:val="left" w:pos="709"/>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如因卖方违约买方解除本合同，</w:t>
      </w:r>
      <w:r>
        <w:rPr>
          <w:rFonts w:hAnsi="宋体"/>
          <w:color w:val="auto"/>
          <w:sz w:val="24"/>
          <w:highlight w:val="none"/>
        </w:rPr>
        <w:t>卖方应退回买方已经支付的</w:t>
      </w:r>
      <w:r>
        <w:rPr>
          <w:rFonts w:hint="eastAsia" w:hAnsi="宋体"/>
          <w:color w:val="auto"/>
          <w:sz w:val="24"/>
          <w:highlight w:val="none"/>
        </w:rPr>
        <w:t>全部款项，并根据本合同规定支付违约金，并且买方有权要求卖方赔偿其因此遭受的全部损失。</w:t>
      </w:r>
      <w:r>
        <w:rPr>
          <w:rFonts w:hAnsi="宋体"/>
          <w:color w:val="auto"/>
          <w:sz w:val="24"/>
          <w:highlight w:val="none"/>
        </w:rPr>
        <w:t>买方</w:t>
      </w:r>
      <w:r>
        <w:rPr>
          <w:rFonts w:hint="eastAsia" w:hAnsi="宋体"/>
          <w:color w:val="auto"/>
          <w:sz w:val="24"/>
          <w:highlight w:val="none"/>
        </w:rPr>
        <w:t>有权以</w:t>
      </w:r>
      <w:r>
        <w:rPr>
          <w:rFonts w:hAnsi="宋体"/>
          <w:color w:val="auto"/>
          <w:sz w:val="24"/>
          <w:highlight w:val="none"/>
        </w:rPr>
        <w:t>适当的条件和方式</w:t>
      </w:r>
      <w:r>
        <w:rPr>
          <w:rFonts w:hint="eastAsia" w:hAnsi="宋体"/>
          <w:color w:val="auto"/>
          <w:sz w:val="24"/>
          <w:highlight w:val="none"/>
        </w:rPr>
        <w:t>购买同等货物</w:t>
      </w:r>
      <w:r>
        <w:rPr>
          <w:rFonts w:hAnsi="宋体"/>
          <w:color w:val="auto"/>
          <w:sz w:val="24"/>
          <w:highlight w:val="none"/>
        </w:rPr>
        <w:t>，卖方应</w:t>
      </w:r>
      <w:r>
        <w:rPr>
          <w:rFonts w:hint="eastAsia" w:hAnsi="宋体"/>
          <w:color w:val="auto"/>
          <w:sz w:val="24"/>
          <w:highlight w:val="none"/>
        </w:rPr>
        <w:t>承</w:t>
      </w:r>
      <w:r>
        <w:rPr>
          <w:rFonts w:hAnsi="宋体"/>
          <w:color w:val="auto"/>
          <w:sz w:val="24"/>
          <w:highlight w:val="none"/>
        </w:rPr>
        <w:t>担</w:t>
      </w:r>
      <w:r>
        <w:rPr>
          <w:rFonts w:hint="eastAsia" w:hAnsi="宋体"/>
          <w:color w:val="auto"/>
          <w:sz w:val="24"/>
          <w:highlight w:val="none"/>
        </w:rPr>
        <w:t>买方</w:t>
      </w:r>
      <w:r>
        <w:rPr>
          <w:rFonts w:hAnsi="宋体"/>
          <w:color w:val="auto"/>
          <w:sz w:val="24"/>
          <w:highlight w:val="none"/>
        </w:rPr>
        <w:t>购买</w:t>
      </w:r>
      <w:r>
        <w:rPr>
          <w:rFonts w:hint="eastAsia" w:hAnsi="宋体"/>
          <w:color w:val="auto"/>
          <w:sz w:val="24"/>
          <w:highlight w:val="none"/>
        </w:rPr>
        <w:t>同等货物的差额费用</w:t>
      </w:r>
      <w:r>
        <w:rPr>
          <w:rFonts w:hAnsi="宋体"/>
          <w:color w:val="auto"/>
          <w:sz w:val="24"/>
          <w:highlight w:val="none"/>
        </w:rPr>
        <w:t>。</w:t>
      </w:r>
    </w:p>
    <w:p>
      <w:pPr>
        <w:numPr>
          <w:ilvl w:val="0"/>
          <w:numId w:val="29"/>
        </w:numPr>
        <w:tabs>
          <w:tab w:val="left" w:pos="567"/>
          <w:tab w:val="left" w:pos="709"/>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无论基于何种原因，经</w:t>
      </w:r>
      <w:r>
        <w:rPr>
          <w:rFonts w:hAnsi="宋体"/>
          <w:color w:val="auto"/>
          <w:sz w:val="24"/>
          <w:highlight w:val="none"/>
        </w:rPr>
        <w:t>提前【</w:t>
      </w:r>
      <w:r>
        <w:rPr>
          <w:rFonts w:hint="eastAsia" w:hAnsi="宋体"/>
          <w:color w:val="auto"/>
          <w:sz w:val="24"/>
          <w:highlight w:val="none"/>
        </w:rPr>
        <w:t>十五（15）</w:t>
      </w:r>
      <w:r>
        <w:rPr>
          <w:rFonts w:hAnsi="宋体"/>
          <w:color w:val="auto"/>
          <w:sz w:val="24"/>
          <w:highlight w:val="none"/>
        </w:rPr>
        <w:t>】</w:t>
      </w:r>
      <w:r>
        <w:rPr>
          <w:rFonts w:hint="eastAsia" w:hAnsi="宋体"/>
          <w:color w:val="auto"/>
          <w:sz w:val="24"/>
          <w:highlight w:val="none"/>
        </w:rPr>
        <w:t>日</w:t>
      </w:r>
      <w:r>
        <w:rPr>
          <w:rFonts w:hAnsi="宋体"/>
          <w:color w:val="auto"/>
          <w:sz w:val="24"/>
          <w:highlight w:val="none"/>
        </w:rPr>
        <w:t>书面通知</w:t>
      </w:r>
      <w:r>
        <w:rPr>
          <w:rFonts w:hint="eastAsia" w:hAnsi="宋体"/>
          <w:color w:val="auto"/>
          <w:sz w:val="24"/>
          <w:highlight w:val="none"/>
        </w:rPr>
        <w:t>卖方</w:t>
      </w:r>
      <w:r>
        <w:rPr>
          <w:rFonts w:hAnsi="宋体"/>
          <w:color w:val="auto"/>
          <w:sz w:val="24"/>
          <w:highlight w:val="none"/>
        </w:rPr>
        <w:t>，买方有权随时</w:t>
      </w:r>
      <w:r>
        <w:rPr>
          <w:rFonts w:hint="eastAsia" w:hAnsi="宋体"/>
          <w:color w:val="auto"/>
          <w:sz w:val="24"/>
          <w:highlight w:val="none"/>
        </w:rPr>
        <w:t>终止</w:t>
      </w:r>
      <w:r>
        <w:rPr>
          <w:rFonts w:hAnsi="宋体"/>
          <w:color w:val="auto"/>
          <w:sz w:val="24"/>
          <w:highlight w:val="none"/>
        </w:rPr>
        <w:t>合同。卖方</w:t>
      </w:r>
      <w:r>
        <w:rPr>
          <w:rFonts w:hint="eastAsia" w:hAnsi="宋体"/>
          <w:color w:val="auto"/>
          <w:sz w:val="24"/>
          <w:highlight w:val="none"/>
        </w:rPr>
        <w:t>收到</w:t>
      </w:r>
      <w:r>
        <w:rPr>
          <w:rFonts w:hAnsi="宋体"/>
          <w:color w:val="auto"/>
          <w:sz w:val="24"/>
          <w:highlight w:val="none"/>
        </w:rPr>
        <w:t>买方</w:t>
      </w:r>
      <w:r>
        <w:rPr>
          <w:rFonts w:hint="eastAsia" w:hAnsi="宋体"/>
          <w:color w:val="auto"/>
          <w:sz w:val="24"/>
          <w:highlight w:val="none"/>
        </w:rPr>
        <w:t>终止</w:t>
      </w:r>
      <w:r>
        <w:rPr>
          <w:rFonts w:hAnsi="宋体"/>
          <w:color w:val="auto"/>
          <w:sz w:val="24"/>
          <w:highlight w:val="none"/>
        </w:rPr>
        <w:t>合同的</w:t>
      </w:r>
      <w:r>
        <w:rPr>
          <w:rFonts w:hint="eastAsia" w:hAnsi="宋体"/>
          <w:color w:val="auto"/>
          <w:sz w:val="24"/>
          <w:highlight w:val="none"/>
        </w:rPr>
        <w:t>书面</w:t>
      </w:r>
      <w:r>
        <w:rPr>
          <w:rFonts w:hAnsi="宋体"/>
          <w:color w:val="auto"/>
          <w:sz w:val="24"/>
          <w:highlight w:val="none"/>
        </w:rPr>
        <w:t>通知</w:t>
      </w:r>
      <w:r>
        <w:rPr>
          <w:rFonts w:hint="eastAsia" w:hAnsi="宋体"/>
          <w:color w:val="auto"/>
          <w:sz w:val="24"/>
          <w:highlight w:val="none"/>
        </w:rPr>
        <w:t>后，</w:t>
      </w:r>
      <w:r>
        <w:rPr>
          <w:rFonts w:hAnsi="宋体"/>
          <w:color w:val="auto"/>
          <w:sz w:val="24"/>
          <w:highlight w:val="none"/>
        </w:rPr>
        <w:t>应立即停止</w:t>
      </w:r>
      <w:r>
        <w:rPr>
          <w:rFonts w:hint="eastAsia" w:hAnsi="宋体"/>
          <w:color w:val="auto"/>
          <w:sz w:val="24"/>
          <w:highlight w:val="none"/>
        </w:rPr>
        <w:t>实施与</w:t>
      </w:r>
      <w:r>
        <w:rPr>
          <w:rFonts w:hAnsi="宋体"/>
          <w:color w:val="auto"/>
          <w:sz w:val="24"/>
          <w:highlight w:val="none"/>
        </w:rPr>
        <w:t>本合同</w:t>
      </w:r>
      <w:r>
        <w:rPr>
          <w:rFonts w:hint="eastAsia" w:hAnsi="宋体"/>
          <w:color w:val="auto"/>
          <w:sz w:val="24"/>
          <w:highlight w:val="none"/>
        </w:rPr>
        <w:t>有</w:t>
      </w:r>
      <w:r>
        <w:rPr>
          <w:rFonts w:hAnsi="宋体"/>
          <w:color w:val="auto"/>
          <w:sz w:val="24"/>
          <w:highlight w:val="none"/>
        </w:rPr>
        <w:t>关的工作并对</w:t>
      </w:r>
      <w:r>
        <w:rPr>
          <w:rFonts w:hint="eastAsia" w:hAnsi="宋体"/>
          <w:color w:val="auto"/>
          <w:sz w:val="24"/>
          <w:highlight w:val="none"/>
        </w:rPr>
        <w:t>已履行</w:t>
      </w:r>
      <w:r>
        <w:rPr>
          <w:rFonts w:hAnsi="宋体"/>
          <w:color w:val="auto"/>
          <w:sz w:val="24"/>
          <w:highlight w:val="none"/>
        </w:rPr>
        <w:t>的</w:t>
      </w:r>
      <w:r>
        <w:rPr>
          <w:rFonts w:hint="eastAsia" w:hAnsi="宋体"/>
          <w:color w:val="auto"/>
          <w:sz w:val="24"/>
          <w:highlight w:val="none"/>
        </w:rPr>
        <w:t>部分</w:t>
      </w:r>
      <w:r>
        <w:rPr>
          <w:rFonts w:hAnsi="宋体"/>
          <w:color w:val="auto"/>
          <w:sz w:val="24"/>
          <w:highlight w:val="none"/>
        </w:rPr>
        <w:t>进行结算。买方收到卖方的结算</w:t>
      </w:r>
      <w:r>
        <w:rPr>
          <w:rFonts w:hint="eastAsia" w:hAnsi="宋体"/>
          <w:color w:val="auto"/>
          <w:sz w:val="24"/>
          <w:highlight w:val="none"/>
        </w:rPr>
        <w:t>要求</w:t>
      </w:r>
      <w:r>
        <w:rPr>
          <w:rFonts w:hAnsi="宋体"/>
          <w:color w:val="auto"/>
          <w:sz w:val="24"/>
          <w:highlight w:val="none"/>
        </w:rPr>
        <w:t>后，</w:t>
      </w:r>
      <w:r>
        <w:rPr>
          <w:rFonts w:hint="eastAsia" w:hAnsi="宋体"/>
          <w:color w:val="auto"/>
          <w:sz w:val="24"/>
          <w:highlight w:val="none"/>
        </w:rPr>
        <w:t>应</w:t>
      </w:r>
      <w:r>
        <w:rPr>
          <w:rFonts w:hAnsi="宋体"/>
          <w:color w:val="auto"/>
          <w:sz w:val="24"/>
          <w:highlight w:val="none"/>
        </w:rPr>
        <w:t>与卖方协商结算</w:t>
      </w:r>
      <w:r>
        <w:rPr>
          <w:rFonts w:hint="eastAsia" w:hAnsi="宋体"/>
          <w:color w:val="auto"/>
          <w:sz w:val="24"/>
          <w:highlight w:val="none"/>
        </w:rPr>
        <w:t>数额、</w:t>
      </w:r>
      <w:r>
        <w:rPr>
          <w:rFonts w:hAnsi="宋体"/>
          <w:color w:val="auto"/>
          <w:sz w:val="24"/>
          <w:highlight w:val="none"/>
        </w:rPr>
        <w:t>因买方终止合同</w:t>
      </w:r>
      <w:r>
        <w:rPr>
          <w:rFonts w:hint="eastAsia" w:hAnsi="宋体"/>
          <w:color w:val="auto"/>
          <w:sz w:val="24"/>
          <w:highlight w:val="none"/>
        </w:rPr>
        <w:t>需向</w:t>
      </w:r>
      <w:r>
        <w:rPr>
          <w:rFonts w:hAnsi="宋体"/>
          <w:color w:val="auto"/>
          <w:sz w:val="24"/>
          <w:highlight w:val="none"/>
        </w:rPr>
        <w:t>卖方</w:t>
      </w:r>
      <w:r>
        <w:rPr>
          <w:rFonts w:hint="eastAsia" w:hAnsi="宋体"/>
          <w:color w:val="auto"/>
          <w:sz w:val="24"/>
          <w:highlight w:val="none"/>
        </w:rPr>
        <w:t>支付</w:t>
      </w:r>
      <w:r>
        <w:rPr>
          <w:rFonts w:hAnsi="宋体"/>
          <w:color w:val="auto"/>
          <w:sz w:val="24"/>
          <w:highlight w:val="none"/>
        </w:rPr>
        <w:t>的补偿</w:t>
      </w:r>
      <w:r>
        <w:rPr>
          <w:rFonts w:hint="eastAsia" w:hAnsi="宋体"/>
          <w:color w:val="auto"/>
          <w:sz w:val="24"/>
          <w:highlight w:val="none"/>
        </w:rPr>
        <w:t>款等事项</w:t>
      </w:r>
      <w:r>
        <w:rPr>
          <w:rFonts w:hAnsi="宋体"/>
          <w:color w:val="auto"/>
          <w:sz w:val="24"/>
          <w:highlight w:val="none"/>
        </w:rPr>
        <w:t>。</w:t>
      </w:r>
      <w:r>
        <w:rPr>
          <w:rFonts w:hint="eastAsia" w:hAnsi="宋体"/>
          <w:color w:val="auto"/>
          <w:sz w:val="24"/>
          <w:highlight w:val="none"/>
        </w:rPr>
        <w:t>买方因终止合同向</w:t>
      </w:r>
      <w:r>
        <w:rPr>
          <w:rFonts w:hAnsi="宋体"/>
          <w:color w:val="auto"/>
          <w:sz w:val="24"/>
          <w:highlight w:val="none"/>
        </w:rPr>
        <w:t>卖方</w:t>
      </w:r>
      <w:r>
        <w:rPr>
          <w:rFonts w:hint="eastAsia" w:hAnsi="宋体"/>
          <w:color w:val="auto"/>
          <w:sz w:val="24"/>
          <w:highlight w:val="none"/>
        </w:rPr>
        <w:t>支付的补偿款以卖方为</w:t>
      </w:r>
      <w:r>
        <w:rPr>
          <w:rFonts w:hAnsi="宋体"/>
          <w:color w:val="auto"/>
          <w:sz w:val="24"/>
          <w:highlight w:val="none"/>
        </w:rPr>
        <w:t>履行合同已</w:t>
      </w:r>
      <w:r>
        <w:rPr>
          <w:rFonts w:hint="eastAsia" w:hAnsi="宋体"/>
          <w:color w:val="auto"/>
          <w:sz w:val="24"/>
          <w:highlight w:val="none"/>
        </w:rPr>
        <w:t>实际</w:t>
      </w:r>
      <w:r>
        <w:rPr>
          <w:rFonts w:hAnsi="宋体"/>
          <w:color w:val="auto"/>
          <w:sz w:val="24"/>
          <w:highlight w:val="none"/>
        </w:rPr>
        <w:t>发生</w:t>
      </w:r>
      <w:r>
        <w:rPr>
          <w:rFonts w:hint="eastAsia" w:hAnsi="宋体"/>
          <w:color w:val="auto"/>
          <w:sz w:val="24"/>
          <w:highlight w:val="none"/>
        </w:rPr>
        <w:t>的</w:t>
      </w:r>
      <w:r>
        <w:rPr>
          <w:rFonts w:hAnsi="宋体"/>
          <w:color w:val="auto"/>
          <w:sz w:val="24"/>
          <w:highlight w:val="none"/>
        </w:rPr>
        <w:t>直接、合理费用</w:t>
      </w:r>
      <w:r>
        <w:rPr>
          <w:rFonts w:hint="eastAsia" w:hAnsi="宋体"/>
          <w:color w:val="auto"/>
          <w:sz w:val="24"/>
          <w:highlight w:val="none"/>
        </w:rPr>
        <w:t>为限。</w:t>
      </w:r>
      <w:r>
        <w:rPr>
          <w:rFonts w:hAnsi="宋体"/>
          <w:color w:val="auto"/>
          <w:sz w:val="24"/>
          <w:highlight w:val="none"/>
        </w:rPr>
        <w:t>买方向卖方支付的</w:t>
      </w:r>
      <w:r>
        <w:rPr>
          <w:rFonts w:hint="eastAsia" w:hAnsi="宋体"/>
          <w:color w:val="auto"/>
          <w:sz w:val="24"/>
          <w:highlight w:val="none"/>
        </w:rPr>
        <w:t>该等补偿款</w:t>
      </w:r>
      <w:r>
        <w:rPr>
          <w:rFonts w:hAnsi="宋体"/>
          <w:color w:val="auto"/>
          <w:sz w:val="24"/>
          <w:highlight w:val="none"/>
        </w:rPr>
        <w:t>系买方</w:t>
      </w:r>
      <w:r>
        <w:rPr>
          <w:rFonts w:hint="eastAsia" w:hAnsi="宋体"/>
          <w:color w:val="auto"/>
          <w:sz w:val="24"/>
          <w:highlight w:val="none"/>
        </w:rPr>
        <w:t>根据本款规定</w:t>
      </w:r>
      <w:r>
        <w:rPr>
          <w:rFonts w:hAnsi="宋体"/>
          <w:color w:val="auto"/>
          <w:sz w:val="24"/>
          <w:highlight w:val="none"/>
        </w:rPr>
        <w:t>终止合同时</w:t>
      </w:r>
      <w:r>
        <w:rPr>
          <w:rFonts w:hint="eastAsia" w:hAnsi="宋体"/>
          <w:color w:val="auto"/>
          <w:sz w:val="24"/>
          <w:highlight w:val="none"/>
        </w:rPr>
        <w:t>，</w:t>
      </w:r>
      <w:r>
        <w:rPr>
          <w:rFonts w:hAnsi="宋体"/>
          <w:color w:val="auto"/>
          <w:sz w:val="24"/>
          <w:highlight w:val="none"/>
        </w:rPr>
        <w:t>卖方可获得的</w:t>
      </w:r>
      <w:r>
        <w:rPr>
          <w:rFonts w:hint="eastAsia" w:hAnsi="宋体"/>
          <w:color w:val="auto"/>
          <w:sz w:val="24"/>
          <w:highlight w:val="none"/>
        </w:rPr>
        <w:t>全部赔偿。任何时候卖方均无权要求买方赔偿因合同终止引起的预期利润的损失或损害。</w:t>
      </w:r>
    </w:p>
    <w:p>
      <w:pPr>
        <w:numPr>
          <w:ilvl w:val="0"/>
          <w:numId w:val="29"/>
        </w:numPr>
        <w:tabs>
          <w:tab w:val="left" w:pos="567"/>
          <w:tab w:val="left" w:pos="709"/>
        </w:tabs>
        <w:spacing w:before="72" w:beforeLines="30" w:after="72" w:afterLines="30" w:line="360" w:lineRule="auto"/>
        <w:ind w:left="567" w:hanging="567"/>
        <w:rPr>
          <w:rFonts w:hAnsi="宋体"/>
          <w:color w:val="auto"/>
          <w:sz w:val="24"/>
          <w:highlight w:val="none"/>
        </w:rPr>
      </w:pPr>
      <w:r>
        <w:rPr>
          <w:rFonts w:hint="eastAsia" w:hAnsi="宋体"/>
          <w:color w:val="auto"/>
          <w:sz w:val="24"/>
          <w:highlight w:val="none"/>
        </w:rPr>
        <w:t>如果本合同根据本条第13</w:t>
      </w:r>
      <w:r>
        <w:rPr>
          <w:rFonts w:hAnsi="宋体"/>
          <w:color w:val="auto"/>
          <w:sz w:val="24"/>
          <w:highlight w:val="none"/>
        </w:rPr>
        <w:t>.3款</w:t>
      </w:r>
      <w:r>
        <w:rPr>
          <w:rFonts w:hint="eastAsia" w:hAnsi="宋体"/>
          <w:color w:val="auto"/>
          <w:sz w:val="24"/>
          <w:highlight w:val="none"/>
        </w:rPr>
        <w:t>终止，对于合同终止前买方已经支付合同价款或提供补偿费用的货物，卖方应立即移交给买方，买方拥有相关货物的全部权益。</w:t>
      </w:r>
    </w:p>
    <w:p>
      <w:pPr>
        <w:pStyle w:val="17"/>
        <w:numPr>
          <w:ilvl w:val="0"/>
          <w:numId w:val="13"/>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健康、安全和环保</w:t>
      </w:r>
    </w:p>
    <w:p>
      <w:pPr>
        <w:numPr>
          <w:ilvl w:val="0"/>
          <w:numId w:val="31"/>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卖方应确保在货物制造过程中使用的材料和制作工艺符合国家标准</w:t>
      </w:r>
      <w:r>
        <w:rPr>
          <w:rFonts w:hint="eastAsia"/>
          <w:color w:val="auto"/>
          <w:sz w:val="24"/>
          <w:highlight w:val="none"/>
        </w:rPr>
        <w:t>，保证货物制造现场符合法律法规的要求</w:t>
      </w:r>
      <w:r>
        <w:rPr>
          <w:color w:val="auto"/>
          <w:sz w:val="24"/>
          <w:highlight w:val="none"/>
        </w:rPr>
        <w:t>。</w:t>
      </w:r>
    </w:p>
    <w:p>
      <w:pPr>
        <w:numPr>
          <w:ilvl w:val="0"/>
          <w:numId w:val="31"/>
        </w:numPr>
        <w:tabs>
          <w:tab w:val="left" w:pos="567"/>
          <w:tab w:val="left" w:pos="709"/>
          <w:tab w:val="left" w:pos="3060"/>
        </w:tabs>
        <w:spacing w:before="72" w:beforeLines="30" w:after="72" w:afterLines="30" w:line="360" w:lineRule="auto"/>
        <w:ind w:left="567" w:hanging="567"/>
        <w:rPr>
          <w:color w:val="auto"/>
          <w:sz w:val="24"/>
          <w:highlight w:val="none"/>
        </w:rPr>
      </w:pPr>
      <w:r>
        <w:rPr>
          <w:color w:val="auto"/>
          <w:sz w:val="24"/>
          <w:highlight w:val="none"/>
        </w:rPr>
        <w:t>卖方向买方提供的货物必须符合</w:t>
      </w:r>
      <w:r>
        <w:rPr>
          <w:rFonts w:hint="eastAsia"/>
          <w:color w:val="auto"/>
          <w:sz w:val="24"/>
          <w:highlight w:val="none"/>
        </w:rPr>
        <w:t>中国</w:t>
      </w:r>
      <w:r>
        <w:rPr>
          <w:color w:val="auto"/>
          <w:sz w:val="24"/>
          <w:highlight w:val="none"/>
        </w:rPr>
        <w:t>有关健康、安全、环保法律法规的规定。对</w:t>
      </w:r>
      <w:r>
        <w:rPr>
          <w:rFonts w:hint="eastAsia"/>
          <w:color w:val="auto"/>
          <w:sz w:val="24"/>
          <w:highlight w:val="none"/>
        </w:rPr>
        <w:t>于</w:t>
      </w:r>
      <w:r>
        <w:rPr>
          <w:color w:val="auto"/>
          <w:sz w:val="24"/>
          <w:highlight w:val="none"/>
        </w:rPr>
        <w:t>根据有关法律法规必须持证生产或经营的</w:t>
      </w:r>
      <w:r>
        <w:rPr>
          <w:rFonts w:hint="eastAsia"/>
          <w:color w:val="auto"/>
          <w:sz w:val="24"/>
          <w:highlight w:val="none"/>
        </w:rPr>
        <w:t>货物</w:t>
      </w:r>
      <w:r>
        <w:rPr>
          <w:color w:val="auto"/>
          <w:sz w:val="24"/>
          <w:highlight w:val="none"/>
        </w:rPr>
        <w:t>，卖方在生产或经营时应持有全套有效的生产许可证或经营许可证。</w:t>
      </w:r>
    </w:p>
    <w:p>
      <w:pPr>
        <w:pStyle w:val="17"/>
        <w:numPr>
          <w:ilvl w:val="0"/>
          <w:numId w:val="13"/>
        </w:numPr>
        <w:tabs>
          <w:tab w:val="left" w:pos="993"/>
        </w:tabs>
        <w:spacing w:before="72" w:beforeLines="30" w:after="72" w:afterLines="30" w:line="360" w:lineRule="auto"/>
        <w:ind w:left="567" w:hanging="567"/>
        <w:jc w:val="left"/>
        <w:rPr>
          <w:color w:val="auto"/>
          <w:sz w:val="24"/>
          <w:szCs w:val="24"/>
          <w:highlight w:val="none"/>
        </w:rPr>
      </w:pPr>
      <w:r>
        <w:rPr>
          <w:rFonts w:hint="eastAsia" w:ascii="Times New Roman" w:hAnsi="Times New Roman"/>
          <w:color w:val="auto"/>
          <w:sz w:val="24"/>
          <w:szCs w:val="24"/>
          <w:highlight w:val="none"/>
        </w:rPr>
        <w:t xml:space="preserve"> 转让</w:t>
      </w:r>
      <w:r>
        <w:rPr>
          <w:rFonts w:hint="eastAsia"/>
          <w:color w:val="auto"/>
          <w:sz w:val="24"/>
          <w:szCs w:val="24"/>
          <w:highlight w:val="none"/>
        </w:rPr>
        <w:t>和分包</w:t>
      </w:r>
    </w:p>
    <w:p>
      <w:pPr>
        <w:widowControl/>
        <w:numPr>
          <w:ilvl w:val="0"/>
          <w:numId w:val="32"/>
        </w:numPr>
        <w:tabs>
          <w:tab w:val="left" w:pos="567"/>
          <w:tab w:val="left" w:pos="709"/>
        </w:tabs>
        <w:spacing w:before="72" w:beforeLines="30" w:after="72" w:afterLines="30" w:line="360" w:lineRule="auto"/>
        <w:ind w:left="567" w:hanging="567"/>
        <w:rPr>
          <w:color w:val="auto"/>
          <w:sz w:val="24"/>
          <w:highlight w:val="none"/>
        </w:rPr>
      </w:pPr>
      <w:r>
        <w:rPr>
          <w:color w:val="auto"/>
          <w:sz w:val="24"/>
          <w:highlight w:val="none"/>
        </w:rPr>
        <w:t>未经买方</w:t>
      </w:r>
      <w:r>
        <w:rPr>
          <w:rFonts w:hint="eastAsia"/>
          <w:color w:val="auto"/>
          <w:sz w:val="24"/>
          <w:highlight w:val="none"/>
        </w:rPr>
        <w:t>事先</w:t>
      </w:r>
      <w:r>
        <w:rPr>
          <w:color w:val="auto"/>
          <w:sz w:val="24"/>
          <w:highlight w:val="none"/>
        </w:rPr>
        <w:t>书面同意，卖方不得</w:t>
      </w:r>
      <w:r>
        <w:rPr>
          <w:rFonts w:hint="eastAsia"/>
          <w:color w:val="auto"/>
          <w:sz w:val="24"/>
          <w:highlight w:val="none"/>
        </w:rPr>
        <w:t>将</w:t>
      </w:r>
      <w:r>
        <w:rPr>
          <w:color w:val="auto"/>
          <w:sz w:val="24"/>
          <w:highlight w:val="none"/>
        </w:rPr>
        <w:t>其</w:t>
      </w:r>
      <w:r>
        <w:rPr>
          <w:rFonts w:hint="eastAsia"/>
          <w:color w:val="auto"/>
          <w:sz w:val="24"/>
          <w:highlight w:val="none"/>
        </w:rPr>
        <w:t>在本</w:t>
      </w:r>
      <w:r>
        <w:rPr>
          <w:color w:val="auto"/>
          <w:sz w:val="24"/>
          <w:highlight w:val="none"/>
        </w:rPr>
        <w:t>合同</w:t>
      </w:r>
      <w:r>
        <w:rPr>
          <w:rFonts w:hint="eastAsia"/>
          <w:color w:val="auto"/>
          <w:sz w:val="24"/>
          <w:highlight w:val="none"/>
        </w:rPr>
        <w:t>项下</w:t>
      </w:r>
      <w:r>
        <w:rPr>
          <w:color w:val="auto"/>
          <w:sz w:val="24"/>
          <w:highlight w:val="none"/>
        </w:rPr>
        <w:t>的</w:t>
      </w:r>
      <w:r>
        <w:rPr>
          <w:rFonts w:hint="eastAsia"/>
          <w:color w:val="auto"/>
          <w:sz w:val="24"/>
          <w:highlight w:val="none"/>
        </w:rPr>
        <w:t>任何权利和</w:t>
      </w:r>
      <w:r>
        <w:rPr>
          <w:color w:val="auto"/>
          <w:sz w:val="24"/>
          <w:highlight w:val="none"/>
        </w:rPr>
        <w:t>义务</w:t>
      </w:r>
      <w:r>
        <w:rPr>
          <w:rFonts w:hint="eastAsia"/>
          <w:color w:val="auto"/>
          <w:sz w:val="24"/>
          <w:highlight w:val="none"/>
        </w:rPr>
        <w:t>全部或部分转让给任何第三方，包括卖方的关联企业</w:t>
      </w:r>
      <w:r>
        <w:rPr>
          <w:color w:val="auto"/>
          <w:sz w:val="24"/>
          <w:highlight w:val="none"/>
        </w:rPr>
        <w:t>。</w:t>
      </w:r>
      <w:r>
        <w:rPr>
          <w:rFonts w:hint="eastAsia"/>
          <w:color w:val="auto"/>
          <w:sz w:val="24"/>
          <w:highlight w:val="none"/>
        </w:rPr>
        <w:t>买方</w:t>
      </w:r>
      <w:r>
        <w:rPr>
          <w:color w:val="auto"/>
          <w:sz w:val="24"/>
          <w:highlight w:val="none"/>
        </w:rPr>
        <w:t>可以</w:t>
      </w:r>
      <w:r>
        <w:rPr>
          <w:rFonts w:hint="eastAsia"/>
          <w:color w:val="auto"/>
          <w:sz w:val="24"/>
          <w:highlight w:val="none"/>
        </w:rPr>
        <w:t>将其在</w:t>
      </w:r>
      <w:r>
        <w:rPr>
          <w:color w:val="auto"/>
          <w:sz w:val="24"/>
          <w:highlight w:val="none"/>
        </w:rPr>
        <w:t>本合同</w:t>
      </w:r>
      <w:r>
        <w:rPr>
          <w:rFonts w:hint="eastAsia"/>
          <w:color w:val="auto"/>
          <w:sz w:val="24"/>
          <w:highlight w:val="none"/>
        </w:rPr>
        <w:t>项下的</w:t>
      </w:r>
      <w:r>
        <w:rPr>
          <w:color w:val="auto"/>
          <w:sz w:val="24"/>
          <w:highlight w:val="none"/>
        </w:rPr>
        <w:t>权利和义务</w:t>
      </w:r>
      <w:r>
        <w:rPr>
          <w:rFonts w:hint="eastAsia"/>
          <w:color w:val="auto"/>
          <w:sz w:val="24"/>
          <w:highlight w:val="none"/>
        </w:rPr>
        <w:t>全部或部分</w:t>
      </w:r>
      <w:r>
        <w:rPr>
          <w:color w:val="auto"/>
          <w:sz w:val="24"/>
          <w:highlight w:val="none"/>
        </w:rPr>
        <w:t>转让给</w:t>
      </w:r>
      <w:r>
        <w:rPr>
          <w:rFonts w:hint="eastAsia"/>
          <w:color w:val="auto"/>
          <w:sz w:val="24"/>
          <w:highlight w:val="none"/>
        </w:rPr>
        <w:t>其关联企业</w:t>
      </w:r>
      <w:r>
        <w:rPr>
          <w:color w:val="auto"/>
          <w:sz w:val="24"/>
          <w:highlight w:val="none"/>
        </w:rPr>
        <w:t>，</w:t>
      </w:r>
      <w:r>
        <w:rPr>
          <w:rFonts w:hint="eastAsia"/>
          <w:color w:val="auto"/>
          <w:sz w:val="24"/>
          <w:highlight w:val="none"/>
        </w:rPr>
        <w:t>且无需</w:t>
      </w:r>
      <w:r>
        <w:rPr>
          <w:color w:val="auto"/>
          <w:sz w:val="24"/>
          <w:highlight w:val="none"/>
        </w:rPr>
        <w:t>事先征得</w:t>
      </w:r>
      <w:r>
        <w:rPr>
          <w:rFonts w:hint="eastAsia"/>
          <w:color w:val="auto"/>
          <w:sz w:val="24"/>
          <w:highlight w:val="none"/>
        </w:rPr>
        <w:t>卖方</w:t>
      </w:r>
      <w:r>
        <w:rPr>
          <w:color w:val="auto"/>
          <w:sz w:val="24"/>
          <w:highlight w:val="none"/>
        </w:rPr>
        <w:t>的同意，但应书面通知</w:t>
      </w:r>
      <w:r>
        <w:rPr>
          <w:rFonts w:hint="eastAsia"/>
          <w:color w:val="auto"/>
          <w:sz w:val="24"/>
          <w:highlight w:val="none"/>
        </w:rPr>
        <w:t>卖方</w:t>
      </w:r>
      <w:r>
        <w:rPr>
          <w:color w:val="auto"/>
          <w:sz w:val="24"/>
          <w:highlight w:val="none"/>
        </w:rPr>
        <w:t>。</w:t>
      </w:r>
    </w:p>
    <w:p>
      <w:pPr>
        <w:widowControl/>
        <w:numPr>
          <w:ilvl w:val="0"/>
          <w:numId w:val="32"/>
        </w:numPr>
        <w:tabs>
          <w:tab w:val="left" w:pos="567"/>
          <w:tab w:val="left" w:pos="709"/>
        </w:tabs>
        <w:spacing w:before="72" w:beforeLines="30" w:after="72" w:afterLines="30" w:line="360" w:lineRule="auto"/>
        <w:ind w:left="567" w:hanging="567"/>
        <w:rPr>
          <w:color w:val="auto"/>
          <w:sz w:val="24"/>
          <w:highlight w:val="none"/>
        </w:rPr>
      </w:pPr>
      <w:r>
        <w:rPr>
          <w:rFonts w:hint="eastAsia"/>
          <w:color w:val="auto"/>
          <w:sz w:val="24"/>
          <w:highlight w:val="none"/>
        </w:rPr>
        <w:t>未经买方事先书面同意，卖方不得将其在本合同项下的任何义务分包给任何第三方，包括卖方的关联企业。卖方不得将本合同转包给任何第三方，包括其关联企业。</w:t>
      </w:r>
    </w:p>
    <w:p>
      <w:pPr>
        <w:pStyle w:val="17"/>
        <w:numPr>
          <w:ilvl w:val="0"/>
          <w:numId w:val="13"/>
        </w:numPr>
        <w:tabs>
          <w:tab w:val="left" w:pos="993"/>
        </w:tabs>
        <w:spacing w:before="72" w:beforeLines="30" w:after="72" w:afterLines="30" w:line="360" w:lineRule="auto"/>
        <w:ind w:left="567" w:hanging="567"/>
        <w:jc w:val="left"/>
        <w:rPr>
          <w:rFonts w:hAnsi="宋体"/>
          <w:color w:val="auto"/>
          <w:sz w:val="24"/>
          <w:szCs w:val="24"/>
          <w:highlight w:val="none"/>
        </w:rPr>
      </w:pPr>
      <w:r>
        <w:rPr>
          <w:rFonts w:hint="eastAsia" w:hAnsi="宋体"/>
          <w:color w:val="auto"/>
          <w:sz w:val="24"/>
          <w:szCs w:val="24"/>
          <w:highlight w:val="none"/>
        </w:rPr>
        <w:t xml:space="preserve"> 不可抗力</w:t>
      </w:r>
    </w:p>
    <w:p>
      <w:pPr>
        <w:pStyle w:val="9"/>
        <w:widowControl/>
        <w:numPr>
          <w:ilvl w:val="0"/>
          <w:numId w:val="33"/>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不可抗力系指本合同的履行过程中，任何一方经合理努力仍不可预见、不可避免并不能克服的客观情况。</w:t>
      </w:r>
      <w:r>
        <w:rPr>
          <w:color w:val="auto"/>
          <w:sz w:val="24"/>
          <w:highlight w:val="none"/>
        </w:rPr>
        <w:t>任何一方因不可抗力不能或延迟履行本合同，不承担违约责任。</w:t>
      </w:r>
    </w:p>
    <w:p>
      <w:pPr>
        <w:pStyle w:val="9"/>
        <w:widowControl/>
        <w:numPr>
          <w:ilvl w:val="0"/>
          <w:numId w:val="33"/>
        </w:numPr>
        <w:tabs>
          <w:tab w:val="left" w:pos="567"/>
        </w:tabs>
        <w:spacing w:before="72" w:beforeLines="30" w:after="72" w:afterLines="30" w:line="360" w:lineRule="auto"/>
        <w:ind w:left="567" w:hanging="567"/>
        <w:rPr>
          <w:color w:val="auto"/>
          <w:sz w:val="24"/>
          <w:highlight w:val="none"/>
        </w:rPr>
      </w:pPr>
      <w:r>
        <w:rPr>
          <w:color w:val="auto"/>
          <w:sz w:val="24"/>
          <w:highlight w:val="none"/>
        </w:rPr>
        <w:t>如果一方遭受不可抗力，应立即（不迟于24小时内）通知另一方，并采取一切合理、必要的措施减少损失及不可抗力的影响，恢复合同的履行。</w:t>
      </w:r>
      <w:r>
        <w:rPr>
          <w:rFonts w:hint="eastAsia"/>
          <w:color w:val="auto"/>
          <w:sz w:val="24"/>
          <w:highlight w:val="none"/>
        </w:rPr>
        <w:t>不可抗力结束后</w:t>
      </w:r>
      <w:r>
        <w:rPr>
          <w:color w:val="auto"/>
          <w:sz w:val="24"/>
          <w:highlight w:val="none"/>
        </w:rPr>
        <w:t>48</w:t>
      </w:r>
      <w:r>
        <w:rPr>
          <w:rFonts w:hint="eastAsia"/>
          <w:color w:val="auto"/>
          <w:sz w:val="24"/>
          <w:highlight w:val="none"/>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9"/>
        <w:widowControl/>
        <w:numPr>
          <w:ilvl w:val="0"/>
          <w:numId w:val="33"/>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i/>
          <w:color w:val="auto"/>
          <w:sz w:val="24"/>
          <w:highlight w:val="none"/>
          <w:lang w:val="en-US" w:eastAsia="zh-CN"/>
        </w:rPr>
        <w:t>30</w:t>
      </w:r>
      <w:r>
        <w:rPr>
          <w:rFonts w:hint="eastAsia"/>
          <w:color w:val="auto"/>
          <w:sz w:val="24"/>
          <w:highlight w:val="none"/>
        </w:rPr>
        <w:t>】日，双方应该共同商议应对措施。</w:t>
      </w:r>
    </w:p>
    <w:p>
      <w:pPr>
        <w:pStyle w:val="9"/>
        <w:widowControl/>
        <w:numPr>
          <w:ilvl w:val="0"/>
          <w:numId w:val="33"/>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任何一方迟延履行合同后遭受不可抗力的，不得减少、免除该方在本合同项下的任何义务和责任。</w:t>
      </w:r>
    </w:p>
    <w:p>
      <w:pPr>
        <w:pStyle w:val="17"/>
        <w:numPr>
          <w:ilvl w:val="0"/>
          <w:numId w:val="13"/>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保密</w:t>
      </w:r>
    </w:p>
    <w:p>
      <w:pPr>
        <w:numPr>
          <w:ilvl w:val="0"/>
          <w:numId w:val="34"/>
        </w:numPr>
        <w:tabs>
          <w:tab w:val="left" w:pos="567"/>
          <w:tab w:val="left" w:pos="709"/>
        </w:tabs>
        <w:spacing w:before="72" w:beforeLines="30" w:after="72" w:afterLines="30" w:line="360" w:lineRule="auto"/>
        <w:ind w:left="567" w:hanging="567"/>
        <w:rPr>
          <w:color w:val="auto"/>
          <w:sz w:val="24"/>
          <w:highlight w:val="none"/>
        </w:rPr>
      </w:pPr>
      <w:r>
        <w:rPr>
          <w:color w:val="auto"/>
          <w:sz w:val="24"/>
          <w:highlight w:val="none"/>
        </w:rPr>
        <w:t>除非法律法规、政府机关另行强制要求，未经</w:t>
      </w:r>
      <w:r>
        <w:rPr>
          <w:rFonts w:hint="eastAsia"/>
          <w:color w:val="auto"/>
          <w:sz w:val="24"/>
          <w:highlight w:val="none"/>
        </w:rPr>
        <w:t>买方</w:t>
      </w:r>
      <w:r>
        <w:rPr>
          <w:color w:val="auto"/>
          <w:sz w:val="24"/>
          <w:highlight w:val="none"/>
        </w:rPr>
        <w:t>同意，</w:t>
      </w:r>
      <w:r>
        <w:rPr>
          <w:rFonts w:hint="eastAsia"/>
          <w:color w:val="auto"/>
          <w:sz w:val="24"/>
          <w:highlight w:val="none"/>
        </w:rPr>
        <w:t>卖方</w:t>
      </w:r>
      <w:r>
        <w:rPr>
          <w:color w:val="auto"/>
          <w:sz w:val="24"/>
          <w:highlight w:val="none"/>
        </w:rPr>
        <w:t>不得将</w:t>
      </w:r>
      <w:r>
        <w:rPr>
          <w:rFonts w:hint="eastAsia"/>
          <w:color w:val="auto"/>
          <w:sz w:val="24"/>
          <w:highlight w:val="none"/>
        </w:rPr>
        <w:t>买</w:t>
      </w:r>
      <w:r>
        <w:rPr>
          <w:color w:val="auto"/>
          <w:sz w:val="24"/>
          <w:highlight w:val="none"/>
        </w:rPr>
        <w:t>方保密信息披露给任何第三方（包括与合同无关的</w:t>
      </w:r>
      <w:r>
        <w:rPr>
          <w:rFonts w:hint="eastAsia"/>
          <w:color w:val="auto"/>
          <w:sz w:val="24"/>
          <w:highlight w:val="none"/>
        </w:rPr>
        <w:t>卖</w:t>
      </w:r>
      <w:r>
        <w:rPr>
          <w:color w:val="auto"/>
          <w:sz w:val="24"/>
          <w:highlight w:val="none"/>
        </w:rPr>
        <w:t>方员工和政府部门），亦不得将该等信息用于与本合同无关的用途。保密信息包括但不限于：合同内容；</w:t>
      </w:r>
      <w:r>
        <w:rPr>
          <w:rFonts w:hint="eastAsia"/>
          <w:color w:val="auto"/>
          <w:sz w:val="24"/>
          <w:highlight w:val="none"/>
        </w:rPr>
        <w:t>买方提供的</w:t>
      </w:r>
      <w:r>
        <w:rPr>
          <w:color w:val="auto"/>
          <w:sz w:val="24"/>
          <w:highlight w:val="none"/>
        </w:rPr>
        <w:t>与本合同有关的任何技术信息、图纸、样本、资料等；</w:t>
      </w:r>
      <w:r>
        <w:rPr>
          <w:rFonts w:hint="eastAsia"/>
          <w:color w:val="auto"/>
          <w:sz w:val="24"/>
          <w:highlight w:val="none"/>
        </w:rPr>
        <w:t>买方</w:t>
      </w:r>
      <w:r>
        <w:rPr>
          <w:color w:val="auto"/>
          <w:sz w:val="24"/>
          <w:highlight w:val="none"/>
        </w:rPr>
        <w:t>提供的或</w:t>
      </w:r>
      <w:r>
        <w:rPr>
          <w:rFonts w:hint="eastAsia"/>
          <w:color w:val="auto"/>
          <w:sz w:val="24"/>
          <w:highlight w:val="none"/>
        </w:rPr>
        <w:t>卖方</w:t>
      </w:r>
      <w:r>
        <w:rPr>
          <w:color w:val="auto"/>
          <w:sz w:val="24"/>
          <w:highlight w:val="none"/>
        </w:rPr>
        <w:t>获得的与项目或买方有关的任何技术和商务信息。</w:t>
      </w:r>
    </w:p>
    <w:p>
      <w:pPr>
        <w:pStyle w:val="17"/>
        <w:numPr>
          <w:ilvl w:val="0"/>
          <w:numId w:val="13"/>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审计、禁止商业贿赂和反腐败</w:t>
      </w:r>
    </w:p>
    <w:p>
      <w:pPr>
        <w:pStyle w:val="28"/>
        <w:numPr>
          <w:ilvl w:val="0"/>
          <w:numId w:val="35"/>
        </w:numPr>
        <w:adjustRightInd w:val="0"/>
        <w:snapToGrid w:val="0"/>
        <w:spacing w:before="72" w:beforeLines="30" w:after="72" w:afterLines="30" w:line="360" w:lineRule="auto"/>
        <w:ind w:left="567" w:hanging="567"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kern w:val="0"/>
          <w:sz w:val="24"/>
          <w:highlight w:val="none"/>
        </w:rPr>
        <w:t>卖方应根据买方要求，接受和配合买方或买方委</w:t>
      </w:r>
      <w:r>
        <w:rPr>
          <w:rFonts w:hint="eastAsia" w:asciiTheme="minorEastAsia" w:hAnsiTheme="minorEastAsia" w:eastAsiaTheme="minorEastAsia"/>
          <w:color w:val="auto"/>
          <w:sz w:val="24"/>
          <w:highlight w:val="none"/>
        </w:rPr>
        <w:t>托的会计师事务所进行的与本合同相关的审计。</w:t>
      </w:r>
    </w:p>
    <w:p>
      <w:pPr>
        <w:pStyle w:val="28"/>
        <w:numPr>
          <w:ilvl w:val="0"/>
          <w:numId w:val="35"/>
        </w:numPr>
        <w:adjustRightInd w:val="0"/>
        <w:snapToGrid w:val="0"/>
        <w:spacing w:before="72" w:beforeLines="30" w:after="72" w:afterLines="30" w:line="360" w:lineRule="auto"/>
        <w:ind w:left="567" w:hanging="567"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kern w:val="0"/>
          <w:sz w:val="24"/>
          <w:highlight w:val="none"/>
        </w:rPr>
        <w:t>卖方应保存与本合同相关的记录和账目，保存期限为本合同终止后【十（10）】年或遵从所在国相关规定。经提前通知，买方或买方委托的会计师事务所有权检查并复制该等记录和账目。</w:t>
      </w:r>
    </w:p>
    <w:p>
      <w:pPr>
        <w:pStyle w:val="28"/>
        <w:numPr>
          <w:ilvl w:val="0"/>
          <w:numId w:val="35"/>
        </w:numPr>
        <w:spacing w:line="360" w:lineRule="auto"/>
        <w:ind w:left="567" w:hanging="567" w:firstLineChars="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7"/>
        <w:numPr>
          <w:ilvl w:val="0"/>
          <w:numId w:val="13"/>
        </w:numPr>
        <w:tabs>
          <w:tab w:val="left" w:pos="993"/>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通知</w:t>
      </w:r>
    </w:p>
    <w:p>
      <w:pPr>
        <w:widowControl/>
        <w:numPr>
          <w:ilvl w:val="0"/>
          <w:numId w:val="36"/>
        </w:numPr>
        <w:tabs>
          <w:tab w:val="left" w:pos="567"/>
          <w:tab w:val="left" w:pos="709"/>
        </w:tabs>
        <w:autoSpaceDE w:val="0"/>
        <w:autoSpaceDN w:val="0"/>
        <w:spacing w:before="72" w:beforeLines="30" w:after="72" w:afterLines="30" w:line="360" w:lineRule="auto"/>
        <w:ind w:left="567" w:hanging="567"/>
        <w:jc w:val="left"/>
        <w:textAlignment w:val="bottom"/>
        <w:rPr>
          <w:color w:val="auto"/>
          <w:sz w:val="24"/>
          <w:highlight w:val="none"/>
        </w:rPr>
      </w:pPr>
      <w:r>
        <w:rPr>
          <w:rFonts w:hint="eastAsia"/>
          <w:color w:val="auto"/>
          <w:sz w:val="24"/>
          <w:highlight w:val="none"/>
        </w:rPr>
        <w:t>通知应根据本合同规定以亲自递送、特快专递、传真等方式送达。</w:t>
      </w:r>
      <w:r>
        <w:rPr>
          <w:color w:val="auto"/>
          <w:sz w:val="24"/>
          <w:highlight w:val="none"/>
        </w:rPr>
        <w:t>通知在下列情况视为</w:t>
      </w:r>
      <w:r>
        <w:rPr>
          <w:rFonts w:hint="eastAsia"/>
          <w:color w:val="auto"/>
          <w:sz w:val="24"/>
          <w:highlight w:val="none"/>
        </w:rPr>
        <w:t>送达</w:t>
      </w:r>
      <w:r>
        <w:rPr>
          <w:color w:val="auto"/>
          <w:sz w:val="24"/>
          <w:highlight w:val="none"/>
        </w:rPr>
        <w:t>：</w:t>
      </w:r>
    </w:p>
    <w:p>
      <w:pPr>
        <w:widowControl/>
        <w:numPr>
          <w:ilvl w:val="1"/>
          <w:numId w:val="37"/>
        </w:numPr>
        <w:tabs>
          <w:tab w:val="left" w:pos="567"/>
          <w:tab w:val="left" w:pos="993"/>
        </w:tabs>
        <w:spacing w:before="72" w:beforeLines="30" w:after="72" w:afterLines="30" w:line="360" w:lineRule="auto"/>
        <w:ind w:left="567" w:firstLine="0"/>
        <w:jc w:val="left"/>
        <w:rPr>
          <w:color w:val="auto"/>
          <w:sz w:val="24"/>
          <w:highlight w:val="none"/>
        </w:rPr>
      </w:pPr>
      <w:r>
        <w:rPr>
          <w:color w:val="auto"/>
          <w:sz w:val="24"/>
          <w:highlight w:val="none"/>
        </w:rPr>
        <w:t>如采</w:t>
      </w:r>
      <w:r>
        <w:rPr>
          <w:rFonts w:hint="eastAsia"/>
          <w:color w:val="auto"/>
          <w:sz w:val="24"/>
          <w:highlight w:val="none"/>
        </w:rPr>
        <w:t>用</w:t>
      </w:r>
      <w:r>
        <w:rPr>
          <w:color w:val="auto"/>
          <w:sz w:val="24"/>
          <w:highlight w:val="none"/>
        </w:rPr>
        <w:t>亲自递送方式，于</w:t>
      </w:r>
      <w:r>
        <w:rPr>
          <w:rFonts w:hint="eastAsia"/>
          <w:color w:val="auto"/>
          <w:sz w:val="24"/>
          <w:highlight w:val="none"/>
        </w:rPr>
        <w:t>签收确认</w:t>
      </w:r>
      <w:r>
        <w:rPr>
          <w:color w:val="auto"/>
          <w:sz w:val="24"/>
          <w:highlight w:val="none"/>
        </w:rPr>
        <w:t>之时；</w:t>
      </w:r>
    </w:p>
    <w:p>
      <w:pPr>
        <w:widowControl/>
        <w:numPr>
          <w:ilvl w:val="1"/>
          <w:numId w:val="37"/>
        </w:numPr>
        <w:tabs>
          <w:tab w:val="left" w:pos="567"/>
          <w:tab w:val="left" w:pos="993"/>
        </w:tabs>
        <w:spacing w:before="72" w:beforeLines="30" w:after="72" w:afterLines="30" w:line="360" w:lineRule="auto"/>
        <w:ind w:left="567" w:firstLine="0"/>
        <w:jc w:val="left"/>
        <w:rPr>
          <w:color w:val="auto"/>
          <w:sz w:val="24"/>
          <w:highlight w:val="none"/>
        </w:rPr>
      </w:pPr>
      <w:r>
        <w:rPr>
          <w:color w:val="auto"/>
          <w:sz w:val="24"/>
          <w:highlight w:val="none"/>
        </w:rPr>
        <w:t>如采</w:t>
      </w:r>
      <w:r>
        <w:rPr>
          <w:rFonts w:hint="eastAsia"/>
          <w:color w:val="auto"/>
          <w:sz w:val="24"/>
          <w:highlight w:val="none"/>
        </w:rPr>
        <w:t>用特快专递</w:t>
      </w:r>
      <w:r>
        <w:rPr>
          <w:color w:val="auto"/>
          <w:sz w:val="24"/>
          <w:highlight w:val="none"/>
        </w:rPr>
        <w:t>方式，于</w:t>
      </w:r>
      <w:r>
        <w:rPr>
          <w:rFonts w:hint="eastAsia"/>
          <w:color w:val="auto"/>
          <w:sz w:val="24"/>
          <w:highlight w:val="none"/>
        </w:rPr>
        <w:t>收件人签收</w:t>
      </w:r>
      <w:r>
        <w:rPr>
          <w:color w:val="auto"/>
          <w:sz w:val="24"/>
          <w:highlight w:val="none"/>
        </w:rPr>
        <w:t>之时</w:t>
      </w:r>
      <w:r>
        <w:rPr>
          <w:rFonts w:hint="eastAsia"/>
          <w:color w:val="auto"/>
          <w:sz w:val="24"/>
          <w:highlight w:val="none"/>
        </w:rPr>
        <w:t>；</w:t>
      </w:r>
    </w:p>
    <w:p>
      <w:pPr>
        <w:widowControl/>
        <w:numPr>
          <w:ilvl w:val="1"/>
          <w:numId w:val="37"/>
        </w:numPr>
        <w:tabs>
          <w:tab w:val="left" w:pos="567"/>
          <w:tab w:val="left" w:pos="993"/>
        </w:tabs>
        <w:spacing w:before="72" w:beforeLines="30" w:after="72" w:afterLines="30" w:line="360" w:lineRule="auto"/>
        <w:ind w:left="567" w:firstLine="0"/>
        <w:jc w:val="left"/>
        <w:rPr>
          <w:color w:val="auto"/>
          <w:sz w:val="24"/>
          <w:highlight w:val="none"/>
        </w:rPr>
      </w:pPr>
      <w:r>
        <w:rPr>
          <w:color w:val="auto"/>
          <w:sz w:val="24"/>
          <w:highlight w:val="none"/>
        </w:rPr>
        <w:t>如采</w:t>
      </w:r>
      <w:r>
        <w:rPr>
          <w:rFonts w:hint="eastAsia"/>
          <w:color w:val="auto"/>
          <w:sz w:val="24"/>
          <w:highlight w:val="none"/>
        </w:rPr>
        <w:t>用</w:t>
      </w:r>
      <w:r>
        <w:rPr>
          <w:color w:val="auto"/>
          <w:sz w:val="24"/>
          <w:highlight w:val="none"/>
        </w:rPr>
        <w:t>传真方式，于确认传输之时</w:t>
      </w:r>
      <w:r>
        <w:rPr>
          <w:rFonts w:hint="eastAsia"/>
          <w:color w:val="auto"/>
          <w:sz w:val="24"/>
          <w:highlight w:val="none"/>
        </w:rPr>
        <w:t>。</w:t>
      </w:r>
    </w:p>
    <w:p>
      <w:pPr>
        <w:widowControl/>
        <w:numPr>
          <w:ilvl w:val="0"/>
          <w:numId w:val="36"/>
        </w:numPr>
        <w:tabs>
          <w:tab w:val="left" w:pos="567"/>
          <w:tab w:val="left" w:pos="709"/>
        </w:tabs>
        <w:autoSpaceDE w:val="0"/>
        <w:autoSpaceDN w:val="0"/>
        <w:spacing w:before="72" w:beforeLines="30" w:after="72" w:afterLines="30" w:line="360" w:lineRule="auto"/>
        <w:ind w:left="567" w:hanging="567"/>
        <w:jc w:val="left"/>
        <w:textAlignment w:val="bottom"/>
        <w:rPr>
          <w:color w:val="auto"/>
          <w:sz w:val="24"/>
          <w:highlight w:val="none"/>
        </w:rPr>
      </w:pPr>
      <w:r>
        <w:rPr>
          <w:rFonts w:ascii="宋体" w:hAnsi="宋体"/>
          <w:color w:val="auto"/>
          <w:sz w:val="24"/>
          <w:highlight w:val="none"/>
        </w:rPr>
        <w:t>除非一方另行</w:t>
      </w:r>
      <w:r>
        <w:rPr>
          <w:rFonts w:hint="eastAsia" w:ascii="宋体" w:hAnsi="宋体"/>
          <w:color w:val="auto"/>
          <w:sz w:val="24"/>
          <w:highlight w:val="none"/>
        </w:rPr>
        <w:t>明确</w:t>
      </w:r>
      <w:r>
        <w:rPr>
          <w:rFonts w:ascii="宋体" w:hAnsi="宋体"/>
          <w:color w:val="auto"/>
          <w:sz w:val="24"/>
          <w:highlight w:val="none"/>
        </w:rPr>
        <w:t>要求，双方可通过互联网电子邮件进行通讯联系或传送文件。因不能合理控制的原因导致任何互联网电子邮件遗失、延误、被截取、破坏或修改的，</w:t>
      </w:r>
      <w:r>
        <w:rPr>
          <w:rFonts w:hint="eastAsia" w:ascii="宋体" w:hAnsi="宋体"/>
          <w:color w:val="auto"/>
          <w:sz w:val="24"/>
          <w:highlight w:val="none"/>
        </w:rPr>
        <w:t>通知发出方不承担</w:t>
      </w:r>
      <w:r>
        <w:rPr>
          <w:rFonts w:ascii="宋体" w:hAnsi="宋体"/>
          <w:color w:val="auto"/>
          <w:sz w:val="24"/>
          <w:highlight w:val="none"/>
        </w:rPr>
        <w:t>因此造成的任何损失、损害、费用、伤害或不便。</w:t>
      </w:r>
    </w:p>
    <w:p>
      <w:pPr>
        <w:pStyle w:val="17"/>
        <w:numPr>
          <w:ilvl w:val="0"/>
          <w:numId w:val="13"/>
        </w:numPr>
        <w:tabs>
          <w:tab w:val="left" w:pos="567"/>
        </w:tabs>
        <w:spacing w:before="72" w:beforeLines="30" w:after="72" w:afterLines="30" w:line="360" w:lineRule="auto"/>
        <w:ind w:left="567" w:hanging="567"/>
        <w:jc w:val="left"/>
        <w:rPr>
          <w:color w:val="auto"/>
          <w:sz w:val="24"/>
          <w:szCs w:val="24"/>
          <w:highlight w:val="none"/>
        </w:rPr>
      </w:pPr>
      <w:r>
        <w:rPr>
          <w:color w:val="auto"/>
          <w:sz w:val="24"/>
          <w:szCs w:val="24"/>
          <w:highlight w:val="none"/>
        </w:rPr>
        <w:t>法律适用</w:t>
      </w:r>
      <w:r>
        <w:rPr>
          <w:rFonts w:hint="eastAsia"/>
          <w:color w:val="auto"/>
          <w:sz w:val="24"/>
          <w:szCs w:val="24"/>
          <w:highlight w:val="none"/>
        </w:rPr>
        <w:t>和</w:t>
      </w:r>
      <w:r>
        <w:rPr>
          <w:color w:val="auto"/>
          <w:sz w:val="24"/>
          <w:szCs w:val="24"/>
          <w:highlight w:val="none"/>
        </w:rPr>
        <w:t>争议解决</w:t>
      </w:r>
    </w:p>
    <w:p>
      <w:pPr>
        <w:numPr>
          <w:ilvl w:val="1"/>
          <w:numId w:val="38"/>
        </w:numPr>
        <w:tabs>
          <w:tab w:val="left" w:pos="567"/>
        </w:tabs>
        <w:spacing w:before="72" w:beforeLines="30" w:after="72" w:afterLines="30" w:line="360" w:lineRule="auto"/>
        <w:ind w:left="567" w:hanging="567"/>
        <w:rPr>
          <w:rFonts w:ascii="宋体" w:hAnsi="宋体"/>
          <w:color w:val="auto"/>
          <w:sz w:val="24"/>
          <w:highlight w:val="none"/>
        </w:rPr>
      </w:pPr>
      <w:r>
        <w:rPr>
          <w:rFonts w:hint="eastAsia" w:ascii="宋体" w:hAnsi="宋体"/>
          <w:color w:val="auto"/>
          <w:sz w:val="24"/>
          <w:highlight w:val="none"/>
        </w:rPr>
        <w:t>本合同适用中华人民共和国（不含香港特别行政区、澳门特别行政区和台湾地区）法律。</w:t>
      </w:r>
    </w:p>
    <w:p>
      <w:pPr>
        <w:numPr>
          <w:ilvl w:val="1"/>
          <w:numId w:val="38"/>
        </w:numPr>
        <w:tabs>
          <w:tab w:val="left" w:pos="567"/>
        </w:tabs>
        <w:spacing w:before="72" w:beforeLines="30" w:after="72" w:afterLines="30" w:line="360" w:lineRule="auto"/>
        <w:ind w:left="567" w:hanging="567"/>
        <w:rPr>
          <w:rFonts w:ascii="宋体" w:hAnsi="宋体"/>
          <w:color w:val="auto"/>
          <w:sz w:val="24"/>
          <w:highlight w:val="none"/>
        </w:rPr>
      </w:pPr>
      <w:r>
        <w:rPr>
          <w:rFonts w:ascii="宋体" w:hAnsi="宋体"/>
          <w:color w:val="auto"/>
          <w:sz w:val="24"/>
          <w:highlight w:val="none"/>
        </w:rPr>
        <w:t>因履行</w:t>
      </w:r>
      <w:r>
        <w:rPr>
          <w:rFonts w:hint="eastAsia" w:ascii="宋体" w:hAnsi="宋体"/>
          <w:color w:val="auto"/>
          <w:sz w:val="24"/>
          <w:highlight w:val="none"/>
        </w:rPr>
        <w:t>本</w:t>
      </w:r>
      <w:r>
        <w:rPr>
          <w:rFonts w:ascii="宋体" w:hAnsi="宋体"/>
          <w:color w:val="auto"/>
          <w:sz w:val="24"/>
          <w:highlight w:val="none"/>
        </w:rPr>
        <w:t>合同发生的或与本合同有关的一切争议，双方</w:t>
      </w:r>
      <w:r>
        <w:rPr>
          <w:rFonts w:hint="eastAsia" w:ascii="宋体" w:hAnsi="宋体"/>
          <w:color w:val="auto"/>
          <w:sz w:val="24"/>
          <w:highlight w:val="none"/>
        </w:rPr>
        <w:t>首先应</w:t>
      </w:r>
      <w:r>
        <w:rPr>
          <w:rFonts w:ascii="宋体" w:hAnsi="宋体"/>
          <w:color w:val="auto"/>
          <w:sz w:val="24"/>
          <w:highlight w:val="none"/>
        </w:rPr>
        <w:t>友好协商解决，</w:t>
      </w:r>
      <w:r>
        <w:rPr>
          <w:rFonts w:hint="eastAsia" w:ascii="宋体" w:hAnsi="宋体"/>
          <w:color w:val="auto"/>
          <w:sz w:val="24"/>
          <w:highlight w:val="none"/>
        </w:rPr>
        <w:t>如</w:t>
      </w:r>
      <w:r>
        <w:rPr>
          <w:rFonts w:ascii="宋体" w:hAnsi="宋体" w:eastAsia="宋体" w:cs="Times New Roman"/>
          <w:color w:val="auto"/>
          <w:sz w:val="24"/>
          <w:highlight w:val="none"/>
        </w:rPr>
        <w:t>经协商</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六十（60）</w:t>
      </w:r>
      <w:r>
        <w:rPr>
          <w:rFonts w:hint="eastAsia" w:ascii="宋体" w:hAnsi="宋体" w:eastAsia="宋体" w:cs="Times New Roman"/>
          <w:color w:val="auto"/>
          <w:sz w:val="24"/>
          <w:highlight w:val="none"/>
        </w:rPr>
        <w:t>】日</w:t>
      </w:r>
      <w:r>
        <w:rPr>
          <w:rFonts w:hint="eastAsia" w:ascii="宋体" w:hAnsi="宋体"/>
          <w:color w:val="auto"/>
          <w:sz w:val="24"/>
          <w:highlight w:val="none"/>
        </w:rPr>
        <w:t>内</w:t>
      </w:r>
      <w:r>
        <w:rPr>
          <w:rFonts w:ascii="宋体" w:hAnsi="宋体"/>
          <w:color w:val="auto"/>
          <w:sz w:val="24"/>
          <w:highlight w:val="none"/>
        </w:rPr>
        <w:t>仍不能解决</w:t>
      </w:r>
      <w:r>
        <w:rPr>
          <w:rFonts w:hint="eastAsia" w:ascii="宋体" w:hAnsi="宋体"/>
          <w:color w:val="auto"/>
          <w:sz w:val="24"/>
          <w:highlight w:val="none"/>
        </w:rPr>
        <w:t>，</w:t>
      </w:r>
      <w:r>
        <w:rPr>
          <w:rFonts w:ascii="宋体" w:hAnsi="宋体"/>
          <w:color w:val="auto"/>
          <w:sz w:val="24"/>
          <w:highlight w:val="none"/>
        </w:rPr>
        <w:t>双方同意：</w:t>
      </w:r>
    </w:p>
    <w:p>
      <w:pPr>
        <w:spacing w:before="72" w:beforeLines="30" w:after="72" w:afterLines="30" w:line="360" w:lineRule="auto"/>
        <w:ind w:left="567"/>
        <w:rPr>
          <w:rFonts w:ascii="宋体" w:hAnsi="宋体"/>
          <w:color w:val="auto"/>
          <w:sz w:val="24"/>
          <w:highlight w:val="none"/>
        </w:rPr>
      </w:pPr>
      <w:r>
        <w:rPr>
          <w:rFonts w:ascii="宋体" w:hAnsi="宋体"/>
          <w:color w:val="auto"/>
          <w:sz w:val="24"/>
          <w:highlight w:val="none"/>
        </w:rPr>
        <w:t>向买方所在地人民法院起诉。</w:t>
      </w:r>
    </w:p>
    <w:p>
      <w:pPr>
        <w:numPr>
          <w:ilvl w:val="1"/>
          <w:numId w:val="38"/>
        </w:numPr>
        <w:tabs>
          <w:tab w:val="left" w:pos="567"/>
        </w:tabs>
        <w:spacing w:before="72" w:beforeLines="30" w:after="72" w:afterLines="30" w:line="360" w:lineRule="auto"/>
        <w:ind w:left="567" w:hanging="567"/>
        <w:rPr>
          <w:b/>
          <w:color w:val="auto"/>
          <w:sz w:val="24"/>
          <w:highlight w:val="none"/>
        </w:rPr>
      </w:pPr>
      <w:r>
        <w:rPr>
          <w:rFonts w:hint="eastAsia" w:ascii="宋体" w:hAnsi="宋体"/>
          <w:color w:val="auto"/>
          <w:sz w:val="24"/>
          <w:highlight w:val="none"/>
        </w:rPr>
        <w:t>争议解决期间</w:t>
      </w:r>
      <w:r>
        <w:rPr>
          <w:rFonts w:ascii="宋体" w:hAnsi="宋体"/>
          <w:color w:val="auto"/>
          <w:sz w:val="24"/>
          <w:highlight w:val="none"/>
        </w:rPr>
        <w:t>，除争议事项外，双方应继续履行本合同。</w:t>
      </w:r>
    </w:p>
    <w:p>
      <w:pPr>
        <w:pStyle w:val="17"/>
        <w:numPr>
          <w:ilvl w:val="0"/>
          <w:numId w:val="13"/>
        </w:numPr>
        <w:tabs>
          <w:tab w:val="left" w:pos="567"/>
        </w:tabs>
        <w:spacing w:before="72" w:beforeLines="30" w:after="72" w:afterLines="30" w:line="360" w:lineRule="auto"/>
        <w:ind w:left="567" w:hanging="567"/>
        <w:jc w:val="left"/>
        <w:rPr>
          <w:color w:val="auto"/>
          <w:sz w:val="24"/>
          <w:szCs w:val="24"/>
          <w:highlight w:val="none"/>
        </w:rPr>
      </w:pPr>
      <w:r>
        <w:rPr>
          <w:rFonts w:hint="eastAsia"/>
          <w:color w:val="auto"/>
          <w:sz w:val="24"/>
          <w:szCs w:val="24"/>
          <w:highlight w:val="none"/>
        </w:rPr>
        <w:t xml:space="preserve"> </w:t>
      </w:r>
      <w:r>
        <w:rPr>
          <w:color w:val="auto"/>
          <w:sz w:val="24"/>
          <w:szCs w:val="24"/>
          <w:highlight w:val="none"/>
        </w:rPr>
        <w:t>其它</w:t>
      </w:r>
    </w:p>
    <w:p>
      <w:pPr>
        <w:numPr>
          <w:ilvl w:val="1"/>
          <w:numId w:val="39"/>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39"/>
        </w:numPr>
        <w:tabs>
          <w:tab w:val="left" w:pos="567"/>
        </w:tabs>
        <w:spacing w:before="72" w:beforeLines="30" w:after="72" w:afterLines="30" w:line="360" w:lineRule="auto"/>
        <w:ind w:left="567" w:hanging="567"/>
        <w:rPr>
          <w:color w:val="auto"/>
          <w:sz w:val="24"/>
          <w:highlight w:val="none"/>
        </w:rPr>
      </w:pPr>
      <w:r>
        <w:rPr>
          <w:color w:val="auto"/>
          <w:sz w:val="24"/>
          <w:highlight w:val="none"/>
        </w:rPr>
        <w:t>本合同自买卖双方</w:t>
      </w:r>
      <w:r>
        <w:rPr>
          <w:rFonts w:hint="eastAsia"/>
          <w:color w:val="auto"/>
          <w:sz w:val="24"/>
          <w:highlight w:val="none"/>
        </w:rPr>
        <w:t>法定代表人或授权代表</w:t>
      </w:r>
      <w:r>
        <w:rPr>
          <w:color w:val="auto"/>
          <w:sz w:val="24"/>
          <w:highlight w:val="none"/>
        </w:rPr>
        <w:t>签</w:t>
      </w:r>
      <w:r>
        <w:rPr>
          <w:rFonts w:hint="eastAsia"/>
          <w:color w:val="auto"/>
          <w:sz w:val="24"/>
          <w:highlight w:val="none"/>
        </w:rPr>
        <w:t>字并盖章</w:t>
      </w:r>
      <w:r>
        <w:rPr>
          <w:color w:val="auto"/>
          <w:sz w:val="24"/>
          <w:highlight w:val="none"/>
        </w:rPr>
        <w:t>之日起生效</w:t>
      </w:r>
      <w:r>
        <w:rPr>
          <w:rFonts w:hint="eastAsia"/>
          <w:color w:val="auto"/>
          <w:sz w:val="24"/>
          <w:highlight w:val="none"/>
        </w:rPr>
        <w:t>，</w:t>
      </w:r>
      <w:r>
        <w:rPr>
          <w:rFonts w:hint="eastAsia" w:ascii="宋体" w:hAnsi="宋体"/>
          <w:color w:val="auto"/>
          <w:sz w:val="24"/>
          <w:highlight w:val="none"/>
        </w:rPr>
        <w:t>自双方履行完本合同项下全部权利和义务后终止</w:t>
      </w:r>
      <w:r>
        <w:rPr>
          <w:color w:val="auto"/>
          <w:sz w:val="24"/>
          <w:highlight w:val="none"/>
        </w:rPr>
        <w:t>。</w:t>
      </w:r>
    </w:p>
    <w:p>
      <w:pPr>
        <w:numPr>
          <w:ilvl w:val="1"/>
          <w:numId w:val="39"/>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本合同签署以前双方就本合同约定的货物买卖及</w:t>
      </w:r>
      <w:r>
        <w:rPr>
          <w:color w:val="auto"/>
          <w:sz w:val="24"/>
          <w:highlight w:val="none"/>
        </w:rPr>
        <w:t>相关事宜</w:t>
      </w:r>
      <w:r>
        <w:rPr>
          <w:rFonts w:hint="eastAsia"/>
          <w:color w:val="auto"/>
          <w:sz w:val="24"/>
          <w:highlight w:val="none"/>
        </w:rPr>
        <w:t>达成的所有口头和</w:t>
      </w:r>
      <w:r>
        <w:rPr>
          <w:color w:val="auto"/>
          <w:sz w:val="24"/>
          <w:highlight w:val="none"/>
        </w:rPr>
        <w:t>/</w:t>
      </w:r>
      <w:r>
        <w:rPr>
          <w:rFonts w:hint="eastAsia"/>
          <w:color w:val="auto"/>
          <w:sz w:val="24"/>
          <w:highlight w:val="none"/>
        </w:rPr>
        <w:t>或书面的声明、文件、信件及双方其它形式的通信在本合同生效后自动失效。</w:t>
      </w:r>
    </w:p>
    <w:p>
      <w:pPr>
        <w:numPr>
          <w:ilvl w:val="1"/>
          <w:numId w:val="39"/>
        </w:numPr>
        <w:tabs>
          <w:tab w:val="left" w:pos="567"/>
        </w:tabs>
        <w:spacing w:before="72" w:beforeLines="30" w:after="72" w:afterLines="30" w:line="360" w:lineRule="auto"/>
        <w:ind w:left="567" w:hanging="567"/>
        <w:rPr>
          <w:rFonts w:ascii="宋体" w:hAnsi="宋体"/>
          <w:color w:val="auto"/>
          <w:sz w:val="24"/>
          <w:highlight w:val="none"/>
        </w:rPr>
      </w:pPr>
      <w:r>
        <w:rPr>
          <w:rFonts w:ascii="宋体" w:hAnsi="宋体"/>
          <w:color w:val="auto"/>
          <w:sz w:val="24"/>
          <w:highlight w:val="none"/>
        </w:rPr>
        <w:t>未经另一方事先书面同意，任何一方不得以任何方式使用另一方的名称、商品商标、服务商标、企业标志、商号或品牌。</w:t>
      </w:r>
    </w:p>
    <w:p>
      <w:pPr>
        <w:numPr>
          <w:ilvl w:val="1"/>
          <w:numId w:val="39"/>
        </w:numPr>
        <w:tabs>
          <w:tab w:val="left" w:pos="567"/>
        </w:tabs>
        <w:spacing w:before="72" w:beforeLines="30" w:after="72" w:afterLines="30" w:line="360" w:lineRule="auto"/>
        <w:ind w:left="567" w:hanging="567"/>
        <w:rPr>
          <w:color w:val="auto"/>
          <w:sz w:val="24"/>
          <w:highlight w:val="none"/>
        </w:rPr>
      </w:pPr>
      <w:r>
        <w:rPr>
          <w:color w:val="auto"/>
          <w:sz w:val="24"/>
          <w:highlight w:val="none"/>
        </w:rPr>
        <w:t>如</w:t>
      </w:r>
      <w:r>
        <w:rPr>
          <w:rFonts w:hint="eastAsia"/>
          <w:color w:val="auto"/>
          <w:sz w:val="24"/>
          <w:highlight w:val="none"/>
        </w:rPr>
        <w:t>果</w:t>
      </w:r>
      <w:r>
        <w:rPr>
          <w:color w:val="auto"/>
          <w:sz w:val="24"/>
          <w:highlight w:val="none"/>
        </w:rPr>
        <w:t>本合同</w:t>
      </w:r>
      <w:r>
        <w:rPr>
          <w:rFonts w:hint="eastAsia"/>
          <w:color w:val="auto"/>
          <w:sz w:val="24"/>
          <w:highlight w:val="none"/>
        </w:rPr>
        <w:t>的</w:t>
      </w:r>
      <w:r>
        <w:rPr>
          <w:color w:val="auto"/>
          <w:sz w:val="24"/>
          <w:highlight w:val="none"/>
        </w:rPr>
        <w:t>任何条款</w:t>
      </w:r>
      <w:r>
        <w:rPr>
          <w:rFonts w:hint="eastAsia"/>
          <w:color w:val="auto"/>
          <w:sz w:val="24"/>
          <w:highlight w:val="none"/>
        </w:rPr>
        <w:t>或规定</w:t>
      </w:r>
      <w:r>
        <w:rPr>
          <w:color w:val="auto"/>
          <w:sz w:val="24"/>
          <w:highlight w:val="none"/>
        </w:rPr>
        <w:t>被裁定</w:t>
      </w:r>
      <w:r>
        <w:rPr>
          <w:rFonts w:hint="eastAsia"/>
          <w:color w:val="auto"/>
          <w:sz w:val="24"/>
          <w:highlight w:val="none"/>
        </w:rPr>
        <w:t>为</w:t>
      </w:r>
      <w:r>
        <w:rPr>
          <w:color w:val="auto"/>
          <w:sz w:val="24"/>
          <w:highlight w:val="none"/>
        </w:rPr>
        <w:t>无效、不合法或不可</w:t>
      </w:r>
      <w:r>
        <w:rPr>
          <w:rFonts w:hint="eastAsia"/>
          <w:color w:val="auto"/>
          <w:sz w:val="24"/>
          <w:highlight w:val="none"/>
        </w:rPr>
        <w:t>强制</w:t>
      </w:r>
      <w:r>
        <w:rPr>
          <w:color w:val="auto"/>
          <w:sz w:val="24"/>
          <w:highlight w:val="none"/>
        </w:rPr>
        <w:t>执行，</w:t>
      </w:r>
      <w:r>
        <w:rPr>
          <w:rFonts w:hint="eastAsia"/>
          <w:color w:val="auto"/>
          <w:sz w:val="24"/>
          <w:highlight w:val="none"/>
        </w:rPr>
        <w:t>该条款或规定应视为被删除，本合同</w:t>
      </w:r>
      <w:r>
        <w:rPr>
          <w:color w:val="auto"/>
          <w:sz w:val="24"/>
          <w:highlight w:val="none"/>
        </w:rPr>
        <w:t>其它条款</w:t>
      </w:r>
      <w:r>
        <w:rPr>
          <w:rFonts w:hint="eastAsia"/>
          <w:color w:val="auto"/>
          <w:sz w:val="24"/>
          <w:highlight w:val="none"/>
        </w:rPr>
        <w:t>不受影响，</w:t>
      </w:r>
      <w:r>
        <w:rPr>
          <w:color w:val="auto"/>
          <w:sz w:val="24"/>
          <w:highlight w:val="none"/>
        </w:rPr>
        <w:t>仍</w:t>
      </w:r>
      <w:r>
        <w:rPr>
          <w:rFonts w:hint="eastAsia"/>
          <w:color w:val="auto"/>
          <w:sz w:val="24"/>
          <w:highlight w:val="none"/>
        </w:rPr>
        <w:t>继续</w:t>
      </w:r>
      <w:r>
        <w:rPr>
          <w:color w:val="auto"/>
          <w:sz w:val="24"/>
          <w:highlight w:val="none"/>
        </w:rPr>
        <w:t>有效。</w:t>
      </w:r>
    </w:p>
    <w:p>
      <w:pPr>
        <w:numPr>
          <w:ilvl w:val="1"/>
          <w:numId w:val="39"/>
        </w:numPr>
        <w:tabs>
          <w:tab w:val="left" w:pos="567"/>
        </w:tabs>
        <w:spacing w:before="72" w:beforeLines="30" w:after="72" w:afterLines="30" w:line="360" w:lineRule="auto"/>
        <w:ind w:left="567" w:hanging="567"/>
        <w:rPr>
          <w:color w:val="auto"/>
          <w:sz w:val="24"/>
          <w:highlight w:val="none"/>
        </w:rPr>
      </w:pPr>
      <w:r>
        <w:rPr>
          <w:color w:val="auto"/>
          <w:sz w:val="24"/>
          <w:highlight w:val="none"/>
        </w:rPr>
        <w:t>本合同履行过程中，</w:t>
      </w:r>
      <w:r>
        <w:rPr>
          <w:rFonts w:hint="eastAsia"/>
          <w:color w:val="auto"/>
          <w:sz w:val="24"/>
          <w:highlight w:val="none"/>
        </w:rPr>
        <w:t>如</w:t>
      </w:r>
      <w:r>
        <w:rPr>
          <w:color w:val="auto"/>
          <w:sz w:val="24"/>
          <w:highlight w:val="none"/>
        </w:rPr>
        <w:t>卖方</w:t>
      </w:r>
      <w:r>
        <w:rPr>
          <w:rFonts w:hint="eastAsia"/>
          <w:color w:val="auto"/>
          <w:sz w:val="24"/>
          <w:highlight w:val="none"/>
        </w:rPr>
        <w:t>发生重组、</w:t>
      </w:r>
      <w:r>
        <w:rPr>
          <w:color w:val="auto"/>
          <w:sz w:val="24"/>
          <w:highlight w:val="none"/>
        </w:rPr>
        <w:t>合并、</w:t>
      </w:r>
      <w:r>
        <w:rPr>
          <w:rFonts w:hint="eastAsia"/>
          <w:color w:val="auto"/>
          <w:sz w:val="24"/>
          <w:highlight w:val="none"/>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39"/>
        </w:numPr>
        <w:tabs>
          <w:tab w:val="left" w:pos="567"/>
        </w:tabs>
        <w:spacing w:before="72" w:beforeLines="30" w:after="72" w:afterLines="30" w:line="360" w:lineRule="auto"/>
        <w:ind w:left="567" w:hanging="567"/>
        <w:rPr>
          <w:color w:val="auto"/>
          <w:sz w:val="24"/>
          <w:highlight w:val="none"/>
        </w:rPr>
      </w:pPr>
      <w:r>
        <w:rPr>
          <w:color w:val="auto"/>
          <w:sz w:val="24"/>
          <w:highlight w:val="none"/>
        </w:rPr>
        <w:t>本合同</w:t>
      </w:r>
      <w:r>
        <w:rPr>
          <w:rFonts w:hint="eastAsia"/>
          <w:color w:val="auto"/>
          <w:sz w:val="24"/>
          <w:highlight w:val="none"/>
        </w:rPr>
        <w:t>解除或终止</w:t>
      </w:r>
      <w:r>
        <w:rPr>
          <w:color w:val="auto"/>
          <w:sz w:val="24"/>
          <w:highlight w:val="none"/>
        </w:rPr>
        <w:t>后</w:t>
      </w:r>
      <w:r>
        <w:rPr>
          <w:rFonts w:hint="eastAsia"/>
          <w:color w:val="auto"/>
          <w:sz w:val="24"/>
          <w:highlight w:val="none"/>
        </w:rPr>
        <w:t>，本合同项下关于知识产权、保密、保证、责任、法律适用、争议解决和其它具有持续性效力的条款继续</w:t>
      </w:r>
      <w:r>
        <w:rPr>
          <w:color w:val="auto"/>
          <w:sz w:val="24"/>
          <w:highlight w:val="none"/>
        </w:rPr>
        <w:t>有效。</w:t>
      </w:r>
    </w:p>
    <w:p>
      <w:pPr>
        <w:numPr>
          <w:ilvl w:val="1"/>
          <w:numId w:val="39"/>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本</w:t>
      </w:r>
      <w:r>
        <w:rPr>
          <w:color w:val="auto"/>
          <w:sz w:val="24"/>
          <w:highlight w:val="none"/>
        </w:rPr>
        <w:t>合同未尽事宜，应由双方协商</w:t>
      </w:r>
      <w:r>
        <w:rPr>
          <w:rFonts w:hint="eastAsia"/>
          <w:color w:val="auto"/>
          <w:sz w:val="24"/>
          <w:highlight w:val="none"/>
        </w:rPr>
        <w:t>确定</w:t>
      </w:r>
      <w:r>
        <w:rPr>
          <w:color w:val="auto"/>
          <w:sz w:val="24"/>
          <w:highlight w:val="none"/>
        </w:rPr>
        <w:t>，并签订补充协议，补充协议与本合同具有同等法律效力。</w:t>
      </w:r>
    </w:p>
    <w:p>
      <w:pPr>
        <w:numPr>
          <w:ilvl w:val="1"/>
          <w:numId w:val="39"/>
        </w:numPr>
        <w:tabs>
          <w:tab w:val="left" w:pos="567"/>
        </w:tabs>
        <w:spacing w:before="72" w:beforeLines="30" w:after="72" w:afterLines="30" w:line="360" w:lineRule="auto"/>
        <w:ind w:left="567" w:hanging="567"/>
        <w:rPr>
          <w:color w:val="auto"/>
          <w:sz w:val="24"/>
          <w:highlight w:val="none"/>
        </w:rPr>
      </w:pPr>
      <w:r>
        <w:rPr>
          <w:color w:val="auto"/>
          <w:sz w:val="24"/>
          <w:highlight w:val="none"/>
        </w:rPr>
        <w:t>本合同的任何变更、修改或增减，须经双方协商</w:t>
      </w:r>
      <w:r>
        <w:rPr>
          <w:rFonts w:hint="eastAsia"/>
          <w:color w:val="auto"/>
          <w:sz w:val="24"/>
          <w:highlight w:val="none"/>
        </w:rPr>
        <w:t>一致、法定代表人或</w:t>
      </w:r>
      <w:r>
        <w:rPr>
          <w:color w:val="auto"/>
          <w:sz w:val="24"/>
          <w:highlight w:val="none"/>
        </w:rPr>
        <w:t>授权代表签署书面文件</w:t>
      </w:r>
      <w:r>
        <w:rPr>
          <w:rFonts w:hint="eastAsia"/>
          <w:color w:val="auto"/>
          <w:sz w:val="24"/>
          <w:highlight w:val="none"/>
        </w:rPr>
        <w:t>并盖章</w:t>
      </w:r>
      <w:r>
        <w:rPr>
          <w:color w:val="auto"/>
          <w:sz w:val="24"/>
          <w:highlight w:val="none"/>
        </w:rPr>
        <w:t>后</w:t>
      </w:r>
      <w:r>
        <w:rPr>
          <w:rFonts w:hint="eastAsia"/>
          <w:color w:val="auto"/>
          <w:sz w:val="24"/>
          <w:highlight w:val="none"/>
        </w:rPr>
        <w:t>生</w:t>
      </w:r>
      <w:r>
        <w:rPr>
          <w:color w:val="auto"/>
          <w:sz w:val="24"/>
          <w:highlight w:val="none"/>
        </w:rPr>
        <w:t>效。</w:t>
      </w:r>
    </w:p>
    <w:p>
      <w:pPr>
        <w:numPr>
          <w:ilvl w:val="1"/>
          <w:numId w:val="39"/>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39"/>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本合同系双方协商、讨论的结果，合同内容非一方当事人单方拟定。本合同不属于格式合同，条款内容不属于格式条款。</w:t>
      </w:r>
    </w:p>
    <w:p>
      <w:pPr>
        <w:numPr>
          <w:ilvl w:val="1"/>
          <w:numId w:val="39"/>
        </w:numPr>
        <w:tabs>
          <w:tab w:val="left" w:pos="567"/>
        </w:tabs>
        <w:spacing w:before="72" w:beforeLines="30" w:after="72" w:afterLines="30" w:line="360" w:lineRule="auto"/>
        <w:ind w:left="567" w:hanging="567"/>
        <w:rPr>
          <w:color w:val="auto"/>
          <w:sz w:val="24"/>
          <w:highlight w:val="none"/>
        </w:rPr>
      </w:pPr>
      <w:r>
        <w:rPr>
          <w:rFonts w:hint="eastAsia"/>
          <w:color w:val="auto"/>
          <w:sz w:val="24"/>
          <w:highlight w:val="none"/>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39"/>
        </w:numPr>
        <w:tabs>
          <w:tab w:val="left" w:pos="567"/>
        </w:tabs>
        <w:spacing w:before="72" w:beforeLines="30" w:after="72" w:afterLines="30" w:line="360" w:lineRule="auto"/>
        <w:ind w:left="567" w:hanging="567"/>
        <w:jc w:val="left"/>
        <w:rPr>
          <w:color w:val="auto"/>
          <w:sz w:val="24"/>
          <w:highlight w:val="none"/>
        </w:rPr>
      </w:pPr>
      <w:r>
        <w:rPr>
          <w:color w:val="auto"/>
          <w:sz w:val="24"/>
          <w:highlight w:val="none"/>
        </w:rPr>
        <w:t>本合</w:t>
      </w:r>
      <w:r>
        <w:rPr>
          <w:rFonts w:hint="eastAsia" w:ascii="Times New Roman" w:hAnsi="Times New Roman" w:eastAsia="宋体" w:cs="Times New Roman"/>
          <w:color w:val="auto"/>
          <w:sz w:val="24"/>
          <w:highlight w:val="none"/>
        </w:rPr>
        <w:t>同一式【</w:t>
      </w:r>
      <w:r>
        <w:rPr>
          <w:rFonts w:hint="eastAsia" w:ascii="Times New Roman" w:hAnsi="Times New Roman" w:eastAsia="宋体" w:cs="Times New Roman"/>
          <w:color w:val="auto"/>
          <w:sz w:val="24"/>
          <w:highlight w:val="none"/>
          <w:lang w:eastAsia="zh-CN"/>
        </w:rPr>
        <w:t>叁</w:t>
      </w:r>
      <w:r>
        <w:rPr>
          <w:rFonts w:hint="eastAsia" w:ascii="Times New Roman" w:hAnsi="Times New Roman" w:eastAsia="宋体" w:cs="Times New Roman"/>
          <w:color w:val="auto"/>
          <w:sz w:val="24"/>
          <w:highlight w:val="none"/>
        </w:rPr>
        <w:t>】份</w:t>
      </w:r>
      <w:r>
        <w:rPr>
          <w:color w:val="auto"/>
          <w:sz w:val="24"/>
          <w:highlight w:val="none"/>
        </w:rPr>
        <w:t>，</w:t>
      </w:r>
      <w:r>
        <w:rPr>
          <w:rFonts w:hint="eastAsia"/>
          <w:color w:val="auto"/>
          <w:sz w:val="24"/>
          <w:highlight w:val="none"/>
        </w:rPr>
        <w:t>买方持【贰】份，卖方持【壹】份</w:t>
      </w:r>
      <w:r>
        <w:rPr>
          <w:color w:val="auto"/>
          <w:sz w:val="24"/>
          <w:highlight w:val="none"/>
        </w:rPr>
        <w:t>，具有同等效力。</w:t>
      </w:r>
    </w:p>
    <w:p>
      <w:pPr>
        <w:widowControl/>
        <w:spacing w:before="72" w:beforeLines="30" w:after="72" w:afterLines="30" w:line="360" w:lineRule="auto"/>
        <w:jc w:val="left"/>
        <w:rPr>
          <w:color w:val="auto"/>
          <w:sz w:val="24"/>
          <w:highlight w:val="none"/>
        </w:rPr>
      </w:pPr>
      <w:r>
        <w:rPr>
          <w:color w:val="auto"/>
          <w:sz w:val="24"/>
          <w:highlight w:val="none"/>
        </w:rPr>
        <w:br w:type="page"/>
      </w:r>
    </w:p>
    <w:p>
      <w:pPr>
        <w:tabs>
          <w:tab w:val="left" w:pos="850"/>
        </w:tabs>
        <w:autoSpaceDE w:val="0"/>
        <w:autoSpaceDN w:val="0"/>
        <w:spacing w:before="72" w:beforeLines="30" w:after="72" w:afterLines="30" w:line="360" w:lineRule="auto"/>
        <w:jc w:val="center"/>
        <w:textAlignment w:val="bottom"/>
        <w:rPr>
          <w:b/>
          <w:color w:val="auto"/>
          <w:sz w:val="24"/>
          <w:highlight w:val="none"/>
        </w:rPr>
      </w:pPr>
      <w:r>
        <w:rPr>
          <w:rFonts w:hint="eastAsia"/>
          <w:b/>
          <w:color w:val="auto"/>
          <w:sz w:val="24"/>
          <w:highlight w:val="none"/>
        </w:rPr>
        <w:t>（本页无正文，为签章页）</w:t>
      </w:r>
    </w:p>
    <w:p>
      <w:pPr>
        <w:tabs>
          <w:tab w:val="left" w:pos="850"/>
        </w:tabs>
        <w:autoSpaceDE w:val="0"/>
        <w:autoSpaceDN w:val="0"/>
        <w:spacing w:before="72" w:beforeLines="30" w:after="72" w:afterLines="30" w:line="360" w:lineRule="auto"/>
        <w:ind w:firstLine="600"/>
        <w:textAlignment w:val="bottom"/>
        <w:rPr>
          <w:color w:val="auto"/>
          <w:sz w:val="24"/>
          <w:highlight w:val="none"/>
        </w:rPr>
      </w:pPr>
    </w:p>
    <w:tbl>
      <w:tblPr>
        <w:tblStyle w:val="19"/>
        <w:tblW w:w="5000" w:type="pct"/>
        <w:tblInd w:w="0" w:type="dxa"/>
        <w:tblLayout w:type="autofit"/>
        <w:tblCellMar>
          <w:top w:w="0" w:type="dxa"/>
          <w:left w:w="108" w:type="dxa"/>
          <w:bottom w:w="0" w:type="dxa"/>
          <w:right w:w="108" w:type="dxa"/>
        </w:tblCellMar>
      </w:tblPr>
      <w:tblGrid>
        <w:gridCol w:w="4440"/>
        <w:gridCol w:w="4088"/>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before="72" w:beforeLines="30" w:after="72" w:afterLines="30" w:line="360" w:lineRule="auto"/>
              <w:textAlignment w:val="bottom"/>
              <w:rPr>
                <w:color w:val="auto"/>
                <w:highlight w:val="none"/>
              </w:rPr>
            </w:pPr>
          </w:p>
          <w:p>
            <w:pPr>
              <w:tabs>
                <w:tab w:val="left" w:pos="850"/>
              </w:tabs>
              <w:autoSpaceDE w:val="0"/>
              <w:autoSpaceDN w:val="0"/>
              <w:spacing w:before="72" w:beforeLines="30" w:after="72" w:afterLines="30" w:line="360" w:lineRule="auto"/>
              <w:textAlignment w:val="bottom"/>
              <w:rPr>
                <w:color w:val="auto"/>
                <w:highlight w:val="none"/>
              </w:rPr>
            </w:pPr>
          </w:p>
          <w:p>
            <w:pPr>
              <w:tabs>
                <w:tab w:val="left" w:pos="850"/>
              </w:tabs>
              <w:autoSpaceDE w:val="0"/>
              <w:autoSpaceDN w:val="0"/>
              <w:spacing w:before="72" w:beforeLines="30" w:after="72" w:afterLines="30" w:line="360" w:lineRule="auto"/>
              <w:textAlignment w:val="bottom"/>
              <w:rPr>
                <w:rFonts w:hint="eastAsia"/>
                <w:color w:val="auto"/>
                <w:highlight w:val="none"/>
              </w:rPr>
            </w:pPr>
            <w:r>
              <w:rPr>
                <w:color w:val="auto"/>
                <w:highlight w:val="none"/>
              </w:rPr>
              <w:t>买方</w:t>
            </w:r>
            <w:r>
              <w:rPr>
                <w:rFonts w:hint="eastAsia"/>
                <w:color w:val="auto"/>
                <w:highlight w:val="none"/>
              </w:rPr>
              <w:t>（盖章）</w:t>
            </w:r>
          </w:p>
          <w:p>
            <w:pPr>
              <w:pStyle w:val="9"/>
              <w:ind w:left="0" w:leftChars="0" w:firstLine="0" w:firstLineChars="0"/>
              <w:rPr>
                <w:color w:val="auto"/>
                <w:highlight w:val="none"/>
              </w:rPr>
            </w:pPr>
            <w:r>
              <w:rPr>
                <w:rFonts w:hint="eastAsia"/>
                <w:color w:val="auto"/>
                <w:sz w:val="24"/>
                <w:highlight w:val="none"/>
                <w:lang w:eastAsia="zh-CN"/>
              </w:rPr>
              <w:t>中海油信息科技有限公司</w:t>
            </w:r>
          </w:p>
        </w:tc>
        <w:tc>
          <w:tcPr>
            <w:tcW w:w="2397" w:type="pct"/>
          </w:tcPr>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rFonts w:hint="eastAsia"/>
                <w:color w:val="auto"/>
                <w:highlight w:val="none"/>
              </w:rPr>
            </w:pPr>
            <w:r>
              <w:rPr>
                <w:color w:val="auto"/>
                <w:highlight w:val="none"/>
              </w:rPr>
              <w:t>卖方</w:t>
            </w:r>
            <w:r>
              <w:rPr>
                <w:rFonts w:hint="eastAsia"/>
                <w:color w:val="auto"/>
                <w:highlight w:val="none"/>
              </w:rPr>
              <w:t>（盖章）</w:t>
            </w:r>
          </w:p>
          <w:p>
            <w:pPr>
              <w:pStyle w:val="9"/>
              <w:ind w:left="0" w:leftChars="0" w:firstLine="0" w:firstLineChars="0"/>
              <w:rPr>
                <w:rFonts w:hint="eastAsia" w:eastAsia="宋体"/>
                <w:color w:val="auto"/>
                <w:sz w:val="24"/>
                <w:highlight w:val="none"/>
                <w:lang w:eastAsia="zh-CN"/>
              </w:rPr>
            </w:pPr>
          </w:p>
          <w:p>
            <w:pPr>
              <w:tabs>
                <w:tab w:val="left" w:pos="850"/>
              </w:tabs>
              <w:autoSpaceDE w:val="0"/>
              <w:autoSpaceDN w:val="0"/>
              <w:spacing w:before="72" w:beforeLines="30" w:after="72" w:afterLines="30" w:line="360" w:lineRule="auto"/>
              <w:textAlignment w:val="bottom"/>
              <w:rPr>
                <w:color w:val="auto"/>
                <w:sz w:val="24"/>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72" w:beforeLines="30" w:after="72" w:afterLines="30" w:line="360" w:lineRule="auto"/>
              <w:textAlignment w:val="bottom"/>
              <w:rPr>
                <w:color w:val="auto"/>
                <w:sz w:val="24"/>
                <w:highlight w:val="none"/>
              </w:rPr>
            </w:pPr>
            <w:r>
              <w:rPr>
                <w:color w:val="auto"/>
                <w:sz w:val="24"/>
                <w:highlight w:val="none"/>
              </w:rPr>
              <w:t>法定代表人或授权代表签字：</w:t>
            </w: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tc>
        <w:tc>
          <w:tcPr>
            <w:tcW w:w="2397" w:type="pct"/>
            <w:vAlign w:val="center"/>
          </w:tcPr>
          <w:p>
            <w:pPr>
              <w:tabs>
                <w:tab w:val="left" w:pos="850"/>
              </w:tabs>
              <w:autoSpaceDE w:val="0"/>
              <w:autoSpaceDN w:val="0"/>
              <w:spacing w:before="72" w:beforeLines="30" w:after="72" w:afterLines="30" w:line="360" w:lineRule="auto"/>
              <w:textAlignment w:val="bottom"/>
              <w:rPr>
                <w:color w:val="auto"/>
                <w:sz w:val="24"/>
                <w:highlight w:val="none"/>
              </w:rPr>
            </w:pPr>
            <w:r>
              <w:rPr>
                <w:color w:val="auto"/>
                <w:sz w:val="24"/>
                <w:highlight w:val="none"/>
              </w:rPr>
              <w:t>法定代表人或授权代表签字：</w:t>
            </w: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p>
          <w:p>
            <w:pPr>
              <w:tabs>
                <w:tab w:val="left" w:pos="850"/>
              </w:tabs>
              <w:autoSpaceDE w:val="0"/>
              <w:autoSpaceDN w:val="0"/>
              <w:spacing w:before="72" w:beforeLines="30" w:after="72" w:afterLines="30" w:line="360" w:lineRule="auto"/>
              <w:textAlignment w:val="bottom"/>
              <w:rPr>
                <w:color w:val="auto"/>
                <w:sz w:val="24"/>
                <w:highlight w:val="none"/>
              </w:rPr>
            </w:pP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tc>
      </w:tr>
    </w:tbl>
    <w:p>
      <w:pPr>
        <w:spacing w:before="72" w:beforeLines="30" w:after="72" w:afterLines="30" w:line="360" w:lineRule="auto"/>
        <w:rPr>
          <w:color w:val="auto"/>
          <w:sz w:val="24"/>
          <w:highlight w:val="none"/>
        </w:rPr>
      </w:pPr>
      <w:r>
        <w:rPr>
          <w:rFonts w:hint="eastAsia"/>
          <w:color w:val="auto"/>
          <w:sz w:val="24"/>
          <w:highlight w:val="none"/>
          <w:lang w:eastAsia="zh-CN"/>
        </w:rPr>
        <w:t>日期</w:t>
      </w:r>
      <w:r>
        <w:rPr>
          <w:rFonts w:hint="eastAsia"/>
          <w:color w:val="auto"/>
          <w:sz w:val="24"/>
          <w:highlight w:val="none"/>
        </w:rPr>
        <w:t>：</w:t>
      </w:r>
      <w:r>
        <w:rPr>
          <w:rFonts w:hint="eastAsia"/>
          <w:color w:val="auto"/>
          <w:sz w:val="24"/>
          <w:highlight w:val="none"/>
          <w:u w:val="single"/>
          <w:lang w:val="en-US" w:eastAsia="zh-CN"/>
        </w:rPr>
        <w:t>2024 年  月  日</w:t>
      </w:r>
      <w:r>
        <w:rPr>
          <w:rFonts w:hint="eastAsia"/>
          <w:color w:val="auto"/>
          <w:sz w:val="24"/>
          <w:highlight w:val="none"/>
          <w:u w:val="single"/>
        </w:rPr>
        <w:t xml:space="preserve"> </w:t>
      </w:r>
      <w:r>
        <w:rPr>
          <w:rFonts w:hint="eastAsia"/>
          <w:color w:val="auto"/>
          <w:sz w:val="24"/>
          <w:highlight w:val="none"/>
        </w:rPr>
        <w:tab/>
      </w:r>
      <w:r>
        <w:rPr>
          <w:rFonts w:hint="eastAsia"/>
          <w:color w:val="auto"/>
          <w:sz w:val="24"/>
          <w:highlight w:val="none"/>
        </w:rPr>
        <w:tab/>
      </w:r>
      <w:r>
        <w:rPr>
          <w:rFonts w:hint="eastAsia"/>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 xml:space="preserve">  </w:t>
      </w:r>
      <w:r>
        <w:rPr>
          <w:rFonts w:hint="eastAsia"/>
          <w:color w:val="auto"/>
          <w:sz w:val="24"/>
          <w:highlight w:val="none"/>
          <w:lang w:eastAsia="zh-CN"/>
        </w:rPr>
        <w:t>日期</w:t>
      </w:r>
      <w:r>
        <w:rPr>
          <w:rFonts w:hint="eastAsia"/>
          <w:color w:val="auto"/>
          <w:sz w:val="24"/>
          <w:highlight w:val="none"/>
        </w:rPr>
        <w:t>：</w:t>
      </w:r>
      <w:r>
        <w:rPr>
          <w:rFonts w:hint="eastAsia"/>
          <w:color w:val="auto"/>
          <w:sz w:val="24"/>
          <w:highlight w:val="none"/>
          <w:u w:val="single"/>
          <w:lang w:val="en-US" w:eastAsia="zh-CN"/>
        </w:rPr>
        <w:t xml:space="preserve">2024年  月  日 </w:t>
      </w: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color w:val="auto"/>
          <w:sz w:val="24"/>
          <w:highlight w:val="none"/>
        </w:rPr>
      </w:pPr>
    </w:p>
    <w:p>
      <w:pPr>
        <w:widowControl/>
        <w:spacing w:before="72" w:beforeLines="30" w:after="72" w:afterLines="30" w:line="360" w:lineRule="auto"/>
        <w:jc w:val="left"/>
        <w:rPr>
          <w:b/>
          <w:bCs/>
          <w:iCs/>
          <w:color w:val="auto"/>
          <w:kern w:val="0"/>
          <w:sz w:val="24"/>
          <w:highlight w:val="none"/>
        </w:rPr>
        <w:sectPr>
          <w:footerReference r:id="rId6" w:type="first"/>
          <w:footerReference r:id="rId4" w:type="default"/>
          <w:headerReference r:id="rId3" w:type="even"/>
          <w:footerReference r:id="rId5" w:type="even"/>
          <w:pgSz w:w="11906" w:h="16838"/>
          <w:pgMar w:top="1440" w:right="1797" w:bottom="1318" w:left="1797" w:header="851" w:footer="992" w:gutter="0"/>
          <w:pgNumType w:fmt="decimal" w:start="1"/>
          <w:cols w:space="425" w:num="1"/>
          <w:titlePg/>
          <w:docGrid w:linePitch="312" w:charSpace="0"/>
        </w:sectPr>
      </w:pPr>
      <w:r>
        <w:rPr>
          <w:b/>
          <w:bCs/>
          <w:iCs/>
          <w:color w:val="auto"/>
          <w:kern w:val="0"/>
          <w:sz w:val="24"/>
          <w:highlight w:val="none"/>
        </w:rPr>
        <w:br w:type="page"/>
      </w:r>
    </w:p>
    <w:p>
      <w:pPr>
        <w:widowControl/>
        <w:spacing w:before="72" w:beforeLines="30" w:after="72" w:afterLines="30" w:line="360" w:lineRule="auto"/>
        <w:jc w:val="left"/>
        <w:rPr>
          <w:rFonts w:hint="eastAsia"/>
          <w:b/>
          <w:bCs/>
          <w:iCs/>
          <w:color w:val="auto"/>
          <w:kern w:val="0"/>
          <w:sz w:val="24"/>
          <w:highlight w:val="none"/>
        </w:rPr>
      </w:pPr>
      <w:r>
        <w:rPr>
          <w:rFonts w:hint="eastAsia"/>
          <w:b/>
          <w:bCs/>
          <w:iCs/>
          <w:color w:val="auto"/>
          <w:kern w:val="0"/>
          <w:sz w:val="24"/>
          <w:highlight w:val="none"/>
        </w:rPr>
        <w:t>附件一：价格表</w:t>
      </w:r>
    </w:p>
    <w:p>
      <w:pPr>
        <w:pStyle w:val="5"/>
        <w:numPr>
          <w:ilvl w:val="0"/>
          <w:numId w:val="0"/>
        </w:numPr>
        <w:tabs>
          <w:tab w:val="left" w:pos="850"/>
        </w:tabs>
        <w:ind w:left="425" w:leftChars="0"/>
        <w:jc w:val="right"/>
        <w:rPr>
          <w:rFonts w:hint="default" w:eastAsia="宋体"/>
          <w:color w:val="auto"/>
          <w:sz w:val="20"/>
          <w:szCs w:val="13"/>
          <w:highlight w:val="none"/>
          <w:lang w:val="en-US" w:eastAsia="zh-CN"/>
        </w:rPr>
      </w:pPr>
      <w:r>
        <w:rPr>
          <w:rFonts w:hint="eastAsia"/>
          <w:b/>
          <w:bCs/>
          <w:iCs/>
          <w:color w:val="auto"/>
          <w:kern w:val="0"/>
          <w:sz w:val="18"/>
          <w:szCs w:val="13"/>
          <w:highlight w:val="none"/>
          <w:lang w:val="en-US" w:eastAsia="zh-CN"/>
        </w:rPr>
        <w:t>单位：元</w:t>
      </w:r>
    </w:p>
    <w:p>
      <w:pPr>
        <w:widowControl/>
        <w:spacing w:before="72" w:beforeLines="30" w:after="72" w:afterLines="30" w:line="360" w:lineRule="auto"/>
        <w:jc w:val="left"/>
        <w:rPr>
          <w:b/>
          <w:bCs/>
          <w:iCs/>
          <w:color w:val="auto"/>
          <w:kern w:val="0"/>
          <w:sz w:val="24"/>
          <w:highlight w:val="none"/>
        </w:rPr>
        <w:sectPr>
          <w:pgSz w:w="11906" w:h="16838"/>
          <w:pgMar w:top="1440" w:right="1797" w:bottom="1440" w:left="1797" w:header="851" w:footer="992" w:gutter="0"/>
          <w:pgNumType w:fmt="decimal"/>
          <w:cols w:space="0" w:num="1"/>
          <w:titlePg/>
          <w:rtlGutter w:val="0"/>
          <w:docGrid w:linePitch="312" w:charSpace="0"/>
        </w:sectPr>
      </w:pPr>
      <w:r>
        <w:rPr>
          <w:b/>
          <w:bCs/>
          <w:iCs/>
          <w:color w:val="auto"/>
          <w:kern w:val="0"/>
          <w:sz w:val="24"/>
          <w:highlight w:val="none"/>
        </w:rPr>
        <w:br w:type="page"/>
      </w:r>
    </w:p>
    <w:p>
      <w:pPr>
        <w:widowControl/>
        <w:spacing w:before="72" w:beforeLines="30" w:after="72" w:afterLines="30" w:line="360" w:lineRule="auto"/>
        <w:jc w:val="left"/>
        <w:rPr>
          <w:b/>
          <w:bCs/>
          <w:color w:val="auto"/>
          <w:sz w:val="24"/>
          <w:highlight w:val="none"/>
        </w:rPr>
      </w:pPr>
      <w:r>
        <w:rPr>
          <w:rFonts w:hint="eastAsia"/>
          <w:b/>
          <w:bCs/>
          <w:iCs/>
          <w:color w:val="auto"/>
          <w:kern w:val="0"/>
          <w:sz w:val="24"/>
          <w:highlight w:val="none"/>
        </w:rPr>
        <w:t>附件二：</w:t>
      </w:r>
      <w:r>
        <w:rPr>
          <w:rFonts w:hint="eastAsia" w:hAnsi="宋体"/>
          <w:b/>
          <w:bCs/>
          <w:color w:val="auto"/>
          <w:sz w:val="24"/>
          <w:highlight w:val="none"/>
        </w:rPr>
        <w:t>技术规格书</w:t>
      </w:r>
    </w:p>
    <w:p>
      <w:pPr>
        <w:pStyle w:val="9"/>
        <w:keepNext w:val="0"/>
        <w:keepLines w:val="0"/>
        <w:pageBreakBefore w:val="0"/>
        <w:widowControl w:val="0"/>
        <w:numPr>
          <w:ilvl w:val="0"/>
          <w:numId w:val="0"/>
        </w:numPr>
        <w:kinsoku/>
        <w:wordWrap/>
        <w:overflowPunct/>
        <w:topLinePunct w:val="0"/>
        <w:bidi w:val="0"/>
        <w:spacing w:before="0" w:line="360" w:lineRule="auto"/>
        <w:ind w:leftChars="100" w:right="125" w:rightChars="0" w:firstLine="420" w:firstLineChars="200"/>
        <w:textAlignment w:val="auto"/>
        <w:rPr>
          <w:rFonts w:hint="eastAsia" w:asciiTheme="minorEastAsia" w:hAnsiTheme="minorEastAsia" w:eastAsiaTheme="minorEastAsia" w:cstheme="minorEastAsia"/>
          <w:b w:val="0"/>
          <w:bCs w:val="0"/>
          <w:color w:val="auto"/>
          <w:kern w:val="44"/>
          <w:sz w:val="21"/>
          <w:szCs w:val="21"/>
          <w:highlight w:val="none"/>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360" w:lineRule="auto"/>
        <w:ind w:leftChars="202" w:right="125" w:rightChars="0"/>
        <w:jc w:val="both"/>
        <w:textAlignment w:val="auto"/>
        <w:rPr>
          <w:rFonts w:hint="eastAsia" w:asciiTheme="minorEastAsia" w:hAnsiTheme="minorEastAsia" w:eastAsiaTheme="minorEastAsia" w:cstheme="minorEastAsia"/>
          <w:color w:val="auto"/>
          <w:sz w:val="21"/>
          <w:szCs w:val="21"/>
          <w:highlight w:val="none"/>
          <w:lang w:eastAsia="zh-CN"/>
        </w:rPr>
        <w:sectPr>
          <w:pgSz w:w="11906" w:h="16838"/>
          <w:pgMar w:top="1440" w:right="1797" w:bottom="1440" w:left="1797" w:header="851" w:footer="992" w:gutter="0"/>
          <w:pgNumType w:fmt="decimal"/>
          <w:cols w:space="425" w:num="1"/>
          <w:titlePg/>
          <w:docGrid w:linePitch="312" w:charSpace="0"/>
        </w:sectPr>
      </w:pPr>
      <w:r>
        <w:rPr>
          <w:rFonts w:hint="eastAsia" w:asciiTheme="minorEastAsia" w:hAnsiTheme="minorEastAsia" w:eastAsiaTheme="minorEastAsia" w:cstheme="minorEastAsia"/>
          <w:color w:val="auto"/>
          <w:sz w:val="21"/>
          <w:szCs w:val="21"/>
          <w:highlight w:val="none"/>
          <w:lang w:eastAsia="zh-CN"/>
        </w:rPr>
        <w:br w:type="page"/>
      </w:r>
    </w:p>
    <w:p>
      <w:pPr>
        <w:rPr>
          <w:rFonts w:ascii="宋体" w:hAnsi="宋体" w:eastAsia="宋体" w:cs="宋体"/>
          <w:color w:val="auto"/>
          <w:sz w:val="24"/>
          <w:szCs w:val="24"/>
          <w:highlight w:val="none"/>
        </w:rPr>
      </w:pPr>
      <w:r>
        <w:rPr>
          <w:rFonts w:hint="eastAsia"/>
          <w:b/>
          <w:bCs/>
          <w:color w:val="auto"/>
          <w:kern w:val="0"/>
          <w:sz w:val="24"/>
          <w:highlight w:val="none"/>
          <w:lang w:val="en-US" w:eastAsia="zh-CN"/>
        </w:rPr>
        <w:t>附件三</w:t>
      </w:r>
      <w:r>
        <w:rPr>
          <w:rFonts w:hint="eastAsia"/>
          <w:color w:val="auto"/>
          <w:highlight w:val="none"/>
          <w:lang w:val="en-US" w:eastAsia="zh-CN"/>
        </w:rPr>
        <w:t>：</w:t>
      </w:r>
      <w:r>
        <w:rPr>
          <w:rFonts w:ascii="宋体" w:hAnsi="宋体" w:eastAsia="宋体" w:cs="宋体"/>
          <w:color w:val="auto"/>
          <w:sz w:val="24"/>
          <w:szCs w:val="24"/>
          <w:highlight w:val="none"/>
        </w:rPr>
        <w:t>送货单（格式）</w:t>
      </w:r>
    </w:p>
    <w:tbl>
      <w:tblPr>
        <w:tblStyle w:val="19"/>
        <w:tblW w:w="136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2"/>
        <w:gridCol w:w="1222"/>
        <w:gridCol w:w="2250"/>
        <w:gridCol w:w="2542"/>
        <w:gridCol w:w="1740"/>
        <w:gridCol w:w="1390"/>
        <w:gridCol w:w="1662"/>
        <w:gridCol w:w="1016"/>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362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b/>
                <w:bCs/>
                <w:i w:val="0"/>
                <w:iCs w:val="0"/>
                <w:color w:val="auto"/>
                <w:sz w:val="32"/>
                <w:szCs w:val="32"/>
                <w:highlight w:val="none"/>
                <w:u w:val="none"/>
                <w:lang w:val="en-US"/>
              </w:rPr>
            </w:pPr>
            <w:r>
              <w:rPr>
                <w:rFonts w:hint="eastAsia" w:ascii="黑体" w:hAnsi="宋体" w:eastAsia="黑体" w:cs="黑体"/>
                <w:b/>
                <w:bCs/>
                <w:i w:val="0"/>
                <w:iCs w:val="0"/>
                <w:color w:val="auto"/>
                <w:kern w:val="0"/>
                <w:sz w:val="32"/>
                <w:szCs w:val="3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1650365</wp:posOffset>
                  </wp:positionH>
                  <wp:positionV relativeFrom="paragraph">
                    <wp:posOffset>64135</wp:posOffset>
                  </wp:positionV>
                  <wp:extent cx="548005" cy="425450"/>
                  <wp:effectExtent l="0" t="0" r="4445" b="12700"/>
                  <wp:wrapNone/>
                  <wp:docPr id="3" name="图片_6"/>
                  <wp:cNvGraphicFramePr/>
                  <a:graphic xmlns:a="http://schemas.openxmlformats.org/drawingml/2006/main">
                    <a:graphicData uri="http://schemas.openxmlformats.org/drawingml/2006/picture">
                      <pic:pic xmlns:pic="http://schemas.openxmlformats.org/drawingml/2006/picture">
                        <pic:nvPicPr>
                          <pic:cNvPr id="3" name="图片_6"/>
                          <pic:cNvPicPr/>
                        </pic:nvPicPr>
                        <pic:blipFill>
                          <a:blip r:embed="rId10"/>
                          <a:stretch>
                            <a:fillRect/>
                          </a:stretch>
                        </pic:blipFill>
                        <pic:spPr>
                          <a:xfrm>
                            <a:off x="0" y="0"/>
                            <a:ext cx="548005" cy="425450"/>
                          </a:xfrm>
                          <a:prstGeom prst="rect">
                            <a:avLst/>
                          </a:prstGeom>
                          <a:noFill/>
                          <a:ln>
                            <a:noFill/>
                          </a:ln>
                        </pic:spPr>
                      </pic:pic>
                    </a:graphicData>
                  </a:graphic>
                </wp:anchor>
              </w:drawing>
            </w:r>
            <w:r>
              <w:rPr>
                <w:rFonts w:hint="eastAsia" w:ascii="黑体" w:hAnsi="宋体" w:eastAsia="黑体" w:cs="黑体"/>
                <w:b/>
                <w:bCs/>
                <w:i w:val="0"/>
                <w:iCs w:val="0"/>
                <w:color w:val="auto"/>
                <w:kern w:val="0"/>
                <w:sz w:val="32"/>
                <w:szCs w:val="32"/>
                <w:highlight w:val="none"/>
                <w:u w:val="none"/>
                <w:lang w:val="en-US" w:eastAsia="zh-CN" w:bidi="ar"/>
              </w:rPr>
              <w:t>中海油能源发展股份有限公司</w:t>
            </w:r>
            <w:r>
              <w:rPr>
                <w:rFonts w:hint="eastAsia" w:ascii="黑体" w:hAnsi="宋体" w:eastAsia="黑体" w:cs="黑体"/>
                <w:b/>
                <w:bCs/>
                <w:i w:val="0"/>
                <w:iCs w:val="0"/>
                <w:color w:val="auto"/>
                <w:kern w:val="0"/>
                <w:sz w:val="32"/>
                <w:szCs w:val="32"/>
                <w:highlight w:val="none"/>
                <w:u w:val="none"/>
                <w:lang w:val="en-US" w:eastAsia="zh-CN" w:bidi="ar"/>
              </w:rPr>
              <w:br w:type="textWrapping"/>
            </w:r>
            <w:r>
              <w:rPr>
                <w:rFonts w:hint="eastAsia" w:ascii="黑体" w:hAnsi="宋体" w:eastAsia="黑体" w:cs="黑体"/>
                <w:b/>
                <w:bCs/>
                <w:i w:val="0"/>
                <w:iCs w:val="0"/>
                <w:color w:val="auto"/>
                <w:kern w:val="0"/>
                <w:sz w:val="32"/>
                <w:szCs w:val="32"/>
                <w:highlight w:val="none"/>
                <w:u w:val="none"/>
                <w:lang w:val="en-US" w:eastAsia="zh-CN" w:bidi="ar"/>
              </w:rPr>
              <w:t>物资送货单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200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合同或订单名称：</w:t>
            </w:r>
          </w:p>
        </w:tc>
        <w:tc>
          <w:tcPr>
            <w:tcW w:w="479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采购合同号：</w:t>
            </w:r>
          </w:p>
        </w:tc>
        <w:tc>
          <w:tcPr>
            <w:tcW w:w="5084"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0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79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采购订单号：</w:t>
            </w:r>
          </w:p>
        </w:tc>
        <w:tc>
          <w:tcPr>
            <w:tcW w:w="5084"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20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收货地址：</w:t>
            </w:r>
          </w:p>
        </w:tc>
        <w:tc>
          <w:tcPr>
            <w:tcW w:w="47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收货人：</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联系电话：</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供应商名称：</w:t>
            </w:r>
          </w:p>
        </w:tc>
        <w:tc>
          <w:tcPr>
            <w:tcW w:w="47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供应商联系人：</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联系电话：</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20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收货方单位名称：</w:t>
            </w:r>
          </w:p>
        </w:tc>
        <w:tc>
          <w:tcPr>
            <w:tcW w:w="47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直达料</w:t>
            </w:r>
          </w:p>
        </w:tc>
        <w:tc>
          <w:tcPr>
            <w:tcW w:w="508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    N□</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（由收货人员勾选）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362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到货物资信息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SAP物料编码</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2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本次送货数量</w:t>
            </w:r>
          </w:p>
        </w:tc>
        <w:tc>
          <w:tcPr>
            <w:tcW w:w="1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订单/合同物料序号</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032" w:type="dxa"/>
            <w:gridSpan w:val="2"/>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032" w:type="dxa"/>
            <w:gridSpan w:val="2"/>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032" w:type="dxa"/>
            <w:gridSpan w:val="2"/>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542"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032" w:type="dxa"/>
            <w:gridSpan w:val="2"/>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96"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送货批次：第   批，共    批；</w:t>
            </w:r>
          </w:p>
        </w:tc>
        <w:tc>
          <w:tcPr>
            <w:tcW w:w="1740" w:type="dxa"/>
            <w:tcBorders>
              <w:top w:val="nil"/>
              <w:left w:val="nil"/>
              <w:bottom w:val="nil"/>
              <w:right w:val="nil"/>
            </w:tcBorders>
            <w:noWrap w:val="0"/>
            <w:vAlign w:val="center"/>
          </w:tcPr>
          <w:p>
            <w:pPr>
              <w:rPr>
                <w:rFonts w:hint="eastAsia" w:ascii="宋体" w:hAnsi="宋体" w:eastAsia="宋体" w:cs="宋体"/>
                <w:i w:val="0"/>
                <w:iCs w:val="0"/>
                <w:color w:val="auto"/>
                <w:sz w:val="20"/>
                <w:szCs w:val="20"/>
                <w:highlight w:val="none"/>
                <w:u w:val="none"/>
              </w:rPr>
            </w:pPr>
          </w:p>
        </w:tc>
        <w:tc>
          <w:tcPr>
            <w:tcW w:w="5084"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收货人: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96"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送货人(签字/盖章)：</w:t>
            </w:r>
          </w:p>
        </w:tc>
        <w:tc>
          <w:tcPr>
            <w:tcW w:w="1740" w:type="dxa"/>
            <w:tcBorders>
              <w:top w:val="nil"/>
              <w:left w:val="nil"/>
              <w:bottom w:val="nil"/>
              <w:right w:val="nil"/>
            </w:tcBorders>
            <w:noWrap w:val="0"/>
            <w:vAlign w:val="center"/>
          </w:tcPr>
          <w:p>
            <w:pPr>
              <w:rPr>
                <w:rFonts w:hint="eastAsia" w:ascii="宋体" w:hAnsi="宋体" w:eastAsia="宋体" w:cs="宋体"/>
                <w:i w:val="0"/>
                <w:iCs w:val="0"/>
                <w:color w:val="auto"/>
                <w:sz w:val="24"/>
                <w:szCs w:val="24"/>
                <w:highlight w:val="none"/>
                <w:u w:val="none"/>
              </w:rPr>
            </w:pPr>
          </w:p>
        </w:tc>
        <w:tc>
          <w:tcPr>
            <w:tcW w:w="5084"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收货日期：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96" w:type="dxa"/>
            <w:gridSpan w:val="4"/>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本次送货日期：</w:t>
            </w:r>
          </w:p>
        </w:tc>
        <w:tc>
          <w:tcPr>
            <w:tcW w:w="1740" w:type="dxa"/>
            <w:tcBorders>
              <w:top w:val="nil"/>
              <w:left w:val="nil"/>
              <w:bottom w:val="nil"/>
              <w:right w:val="nil"/>
            </w:tcBorders>
            <w:noWrap w:val="0"/>
            <w:vAlign w:val="center"/>
          </w:tcPr>
          <w:p>
            <w:pPr>
              <w:rPr>
                <w:rFonts w:hint="eastAsia" w:ascii="宋体" w:hAnsi="宋体" w:eastAsia="宋体" w:cs="宋体"/>
                <w:i w:val="0"/>
                <w:iCs w:val="0"/>
                <w:color w:val="auto"/>
                <w:sz w:val="24"/>
                <w:szCs w:val="24"/>
                <w:highlight w:val="none"/>
                <w:u w:val="none"/>
              </w:rPr>
            </w:pPr>
          </w:p>
        </w:tc>
        <w:tc>
          <w:tcPr>
            <w:tcW w:w="1390" w:type="dxa"/>
            <w:tcBorders>
              <w:top w:val="nil"/>
              <w:left w:val="nil"/>
              <w:bottom w:val="nil"/>
              <w:right w:val="nil"/>
            </w:tcBorders>
            <w:noWrap w:val="0"/>
            <w:vAlign w:val="center"/>
          </w:tcPr>
          <w:p>
            <w:pPr>
              <w:rPr>
                <w:rFonts w:hint="eastAsia" w:ascii="宋体" w:hAnsi="宋体" w:eastAsia="宋体" w:cs="宋体"/>
                <w:i w:val="0"/>
                <w:iCs w:val="0"/>
                <w:color w:val="auto"/>
                <w:sz w:val="22"/>
                <w:szCs w:val="22"/>
                <w:highlight w:val="none"/>
                <w:u w:val="none"/>
              </w:rPr>
            </w:pPr>
          </w:p>
        </w:tc>
        <w:tc>
          <w:tcPr>
            <w:tcW w:w="1662" w:type="dxa"/>
            <w:tcBorders>
              <w:top w:val="nil"/>
              <w:left w:val="nil"/>
              <w:bottom w:val="nil"/>
              <w:right w:val="nil"/>
            </w:tcBorders>
            <w:noWrap w:val="0"/>
            <w:vAlign w:val="center"/>
          </w:tcPr>
          <w:p>
            <w:pPr>
              <w:rPr>
                <w:rFonts w:hint="eastAsia" w:ascii="宋体" w:hAnsi="宋体" w:eastAsia="宋体" w:cs="宋体"/>
                <w:i w:val="0"/>
                <w:iCs w:val="0"/>
                <w:color w:val="auto"/>
                <w:sz w:val="22"/>
                <w:szCs w:val="22"/>
                <w:highlight w:val="none"/>
                <w:u w:val="none"/>
              </w:rPr>
            </w:pPr>
          </w:p>
        </w:tc>
        <w:tc>
          <w:tcPr>
            <w:tcW w:w="1016" w:type="dxa"/>
            <w:tcBorders>
              <w:top w:val="nil"/>
              <w:left w:val="nil"/>
              <w:bottom w:val="nil"/>
              <w:right w:val="nil"/>
            </w:tcBorders>
            <w:noWrap w:val="0"/>
            <w:vAlign w:val="center"/>
          </w:tcPr>
          <w:p>
            <w:pPr>
              <w:rPr>
                <w:rFonts w:hint="eastAsia" w:ascii="宋体" w:hAnsi="宋体" w:eastAsia="宋体" w:cs="宋体"/>
                <w:i w:val="0"/>
                <w:iCs w:val="0"/>
                <w:color w:val="auto"/>
                <w:sz w:val="22"/>
                <w:szCs w:val="22"/>
                <w:highlight w:val="none"/>
                <w:u w:val="none"/>
              </w:rPr>
            </w:pPr>
          </w:p>
        </w:tc>
        <w:tc>
          <w:tcPr>
            <w:tcW w:w="1016" w:type="dxa"/>
            <w:tcBorders>
              <w:top w:val="nil"/>
              <w:left w:val="nil"/>
              <w:bottom w:val="nil"/>
              <w:right w:val="nil"/>
            </w:tcBorders>
            <w:noWrap w:val="0"/>
            <w:vAlign w:val="center"/>
          </w:tcPr>
          <w:p>
            <w:pPr>
              <w:rPr>
                <w:rFonts w:hint="eastAsia" w:ascii="宋体" w:hAnsi="宋体" w:eastAsia="宋体" w:cs="宋体"/>
                <w:i w:val="0"/>
                <w:iCs w:val="0"/>
                <w:color w:val="auto"/>
                <w:sz w:val="22"/>
                <w:szCs w:val="22"/>
                <w:highlight w:val="none"/>
                <w:u w:val="none"/>
              </w:rPr>
            </w:pPr>
          </w:p>
        </w:tc>
      </w:tr>
    </w:tbl>
    <w:p>
      <w:pPr>
        <w:pageBreakBefore w:val="0"/>
        <w:widowControl w:val="0"/>
        <w:kinsoku/>
        <w:wordWrap/>
        <w:overflowPunct/>
        <w:topLinePunct w:val="0"/>
        <w:autoSpaceDE/>
        <w:autoSpaceDN/>
        <w:bidi w:val="0"/>
        <w:adjustRightInd/>
        <w:snapToGrid/>
        <w:spacing w:line="240" w:lineRule="auto"/>
        <w:textAlignment w:val="auto"/>
        <w:rPr>
          <w:rFonts w:hint="eastAsia"/>
          <w:color w:val="auto"/>
          <w:highlight w:val="none"/>
          <w:lang w:val="en-US" w:eastAsia="zh-CN"/>
        </w:rPr>
      </w:pP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p>
    <w:p>
      <w:pPr>
        <w:pageBreakBefore w:val="0"/>
        <w:widowControl w:val="0"/>
        <w:numPr>
          <w:ilvl w:val="0"/>
          <w:numId w:val="4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供应商送货时，必须附与送货单相关的订单明细或合同明细。</w:t>
      </w:r>
    </w:p>
    <w:p>
      <w:pPr>
        <w:pageBreakBefore w:val="0"/>
        <w:widowControl w:val="0"/>
        <w:numPr>
          <w:ilvl w:val="0"/>
          <w:numId w:val="4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需求名称按照订单或合同名称填写；订单类采购合同号、采购订单号、ERP订单号必填；单项次合同无采购订单号，填写“无”。</w:t>
      </w:r>
    </w:p>
    <w:p>
      <w:pPr>
        <w:pageBreakBefore w:val="0"/>
        <w:widowControl w:val="0"/>
        <w:numPr>
          <w:ilvl w:val="0"/>
          <w:numId w:val="4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物资名称、规格型号、单位、本次送货数量必填；单项次合同的SAP物料编码可以不填，订单类的SAP物料编码必填。</w:t>
      </w:r>
    </w:p>
    <w:p>
      <w:pPr>
        <w:pageBreakBefore w:val="0"/>
        <w:widowControl w:val="0"/>
        <w:numPr>
          <w:ilvl w:val="0"/>
          <w:numId w:val="4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订单/合同物料序号： 按照合同或订单的物料明细序号填写，必填项。</w:t>
      </w:r>
    </w:p>
    <w:p>
      <w:pPr>
        <w:pageBreakBefore w:val="0"/>
        <w:widowControl w:val="0"/>
        <w:numPr>
          <w:ilvl w:val="0"/>
          <w:numId w:val="40"/>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第几批、共几批必须准确填写。</w:t>
      </w:r>
    </w:p>
    <w:p>
      <w:pPr>
        <w:pageBreakBefore w:val="0"/>
        <w:widowControl w:val="0"/>
        <w:numPr>
          <w:ilvl w:val="0"/>
          <w:numId w:val="40"/>
        </w:numPr>
        <w:kinsoku/>
        <w:wordWrap/>
        <w:overflowPunct/>
        <w:topLinePunct w:val="0"/>
        <w:autoSpaceDE/>
        <w:autoSpaceDN/>
        <w:bidi w:val="0"/>
        <w:adjustRightInd/>
        <w:snapToGrid/>
        <w:spacing w:line="240" w:lineRule="auto"/>
        <w:textAlignment w:val="auto"/>
        <w:rPr>
          <w:rFonts w:hint="eastAsia"/>
          <w:color w:val="auto"/>
          <w:sz w:val="18"/>
          <w:szCs w:val="18"/>
          <w:highlight w:val="none"/>
        </w:rPr>
      </w:pPr>
      <w:r>
        <w:rPr>
          <w:rFonts w:hint="eastAsia" w:ascii="宋体" w:hAnsi="宋体" w:eastAsia="宋体" w:cs="宋体"/>
          <w:b w:val="0"/>
          <w:bCs w:val="0"/>
          <w:i w:val="0"/>
          <w:iCs w:val="0"/>
          <w:color w:val="auto"/>
          <w:kern w:val="0"/>
          <w:sz w:val="21"/>
          <w:szCs w:val="21"/>
          <w:highlight w:val="none"/>
          <w:u w:val="none"/>
          <w:lang w:val="en-US" w:eastAsia="zh-CN" w:bidi="ar"/>
        </w:rPr>
        <w:t>收货日期以到货日期为准。</w:t>
      </w:r>
    </w:p>
    <w:p>
      <w:pP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br w:type="page"/>
      </w:r>
    </w:p>
    <w:p>
      <w:pPr>
        <w:rPr>
          <w:rFonts w:hint="eastAsia"/>
          <w:color w:val="auto"/>
          <w:highlight w:val="none"/>
          <w:lang w:eastAsia="zh-CN"/>
        </w:rPr>
        <w:sectPr>
          <w:pgSz w:w="16838" w:h="11906" w:orient="landscape"/>
          <w:pgMar w:top="1797" w:right="1440" w:bottom="1797" w:left="1440" w:header="851" w:footer="992" w:gutter="0"/>
          <w:pgNumType w:fmt="decimal"/>
          <w:cols w:space="0" w:num="1"/>
          <w:titlePg/>
          <w:rtlGutter w:val="0"/>
          <w:docGrid w:linePitch="312" w:charSpace="0"/>
        </w:sectPr>
      </w:pPr>
    </w:p>
    <w:p>
      <w:pPr>
        <w:pageBreakBefore w:val="0"/>
        <w:numPr>
          <w:ilvl w:val="0"/>
          <w:numId w:val="0"/>
        </w:numPr>
        <w:kinsoku/>
        <w:wordWrap/>
        <w:overflowPunct/>
        <w:topLinePunct w:val="0"/>
        <w:bidi w:val="0"/>
        <w:snapToGrid/>
        <w:spacing w:line="360" w:lineRule="auto"/>
        <w:ind w:right="125" w:rightChars="0"/>
        <w:jc w:val="both"/>
        <w:textAlignment w:val="auto"/>
        <w:rPr>
          <w:b/>
          <w:bCs/>
          <w:color w:val="auto"/>
          <w:kern w:val="0"/>
          <w:sz w:val="24"/>
          <w:highlight w:val="none"/>
        </w:rPr>
      </w:pPr>
      <w:r>
        <w:rPr>
          <w:rFonts w:hint="eastAsia"/>
          <w:b/>
          <w:bCs/>
          <w:color w:val="auto"/>
          <w:kern w:val="0"/>
          <w:sz w:val="24"/>
          <w:highlight w:val="none"/>
        </w:rPr>
        <w:t>附件</w:t>
      </w:r>
      <w:r>
        <w:rPr>
          <w:rFonts w:hint="eastAsia"/>
          <w:b/>
          <w:bCs/>
          <w:color w:val="auto"/>
          <w:kern w:val="0"/>
          <w:sz w:val="24"/>
          <w:highlight w:val="none"/>
          <w:lang w:val="en-US" w:eastAsia="zh-CN"/>
        </w:rPr>
        <w:t>四</w:t>
      </w:r>
      <w:r>
        <w:rPr>
          <w:rFonts w:hint="eastAsia"/>
          <w:b/>
          <w:bCs/>
          <w:color w:val="auto"/>
          <w:kern w:val="0"/>
          <w:sz w:val="24"/>
          <w:highlight w:val="none"/>
        </w:rPr>
        <w:t>：廉洁承诺书</w:t>
      </w:r>
    </w:p>
    <w:p>
      <w:pPr>
        <w:spacing w:before="72" w:beforeLines="30" w:after="72" w:afterLines="30"/>
        <w:jc w:val="center"/>
        <w:rPr>
          <w:rFonts w:ascii="宋体" w:hAnsi="宋体"/>
          <w:b/>
          <w:color w:val="auto"/>
          <w:sz w:val="28"/>
          <w:szCs w:val="32"/>
          <w:highlight w:val="none"/>
        </w:rPr>
      </w:pPr>
      <w:r>
        <w:rPr>
          <w:rFonts w:hint="eastAsia" w:ascii="宋体" w:hAnsi="宋体"/>
          <w:b/>
          <w:color w:val="auto"/>
          <w:sz w:val="28"/>
          <w:szCs w:val="32"/>
          <w:highlight w:val="none"/>
        </w:rPr>
        <w:t>廉洁承诺书</w:t>
      </w:r>
    </w:p>
    <w:p>
      <w:pPr>
        <w:spacing w:before="72" w:beforeLines="30" w:after="72" w:afterLines="30"/>
        <w:ind w:firstLine="420" w:firstLineChars="200"/>
        <w:rPr>
          <w:rFonts w:ascii="宋体" w:hAnsi="宋体"/>
          <w:color w:val="auto"/>
          <w:szCs w:val="21"/>
          <w:highlight w:val="none"/>
        </w:rPr>
      </w:pPr>
      <w:r>
        <w:rPr>
          <w:rFonts w:hint="eastAsia" w:ascii="宋体" w:hAnsi="宋体"/>
          <w:color w:val="auto"/>
          <w:szCs w:val="21"/>
          <w:highlight w:val="none"/>
        </w:rPr>
        <w:t>为进一步加强廉政建设，规范买卖双方的各项活动，防止发生各种谋取不正当利益的违法违规行为，从源头上预防治理腐败，根据国家有关的法律法规规定，特制定本廉洁条款。</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第一条 买卖双方的权利和义务</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（一）在双方的业务交往中，共同遵守相关的法律法规。</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（二）加强本单位廉政建设和对员工的廉洁从业教育，不断提高员工的廉洁自律意识。</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（三）加强对本单位员工的监督与检查，并自觉接受对方廉政监督。当发现对方在彼此的业务交往中存在可能或有违法违规行为时，应及时给予提醒制止，并通报对方，进行调查、处理。</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第二条 买方的责任</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（一）不准向卖方索要或接受回扣、礼金、有价证券、贵重物品和好处费、感谢费等；不准在卖方报销任何由买方或个人支付的费用。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（二）不准参加卖方安排的宴请和健身、娱乐等活动；不得接受卖方提供的通讯工具、交通工具和高档办公用品等。</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（三）不准要求、暗示和接受卖方为个人装修住房、婚丧嫁娶、配偶子女的工作安排以及出国（境）旅游等提供方便。</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（四）配偶、子女不得从事与卖方承包本工程有关的设备材料供应、工程分包、劳务等经济活动。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（五）不得以任何理由向卖方推荐分包单位或要求卖方购买项目合同规定外的材料、设备和服务等。</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（六）其它不廉洁行为。</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第三条 卖方的责任</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（一）不准以任何理由向买方工作人员（含家属、子女，下同）行贿或馈赠礼物、礼金、有价证券、贵重物品及象征性低价物品。</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（二）不准以任何名义为买方工作人员报销应由对方或个人支付的费用。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（三）不准以任何理由安排买方工作人员参加宴请及健身、娱乐和旅游等活动。</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（四）不准为买方单位和工作人员购置或提供通讯工具、交通工具和高档办公用品和装修住房等。</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（五）其它不廉洁行为。</w:t>
      </w:r>
    </w:p>
    <w:p>
      <w:pPr>
        <w:spacing w:before="72" w:beforeLines="30" w:after="72" w:afterLines="30"/>
        <w:rPr>
          <w:rFonts w:ascii="宋体" w:hAnsi="宋体"/>
          <w:b/>
          <w:color w:val="auto"/>
          <w:szCs w:val="21"/>
          <w:highlight w:val="none"/>
        </w:rPr>
      </w:pPr>
      <w:r>
        <w:rPr>
          <w:rFonts w:hint="eastAsia" w:ascii="宋体" w:hAnsi="宋体"/>
          <w:b/>
          <w:color w:val="auto"/>
          <w:szCs w:val="21"/>
          <w:highlight w:val="none"/>
        </w:rPr>
        <w:t>第四条 违约责任</w:t>
      </w:r>
    </w:p>
    <w:p>
      <w:pPr>
        <w:spacing w:before="72" w:beforeLines="30" w:after="72" w:afterLines="30"/>
        <w:ind w:left="1039" w:leftChars="200" w:hanging="619" w:hangingChars="295"/>
        <w:rPr>
          <w:rFonts w:ascii="宋体" w:hAnsi="宋体"/>
          <w:color w:val="auto"/>
          <w:szCs w:val="21"/>
          <w:highlight w:val="none"/>
        </w:rPr>
      </w:pPr>
      <w:r>
        <w:rPr>
          <w:rFonts w:hint="eastAsia" w:ascii="宋体" w:hAnsi="宋体"/>
          <w:color w:val="auto"/>
          <w:szCs w:val="21"/>
          <w:highlight w:val="none"/>
        </w:rPr>
        <w:t>（一）买方发现卖方有违反本条款或者采用不正当的手段贿赂买方工作人员，买方应向卖方领导举报，并取消卖方供应商资格，由此给买方造成的损失均由卖方承担。</w:t>
      </w:r>
    </w:p>
    <w:p>
      <w:pPr>
        <w:spacing w:before="72" w:beforeLines="30" w:after="72" w:afterLines="30"/>
        <w:ind w:left="1039" w:leftChars="200" w:hanging="619" w:hangingChars="295"/>
        <w:rPr>
          <w:rFonts w:hint="eastAsia" w:ascii="宋体" w:hAnsi="宋体"/>
          <w:color w:val="auto"/>
          <w:szCs w:val="21"/>
          <w:highlight w:val="none"/>
        </w:rPr>
        <w:sectPr>
          <w:pgSz w:w="11906" w:h="16838"/>
          <w:pgMar w:top="1440" w:right="1797" w:bottom="1440" w:left="1797" w:header="851" w:footer="992" w:gutter="0"/>
          <w:pgNumType w:fmt="decimal"/>
          <w:cols w:space="425" w:num="1"/>
          <w:titlePg/>
          <w:docGrid w:linePitch="312" w:charSpace="0"/>
        </w:sectPr>
      </w:pPr>
      <w:r>
        <w:rPr>
          <w:rFonts w:hint="eastAsia" w:ascii="宋体" w:hAnsi="宋体"/>
          <w:color w:val="auto"/>
          <w:szCs w:val="21"/>
          <w:highlight w:val="none"/>
        </w:rPr>
        <w:t>（二）卖方如发现买方工作人员有违反上述条款，应当向买方领导举报，买方不得找任何借口对卖方进行报复或刁难、延误工作。</w:t>
      </w:r>
    </w:p>
    <w:p>
      <w:pPr>
        <w:widowControl/>
        <w:spacing w:before="93" w:beforeLines="30" w:after="93" w:afterLines="30" w:line="360" w:lineRule="auto"/>
        <w:jc w:val="left"/>
        <w:rPr>
          <w:b/>
          <w:bCs/>
          <w:iCs/>
          <w:color w:val="auto"/>
          <w:kern w:val="0"/>
          <w:sz w:val="24"/>
        </w:rPr>
      </w:pPr>
      <w:r>
        <w:rPr>
          <w:rFonts w:hint="eastAsia"/>
          <w:b/>
          <w:bCs/>
          <w:iCs/>
          <w:color w:val="auto"/>
          <w:kern w:val="0"/>
          <w:sz w:val="24"/>
        </w:rPr>
        <w:t>附件五：HSE管理协议</w:t>
      </w:r>
    </w:p>
    <w:p>
      <w:pPr>
        <w:spacing w:line="360" w:lineRule="auto"/>
        <w:rPr>
          <w:color w:val="auto"/>
        </w:rPr>
      </w:pPr>
      <w:bookmarkStart w:id="7" w:name="_Toc298193051"/>
      <w:bookmarkStart w:id="8" w:name="_Toc2707"/>
      <w:r>
        <w:rPr>
          <w:rFonts w:hint="eastAsia"/>
          <w:color w:val="auto"/>
        </w:rPr>
        <w:t>第一章</w:t>
      </w:r>
      <w:bookmarkStart w:id="9" w:name="_Hlt127689087"/>
      <w:bookmarkStart w:id="10" w:name="_Hlt127689088"/>
      <w:bookmarkStart w:id="11" w:name="_Hlt127853529"/>
      <w:r>
        <w:rPr>
          <w:rFonts w:hint="eastAsia"/>
          <w:color w:val="auto"/>
        </w:rPr>
        <w:fldChar w:fldCharType="begin"/>
      </w:r>
      <w:r>
        <w:rPr>
          <w:rFonts w:hint="eastAsia"/>
          <w:color w:val="auto"/>
        </w:rPr>
        <w:instrText xml:space="preserve"> HYPERLINK  \l "_第一章__总"</w:instrText>
      </w:r>
      <w:r>
        <w:rPr>
          <w:rFonts w:hint="eastAsia"/>
          <w:color w:val="auto"/>
        </w:rPr>
        <w:fldChar w:fldCharType="separate"/>
      </w:r>
      <w:r>
        <w:rPr>
          <w:rFonts w:hint="eastAsia"/>
          <w:color w:val="auto"/>
        </w:rPr>
        <w:t>总则</w:t>
      </w:r>
      <w:bookmarkEnd w:id="7"/>
      <w:r>
        <w:rPr>
          <w:rFonts w:hint="eastAsia"/>
          <w:color w:val="auto"/>
        </w:rPr>
        <w:fldChar w:fldCharType="end"/>
      </w:r>
      <w:bookmarkEnd w:id="8"/>
      <w:bookmarkEnd w:id="9"/>
      <w:bookmarkEnd w:id="10"/>
      <w:bookmarkEnd w:id="11"/>
    </w:p>
    <w:p>
      <w:pPr>
        <w:spacing w:line="360" w:lineRule="auto"/>
        <w:rPr>
          <w:color w:val="auto"/>
        </w:rPr>
      </w:pPr>
      <w:r>
        <w:rPr>
          <w:rFonts w:hint="eastAsia"/>
          <w:color w:val="auto"/>
        </w:rPr>
        <w:t>第一条  根据国家法律法规、总公司和海油发展的供应商相关要求，为了在设备采购、安装调试和作业成套设备买卖合同中，明确提出中海油信息科技有限公司上海分公司（以下简称：公司）对卖方的基本健康安全环保（以下简称为：HSE）要求，促使公司与卖方在履行合同过程中共同做好HSE管理工作。</w:t>
      </w:r>
    </w:p>
    <w:p>
      <w:pPr>
        <w:spacing w:line="360" w:lineRule="auto"/>
        <w:rPr>
          <w:color w:val="auto"/>
        </w:rPr>
      </w:pPr>
      <w:r>
        <w:rPr>
          <w:rFonts w:hint="eastAsia"/>
          <w:color w:val="auto"/>
        </w:rPr>
        <w:t>第二条  本要求旨在指导公司所属分公司在与卖方签订合同时，卖方需要遵守的公司基本HSE要求。HSE协议的期限应与设备买卖合同的期限一致。如果变更设备买卖合同的期限，也应同步变更HSE协议的期限。</w:t>
      </w:r>
    </w:p>
    <w:p>
      <w:pPr>
        <w:spacing w:line="360" w:lineRule="auto"/>
        <w:rPr>
          <w:color w:val="auto"/>
        </w:rPr>
      </w:pPr>
      <w:r>
        <w:rPr>
          <w:rFonts w:hint="eastAsia"/>
          <w:color w:val="auto"/>
        </w:rPr>
        <w:t>第三条  本要求是卖方在设备制造、运输、现场安全作业的HSE总体目标。</w:t>
      </w:r>
    </w:p>
    <w:p>
      <w:pPr>
        <w:spacing w:line="360" w:lineRule="auto"/>
        <w:rPr>
          <w:color w:val="auto"/>
        </w:rPr>
      </w:pPr>
      <w:r>
        <w:rPr>
          <w:rFonts w:hint="eastAsia"/>
          <w:color w:val="auto"/>
        </w:rPr>
        <w:t>第四条  如果本要求任一条款与国家的有关法律、法规和规定有冲突，则该条款以国家的相关要求为准，其它条款仍然使用。</w:t>
      </w:r>
    </w:p>
    <w:p>
      <w:pPr>
        <w:spacing w:line="360" w:lineRule="auto"/>
        <w:rPr>
          <w:color w:val="auto"/>
        </w:rPr>
      </w:pPr>
      <w:r>
        <w:rPr>
          <w:rFonts w:hint="eastAsia"/>
          <w:color w:val="auto"/>
        </w:rPr>
        <w:t>第五条  本要求第二章及其以后的HSE内容，是本要求提议的卖方应遵守的具体内容，不代表公司对卖方的基本HSE要求的全部内容。各分公司应根据本要求的要求，结合合同形式、服务内容、安全生产以及卖方类型，确定合同中的HSE协议的具体条款、内容和形式。</w:t>
      </w:r>
    </w:p>
    <w:p>
      <w:pPr>
        <w:spacing w:line="360" w:lineRule="auto"/>
        <w:rPr>
          <w:color w:val="auto"/>
        </w:rPr>
      </w:pPr>
      <w:bookmarkStart w:id="12" w:name="_Toc298193052"/>
      <w:bookmarkStart w:id="13" w:name="_Toc9655"/>
      <w:r>
        <w:rPr>
          <w:rFonts w:hint="eastAsia"/>
          <w:color w:val="auto"/>
        </w:rPr>
        <w:t>第二章</w:t>
      </w:r>
      <w:r>
        <w:rPr>
          <w:color w:val="auto"/>
        </w:rPr>
        <w:fldChar w:fldCharType="begin"/>
      </w:r>
      <w:r>
        <w:rPr>
          <w:color w:val="auto"/>
        </w:rPr>
        <w:instrText xml:space="preserve"> HYPERLINK \l "_第一章__总" </w:instrText>
      </w:r>
      <w:r>
        <w:rPr>
          <w:color w:val="auto"/>
        </w:rPr>
        <w:fldChar w:fldCharType="separate"/>
      </w:r>
      <w:r>
        <w:rPr>
          <w:rFonts w:hint="eastAsia"/>
          <w:color w:val="auto"/>
        </w:rPr>
        <w:t>公司的HSE方针</w:t>
      </w:r>
      <w:bookmarkEnd w:id="12"/>
      <w:r>
        <w:rPr>
          <w:rFonts w:hint="eastAsia"/>
          <w:color w:val="auto"/>
        </w:rPr>
        <w:fldChar w:fldCharType="end"/>
      </w:r>
      <w:bookmarkEnd w:id="13"/>
    </w:p>
    <w:p>
      <w:pPr>
        <w:spacing w:line="360" w:lineRule="auto"/>
        <w:rPr>
          <w:color w:val="auto"/>
        </w:rPr>
      </w:pPr>
      <w:r>
        <w:rPr>
          <w:rFonts w:hint="eastAsia"/>
          <w:color w:val="auto"/>
        </w:rPr>
        <w:t>第一条  双方应贯彻“安全第一、预防为主、综合治理”的方针，查找事故隐患并采取治理措施，避免事故的发生。</w:t>
      </w:r>
    </w:p>
    <w:p>
      <w:pPr>
        <w:spacing w:line="360" w:lineRule="auto"/>
        <w:rPr>
          <w:color w:val="auto"/>
        </w:rPr>
      </w:pPr>
      <w:r>
        <w:rPr>
          <w:rFonts w:hint="eastAsia"/>
          <w:color w:val="auto"/>
        </w:rPr>
        <w:t>第二条  员工是企业的财富；安全是生存的条件；环保是社会的责任；以诚信树立形象，以改进提升能力；重视人的价值，创造和谐、安全的工作环境，实现社会责任的全面进步。</w:t>
      </w:r>
    </w:p>
    <w:p>
      <w:pPr>
        <w:spacing w:line="360" w:lineRule="auto"/>
        <w:rPr>
          <w:color w:val="auto"/>
        </w:rPr>
      </w:pPr>
      <w:bookmarkStart w:id="14" w:name="_Toc298193053"/>
      <w:bookmarkStart w:id="15" w:name="_Toc23548"/>
      <w:r>
        <w:rPr>
          <w:rFonts w:hint="eastAsia"/>
          <w:color w:val="auto"/>
        </w:rPr>
        <w:t>第三章</w:t>
      </w:r>
      <w:r>
        <w:rPr>
          <w:color w:val="auto"/>
        </w:rPr>
        <w:fldChar w:fldCharType="begin"/>
      </w:r>
      <w:r>
        <w:rPr>
          <w:color w:val="auto"/>
        </w:rPr>
        <w:instrText xml:space="preserve"> HYPERLINK \l "_第一章__总" </w:instrText>
      </w:r>
      <w:r>
        <w:rPr>
          <w:color w:val="auto"/>
        </w:rPr>
        <w:fldChar w:fldCharType="separate"/>
      </w:r>
      <w:r>
        <w:rPr>
          <w:rFonts w:hint="eastAsia"/>
          <w:color w:val="auto"/>
        </w:rPr>
        <w:t>卖方的HSE责任和义务</w:t>
      </w:r>
      <w:bookmarkEnd w:id="14"/>
      <w:r>
        <w:rPr>
          <w:rFonts w:hint="eastAsia"/>
          <w:color w:val="auto"/>
        </w:rPr>
        <w:fldChar w:fldCharType="end"/>
      </w:r>
      <w:bookmarkEnd w:id="15"/>
    </w:p>
    <w:p>
      <w:pPr>
        <w:spacing w:line="360" w:lineRule="auto"/>
        <w:rPr>
          <w:color w:val="auto"/>
        </w:rPr>
      </w:pPr>
      <w:r>
        <w:rPr>
          <w:rFonts w:hint="eastAsia"/>
          <w:color w:val="auto"/>
        </w:rPr>
        <w:t>第一条  卖方应遵守有关的法律、法规和规定，有关的HSE标准；理解和接受公司HSE理念、政策；遵守公司HSE管理体系中的有关规定。</w:t>
      </w:r>
    </w:p>
    <w:p>
      <w:pPr>
        <w:spacing w:line="360" w:lineRule="auto"/>
        <w:rPr>
          <w:color w:val="auto"/>
        </w:rPr>
      </w:pPr>
      <w:r>
        <w:rPr>
          <w:rFonts w:hint="eastAsia"/>
          <w:color w:val="auto"/>
        </w:rPr>
        <w:t>第二条  卖方应确保其所有员工熟悉并执行公司的各项HSE要求和规定，熟练掌握基本的HSE知识和技能，建立良好的HSE管理理念。在预防事故、控制损失和保护环境方面，采取积极的态度与公司合作。</w:t>
      </w:r>
    </w:p>
    <w:p>
      <w:pPr>
        <w:spacing w:line="360" w:lineRule="auto"/>
        <w:rPr>
          <w:color w:val="auto"/>
        </w:rPr>
      </w:pPr>
      <w:r>
        <w:rPr>
          <w:rFonts w:hint="eastAsia"/>
          <w:color w:val="auto"/>
        </w:rPr>
        <w:t>第三条  当公司认为卖方的工作程序或工作环境对人身、财产或环境构成了潜在的危害，违反了有关的法律、法规和规定，违反了公司的HSE政策、程序或者任何有关的HSE标准，公司有权随时停止卖方的工作，要求其整改或在工作场所撤换其有关员工。卖方或者卖方员工违反公司HSE要求的任何行为均视为对卖方合同的违约行为，严重违反的行为自然构成提前终止合同的理由和依据。</w:t>
      </w:r>
    </w:p>
    <w:p>
      <w:pPr>
        <w:spacing w:line="360" w:lineRule="auto"/>
        <w:rPr>
          <w:color w:val="auto"/>
        </w:rPr>
      </w:pPr>
      <w:r>
        <w:rPr>
          <w:rFonts w:hint="eastAsia"/>
          <w:color w:val="auto"/>
        </w:rPr>
        <w:t>第四条  对于卖方设备、技术、员工等完成工作任务的卖方，应在协议中明确卖方不仅对完成的工作成果负责，而且要独立承担工作中遭受的意外安全风险。</w:t>
      </w:r>
    </w:p>
    <w:p>
      <w:pPr>
        <w:spacing w:line="360" w:lineRule="auto"/>
        <w:rPr>
          <w:color w:val="auto"/>
        </w:rPr>
      </w:pPr>
      <w:r>
        <w:rPr>
          <w:rFonts w:hint="eastAsia"/>
          <w:color w:val="auto"/>
        </w:rPr>
        <w:t>第五条  卖方应有责任和义务免除、保护、防护、补偿公司，避免公司由于卖方或卖方员工直接或间接未能贯彻、执行、遵循和遵守有关法律法规和规定、违反公司对卖方的基本HSE要求的原因受到任何损失、伤害、索赔或债务。在任何时候，卖方的这种责任都不应被认为可以改变、修正、减少或者重新界定卖方按合同应尽的其它应补偿、免除、保险或担保等义务。</w:t>
      </w:r>
    </w:p>
    <w:p>
      <w:pPr>
        <w:spacing w:line="360" w:lineRule="auto"/>
        <w:rPr>
          <w:color w:val="auto"/>
        </w:rPr>
      </w:pPr>
      <w:r>
        <w:rPr>
          <w:rFonts w:hint="eastAsia"/>
          <w:color w:val="auto"/>
        </w:rPr>
        <w:t>第六条  卖方应依据有关的法律、法规和规定，确保所有人员均已经通过必要的职业培训和安全环保培训，有资格并且可证实能从事合同规定的相应工作。卖方负责人员资质的及时维护。所有人员必须能出示有关的培训、资格证书。在开始工作之前，确保所有员工都已熟悉和理解公司对本HSE基本要求范本的要求。</w:t>
      </w:r>
    </w:p>
    <w:p>
      <w:pPr>
        <w:spacing w:line="360" w:lineRule="auto"/>
        <w:rPr>
          <w:color w:val="auto"/>
        </w:rPr>
      </w:pPr>
      <w:r>
        <w:rPr>
          <w:rFonts w:hint="eastAsia"/>
          <w:color w:val="auto"/>
        </w:rPr>
        <w:t>第七条  卖方应确保员工身心健康参加工作。卖方负责员工进行定期体检，涉及职业危害作业员工进行职业健康体检，并负责按照法规要求进行员工职业健康档案管理。员工出现下列情形之一者，不能被认为是身心健康的、称职的人员：严重睡眠不足疲乏无力的，患传染病的、严重心脏病的，依赖药物的、酗酒的、赌博和吸毒的人员。</w:t>
      </w:r>
    </w:p>
    <w:p>
      <w:pPr>
        <w:spacing w:line="360" w:lineRule="auto"/>
        <w:rPr>
          <w:color w:val="auto"/>
        </w:rPr>
      </w:pPr>
      <w:r>
        <w:rPr>
          <w:rFonts w:hint="eastAsia"/>
          <w:color w:val="auto"/>
        </w:rPr>
        <w:t>第八条  卖方应为员工提供合适的和性能完好的工具、装备。</w:t>
      </w:r>
    </w:p>
    <w:p>
      <w:pPr>
        <w:spacing w:line="360" w:lineRule="auto"/>
        <w:rPr>
          <w:color w:val="auto"/>
        </w:rPr>
      </w:pPr>
      <w:r>
        <w:rPr>
          <w:rFonts w:hint="eastAsia"/>
          <w:color w:val="auto"/>
        </w:rPr>
        <w:t>第九条  卖方在所有的作业过程中应首先制定好HSE计划和措施并到公司备案。卖方应在公司现场负责人监督下协调所有卖方活动。教育员工将任何不安全隐患向其直接主管或者公司现场负责人报告。</w:t>
      </w:r>
    </w:p>
    <w:p>
      <w:pPr>
        <w:spacing w:line="360" w:lineRule="auto"/>
        <w:rPr>
          <w:color w:val="auto"/>
        </w:rPr>
      </w:pPr>
      <w:r>
        <w:rPr>
          <w:rFonts w:hint="eastAsia"/>
          <w:color w:val="auto"/>
        </w:rPr>
        <w:t>第十条  卖方应确保所有按合同和附件提供的设施、设备、机器、机械、工具和装备等符合有关的HSE标准，同时保持工作场所清洁、有序。</w:t>
      </w:r>
    </w:p>
    <w:p>
      <w:pPr>
        <w:spacing w:line="360" w:lineRule="auto"/>
        <w:rPr>
          <w:color w:val="auto"/>
        </w:rPr>
      </w:pPr>
      <w:r>
        <w:rPr>
          <w:rFonts w:hint="eastAsia"/>
          <w:color w:val="auto"/>
        </w:rPr>
        <w:t xml:space="preserve">第十一条 </w:t>
      </w:r>
      <w:r>
        <w:rPr>
          <w:color w:val="auto"/>
        </w:rPr>
        <w:t xml:space="preserve"> </w:t>
      </w:r>
      <w:r>
        <w:rPr>
          <w:rFonts w:hint="eastAsia"/>
          <w:color w:val="auto"/>
        </w:rPr>
        <w:t>卖方应确保提供的设备在设备制造、运输、现场安装作业过程中严格按照H</w:t>
      </w:r>
      <w:r>
        <w:rPr>
          <w:color w:val="auto"/>
        </w:rPr>
        <w:t>SE</w:t>
      </w:r>
      <w:r>
        <w:rPr>
          <w:rFonts w:hint="eastAsia"/>
          <w:color w:val="auto"/>
        </w:rPr>
        <w:t>管理计划和流程执行。</w:t>
      </w:r>
    </w:p>
    <w:p>
      <w:pPr>
        <w:spacing w:line="360" w:lineRule="auto"/>
        <w:rPr>
          <w:color w:val="auto"/>
        </w:rPr>
      </w:pPr>
      <w:bookmarkStart w:id="16" w:name="_Toc21130"/>
      <w:bookmarkStart w:id="17" w:name="_Toc298193054"/>
      <w:r>
        <w:rPr>
          <w:rFonts w:hint="eastAsia"/>
          <w:color w:val="auto"/>
        </w:rPr>
        <w:t>第四章卖方劳动防护用品管理要求</w:t>
      </w:r>
      <w:bookmarkEnd w:id="16"/>
      <w:bookmarkEnd w:id="17"/>
    </w:p>
    <w:p>
      <w:pPr>
        <w:spacing w:line="360" w:lineRule="auto"/>
        <w:rPr>
          <w:color w:val="auto"/>
        </w:rPr>
      </w:pPr>
      <w:r>
        <w:rPr>
          <w:rFonts w:hint="eastAsia"/>
          <w:color w:val="auto"/>
        </w:rPr>
        <w:t>第一条  卖方提供从事作业的人员所需的全部合格的劳动防护用品，明确提供必要的劳动防护用品的责任人，对于作业人员劳动防护用品不能起到防护作用时应及时更换。特殊或专用防护用品必须采购具备具有生产许可证、生产合格证、安全鉴定证和LA标识的用品。</w:t>
      </w:r>
    </w:p>
    <w:p>
      <w:pPr>
        <w:spacing w:line="360" w:lineRule="auto"/>
        <w:rPr>
          <w:color w:val="auto"/>
        </w:rPr>
      </w:pPr>
      <w:r>
        <w:rPr>
          <w:rFonts w:hint="eastAsia"/>
          <w:color w:val="auto"/>
        </w:rPr>
        <w:t>第二条  根据有关的法律、法规和规定、有关的HSE标准，卖方应确保其员工严格遵守劳动防护用品制度，在公司和卖方的作业现场都应穿戴好与工作场所环境相适应的劳动防护用品。</w:t>
      </w:r>
    </w:p>
    <w:p>
      <w:pPr>
        <w:spacing w:line="360" w:lineRule="auto"/>
        <w:rPr>
          <w:color w:val="auto"/>
        </w:rPr>
      </w:pPr>
      <w:r>
        <w:rPr>
          <w:rFonts w:hint="eastAsia"/>
          <w:color w:val="auto"/>
        </w:rPr>
        <w:t>第三条  员工在进入有可能发生高空坠落物打击危险和可能发生碰撞伤害或其他需要配戴安全帽以防治伤害的场所，必须配戴好符合公司HSE标准的安全帽。</w:t>
      </w:r>
    </w:p>
    <w:p>
      <w:pPr>
        <w:spacing w:line="360" w:lineRule="auto"/>
        <w:rPr>
          <w:color w:val="auto"/>
        </w:rPr>
      </w:pPr>
      <w:r>
        <w:rPr>
          <w:rFonts w:hint="eastAsia"/>
          <w:color w:val="auto"/>
        </w:rPr>
        <w:t>第四条  进入所有指定的工作场所，必须配戴好符合相应HSE标准的三防安全鞋或者安全靴。</w:t>
      </w:r>
    </w:p>
    <w:p>
      <w:pPr>
        <w:spacing w:line="360" w:lineRule="auto"/>
        <w:rPr>
          <w:color w:val="auto"/>
        </w:rPr>
      </w:pPr>
      <w:r>
        <w:rPr>
          <w:rFonts w:hint="eastAsia"/>
          <w:color w:val="auto"/>
        </w:rPr>
        <w:t>第五条  在从事有可能会发生眼睛和面部伤害危险的作业（包括但不限于磨床、铣床、锻工、焊接、抛光、破碎、喷砂机喷涂作业、化学处理作业）时，必须配戴好符合相应HSE标准的指定的护目镜或全面罩。通常情况下，不允许配戴隐形眼镜。</w:t>
      </w:r>
    </w:p>
    <w:p>
      <w:pPr>
        <w:spacing w:line="360" w:lineRule="auto"/>
        <w:rPr>
          <w:color w:val="auto"/>
        </w:rPr>
      </w:pPr>
      <w:r>
        <w:rPr>
          <w:rFonts w:hint="eastAsia"/>
          <w:color w:val="auto"/>
        </w:rPr>
        <w:t>第六条  在进入高噪声区（噪声级别超过85db（A）的区域一般被认定为高噪声区）之前，必须配戴好符合规则要求和工业标准的听力保护装置。</w:t>
      </w:r>
    </w:p>
    <w:p>
      <w:pPr>
        <w:spacing w:line="360" w:lineRule="auto"/>
        <w:rPr>
          <w:color w:val="auto"/>
        </w:rPr>
      </w:pPr>
      <w:r>
        <w:rPr>
          <w:rFonts w:hint="eastAsia"/>
          <w:color w:val="auto"/>
        </w:rPr>
        <w:t>第七条  在工作时，每个人都应将工作服穿戴整齐。工作服应当符合工作条件和气候，具备防静电性能。</w:t>
      </w:r>
    </w:p>
    <w:p>
      <w:pPr>
        <w:spacing w:line="360" w:lineRule="auto"/>
        <w:rPr>
          <w:color w:val="auto"/>
        </w:rPr>
      </w:pPr>
      <w:r>
        <w:rPr>
          <w:rFonts w:hint="eastAsia"/>
          <w:color w:val="auto"/>
        </w:rPr>
        <w:t>第八条  在高温区域、有锋利边角、有化学品、或者有其他可能对手部产生伤害的材料的地方，应穿戴符合相应HSE标准的防护手套。在有缠绕危险的机械或设备上工作，则不应穿带手套。</w:t>
      </w:r>
    </w:p>
    <w:p>
      <w:pPr>
        <w:spacing w:line="360" w:lineRule="auto"/>
        <w:rPr>
          <w:color w:val="auto"/>
        </w:rPr>
      </w:pPr>
      <w:r>
        <w:rPr>
          <w:rFonts w:hint="eastAsia"/>
          <w:color w:val="auto"/>
        </w:rPr>
        <w:t>第九条  凡在海边、码头、（驳船）甲板、船舷边等存在落水风险地方工作或从事其他有潜在落水危险的工作之前，必须穿戴好救生衣。救生衣的数量和型号应符合国家主管部门、机构的规定。</w:t>
      </w:r>
    </w:p>
    <w:p>
      <w:pPr>
        <w:spacing w:line="360" w:lineRule="auto"/>
        <w:rPr>
          <w:color w:val="auto"/>
        </w:rPr>
      </w:pPr>
      <w:r>
        <w:rPr>
          <w:rFonts w:hint="eastAsia"/>
          <w:color w:val="auto"/>
        </w:rPr>
        <w:t>第十条  员工在标准栏杆不能起到有效保护并存在坠落危险的地方，或其他有可能从2米或2米以上高处摔下的地方作业时，必须穿戴好满足有关安全标准的安全带。安全带应系在固定的、非活动的构件上，并确认已起到安全保护作用。</w:t>
      </w:r>
    </w:p>
    <w:p>
      <w:pPr>
        <w:spacing w:line="360" w:lineRule="auto"/>
        <w:rPr>
          <w:color w:val="auto"/>
        </w:rPr>
      </w:pPr>
      <w:r>
        <w:rPr>
          <w:rFonts w:hint="eastAsia"/>
          <w:color w:val="auto"/>
        </w:rPr>
        <w:t>第十一条  在进入公认的或怀疑含有危害健康的气体、蒸汽、粉尘、灰尘、薄雾或其他物质的空间，空气中氧气浓度过低或过高（氧气浓度低于18%，高于23%），以及有关法律、法规和规定，有关的HSE标准规定的应佩戴空气呼吸器的场所之前，必须戴好空气呼吸器。在某些必要的工作场所，卖方应根据有关法律、法规和规定、有关的HSE标准制定并采取相应的有害气体、氧气浓度监测、控制和防护措施。卖方应培训员工熟练掌握呼吸保护装置的使用和维护。</w:t>
      </w:r>
    </w:p>
    <w:p>
      <w:pPr>
        <w:spacing w:line="360" w:lineRule="auto"/>
        <w:rPr>
          <w:color w:val="auto"/>
        </w:rPr>
      </w:pPr>
      <w:bookmarkStart w:id="18" w:name="_Toc298193055"/>
      <w:bookmarkStart w:id="19" w:name="_Toc20862"/>
      <w:r>
        <w:rPr>
          <w:rFonts w:hint="eastAsia"/>
          <w:color w:val="auto"/>
        </w:rPr>
        <w:t>第五章安全工作基本要求</w:t>
      </w:r>
      <w:bookmarkEnd w:id="18"/>
      <w:bookmarkEnd w:id="19"/>
    </w:p>
    <w:p>
      <w:pPr>
        <w:spacing w:line="360" w:lineRule="auto"/>
        <w:rPr>
          <w:color w:val="auto"/>
        </w:rPr>
      </w:pPr>
      <w:r>
        <w:rPr>
          <w:rFonts w:hint="eastAsia"/>
          <w:color w:val="auto"/>
        </w:rPr>
        <w:t>第一条  公司各级安全监督有权对卖方的HSE工作计划、设施和设备状况、作业情况进行安全环保方面的监督检查。卖方有责任向公司指派的现场监督报告作业和活动情况、设施和设备安全环保检查情况、事故隐患及采取的相应措施情况，现场安全监督有权进行核实。卖方或卖方员工的作业程序、方法、步骤、作业环境违反有关法律、法规和规定或公司最低安全环保要求，对人身、财产和环境构成威胁，现场安全监督有权要求卖方立即终止作业，进行整改。</w:t>
      </w:r>
    </w:p>
    <w:p>
      <w:pPr>
        <w:spacing w:line="360" w:lineRule="auto"/>
        <w:rPr>
          <w:color w:val="auto"/>
        </w:rPr>
      </w:pPr>
      <w:r>
        <w:rPr>
          <w:rFonts w:hint="eastAsia"/>
          <w:color w:val="auto"/>
        </w:rPr>
        <w:t>第二条  卖方应定期召开所有员工参加的现场安全会议，每次会议都应该进行会议记录并可追溯。公司安全监督有权参加每次的安全会议。</w:t>
      </w:r>
    </w:p>
    <w:p>
      <w:pPr>
        <w:spacing w:line="360" w:lineRule="auto"/>
        <w:rPr>
          <w:color w:val="auto"/>
        </w:rPr>
      </w:pPr>
      <w:r>
        <w:rPr>
          <w:rFonts w:hint="eastAsia"/>
          <w:color w:val="auto"/>
        </w:rPr>
        <w:t>第三条  在公司所辖现场，除指定的“吸烟区”可以吸烟外，其他场所严禁吸烟。</w:t>
      </w:r>
    </w:p>
    <w:p>
      <w:pPr>
        <w:spacing w:line="360" w:lineRule="auto"/>
        <w:rPr>
          <w:color w:val="auto"/>
        </w:rPr>
      </w:pPr>
      <w:r>
        <w:rPr>
          <w:rFonts w:hint="eastAsia"/>
          <w:color w:val="auto"/>
        </w:rPr>
        <w:t>第四条  卖方要使所有的员工熟悉和理解公司各种安全标志的内容与含义，遵守各种标志的要求。</w:t>
      </w:r>
    </w:p>
    <w:p>
      <w:pPr>
        <w:spacing w:line="360" w:lineRule="auto"/>
        <w:rPr>
          <w:color w:val="auto"/>
        </w:rPr>
      </w:pPr>
      <w:bookmarkStart w:id="20" w:name="_Toc298193056"/>
      <w:bookmarkStart w:id="21" w:name="_Toc24763"/>
      <w:r>
        <w:rPr>
          <w:rFonts w:hint="eastAsia"/>
          <w:color w:val="auto"/>
        </w:rPr>
        <w:t>第六章卖方出入管理</w:t>
      </w:r>
      <w:bookmarkEnd w:id="20"/>
      <w:bookmarkEnd w:id="21"/>
    </w:p>
    <w:p>
      <w:pPr>
        <w:spacing w:line="360" w:lineRule="auto"/>
        <w:rPr>
          <w:color w:val="auto"/>
        </w:rPr>
      </w:pPr>
      <w:r>
        <w:rPr>
          <w:rFonts w:hint="eastAsia"/>
          <w:color w:val="auto"/>
        </w:rPr>
        <w:t>第一条  卖方应事先将要进入公司所辖现场的人员和设备基本情况书面通知公司安全监督，包括临时和长期作业人员。</w:t>
      </w:r>
    </w:p>
    <w:p>
      <w:pPr>
        <w:spacing w:line="360" w:lineRule="auto"/>
        <w:rPr>
          <w:color w:val="auto"/>
        </w:rPr>
      </w:pPr>
      <w:r>
        <w:rPr>
          <w:rFonts w:hint="eastAsia"/>
          <w:color w:val="auto"/>
        </w:rPr>
        <w:t>第二条  禁止携带含酒精饮料、易燃易爆有毒有害物品（生产需要并经批准的除外）进入所辖现场。</w:t>
      </w:r>
    </w:p>
    <w:p>
      <w:pPr>
        <w:spacing w:line="360" w:lineRule="auto"/>
        <w:rPr>
          <w:color w:val="auto"/>
        </w:rPr>
      </w:pPr>
      <w:r>
        <w:rPr>
          <w:rFonts w:hint="eastAsia"/>
          <w:color w:val="auto"/>
        </w:rPr>
        <w:t>第三条  公司所辖现场对于人员进出的管理实行T卡、胸卡等管理制度，要求卖方严格执行。</w:t>
      </w:r>
    </w:p>
    <w:p>
      <w:pPr>
        <w:spacing w:line="360" w:lineRule="auto"/>
        <w:rPr>
          <w:color w:val="auto"/>
        </w:rPr>
      </w:pPr>
      <w:bookmarkStart w:id="22" w:name="_Toc298193057"/>
      <w:bookmarkStart w:id="23" w:name="_Toc13027"/>
      <w:r>
        <w:rPr>
          <w:rFonts w:hint="eastAsia"/>
          <w:color w:val="auto"/>
        </w:rPr>
        <w:t>第七章交通安全管理</w:t>
      </w:r>
      <w:bookmarkEnd w:id="22"/>
      <w:bookmarkEnd w:id="23"/>
    </w:p>
    <w:p>
      <w:pPr>
        <w:spacing w:line="360" w:lineRule="auto"/>
        <w:rPr>
          <w:color w:val="auto"/>
        </w:rPr>
      </w:pPr>
      <w:r>
        <w:rPr>
          <w:rFonts w:hint="eastAsia"/>
          <w:color w:val="auto"/>
        </w:rPr>
        <w:t>第一条  所有行驶在公司所辖现场的机动车应遵守安全标志和限速行驶的规定。如果没有限速规定，应根据道路实际情况，在保证安全的前提下行驶。</w:t>
      </w:r>
    </w:p>
    <w:p>
      <w:pPr>
        <w:spacing w:line="360" w:lineRule="auto"/>
        <w:rPr>
          <w:color w:val="auto"/>
        </w:rPr>
      </w:pPr>
      <w:bookmarkStart w:id="24" w:name="_Toc4161"/>
      <w:bookmarkStart w:id="25" w:name="_Toc298193058"/>
      <w:r>
        <w:rPr>
          <w:rFonts w:hint="eastAsia"/>
          <w:color w:val="auto"/>
        </w:rPr>
        <w:t>第八章工作许可证制度</w:t>
      </w:r>
      <w:bookmarkEnd w:id="24"/>
      <w:bookmarkEnd w:id="25"/>
    </w:p>
    <w:p>
      <w:pPr>
        <w:spacing w:line="360" w:lineRule="auto"/>
        <w:rPr>
          <w:color w:val="auto"/>
        </w:rPr>
      </w:pPr>
      <w:r>
        <w:rPr>
          <w:rFonts w:hint="eastAsia"/>
          <w:color w:val="auto"/>
        </w:rPr>
        <w:t>第一条  明确现场的作业许可证制度。如果某项作业是在有可能导致对人员安全或者健康、设施和设备产生危害的地方或周围进行时，应对此项作业或活动实行工作许可证制度。凡是属于工作许可证制度管理的各项作业和活动，在未取得有效许可证之前，任何人都不能开始这项作业或活动。</w:t>
      </w:r>
    </w:p>
    <w:p>
      <w:pPr>
        <w:spacing w:line="360" w:lineRule="auto"/>
        <w:rPr>
          <w:color w:val="auto"/>
        </w:rPr>
      </w:pPr>
      <w:r>
        <w:rPr>
          <w:rFonts w:hint="eastAsia"/>
          <w:color w:val="auto"/>
        </w:rPr>
        <w:t>第二条  在从事属于工作许可证制度管理的各项作业和活动之前，卖方影响公司提交书面的作业许可，说明作业的时间、地点、作业内容、作业工具、作业人数、人员姓名、作业程序、工作要领和安全措施。工作许可证只能由经批准或者授权的安全监督签发。许可证签发人在签发许可证之前必须到现场查看，进行必要的检查，确认以消除安全隐患后才能签发工作许可。</w:t>
      </w:r>
    </w:p>
    <w:p>
      <w:pPr>
        <w:spacing w:line="360" w:lineRule="auto"/>
        <w:rPr>
          <w:color w:val="auto"/>
        </w:rPr>
      </w:pPr>
      <w:r>
        <w:rPr>
          <w:rFonts w:hint="eastAsia"/>
          <w:color w:val="auto"/>
        </w:rPr>
        <w:t>第三条  工作地点范围和工作时间要求。如原领取工作许可证的人员、作业条件、环境已经发生改变，则最初的工作许可证自动失效，应根据变化重新签发新的工作许可证。</w:t>
      </w:r>
    </w:p>
    <w:p>
      <w:pPr>
        <w:spacing w:line="360" w:lineRule="auto"/>
        <w:rPr>
          <w:color w:val="auto"/>
        </w:rPr>
      </w:pPr>
      <w:r>
        <w:rPr>
          <w:rFonts w:hint="eastAsia"/>
          <w:color w:val="auto"/>
        </w:rPr>
        <w:t>第四条  所有作业人员必须按照工作许可证的作业程序和要求进行作业，不允许违犯。</w:t>
      </w:r>
    </w:p>
    <w:p>
      <w:pPr>
        <w:spacing w:line="360" w:lineRule="auto"/>
        <w:rPr>
          <w:color w:val="auto"/>
        </w:rPr>
      </w:pPr>
      <w:r>
        <w:rPr>
          <w:rFonts w:hint="eastAsia"/>
          <w:color w:val="auto"/>
        </w:rPr>
        <w:t>第五条  许可证签发人可以在事先不通知的情况下，在任何时候取消已经签发的工作许可证。工作许可证取消后，执行该许可证的所有人员应立即停止有关作业，除非该停止作业会增加新的危险。这种情况下，卖方再继续有关作业时，应重新办理作业许可。</w:t>
      </w:r>
    </w:p>
    <w:p>
      <w:pPr>
        <w:spacing w:line="360" w:lineRule="auto"/>
        <w:rPr>
          <w:color w:val="auto"/>
        </w:rPr>
      </w:pPr>
      <w:r>
        <w:rPr>
          <w:rFonts w:hint="eastAsia"/>
          <w:color w:val="auto"/>
        </w:rPr>
        <w:t>第六条  需进行危险许可作业活动包括（但不限于）：高处作业(包括高空作业)；脚手架搭设和分解作业；试压作业及高压冲洗作业；潜水作业；涂敷作业；涉及危险化学品作业；涉及易燃易爆场所作业；涉及工业一、二级动火作业；涉及放射性及有毒有害作业；带电作业；限制空间作业；起重吊装作业；交叉作业等双方应严格执行技术交底、指挥组织和工作许可等规定。</w:t>
      </w:r>
    </w:p>
    <w:p>
      <w:pPr>
        <w:spacing w:line="360" w:lineRule="auto"/>
        <w:rPr>
          <w:color w:val="auto"/>
        </w:rPr>
      </w:pPr>
      <w:r>
        <w:rPr>
          <w:rFonts w:hint="eastAsia"/>
          <w:color w:val="auto"/>
        </w:rPr>
        <w:t>第七条  卖方在海上平台、船舶和陆地终端等危险作业场所作业时，增加以下内容工作许可：热工作业许可证和冷工作业许可证。</w:t>
      </w:r>
    </w:p>
    <w:p>
      <w:pPr>
        <w:spacing w:line="360" w:lineRule="auto"/>
        <w:rPr>
          <w:color w:val="auto"/>
        </w:rPr>
      </w:pPr>
      <w:r>
        <w:rPr>
          <w:rFonts w:hint="eastAsia"/>
          <w:color w:val="auto"/>
        </w:rPr>
        <w:t>热工作业许可证在进行使用热或产生热的工作(如焊接、气割、打磨)以及可能产生火花的工作或其它有点火源的工作时，应申请热工作业许可证。冷工作业许可证（但不限于）：高处(包括悬空高处)作业、舷外作业；脚手架搭设和分解作业；试压作业；高压冲洗作业；潜水作业；涉及放射性及有毒有害作业；化学清洗作业；带压封闭管线或罐的开启或拆解；油漆作业；喷砂、涂敷作业；临时用电作业；电气作业（包括带电作业）；起重吊装作业；管线容器吹扫作业。</w:t>
      </w:r>
    </w:p>
    <w:p>
      <w:pPr>
        <w:spacing w:line="360" w:lineRule="auto"/>
        <w:rPr>
          <w:color w:val="auto"/>
        </w:rPr>
      </w:pPr>
      <w:r>
        <w:rPr>
          <w:rFonts w:hint="eastAsia"/>
          <w:color w:val="auto"/>
        </w:rPr>
        <w:t>卖方应对劳务服务人员开展安全培训教育。</w:t>
      </w:r>
    </w:p>
    <w:p>
      <w:pPr>
        <w:spacing w:line="360" w:lineRule="auto"/>
        <w:rPr>
          <w:color w:val="auto"/>
        </w:rPr>
      </w:pPr>
      <w:bookmarkStart w:id="26" w:name="_Toc16981"/>
      <w:bookmarkStart w:id="27" w:name="_Toc298193059"/>
      <w:r>
        <w:rPr>
          <w:rFonts w:hint="eastAsia"/>
          <w:color w:val="auto"/>
        </w:rPr>
        <w:t>第九章环境保护要求</w:t>
      </w:r>
      <w:bookmarkEnd w:id="26"/>
      <w:bookmarkEnd w:id="27"/>
    </w:p>
    <w:p>
      <w:pPr>
        <w:spacing w:line="360" w:lineRule="auto"/>
        <w:rPr>
          <w:color w:val="auto"/>
        </w:rPr>
      </w:pPr>
      <w:r>
        <w:rPr>
          <w:rFonts w:hint="eastAsia"/>
          <w:color w:val="auto"/>
        </w:rPr>
        <w:t>第一条  明确卖方应根据有关法律、法规和规定，有关健康安全环保标准和国际石油行业惯例最大程度的减少对环境的污染。卖方应尽全部合理的努力消除一切可能发生的污染并最大限度的减少污染带来的破坏。</w:t>
      </w:r>
    </w:p>
    <w:p>
      <w:pPr>
        <w:spacing w:line="360" w:lineRule="auto"/>
        <w:rPr>
          <w:color w:val="auto"/>
        </w:rPr>
      </w:pPr>
      <w:r>
        <w:rPr>
          <w:rFonts w:hint="eastAsia"/>
          <w:color w:val="auto"/>
        </w:rPr>
        <w:t>第二条  卖方应确保每一名员工都知道：自己有义务按照公司的要求防止污染。</w:t>
      </w:r>
    </w:p>
    <w:p>
      <w:pPr>
        <w:spacing w:line="360" w:lineRule="auto"/>
        <w:rPr>
          <w:color w:val="auto"/>
        </w:rPr>
      </w:pPr>
      <w:bookmarkStart w:id="28" w:name="_Toc15485"/>
      <w:bookmarkStart w:id="29" w:name="_Toc298193060"/>
      <w:r>
        <w:rPr>
          <w:rFonts w:hint="eastAsia"/>
          <w:color w:val="auto"/>
        </w:rPr>
        <w:t>第十章应急管理</w:t>
      </w:r>
      <w:bookmarkEnd w:id="28"/>
      <w:bookmarkEnd w:id="29"/>
    </w:p>
    <w:p>
      <w:pPr>
        <w:spacing w:line="360" w:lineRule="auto"/>
        <w:rPr>
          <w:color w:val="auto"/>
        </w:rPr>
      </w:pPr>
      <w:r>
        <w:rPr>
          <w:rFonts w:hint="eastAsia"/>
          <w:color w:val="auto"/>
        </w:rPr>
        <w:t>第一条  承包商应辨识作业过程中可能出现的紧急情况，制定应急计划。应急计划中，应明确双方的职责划分、协作配合机制、各自的决策权限和应急演习等内容。承包商制定的应急计划应经过发包方审查和批准。</w:t>
      </w:r>
    </w:p>
    <w:p>
      <w:pPr>
        <w:spacing w:line="360" w:lineRule="auto"/>
        <w:rPr>
          <w:color w:val="auto"/>
        </w:rPr>
      </w:pPr>
      <w:r>
        <w:rPr>
          <w:rFonts w:hint="eastAsia"/>
          <w:color w:val="auto"/>
        </w:rPr>
        <w:t>第二条  在项目开工前以及随后的作业过程中定期组织或者参加应急演习，验证应急计划和程序的可行性，锻炼卖方人员的应急能力。卖方应定期检查应急设备，始终保持完好状态。</w:t>
      </w:r>
    </w:p>
    <w:p>
      <w:pPr>
        <w:spacing w:line="360" w:lineRule="auto"/>
        <w:rPr>
          <w:color w:val="auto"/>
        </w:rPr>
      </w:pPr>
      <w:r>
        <w:rPr>
          <w:rFonts w:hint="eastAsia"/>
          <w:color w:val="auto"/>
        </w:rPr>
        <w:t>第三条  工作场所内外的应急通道要在任何时间保持通畅。</w:t>
      </w:r>
    </w:p>
    <w:p>
      <w:pPr>
        <w:spacing w:line="360" w:lineRule="auto"/>
        <w:rPr>
          <w:color w:val="auto"/>
        </w:rPr>
      </w:pPr>
      <w:bookmarkStart w:id="30" w:name="_Toc4108"/>
      <w:bookmarkStart w:id="31" w:name="_Toc298193061"/>
      <w:r>
        <w:rPr>
          <w:rFonts w:hint="eastAsia"/>
          <w:color w:val="auto"/>
        </w:rPr>
        <w:t>第十一章事故报告和管理</w:t>
      </w:r>
      <w:bookmarkEnd w:id="30"/>
      <w:bookmarkEnd w:id="31"/>
    </w:p>
    <w:p>
      <w:pPr>
        <w:spacing w:line="360" w:lineRule="auto"/>
        <w:rPr>
          <w:color w:val="auto"/>
        </w:rPr>
      </w:pPr>
      <w:r>
        <w:rPr>
          <w:rFonts w:hint="eastAsia"/>
          <w:color w:val="auto"/>
        </w:rPr>
        <w:t>第一条  卖方应向员工明确事故的上报程序和要求。卖方自身应建立事故的上报程序，满足公司的需要。</w:t>
      </w:r>
    </w:p>
    <w:p>
      <w:pPr>
        <w:spacing w:line="360" w:lineRule="auto"/>
        <w:rPr>
          <w:color w:val="auto"/>
        </w:rPr>
      </w:pPr>
      <w:r>
        <w:rPr>
          <w:rFonts w:hint="eastAsia"/>
          <w:color w:val="auto"/>
        </w:rPr>
        <w:t>第二条  在明确依照国家标准进行事故报告义务的同时，还明确使用OSHA方式统计报告职业伤害和职业病记录表的义务。卖方应根据其承担的义务，每月度向公司上报上一月度的OSHA统计。卖方应在承包合同执行前了解OSHA统计范围和统计方法。</w:t>
      </w:r>
    </w:p>
    <w:p>
      <w:pPr>
        <w:spacing w:line="360" w:lineRule="auto"/>
        <w:rPr>
          <w:color w:val="auto"/>
        </w:rPr>
      </w:pPr>
      <w:r>
        <w:rPr>
          <w:rFonts w:hint="eastAsia"/>
          <w:color w:val="auto"/>
        </w:rPr>
        <w:t>第三条  对于任何事故、人身伤害和风险事件，卖方必须在其发生后的立即电话上报公司，并在6小时内以书面的形式上报公司。报告应包括在当时情况下所能得到的一切信息。在事故发生后，卖方应提供一份更详细的报告，内容包括受伤人员、财产损失程度、事故过程即采取的预防措施。</w:t>
      </w:r>
    </w:p>
    <w:p>
      <w:pPr>
        <w:spacing w:line="360" w:lineRule="auto"/>
        <w:rPr>
          <w:color w:val="auto"/>
        </w:rPr>
      </w:pPr>
      <w:r>
        <w:rPr>
          <w:rFonts w:hint="eastAsia"/>
          <w:color w:val="auto"/>
        </w:rPr>
        <w:t>第四条  公司会对事故、人身伤害和风险事件进行调查。卖方应采取积极的态度配合公司的调查，了解事故、人身伤害和风险事件的真实情况。</w:t>
      </w:r>
    </w:p>
    <w:p>
      <w:pPr>
        <w:spacing w:line="360" w:lineRule="auto"/>
        <w:rPr>
          <w:color w:val="auto"/>
        </w:rPr>
      </w:pPr>
      <w:bookmarkStart w:id="32" w:name="_Toc13753"/>
      <w:bookmarkStart w:id="33" w:name="_Toc298193062"/>
      <w:r>
        <w:rPr>
          <w:rFonts w:hint="eastAsia"/>
          <w:color w:val="auto"/>
        </w:rPr>
        <w:t>第十二章危险品的管理</w:t>
      </w:r>
      <w:bookmarkEnd w:id="32"/>
      <w:bookmarkEnd w:id="33"/>
    </w:p>
    <w:p>
      <w:pPr>
        <w:spacing w:line="360" w:lineRule="auto"/>
        <w:rPr>
          <w:color w:val="auto"/>
        </w:rPr>
      </w:pPr>
      <w:r>
        <w:rPr>
          <w:rFonts w:hint="eastAsia"/>
          <w:color w:val="auto"/>
        </w:rPr>
        <w:t>第一条  卖方应根据有关的法律法规和规定建立书面的危险品管理方案，按要求对所有有关人员进行培训。卖方提供和使用危险品应通知公司，并应配备和使用必要的个人防护用品安全的处理危险品。</w:t>
      </w:r>
    </w:p>
    <w:p>
      <w:pPr>
        <w:spacing w:line="360" w:lineRule="auto"/>
        <w:rPr>
          <w:color w:val="auto"/>
        </w:rPr>
      </w:pPr>
      <w:bookmarkStart w:id="34" w:name="_Toc298193063"/>
      <w:bookmarkStart w:id="35" w:name="_Toc28753"/>
      <w:r>
        <w:rPr>
          <w:rFonts w:hint="eastAsia"/>
          <w:color w:val="auto"/>
        </w:rPr>
        <w:t>第十三章沟通要求</w:t>
      </w:r>
      <w:bookmarkEnd w:id="34"/>
      <w:bookmarkEnd w:id="35"/>
    </w:p>
    <w:p>
      <w:pPr>
        <w:spacing w:line="360" w:lineRule="auto"/>
        <w:rPr>
          <w:color w:val="auto"/>
        </w:rPr>
      </w:pPr>
      <w:r>
        <w:rPr>
          <w:rFonts w:hint="eastAsia"/>
          <w:color w:val="auto"/>
        </w:rPr>
        <w:t>第一条  公司致力于为所有作业人员提供安全健康的工作环境，并且认为：为了实现这一目标，加强卖方管理层与公司管理层的沟通是十分必要的。</w:t>
      </w:r>
    </w:p>
    <w:p>
      <w:pPr>
        <w:spacing w:line="360" w:lineRule="auto"/>
        <w:rPr>
          <w:color w:val="auto"/>
        </w:rPr>
      </w:pPr>
      <w:r>
        <w:rPr>
          <w:rFonts w:hint="eastAsia"/>
          <w:color w:val="auto"/>
        </w:rPr>
        <w:t>第二条  双方在对于卖方的作业涉及安全环保的内容上发生争议或者误解时，建议以以下方式解决：</w:t>
      </w:r>
    </w:p>
    <w:p>
      <w:pPr>
        <w:spacing w:line="360" w:lineRule="auto"/>
        <w:rPr>
          <w:color w:val="auto"/>
        </w:rPr>
      </w:pPr>
      <w:r>
        <w:rPr>
          <w:rFonts w:hint="eastAsia"/>
          <w:color w:val="auto"/>
        </w:rPr>
        <w:t>公司现场安全监督如果对卖方的工作不满意时，应通过正常的管理渠道反映，由双方上一层的管理者进行处理；如果卖方有直接或者间接的压力迫使其做根据其专业技术判断不能做的事情时，卖方有权利拒绝去做，并及时向卖方上一层管理者报告，由双方上一层管理者共同商议处理该事情。</w:t>
      </w:r>
    </w:p>
    <w:p>
      <w:pPr>
        <w:spacing w:line="360" w:lineRule="auto"/>
        <w:rPr>
          <w:color w:val="auto"/>
        </w:rPr>
      </w:pPr>
      <w:bookmarkStart w:id="36" w:name="_Toc298193064"/>
      <w:bookmarkStart w:id="37" w:name="_Toc22431"/>
      <w:r>
        <w:rPr>
          <w:rFonts w:hint="eastAsia"/>
          <w:color w:val="auto"/>
        </w:rPr>
        <w:t>第十四章适用的法律法规</w:t>
      </w:r>
      <w:bookmarkEnd w:id="36"/>
      <w:bookmarkEnd w:id="37"/>
    </w:p>
    <w:p>
      <w:pPr>
        <w:spacing w:line="360" w:lineRule="auto"/>
        <w:rPr>
          <w:rFonts w:hint="eastAsia"/>
          <w:color w:val="auto"/>
        </w:rPr>
      </w:pPr>
      <w:r>
        <w:rPr>
          <w:rFonts w:hint="eastAsia"/>
          <w:color w:val="auto"/>
        </w:rPr>
        <w:t>第一条  在未将所有使用的法律、法规、标准和公司HSE要求罗列的情况下，卖方应参照执行适用于其作业的法律、法规、标准和公司HSE要求。</w:t>
      </w:r>
    </w:p>
    <w:p>
      <w:pPr>
        <w:pStyle w:val="7"/>
        <w:ind w:left="0" w:leftChars="0" w:firstLine="0" w:firstLineChars="0"/>
        <w:rPr>
          <w:rFonts w:hint="default"/>
          <w:color w:val="auto"/>
          <w:lang w:val="en-US" w:eastAsia="zh-CN"/>
        </w:rPr>
        <w:sectPr>
          <w:pgSz w:w="11906" w:h="16838"/>
          <w:pgMar w:top="1440" w:right="1797" w:bottom="1440" w:left="1797" w:header="851" w:footer="992" w:gutter="0"/>
          <w:cols w:space="0" w:num="1"/>
          <w:titlePg/>
          <w:rtlGutter w:val="0"/>
          <w:docGrid w:linePitch="312" w:charSpace="0"/>
        </w:sectPr>
      </w:pPr>
    </w:p>
    <w:p>
      <w:pPr>
        <w:widowControl/>
        <w:spacing w:before="72" w:beforeLines="30" w:after="72" w:afterLines="30" w:line="360" w:lineRule="auto"/>
        <w:jc w:val="left"/>
        <w:rPr>
          <w:rFonts w:hint="eastAsia" w:eastAsia="宋体"/>
          <w:b/>
          <w:bCs/>
          <w:iCs/>
          <w:color w:val="auto"/>
          <w:kern w:val="0"/>
          <w:sz w:val="24"/>
          <w:lang w:eastAsia="zh-CN"/>
        </w:rPr>
      </w:pPr>
      <w:r>
        <w:rPr>
          <w:rFonts w:hint="eastAsia"/>
          <w:b/>
          <w:bCs/>
          <w:iCs/>
          <w:color w:val="auto"/>
          <w:kern w:val="0"/>
          <w:sz w:val="24"/>
        </w:rPr>
        <w:t>附件</w:t>
      </w:r>
      <w:r>
        <w:rPr>
          <w:rFonts w:hint="eastAsia"/>
          <w:b/>
          <w:bCs/>
          <w:iCs/>
          <w:color w:val="auto"/>
          <w:kern w:val="0"/>
          <w:sz w:val="24"/>
          <w:lang w:val="en-US" w:eastAsia="zh-CN"/>
        </w:rPr>
        <w:t>六</w:t>
      </w:r>
      <w:r>
        <w:rPr>
          <w:rFonts w:hint="eastAsia"/>
          <w:b/>
          <w:bCs/>
          <w:iCs/>
          <w:color w:val="auto"/>
          <w:kern w:val="0"/>
          <w:sz w:val="24"/>
        </w:rPr>
        <w:t>：</w:t>
      </w:r>
      <w:r>
        <w:rPr>
          <w:rFonts w:hint="eastAsia"/>
          <w:b/>
          <w:bCs/>
          <w:iCs/>
          <w:color w:val="auto"/>
          <w:kern w:val="0"/>
          <w:sz w:val="24"/>
          <w:lang w:eastAsia="zh-CN"/>
        </w:rPr>
        <w:t>供应商合规承诺书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供应商合规</w:t>
      </w:r>
      <w:r>
        <w:rPr>
          <w:rFonts w:hint="eastAsia" w:ascii="宋体" w:hAnsi="宋体" w:eastAsia="宋体" w:cs="宋体"/>
          <w:b/>
          <w:bCs/>
          <w:color w:val="auto"/>
          <w:sz w:val="24"/>
          <w:szCs w:val="24"/>
        </w:rPr>
        <w:t>承诺书</w:t>
      </w:r>
    </w:p>
    <w:p>
      <w:pPr>
        <w:keepNext w:val="0"/>
        <w:keepLines w:val="0"/>
        <w:pageBreakBefore w:val="0"/>
        <w:widowControl w:val="0"/>
        <w:kinsoku/>
        <w:wordWrap/>
        <w:overflowPunct/>
        <w:topLinePunct w:val="0"/>
        <w:autoSpaceDE/>
        <w:autoSpaceDN/>
        <w:bidi w:val="0"/>
        <w:adjustRightInd/>
        <w:snapToGrid w:val="0"/>
        <w:spacing w:after="157" w:afterLines="50" w:line="460" w:lineRule="exact"/>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致中海油信息科技有限公司：</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鉴于本单位与贵司存在业务合作关系，为了业务的顺利进行，建立良好的合作关系，我单位自愿就本单位的合规经营事项郑重向贵司保证与承诺如下：</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2" w:firstLineChars="200"/>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一、产品/服务质量承诺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1.1  保证向贵司所提供的产品/服务符合国家法律法规所规定的强制性标准，若没有强制性标准，则符合推荐性标准、行业标准中的最优标准，但若合同约定的标准高于该等标准，则应符合合同约定标准；</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1.2 保证向贵司所供应产品/服务在同等条件下（包括同等产品/服务内容、同等支付条件等）的价款不高于任何第三方；</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1.3 保证向贵司所供应产品/服务符合安全性原则，不会对贵司以及其他任何第三方产生任何危害，不会导致贵司对任何第三方产生侵权责任或存在安全责任隐患；</w:t>
      </w:r>
    </w:p>
    <w:p>
      <w:pPr>
        <w:pStyle w:val="7"/>
        <w:keepNext w:val="0"/>
        <w:keepLines w:val="0"/>
        <w:pageBreakBefore w:val="0"/>
        <w:widowControl w:val="0"/>
        <w:kinsoku/>
        <w:wordWrap/>
        <w:overflowPunct/>
        <w:topLinePunct w:val="0"/>
        <w:bidi w:val="0"/>
        <w:spacing w:after="157" w:afterLines="50" w:line="460" w:lineRule="exac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1.4  保证产品/服务的可溯源性，在产品/服务的设计、生产、销售与售后等各个环节严格要求，对所供应的产品/服务提供最佳服务保障，及时积极地解决产品/服务所产生的任何质量问题，让贵司享受最优服务。</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460" w:lineRule="exact"/>
        <w:ind w:firstLine="442" w:firstLineChars="200"/>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二、知识产权保护承诺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2.1 向贵司所销售产品与服务若涉及知识产权，则保证该等知识产权来源合法合规，其为本司所独立拥有的著作权、专利权、商标权或自己所拥有的商业秘密等，若非本司所享有知识产权，则本司的使用已经获得了权利方的书面同意或授权，不侵犯任何第三方的知识产权；</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2.2 保证向贵司提供产品/服务的过程中，本司所使用的所有软件和技术均符合国家有关知识产权保护的法律法规和政策，保证不下载或使用未经授权、盗版的软件及相关数据资料；</w:t>
      </w:r>
    </w:p>
    <w:p>
      <w:pPr>
        <w:pStyle w:val="7"/>
        <w:keepNext w:val="0"/>
        <w:keepLines w:val="0"/>
        <w:pageBreakBefore w:val="0"/>
        <w:widowControl w:val="0"/>
        <w:kinsoku/>
        <w:wordWrap/>
        <w:overflowPunct/>
        <w:topLinePunct w:val="0"/>
        <w:bidi w:val="0"/>
        <w:spacing w:after="157" w:afterLines="50" w:line="460" w:lineRule="exac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2.3 保证若涉及到贵方向本司披露的相关数据、资料以及其他任何资料，若非贵方书面指示可以使用与披露，本司均不得将其适用于履行合同以外的任何用途，更不得向任何第三方予以披露，充分保护贵司的知识产权；</w:t>
      </w:r>
    </w:p>
    <w:p>
      <w:pPr>
        <w:pStyle w:val="7"/>
        <w:keepNext w:val="0"/>
        <w:keepLines w:val="0"/>
        <w:pageBreakBefore w:val="0"/>
        <w:widowControl w:val="0"/>
        <w:kinsoku/>
        <w:wordWrap/>
        <w:overflowPunct/>
        <w:topLinePunct w:val="0"/>
        <w:bidi w:val="0"/>
        <w:spacing w:after="157" w:afterLines="50" w:line="460" w:lineRule="exac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2.4 本司将建立严格且实际操作的知识产权保护制度，采取与员工/合作商等签署保密协议、约定知识产权保护条款等措施，约束与敦促本司员工/合作商等以同等责任方式保护贵司与其他任何第三方的知识产权，若本司员工/合作商违反了本项知识产权保护承诺，均视为本司违反了本知识产权保护性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2" w:firstLineChars="200"/>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三、数据与信息安全保护承诺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3.1 本司将建立严格的数据与信息安全保护制度，以使得本司在向贵司的服务过程中的任何阶段在数据与信息安全方面的行为均符合中华人民共和国数据与信息安全法律法规要求和标准，确保数据、信息与产品安全；</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3.2 本司保证不通过任何不正当手段与方式获取属于贵司以及其他任何第三方的数据与信息，更不对该等获取的数据与信息进行非法使用，保护贵司以及其他任何第三方的数据与信息安全；</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3.3 本司保证遵守国家以及贵司关于网络信息与言论发布的要求，未经贵司同意，不以任何方式与任何途径公开发布关于贵司的任何信息，更不得以任何方式发布诋毁、损害贵司商誉的任何信息；</w:t>
      </w:r>
    </w:p>
    <w:p>
      <w:pPr>
        <w:pStyle w:val="7"/>
        <w:keepNext w:val="0"/>
        <w:keepLines w:val="0"/>
        <w:pageBreakBefore w:val="0"/>
        <w:widowControl w:val="0"/>
        <w:kinsoku/>
        <w:wordWrap/>
        <w:overflowPunct/>
        <w:topLinePunct w:val="0"/>
        <w:bidi w:val="0"/>
        <w:spacing w:after="157" w:afterLines="50" w:line="460" w:lineRule="exact"/>
        <w:rPr>
          <w:rFonts w:hint="eastAsia" w:hAnsi="宋体" w:cs="宋体"/>
          <w:color w:val="auto"/>
          <w:sz w:val="22"/>
          <w:szCs w:val="22"/>
          <w:lang w:val="en-US" w:eastAsia="zh-CN"/>
        </w:rPr>
      </w:pPr>
      <w:r>
        <w:rPr>
          <w:rFonts w:hint="eastAsia" w:ascii="宋体" w:hAnsi="宋体" w:eastAsia="宋体" w:cs="宋体"/>
          <w:color w:val="auto"/>
          <w:sz w:val="22"/>
          <w:szCs w:val="22"/>
          <w:lang w:val="en-US" w:eastAsia="zh-CN"/>
        </w:rPr>
        <w:t>3.4 本司保证遵守网络信息发布规则，不在贵司的网络亦不在任何合法或非法平台发布任何非法言论，更不得使用、发布任何违法数据与信息。</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2" w:firstLineChars="200"/>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四、自然与环境保护承诺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4.1 本司保证遵守国家关于自然与环境保护的法律法规，保证向贵司所供应的产品符合自然与环境保护要求；</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4.2 本司保证建立完整的自然与环境保护制度，保证本司合作商、员工等在服务过程中均严格遵守自然与环境保护的相关法律法规规定以及合同约定规定；</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4.3 若因本司原因导致自然与环境破坏以及其他任何责任，本司将承诺将承担赔偿责任，并全额赔偿贵司因此所遭受的任何直接或间接损失。</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2" w:firstLineChars="200"/>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五、员工保护与劳动用工承诺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5.1 本司保证将遵守国家劳动法与劳动合同法等劳动法律法规要求，切实保护员工合法权益；</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5.2 本司保证及时发放员工薪酬与福利待遇，绝不拖欠员工工资，使得员工潜心于工作，保障向贵司所提供服务的质量与水平；</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5.3 本司保证采取一切有效的措施保证员工的人身安全与心理健康，对员工进行安全培训，遵守安全监管等法律法规；</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cs="宋体"/>
          <w:color w:val="auto"/>
          <w:sz w:val="22"/>
          <w:szCs w:val="22"/>
          <w:lang w:val="en-US" w:eastAsia="zh-CN"/>
        </w:rPr>
      </w:pPr>
      <w:r>
        <w:rPr>
          <w:rFonts w:hint="eastAsia" w:ascii="宋体" w:hAnsi="宋体" w:eastAsia="宋体" w:cs="宋体"/>
          <w:color w:val="auto"/>
          <w:sz w:val="22"/>
          <w:szCs w:val="22"/>
          <w:lang w:val="en-US" w:eastAsia="zh-CN"/>
        </w:rPr>
        <w:t>5.4 本司保证不会因员工劳动纠纷而影响到与贵司的合同履行或产生本司员工就本司侵害员工合法劳动权益问题向贵司投诉举报等事宜。</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2" w:firstLineChars="200"/>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六、国家与公共利益保护承诺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6.1 本司保证绝不参与任何损害国家与社会公共利益的行为，无论是在商业合作以及自身经营管理建设中，严格履行国家与社会公共利益保护义务，尽到企业的社会责任；</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6.2  本司保证绝不参与任何形式的侵权行为，保证向贵司提供的数据、信息等真实、全面与准确且合法合规，不具有任何欺骗性与违法性，遵守商业道德规范，确保合作诚实守信，积极维护双方的合法权益，不从事任何损害贵司商誉或利益的行为，保持良好的商业信誉。 </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若本司违反本合规承诺书的任何条款，贵司有权立即终止合作关系，并保留追究本司法律责任的权利，本司将承担相应的违约责任，并赔偿购贵司因此而遭受的一切损失，包括但不限于经济损失、声誉损害等。</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本承诺书一经作出即对本司产生法律约束力，未经贵司书面许可，本司不得单方撤回与宣告作废；若本司有任何违反本承诺书的行为，贵司可径自持本承诺书向本司主张违约与损害赔偿等法律责任。  </w:t>
      </w:r>
    </w:p>
    <w:p>
      <w:pPr>
        <w:pStyle w:val="7"/>
        <w:rPr>
          <w:rFonts w:hint="eastAsia" w:ascii="宋体" w:hAnsi="宋体" w:eastAsia="宋体" w:cs="宋体"/>
          <w:color w:val="auto"/>
          <w:sz w:val="22"/>
          <w:szCs w:val="22"/>
          <w:lang w:val="en-US" w:eastAsia="zh-CN"/>
        </w:rPr>
      </w:pPr>
    </w:p>
    <w:p>
      <w:pPr>
        <w:rPr>
          <w:rFonts w:hint="eastAsia" w:ascii="宋体" w:hAnsi="宋体" w:eastAsia="宋体" w:cs="宋体"/>
          <w:color w:val="auto"/>
          <w:sz w:val="22"/>
          <w:szCs w:val="22"/>
          <w:lang w:val="en-US" w:eastAsia="zh-CN"/>
        </w:rPr>
      </w:pPr>
    </w:p>
    <w:p>
      <w:pPr>
        <w:pStyle w:val="7"/>
        <w:rPr>
          <w:rFonts w:hint="eastAsia" w:ascii="宋体" w:hAnsi="宋体" w:eastAsia="宋体" w:cs="宋体"/>
          <w:color w:val="auto"/>
          <w:sz w:val="22"/>
          <w:szCs w:val="22"/>
          <w:lang w:val="en-US" w:eastAsia="zh-CN"/>
        </w:rPr>
      </w:pPr>
    </w:p>
    <w:p>
      <w:pPr>
        <w:rPr>
          <w:rFonts w:hint="default" w:ascii="Times New Roman" w:hAnsi="Times New Roman" w:eastAsia="宋体" w:cs="Times New Roman"/>
          <w:color w:val="auto"/>
          <w:sz w:val="21"/>
          <w:szCs w:val="24"/>
          <w:lang w:val="en-US" w:eastAsia="zh-CN"/>
        </w:rPr>
      </w:pP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供应商（盖章）：</w:t>
      </w:r>
      <w:r>
        <w:rPr>
          <w:rFonts w:hint="eastAsia" w:ascii="宋体" w:hAnsi="宋体" w:eastAsia="宋体" w:cs="宋体"/>
          <w:color w:val="auto"/>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3740" w:firstLineChars="1700"/>
        <w:textAlignment w:val="auto"/>
        <w:rPr>
          <w:rFonts w:hint="eastAsia" w:ascii="宋体" w:hAnsi="宋体" w:eastAsia="宋体" w:cs="宋体"/>
          <w:color w:val="auto"/>
          <w:sz w:val="22"/>
          <w:szCs w:val="22"/>
          <w:u w:val="single"/>
          <w:lang w:val="en-US" w:eastAsia="zh-CN"/>
        </w:rPr>
      </w:pPr>
      <w:r>
        <w:rPr>
          <w:rFonts w:hint="eastAsia" w:ascii="宋体" w:hAnsi="宋体" w:eastAsia="宋体" w:cs="宋体"/>
          <w:color w:val="auto"/>
          <w:sz w:val="22"/>
          <w:szCs w:val="22"/>
          <w:lang w:val="en-US" w:eastAsia="zh-CN"/>
        </w:rPr>
        <w:t>签署日期：</w:t>
      </w:r>
      <w:r>
        <w:rPr>
          <w:rFonts w:hint="eastAsia" w:ascii="宋体" w:hAnsi="宋体" w:eastAsia="宋体" w:cs="宋体"/>
          <w:color w:val="auto"/>
          <w:sz w:val="22"/>
          <w:szCs w:val="22"/>
          <w:u w:val="single"/>
          <w:lang w:val="en-US" w:eastAsia="zh-CN"/>
        </w:rPr>
        <w:t xml:space="preserve"> </w:t>
      </w:r>
      <w:r>
        <w:rPr>
          <w:rFonts w:hint="eastAsia" w:ascii="宋体" w:hAnsi="宋体" w:cs="宋体"/>
          <w:color w:val="auto"/>
          <w:sz w:val="22"/>
          <w:szCs w:val="22"/>
          <w:u w:val="single"/>
          <w:lang w:val="en-US" w:eastAsia="zh-CN"/>
        </w:rPr>
        <w:t>2024年   月   日</w:t>
      </w:r>
      <w:r>
        <w:rPr>
          <w:rFonts w:hint="eastAsia" w:ascii="宋体" w:hAnsi="宋体" w:eastAsia="宋体" w:cs="宋体"/>
          <w:color w:val="auto"/>
          <w:sz w:val="22"/>
          <w:szCs w:val="22"/>
          <w:u w:val="single"/>
          <w:lang w:val="en-US" w:eastAsia="zh-CN"/>
        </w:rPr>
        <w:t xml:space="preserve"> </w:t>
      </w:r>
    </w:p>
    <w:p>
      <w:pPr>
        <w:pStyle w:val="2"/>
        <w:ind w:firstLine="0" w:firstLineChars="0"/>
        <w:rPr>
          <w:rFonts w:hint="eastAsia"/>
          <w:color w:val="auto"/>
        </w:rPr>
      </w:pPr>
    </w:p>
    <w:p>
      <w:pPr>
        <w:rPr>
          <w:rFonts w:hint="eastAsia"/>
          <w:b/>
          <w:bCs/>
          <w:color w:val="auto"/>
          <w:kern w:val="0"/>
          <w:sz w:val="24"/>
          <w:highlight w:val="none"/>
        </w:rPr>
      </w:pPr>
    </w:p>
    <w:p>
      <w:pPr>
        <w:rPr>
          <w:rFonts w:hint="eastAsia"/>
          <w:b/>
          <w:strike w:val="0"/>
          <w:dstrike w:val="0"/>
          <w:sz w:val="24"/>
          <w:lang w:val="en-US" w:eastAsia="zh-CN"/>
        </w:rPr>
      </w:pPr>
      <w:r>
        <w:rPr>
          <w:rFonts w:hint="eastAsia"/>
          <w:b/>
          <w:strike w:val="0"/>
          <w:dstrike w:val="0"/>
          <w:sz w:val="24"/>
          <w:lang w:val="en-US" w:eastAsia="zh-CN"/>
        </w:rPr>
        <w:br w:type="page"/>
      </w:r>
    </w:p>
    <w:p>
      <w:pPr>
        <w:pStyle w:val="28"/>
        <w:keepNext w:val="0"/>
        <w:keepLines w:val="0"/>
        <w:pageBreakBefore w:val="0"/>
        <w:widowControl/>
        <w:kinsoku/>
        <w:wordWrap/>
        <w:overflowPunct/>
        <w:topLinePunct w:val="0"/>
        <w:autoSpaceDE/>
        <w:autoSpaceDN/>
        <w:bidi w:val="0"/>
        <w:adjustRightInd/>
        <w:snapToGrid/>
        <w:spacing w:before="240" w:after="240" w:line="360" w:lineRule="auto"/>
        <w:ind w:left="0" w:leftChars="0" w:firstLine="0" w:firstLineChars="0"/>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29"/>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29"/>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7"/>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7"/>
        <w:rPr>
          <w:rFonts w:asciiTheme="minorEastAsia" w:hAnsiTheme="minorEastAsia"/>
          <w:sz w:val="24"/>
          <w:szCs w:val="24"/>
        </w:rPr>
      </w:pPr>
    </w:p>
    <w:tbl>
      <w:tblPr>
        <w:tblStyle w:val="1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9"/>
        <w:ind w:left="0" w:leftChars="0" w:firstLine="0" w:firstLineChars="0"/>
        <w:rPr>
          <w:rFonts w:hint="eastAsia" w:ascii="宋体" w:hAnsi="宋体" w:cs="宋体"/>
          <w:sz w:val="20"/>
          <w:szCs w:val="20"/>
          <w:lang w:eastAsia="zh-CN"/>
        </w:rPr>
      </w:pPr>
    </w:p>
    <w:p>
      <w:pPr>
        <w:pStyle w:val="7"/>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7"/>
      </w:pPr>
    </w:p>
    <w:p/>
    <w:p>
      <w:pPr>
        <w:pStyle w:val="7"/>
      </w:pPr>
    </w:p>
    <w:p/>
    <w:p>
      <w:pPr>
        <w:pStyle w:val="7"/>
      </w:pPr>
    </w:p>
    <w:p/>
    <w:p>
      <w:pPr>
        <w:pStyle w:val="7"/>
      </w:pPr>
    </w:p>
    <w:p/>
    <w:p>
      <w:pPr>
        <w:pStyle w:val="7"/>
      </w:pPr>
    </w:p>
    <w:p/>
    <w:p>
      <w:pPr>
        <w:pStyle w:val="7"/>
      </w:pPr>
    </w:p>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30"/>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30"/>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rPr>
          <w:rFonts w:hint="eastAsia"/>
          <w:lang w:val="en-US" w:eastAsia="zh-CN"/>
        </w:rPr>
      </w:pPr>
    </w:p>
    <w:p>
      <w:pPr>
        <w:pStyle w:val="30"/>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9"/>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7"/>
        <w:rPr>
          <w:rFonts w:ascii="微软雅黑" w:hAnsi="微软雅黑" w:eastAsia="微软雅黑"/>
          <w:b/>
          <w:spacing w:val="2"/>
          <w:sz w:val="32"/>
          <w:szCs w:val="32"/>
        </w:rPr>
      </w:pPr>
    </w:p>
    <w:p>
      <w:pPr>
        <w:pStyle w:val="7"/>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31"/>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31"/>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6"/>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0"/>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9"/>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color w:val="000000" w:themeColor="text1"/>
          <w:sz w:val="21"/>
          <w:szCs w:val="21"/>
          <w:highlight w:val="none"/>
          <w:lang w:eastAsia="zh-CN"/>
          <w14:textFill>
            <w14:solidFill>
              <w14:schemeClr w14:val="tx1"/>
            </w14:solidFill>
          </w14:textFill>
        </w:rPr>
        <w:sym w:font="Wingdings" w:char="00A8"/>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9"/>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9"/>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0"/>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9"/>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20"/>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9"/>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9"/>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9"/>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中海油能源发展股份有限公司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4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4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4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4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4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4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4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43"/>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25"/>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25"/>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25"/>
        <w:adjustRightInd/>
        <w:jc w:val="center"/>
        <w:rPr>
          <w:rFonts w:hAnsi="宋体"/>
          <w:b/>
          <w:sz w:val="21"/>
          <w:szCs w:val="21"/>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lang w:val="en-US" w:eastAsia="zh-CN"/>
              </w:rPr>
              <w:t>交货日</w:t>
            </w:r>
            <w:r>
              <w:rPr>
                <w:rFonts w:hint="eastAsia" w:ascii="宋体" w:hAnsi="宋体"/>
                <w:color w:val="000000"/>
              </w:rPr>
              <w:t>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pStyle w:val="7"/>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9"/>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1</w:t>
            </w:r>
          </w:p>
        </w:tc>
        <w:tc>
          <w:tcPr>
            <w:tcW w:w="3969" w:type="dxa"/>
            <w:vAlign w:val="center"/>
          </w:tcPr>
          <w:p>
            <w:pPr>
              <w:pStyle w:val="3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2</w:t>
            </w:r>
          </w:p>
        </w:tc>
        <w:tc>
          <w:tcPr>
            <w:tcW w:w="3969" w:type="dxa"/>
            <w:vAlign w:val="center"/>
          </w:tcPr>
          <w:p>
            <w:pPr>
              <w:pStyle w:val="3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3</w:t>
            </w:r>
          </w:p>
        </w:tc>
        <w:tc>
          <w:tcPr>
            <w:tcW w:w="3969" w:type="dxa"/>
            <w:vAlign w:val="center"/>
          </w:tcPr>
          <w:p>
            <w:pPr>
              <w:pStyle w:val="3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4</w:t>
            </w:r>
          </w:p>
        </w:tc>
        <w:tc>
          <w:tcPr>
            <w:tcW w:w="3969" w:type="dxa"/>
            <w:vAlign w:val="center"/>
          </w:tcPr>
          <w:p>
            <w:pPr>
              <w:pStyle w:val="3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5</w:t>
            </w:r>
          </w:p>
        </w:tc>
        <w:tc>
          <w:tcPr>
            <w:tcW w:w="3969" w:type="dxa"/>
            <w:vAlign w:val="center"/>
          </w:tcPr>
          <w:p>
            <w:pPr>
              <w:pStyle w:val="32"/>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3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6</w:t>
            </w:r>
          </w:p>
        </w:tc>
        <w:tc>
          <w:tcPr>
            <w:tcW w:w="3969" w:type="dxa"/>
            <w:vAlign w:val="center"/>
          </w:tcPr>
          <w:p>
            <w:pPr>
              <w:pStyle w:val="32"/>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4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4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4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pStyle w:val="7"/>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val="0"/>
        <w:wordWrap/>
        <w:overflowPunct w:val="0"/>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keepNext w:val="0"/>
        <w:keepLines w:val="0"/>
        <w:pageBreakBefore w:val="0"/>
        <w:kinsoku w:val="0"/>
        <w:wordWrap/>
        <w:overflowPunct w:val="0"/>
        <w:topLinePunct w:val="0"/>
        <w:autoSpaceDE/>
        <w:autoSpaceDN/>
        <w:bidi w:val="0"/>
        <w:adjustRightInd/>
        <w:rPr>
          <w:rFonts w:ascii="黑体" w:hAnsi="黑体" w:eastAsia="黑体"/>
          <w:color w:val="000000" w:themeColor="text1"/>
          <w:sz w:val="21"/>
          <w:szCs w:val="21"/>
          <w:highlight w:val="none"/>
          <w14:textFill>
            <w14:solidFill>
              <w14:schemeClr w14:val="tx1"/>
            </w14:solidFill>
          </w14:textFill>
        </w:rPr>
      </w:pPr>
    </w:p>
    <w:p>
      <w:pPr>
        <w:pStyle w:val="28"/>
        <w:keepNext w:val="0"/>
        <w:keepLines w:val="0"/>
        <w:pageBreakBefore w:val="0"/>
        <w:kinsoku w:val="0"/>
        <w:wordWrap/>
        <w:overflowPunct w:val="0"/>
        <w:topLinePunct w:val="0"/>
        <w:autoSpaceDE/>
        <w:autoSpaceDN/>
        <w:bidi w:val="0"/>
        <w:adjustRightInd/>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28"/>
        <w:keepNext w:val="0"/>
        <w:keepLines w:val="0"/>
        <w:pageBreakBefore w:val="0"/>
        <w:kinsoku w:val="0"/>
        <w:wordWrap/>
        <w:overflowPunct w:val="0"/>
        <w:topLinePunct w:val="0"/>
        <w:autoSpaceDE/>
        <w:autoSpaceDN/>
        <w:bidi w:val="0"/>
        <w:adjustRightInd/>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w:t>
      </w:r>
      <w:r>
        <w:rPr>
          <w:rFonts w:hint="default" w:cs="Calibri" w:asciiTheme="minorEastAsia" w:hAnsiTheme="minorEastAsia" w:eastAsiaTheme="minorEastAsia"/>
          <w:color w:val="000000" w:themeColor="text1"/>
          <w:sz w:val="21"/>
          <w:szCs w:val="21"/>
          <w:highlight w:val="none"/>
          <w14:textFill>
            <w14:solidFill>
              <w14:schemeClr w14:val="tx1"/>
            </w14:solidFill>
          </w14:textFill>
        </w:rPr>
        <w:t>目</w:t>
      </w:r>
      <w:r>
        <w:rPr>
          <w:rFonts w:cs="Calibri"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Calibri" w:asciiTheme="minorEastAsia" w:hAnsiTheme="minorEastAsia" w:eastAsiaTheme="minorEastAsia"/>
          <w:i w:val="0"/>
          <w:iCs w:val="0"/>
          <w:caps w:val="0"/>
          <w:color w:val="000000" w:themeColor="text1"/>
          <w:spacing w:val="0"/>
          <w:sz w:val="21"/>
          <w:szCs w:val="21"/>
          <w:highlight w:val="none"/>
          <w:shd w:val="clear" w:fill="auto"/>
          <w14:textFill>
            <w14:solidFill>
              <w14:schemeClr w14:val="tx1"/>
            </w14:solidFill>
          </w14:textFill>
        </w:rPr>
        <w:t>信科公司上海分公司南区中控系统采购</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9"/>
        <w:tblW w:w="141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1225"/>
        <w:gridCol w:w="3382"/>
        <w:gridCol w:w="2209"/>
        <w:gridCol w:w="745"/>
        <w:gridCol w:w="800"/>
        <w:gridCol w:w="664"/>
        <w:gridCol w:w="1645"/>
        <w:gridCol w:w="1237"/>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物资描述</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default" w:ascii="宋体" w:hAnsi="宋体" w:eastAsia="宋体" w:cs="宋体"/>
                <w:i w:val="0"/>
                <w:iCs w:val="0"/>
                <w:color w:val="FF0000"/>
                <w:kern w:val="0"/>
                <w:sz w:val="20"/>
                <w:szCs w:val="20"/>
                <w:highlight w:val="yellow"/>
                <w:u w:val="none"/>
                <w:lang w:val="en-US" w:eastAsia="zh-CN" w:bidi="ar"/>
              </w:rPr>
            </w:pPr>
            <w:r>
              <w:rPr>
                <w:rFonts w:hint="eastAsia" w:ascii="宋体" w:hAnsi="宋体" w:eastAsia="宋体" w:cs="宋体"/>
                <w:i w:val="0"/>
                <w:iCs w:val="0"/>
                <w:color w:val="FF0000"/>
                <w:kern w:val="0"/>
                <w:sz w:val="20"/>
                <w:szCs w:val="20"/>
                <w:highlight w:val="yellow"/>
                <w:u w:val="none"/>
                <w:lang w:val="en-US" w:eastAsia="zh-CN" w:bidi="ar"/>
              </w:rPr>
              <w:t>品牌型号</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不含税</w:t>
            </w:r>
          </w:p>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不含税</w:t>
            </w:r>
          </w:p>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过程控制器</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完成对过程的直接控制，以及过程变量的数据采集，实时存储和传输</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系统机柜</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含供电模块，定制机架，机柜尺寸800mm*1000mm*2000mm</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系统硬件</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DeltaV PK300 控制器、冗余CHRAM IO 卡及底板、CHARM 特性模块等</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操控台</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含关断，恢复按键，配信号指示灯</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系统软件</w:t>
            </w:r>
          </w:p>
        </w:tc>
        <w:tc>
          <w:tcPr>
            <w:tcW w:w="3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见技术要求书</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jc w:val="center"/>
              <w:rPr>
                <w:rFonts w:hint="eastAsia" w:ascii="宋体" w:hAnsi="宋体" w:eastAsia="宋体" w:cs="宋体"/>
                <w:i w:val="0"/>
                <w:iCs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149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val="0"/>
              <w:wordWrap/>
              <w:overflowPunct w:val="0"/>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41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r>
              <w:rPr>
                <w:rFonts w:hint="eastAsia" w:ascii="宋体" w:hAnsi="宋体" w:eastAsia="宋体" w:cs="宋体"/>
                <w:i w:val="0"/>
                <w:iCs/>
                <w:color w:val="auto"/>
                <w:sz w:val="21"/>
                <w:szCs w:val="21"/>
                <w:lang w:eastAsia="zh-CN"/>
              </w:rPr>
              <w:t>含税总价（大写人民币）：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418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val="0"/>
              <w:wordWrap/>
              <w:overflowPunct w:val="0"/>
              <w:topLinePunct w:val="0"/>
              <w:autoSpaceDE/>
              <w:autoSpaceDN/>
              <w:bidi w:val="0"/>
              <w:adjustRightInd/>
              <w:snapToGrid/>
              <w:rPr>
                <w:rFonts w:hint="eastAsia" w:ascii="宋体" w:hAnsi="宋体" w:eastAsia="宋体" w:cs="宋体"/>
                <w:i w:val="0"/>
                <w:iCs w:val="0"/>
                <w:color w:val="000000"/>
                <w:sz w:val="20"/>
                <w:szCs w:val="20"/>
                <w:u w:val="none"/>
              </w:rPr>
            </w:pPr>
            <w:r>
              <w:rPr>
                <w:rFonts w:hint="eastAsia" w:ascii="宋体" w:hAnsi="宋体" w:eastAsia="宋体" w:cs="宋体"/>
                <w:i w:val="0"/>
                <w:iCs/>
                <w:color w:val="auto"/>
                <w:sz w:val="21"/>
                <w:szCs w:val="21"/>
                <w:lang w:eastAsia="zh-CN"/>
              </w:rPr>
              <w:t>不含税总价（大写人民币）：</w:t>
            </w:r>
          </w:p>
        </w:tc>
      </w:tr>
    </w:tbl>
    <w:p>
      <w:pPr>
        <w:keepNext w:val="0"/>
        <w:keepLines w:val="0"/>
        <w:pageBreakBefore w:val="0"/>
        <w:kinsoku w:val="0"/>
        <w:wordWrap/>
        <w:overflowPunct w:val="0"/>
        <w:topLinePunct w:val="0"/>
        <w:autoSpaceDE/>
        <w:autoSpaceDN/>
        <w:bidi w:val="0"/>
        <w:adjustRightInd/>
        <w:snapToGrid w:val="0"/>
        <w:spacing w:line="360" w:lineRule="auto"/>
        <w:rPr>
          <w:rFonts w:asciiTheme="minorEastAsia" w:hAnsiTheme="minorEastAsia"/>
          <w:color w:val="000000" w:themeColor="text1"/>
          <w:sz w:val="21"/>
          <w:szCs w:val="21"/>
          <w:highlight w:val="none"/>
          <w14:textFill>
            <w14:solidFill>
              <w14:schemeClr w14:val="tx1"/>
            </w14:solidFill>
          </w14:textFill>
        </w:rPr>
      </w:pPr>
    </w:p>
    <w:p>
      <w:pPr>
        <w:keepNext w:val="0"/>
        <w:keepLines w:val="0"/>
        <w:pageBreakBefore w:val="0"/>
        <w:kinsoku w:val="0"/>
        <w:wordWrap/>
        <w:overflowPunct w:val="0"/>
        <w:topLinePunct w:val="0"/>
        <w:autoSpaceDE/>
        <w:autoSpaceDN/>
        <w:bidi w:val="0"/>
        <w:adjustRightInd/>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keepNext w:val="0"/>
        <w:keepLines w:val="0"/>
        <w:pageBreakBefore w:val="0"/>
        <w:kinsoku w:val="0"/>
        <w:wordWrap/>
        <w:overflowPunct w:val="0"/>
        <w:topLinePunct w:val="0"/>
        <w:autoSpaceDE/>
        <w:autoSpaceDN/>
        <w:bidi w:val="0"/>
        <w:adjustRightInd/>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keepNext w:val="0"/>
        <w:keepLines w:val="0"/>
        <w:pageBreakBefore w:val="0"/>
        <w:kinsoku w:val="0"/>
        <w:wordWrap/>
        <w:overflowPunct w:val="0"/>
        <w:topLinePunct w:val="0"/>
        <w:autoSpaceDE/>
        <w:autoSpaceDN/>
        <w:bidi w:val="0"/>
        <w:adjustRightInd/>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28"/>
        <w:keepNext w:val="0"/>
        <w:keepLines w:val="0"/>
        <w:pageBreakBefore w:val="0"/>
        <w:kinsoku w:val="0"/>
        <w:wordWrap/>
        <w:overflowPunct w:val="0"/>
        <w:topLinePunct w:val="0"/>
        <w:autoSpaceDE/>
        <w:autoSpaceDN/>
        <w:bidi w:val="0"/>
        <w:adjustRightInd/>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费用。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8"/>
        <w:keepNext w:val="0"/>
        <w:keepLines w:val="0"/>
        <w:pageBreakBefore w:val="0"/>
        <w:kinsoku w:val="0"/>
        <w:wordWrap/>
        <w:overflowPunct w:val="0"/>
        <w:topLinePunct w:val="0"/>
        <w:autoSpaceDE/>
        <w:autoSpaceDN/>
        <w:bidi w:val="0"/>
        <w:adjustRightInd/>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28"/>
        <w:keepNext w:val="0"/>
        <w:keepLines w:val="0"/>
        <w:pageBreakBefore w:val="0"/>
        <w:kinsoku w:val="0"/>
        <w:wordWrap/>
        <w:overflowPunct w:val="0"/>
        <w:topLinePunct w:val="0"/>
        <w:autoSpaceDE/>
        <w:autoSpaceDN/>
        <w:bidi w:val="0"/>
        <w:adjustRightInd/>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FF0000"/>
          <w:sz w:val="21"/>
          <w:szCs w:val="21"/>
          <w:highlight w:val="none"/>
          <w:lang w:val="en-US" w:eastAsia="zh-CN"/>
        </w:rPr>
        <w:t>报价单中的“</w:t>
      </w:r>
      <w:r>
        <w:rPr>
          <w:rFonts w:hint="eastAsia" w:ascii="宋体" w:hAnsi="宋体" w:eastAsia="宋体" w:cs="宋体"/>
          <w:i w:val="0"/>
          <w:iCs w:val="0"/>
          <w:color w:val="FF0000"/>
          <w:kern w:val="0"/>
          <w:sz w:val="21"/>
          <w:szCs w:val="21"/>
          <w:highlight w:val="none"/>
          <w:u w:val="none"/>
          <w:lang w:val="en-US" w:eastAsia="zh-CN" w:bidi="ar"/>
        </w:rPr>
        <w:t>品牌型号”请应答人如实填写</w:t>
      </w:r>
      <w:r>
        <w:rPr>
          <w:rFonts w:hint="eastAsia" w:ascii="宋体" w:hAnsi="宋体" w:eastAsia="宋体" w:cs="宋体"/>
          <w:i w:val="0"/>
          <w:iCs w:val="0"/>
          <w:color w:val="auto"/>
          <w:kern w:val="0"/>
          <w:sz w:val="21"/>
          <w:szCs w:val="21"/>
          <w:highlight w:val="none"/>
          <w:u w:val="none"/>
          <w:lang w:val="en-US" w:eastAsia="zh-CN" w:bidi="ar"/>
        </w:rPr>
        <w:t>；</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28"/>
        <w:keepNext w:val="0"/>
        <w:keepLines w:val="0"/>
        <w:pageBreakBefore w:val="0"/>
        <w:kinsoku w:val="0"/>
        <w:wordWrap/>
        <w:overflowPunct w:val="0"/>
        <w:topLinePunct w:val="0"/>
        <w:autoSpaceDE/>
        <w:autoSpaceDN/>
        <w:bidi w:val="0"/>
        <w:adjustRightInd/>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28"/>
        <w:keepNext w:val="0"/>
        <w:keepLines w:val="0"/>
        <w:pageBreakBefore w:val="0"/>
        <w:kinsoku w:val="0"/>
        <w:wordWrap/>
        <w:overflowPunct w:val="0"/>
        <w:topLinePunct w:val="0"/>
        <w:autoSpaceDE/>
        <w:autoSpaceDN/>
        <w:bidi w:val="0"/>
        <w:adjustRightInd/>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报价单位名称：***（</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盖公章）</w:t>
      </w:r>
    </w:p>
    <w:p>
      <w:pPr>
        <w:pStyle w:val="28"/>
        <w:keepNext w:val="0"/>
        <w:keepLines w:val="0"/>
        <w:pageBreakBefore w:val="0"/>
        <w:kinsoku w:val="0"/>
        <w:wordWrap/>
        <w:overflowPunct w:val="0"/>
        <w:topLinePunct w:val="0"/>
        <w:autoSpaceDE/>
        <w:autoSpaceDN/>
        <w:bidi w:val="0"/>
        <w:adjustRightInd/>
        <w:spacing w:line="360" w:lineRule="auto"/>
        <w:ind w:right="840" w:firstLine="0"/>
        <w:jc w:val="right"/>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法定代表人（单位负责人）或其委托代理人签字：</w:t>
      </w:r>
    </w:p>
    <w:p>
      <w:pPr>
        <w:pStyle w:val="28"/>
        <w:keepNext w:val="0"/>
        <w:keepLines w:val="0"/>
        <w:pageBreakBefore w:val="0"/>
        <w:kinsoku w:val="0"/>
        <w:wordWrap/>
        <w:overflowPunct w:val="0"/>
        <w:topLinePunct w:val="0"/>
        <w:autoSpaceDE/>
        <w:autoSpaceDN/>
        <w:bidi w:val="0"/>
        <w:adjustRightInd/>
        <w:spacing w:line="360" w:lineRule="auto"/>
        <w:ind w:right="840" w:firstLine="0"/>
        <w:jc w:val="right"/>
      </w:pP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报价日期：****年**月**日</w:t>
      </w:r>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Noto Sans CJK DemiLight">
    <w:altName w:val="宋体"/>
    <w:panose1 w:val="00000000000000000000"/>
    <w:charset w:val="86"/>
    <w:family w:val="swiss"/>
    <w:pitch w:val="default"/>
    <w:sig w:usb0="00000000" w:usb1="00000000" w:usb2="00000016" w:usb3="00000000" w:csb0="002E0107"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18030">
    <w:altName w:val="黑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216" w:firstLineChars="2000"/>
      <w:rPr>
        <w:lang w:val="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08FD5"/>
    <w:multiLevelType w:val="singleLevel"/>
    <w:tmpl w:val="DA608FD5"/>
    <w:lvl w:ilvl="0" w:tentative="0">
      <w:start w:val="1"/>
      <w:numFmt w:val="decimal"/>
      <w:suff w:val="nothing"/>
      <w:lvlText w:val="%1．"/>
      <w:lvlJc w:val="left"/>
      <w:pPr>
        <w:ind w:left="0" w:firstLine="403"/>
      </w:pPr>
      <w:rPr>
        <w:rFonts w:hint="default"/>
      </w:rPr>
    </w:lvl>
  </w:abstractNum>
  <w:abstractNum w:abstractNumId="1">
    <w:nsid w:val="E22BAA6B"/>
    <w:multiLevelType w:val="singleLevel"/>
    <w:tmpl w:val="E22BAA6B"/>
    <w:lvl w:ilvl="0" w:tentative="0">
      <w:start w:val="1"/>
      <w:numFmt w:val="decimal"/>
      <w:suff w:val="space"/>
      <w:lvlText w:val="%1."/>
      <w:lvlJc w:val="left"/>
    </w:lvl>
  </w:abstractNum>
  <w:abstractNum w:abstractNumId="2">
    <w:nsid w:val="F05828A1"/>
    <w:multiLevelType w:val="singleLevel"/>
    <w:tmpl w:val="F05828A1"/>
    <w:lvl w:ilvl="0" w:tentative="0">
      <w:start w:val="6"/>
      <w:numFmt w:val="chineseCounting"/>
      <w:suff w:val="nothing"/>
      <w:lvlText w:val="%1、"/>
      <w:lvlJc w:val="left"/>
      <w:pPr>
        <w:ind w:left="-200"/>
      </w:pPr>
      <w:rPr>
        <w:rFonts w:hint="eastAsia"/>
      </w:rPr>
    </w:lvl>
  </w:abstractNum>
  <w:abstractNum w:abstractNumId="3">
    <w:nsid w:val="F2FC7A7A"/>
    <w:multiLevelType w:val="singleLevel"/>
    <w:tmpl w:val="F2FC7A7A"/>
    <w:lvl w:ilvl="0" w:tentative="0">
      <w:start w:val="2"/>
      <w:numFmt w:val="chineseCounting"/>
      <w:suff w:val="nothing"/>
      <w:lvlText w:val="%1、"/>
      <w:lvlJc w:val="left"/>
      <w:rPr>
        <w:rFonts w:hint="eastAsia"/>
      </w:rPr>
    </w:lvl>
  </w:abstractNum>
  <w:abstractNum w:abstractNumId="4">
    <w:nsid w:val="F812D666"/>
    <w:multiLevelType w:val="singleLevel"/>
    <w:tmpl w:val="F812D666"/>
    <w:lvl w:ilvl="0" w:tentative="0">
      <w:start w:val="8"/>
      <w:numFmt w:val="chineseCounting"/>
      <w:suff w:val="nothing"/>
      <w:lvlText w:val="%1、"/>
      <w:lvlJc w:val="left"/>
      <w:rPr>
        <w:rFonts w:hint="eastAsia"/>
      </w:rPr>
    </w:lvl>
  </w:abstractNum>
  <w:abstractNum w:abstractNumId="5">
    <w:nsid w:val="FF5E82E9"/>
    <w:multiLevelType w:val="singleLevel"/>
    <w:tmpl w:val="FF5E82E9"/>
    <w:lvl w:ilvl="0" w:tentative="0">
      <w:start w:val="5"/>
      <w:numFmt w:val="decimal"/>
      <w:suff w:val="nothing"/>
      <w:lvlText w:val="%1、"/>
      <w:lvlJc w:val="left"/>
    </w:lvl>
  </w:abstractNum>
  <w:abstractNum w:abstractNumId="6">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7">
    <w:nsid w:val="104CED64"/>
    <w:multiLevelType w:val="singleLevel"/>
    <w:tmpl w:val="104CED64"/>
    <w:lvl w:ilvl="0" w:tentative="0">
      <w:start w:val="1"/>
      <w:numFmt w:val="decimal"/>
      <w:lvlText w:val="%1."/>
      <w:lvlJc w:val="left"/>
      <w:pPr>
        <w:tabs>
          <w:tab w:val="left" w:pos="312"/>
        </w:tabs>
      </w:pPr>
    </w:lvl>
  </w:abstractNum>
  <w:abstractNum w:abstractNumId="8">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1">
    <w:nsid w:val="18324A0E"/>
    <w:multiLevelType w:val="singleLevel"/>
    <w:tmpl w:val="18324A0E"/>
    <w:lvl w:ilvl="0" w:tentative="0">
      <w:start w:val="1"/>
      <w:numFmt w:val="decimal"/>
      <w:suff w:val="nothing"/>
      <w:lvlText w:val="%1、"/>
      <w:lvlJc w:val="left"/>
    </w:lvl>
  </w:abstractNum>
  <w:abstractNum w:abstractNumId="12">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2030A0D"/>
    <w:multiLevelType w:val="multilevel"/>
    <w:tmpl w:val="22030A0D"/>
    <w:lvl w:ilvl="0" w:tentative="0">
      <w:start w:val="1"/>
      <w:numFmt w:val="decimal"/>
      <w:lvlText w:val="17.%1"/>
      <w:lvlJc w:val="left"/>
      <w:pPr>
        <w:ind w:left="420" w:hanging="420"/>
      </w:pPr>
      <w:rPr>
        <w:rFonts w:hint="default" w:cs="Times New Roman" w:asciiTheme="minorEastAsia" w:hAnsiTheme="minorEastAsia" w:eastAsiaTheme="minorEastAsia"/>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47A27FD"/>
    <w:multiLevelType w:val="singleLevel"/>
    <w:tmpl w:val="347A27FD"/>
    <w:lvl w:ilvl="0" w:tentative="0">
      <w:start w:val="1"/>
      <w:numFmt w:val="decimal"/>
      <w:suff w:val="nothing"/>
      <w:lvlText w:val="%1．"/>
      <w:lvlJc w:val="left"/>
      <w:pPr>
        <w:ind w:left="0" w:firstLine="400"/>
      </w:pPr>
      <w:rPr>
        <w:rFonts w:hint="default"/>
      </w:rPr>
    </w:lvl>
  </w:abstractNum>
  <w:abstractNum w:abstractNumId="20">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1">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0B6C9A8"/>
    <w:multiLevelType w:val="singleLevel"/>
    <w:tmpl w:val="40B6C9A8"/>
    <w:lvl w:ilvl="0" w:tentative="0">
      <w:start w:val="1"/>
      <w:numFmt w:val="decimal"/>
      <w:suff w:val="nothing"/>
      <w:lvlText w:val="%1、"/>
      <w:lvlJc w:val="left"/>
    </w:lvl>
  </w:abstractNum>
  <w:abstractNum w:abstractNumId="25">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6">
    <w:nsid w:val="4613C0B7"/>
    <w:multiLevelType w:val="singleLevel"/>
    <w:tmpl w:val="4613C0B7"/>
    <w:lvl w:ilvl="0" w:tentative="0">
      <w:start w:val="9"/>
      <w:numFmt w:val="chineseCounting"/>
      <w:suff w:val="nothing"/>
      <w:lvlText w:val="%1、"/>
      <w:lvlJc w:val="left"/>
      <w:rPr>
        <w:rFonts w:hint="eastAsia"/>
      </w:rPr>
    </w:lvl>
  </w:abstractNum>
  <w:abstractNum w:abstractNumId="27">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4F2A4C79"/>
    <w:multiLevelType w:val="multilevel"/>
    <w:tmpl w:val="4F2A4C79"/>
    <w:lvl w:ilvl="0" w:tentative="0">
      <w:start w:val="1"/>
      <w:numFmt w:val="decimal"/>
      <w:lvlText w:val="17.%1"/>
      <w:lvlJc w:val="left"/>
      <w:pPr>
        <w:ind w:left="1126" w:hanging="420"/>
      </w:pPr>
      <w:rPr>
        <w:rFonts w:hint="eastAsia"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31">
    <w:nsid w:val="5173ECD3"/>
    <w:multiLevelType w:val="singleLevel"/>
    <w:tmpl w:val="5173ECD3"/>
    <w:lvl w:ilvl="0" w:tentative="0">
      <w:start w:val="1"/>
      <w:numFmt w:val="decimal"/>
      <w:suff w:val="nothing"/>
      <w:lvlText w:val="%1．"/>
      <w:lvlJc w:val="left"/>
      <w:pPr>
        <w:ind w:left="0" w:firstLine="400"/>
      </w:pPr>
      <w:rPr>
        <w:rFonts w:hint="default"/>
      </w:rPr>
    </w:lvl>
  </w:abstractNum>
  <w:abstractNum w:abstractNumId="32">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3">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5DD16306"/>
    <w:multiLevelType w:val="multilevel"/>
    <w:tmpl w:val="5DD16306"/>
    <w:lvl w:ilvl="0" w:tentative="0">
      <w:start w:val="1"/>
      <w:numFmt w:val="decimal"/>
      <w:lvlText w:val="3.%1"/>
      <w:lvlJc w:val="left"/>
      <w:pPr>
        <w:tabs>
          <w:tab w:val="left" w:pos="840"/>
        </w:tabs>
        <w:ind w:left="840" w:hanging="420"/>
      </w:pPr>
      <w:rPr>
        <w:rFonts w:hint="eastAsia"/>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61694D6C"/>
    <w:multiLevelType w:val="singleLevel"/>
    <w:tmpl w:val="61694D6C"/>
    <w:lvl w:ilvl="0" w:tentative="0">
      <w:start w:val="1"/>
      <w:numFmt w:val="decimal"/>
      <w:suff w:val="nothing"/>
      <w:lvlText w:val="%1、"/>
      <w:lvlJc w:val="left"/>
    </w:lvl>
  </w:abstractNum>
  <w:abstractNum w:abstractNumId="36">
    <w:nsid w:val="64ABCA70"/>
    <w:multiLevelType w:val="singleLevel"/>
    <w:tmpl w:val="64ABCA70"/>
    <w:lvl w:ilvl="0" w:tentative="0">
      <w:start w:val="1"/>
      <w:numFmt w:val="decimal"/>
      <w:suff w:val="nothing"/>
      <w:lvlText w:val="%1．"/>
      <w:lvlJc w:val="left"/>
      <w:pPr>
        <w:ind w:left="0" w:firstLine="400"/>
      </w:pPr>
      <w:rPr>
        <w:rFonts w:hint="default"/>
      </w:rPr>
    </w:lvl>
  </w:abstractNum>
  <w:abstractNum w:abstractNumId="37">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9">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40">
    <w:nsid w:val="7A4E7FCC"/>
    <w:multiLevelType w:val="singleLevel"/>
    <w:tmpl w:val="7A4E7FCC"/>
    <w:lvl w:ilvl="0" w:tentative="0">
      <w:start w:val="3"/>
      <w:numFmt w:val="chineseCounting"/>
      <w:suff w:val="nothing"/>
      <w:lvlText w:val="%1、"/>
      <w:lvlJc w:val="left"/>
      <w:rPr>
        <w:rFonts w:hint="eastAsia"/>
      </w:rPr>
    </w:lvl>
  </w:abstractNum>
  <w:abstractNum w:abstractNumId="41">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2">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7E7783DD"/>
    <w:multiLevelType w:val="singleLevel"/>
    <w:tmpl w:val="7E7783DD"/>
    <w:lvl w:ilvl="0" w:tentative="0">
      <w:start w:val="1"/>
      <w:numFmt w:val="decimal"/>
      <w:suff w:val="nothing"/>
      <w:lvlText w:val="%1、"/>
      <w:lvlJc w:val="left"/>
    </w:lvl>
  </w:abstractNum>
  <w:num w:numId="1">
    <w:abstractNumId w:val="7"/>
  </w:num>
  <w:num w:numId="2">
    <w:abstractNumId w:val="31"/>
  </w:num>
  <w:num w:numId="3">
    <w:abstractNumId w:val="3"/>
  </w:num>
  <w:num w:numId="4">
    <w:abstractNumId w:val="1"/>
  </w:num>
  <w:num w:numId="5">
    <w:abstractNumId w:val="40"/>
  </w:num>
  <w:num w:numId="6">
    <w:abstractNumId w:val="0"/>
  </w:num>
  <w:num w:numId="7">
    <w:abstractNumId w:val="2"/>
  </w:num>
  <w:num w:numId="8">
    <w:abstractNumId w:val="19"/>
  </w:num>
  <w:num w:numId="9">
    <w:abstractNumId w:val="36"/>
  </w:num>
  <w:num w:numId="10">
    <w:abstractNumId w:val="26"/>
  </w:num>
  <w:num w:numId="11">
    <w:abstractNumId w:val="5"/>
  </w:num>
  <w:num w:numId="12">
    <w:abstractNumId w:val="4"/>
  </w:num>
  <w:num w:numId="13">
    <w:abstractNumId w:val="16"/>
  </w:num>
  <w:num w:numId="14">
    <w:abstractNumId w:val="22"/>
  </w:num>
  <w:num w:numId="15">
    <w:abstractNumId w:val="33"/>
  </w:num>
  <w:num w:numId="16">
    <w:abstractNumId w:val="34"/>
  </w:num>
  <w:num w:numId="17">
    <w:abstractNumId w:val="23"/>
  </w:num>
  <w:num w:numId="18">
    <w:abstractNumId w:val="25"/>
  </w:num>
  <w:num w:numId="19">
    <w:abstractNumId w:val="41"/>
  </w:num>
  <w:num w:numId="20">
    <w:abstractNumId w:val="9"/>
  </w:num>
  <w:num w:numId="21">
    <w:abstractNumId w:val="42"/>
  </w:num>
  <w:num w:numId="22">
    <w:abstractNumId w:val="17"/>
  </w:num>
  <w:num w:numId="23">
    <w:abstractNumId w:val="10"/>
  </w:num>
  <w:num w:numId="24">
    <w:abstractNumId w:val="13"/>
  </w:num>
  <w:num w:numId="25">
    <w:abstractNumId w:val="6"/>
  </w:num>
  <w:num w:numId="26">
    <w:abstractNumId w:val="15"/>
  </w:num>
  <w:num w:numId="27">
    <w:abstractNumId w:val="8"/>
  </w:num>
  <w:num w:numId="28">
    <w:abstractNumId w:val="28"/>
  </w:num>
  <w:num w:numId="29">
    <w:abstractNumId w:val="29"/>
  </w:num>
  <w:num w:numId="30">
    <w:abstractNumId w:val="32"/>
  </w:num>
  <w:num w:numId="31">
    <w:abstractNumId w:val="14"/>
  </w:num>
  <w:num w:numId="32">
    <w:abstractNumId w:val="27"/>
  </w:num>
  <w:num w:numId="33">
    <w:abstractNumId w:val="21"/>
  </w:num>
  <w:num w:numId="34">
    <w:abstractNumId w:val="30"/>
  </w:num>
  <w:num w:numId="35">
    <w:abstractNumId w:val="18"/>
  </w:num>
  <w:num w:numId="36">
    <w:abstractNumId w:val="12"/>
  </w:num>
  <w:num w:numId="37">
    <w:abstractNumId w:val="20"/>
  </w:num>
  <w:num w:numId="38">
    <w:abstractNumId w:val="38"/>
  </w:num>
  <w:num w:numId="39">
    <w:abstractNumId w:val="39"/>
  </w:num>
  <w:num w:numId="40">
    <w:abstractNumId w:val="43"/>
  </w:num>
  <w:num w:numId="41">
    <w:abstractNumId w:val="24"/>
  </w:num>
  <w:num w:numId="42">
    <w:abstractNumId w:val="11"/>
  </w:num>
  <w:num w:numId="43">
    <w:abstractNumId w:val="3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Yzg0MWY3OWVlY2IyNGQ5YTcxOTk4ZTBhOGFjNjQifQ=="/>
  </w:docVars>
  <w:rsids>
    <w:rsidRoot w:val="00000000"/>
    <w:rsid w:val="004503E9"/>
    <w:rsid w:val="011E3CE2"/>
    <w:rsid w:val="03487FE5"/>
    <w:rsid w:val="0355188B"/>
    <w:rsid w:val="08874E83"/>
    <w:rsid w:val="0CB81B1A"/>
    <w:rsid w:val="0CBD686F"/>
    <w:rsid w:val="15372954"/>
    <w:rsid w:val="184A0660"/>
    <w:rsid w:val="18EC763F"/>
    <w:rsid w:val="1A915A17"/>
    <w:rsid w:val="1B46726D"/>
    <w:rsid w:val="1E257070"/>
    <w:rsid w:val="1ED0123D"/>
    <w:rsid w:val="23514E42"/>
    <w:rsid w:val="271779CE"/>
    <w:rsid w:val="29716D8C"/>
    <w:rsid w:val="2F4707DC"/>
    <w:rsid w:val="307E70EB"/>
    <w:rsid w:val="31011D58"/>
    <w:rsid w:val="34EC3570"/>
    <w:rsid w:val="356B4B39"/>
    <w:rsid w:val="38A7687A"/>
    <w:rsid w:val="39A25337"/>
    <w:rsid w:val="3D320741"/>
    <w:rsid w:val="48BD6996"/>
    <w:rsid w:val="4B9451C8"/>
    <w:rsid w:val="4C7F798A"/>
    <w:rsid w:val="4DD57B85"/>
    <w:rsid w:val="4FBA4540"/>
    <w:rsid w:val="4FC85740"/>
    <w:rsid w:val="51C82495"/>
    <w:rsid w:val="52E84333"/>
    <w:rsid w:val="53A65C78"/>
    <w:rsid w:val="546B1FBF"/>
    <w:rsid w:val="55A75D10"/>
    <w:rsid w:val="597A2590"/>
    <w:rsid w:val="59DE7092"/>
    <w:rsid w:val="5F685E5B"/>
    <w:rsid w:val="5F6F16EE"/>
    <w:rsid w:val="605E5A18"/>
    <w:rsid w:val="60862678"/>
    <w:rsid w:val="63160D2C"/>
    <w:rsid w:val="63EC62C2"/>
    <w:rsid w:val="6501706E"/>
    <w:rsid w:val="6532200E"/>
    <w:rsid w:val="714B373D"/>
    <w:rsid w:val="743927B0"/>
    <w:rsid w:val="78AF3309"/>
    <w:rsid w:val="7A535B60"/>
    <w:rsid w:val="7A6B2B2D"/>
    <w:rsid w:val="7C486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next w:val="4"/>
    <w:qFormat/>
    <w:uiPriority w:val="0"/>
    <w:pPr>
      <w:spacing w:after="120"/>
      <w:ind w:left="420" w:leftChars="200"/>
      <w:jc w:val="both"/>
    </w:pPr>
    <w:rPr>
      <w:rFonts w:ascii="Times New Roman" w:hAnsi="Times New Roman" w:eastAsia="宋体" w:cs="Times New Roman"/>
      <w:kern w:val="2"/>
      <w:sz w:val="21"/>
      <w:szCs w:val="24"/>
      <w:lang w:eastAsia="zh-CN"/>
    </w:rPr>
  </w:style>
  <w:style w:type="paragraph" w:styleId="4">
    <w:name w:val="envelope return"/>
    <w:basedOn w:val="1"/>
    <w:qFormat/>
    <w:uiPriority w:val="0"/>
    <w:pPr>
      <w:snapToGrid w:val="0"/>
    </w:pPr>
    <w:rPr>
      <w:rFonts w:ascii="Arial" w:hAnsi="Arial" w:eastAsia="等线" w:cs="等线"/>
    </w:rPr>
  </w:style>
  <w:style w:type="paragraph" w:styleId="7">
    <w:name w:val="Normal Indent"/>
    <w:basedOn w:val="1"/>
    <w:next w:val="1"/>
    <w:qFormat/>
    <w:uiPriority w:val="0"/>
    <w:pPr>
      <w:ind w:firstLine="420" w:firstLineChars="200"/>
    </w:pPr>
    <w:rPr>
      <w:rFonts w:ascii="Times New Roman" w:hAnsi="Times New Roman"/>
      <w:szCs w:val="24"/>
    </w:rPr>
  </w:style>
  <w:style w:type="paragraph" w:styleId="8">
    <w:name w:val="annotation text"/>
    <w:basedOn w:val="1"/>
    <w:unhideWhenUsed/>
    <w:qFormat/>
    <w:uiPriority w:val="99"/>
    <w:pPr>
      <w:jc w:val="left"/>
    </w:pPr>
  </w:style>
  <w:style w:type="paragraph" w:styleId="9">
    <w:name w:val="Body Text"/>
    <w:basedOn w:val="1"/>
    <w:next w:val="1"/>
    <w:qFormat/>
    <w:uiPriority w:val="1"/>
    <w:pPr>
      <w:spacing w:before="36"/>
      <w:ind w:left="780"/>
      <w:jc w:val="left"/>
    </w:pPr>
    <w:rPr>
      <w:rFonts w:ascii="宋体" w:hAnsi="宋体" w:eastAsia="宋体"/>
      <w:kern w:val="0"/>
      <w:szCs w:val="21"/>
      <w:lang w:eastAsia="en-US"/>
    </w:rPr>
  </w:style>
  <w:style w:type="paragraph" w:styleId="10">
    <w:name w:val="Date"/>
    <w:basedOn w:val="1"/>
    <w:next w:val="1"/>
    <w:qFormat/>
    <w:uiPriority w:val="0"/>
    <w:pPr>
      <w:ind w:left="100" w:leftChars="2500"/>
    </w:p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608"/>
      </w:tabs>
      <w:spacing w:line="360" w:lineRule="auto"/>
      <w:ind w:firstLine="425" w:firstLineChars="177"/>
    </w:pPr>
  </w:style>
  <w:style w:type="paragraph" w:styleId="14">
    <w:name w:val="Subtitle"/>
    <w:basedOn w:val="1"/>
    <w:next w:val="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5">
    <w:name w:val="Body Text Indent 3"/>
    <w:basedOn w:val="1"/>
    <w:unhideWhenUsed/>
    <w:qFormat/>
    <w:uiPriority w:val="99"/>
    <w:pPr>
      <w:spacing w:after="120"/>
      <w:ind w:left="283"/>
    </w:pPr>
    <w:rPr>
      <w:sz w:val="16"/>
      <w:szCs w:val="16"/>
    </w:rPr>
  </w:style>
  <w:style w:type="paragraph" w:styleId="16">
    <w:name w:val="Normal (Web)"/>
    <w:basedOn w:val="1"/>
    <w:unhideWhenUsed/>
    <w:qFormat/>
    <w:uiPriority w:val="0"/>
    <w:pPr>
      <w:spacing w:beforeAutospacing="1" w:afterAutospacing="1"/>
    </w:pPr>
    <w:rPr>
      <w:rFonts w:cs="Times New Roman"/>
      <w:sz w:val="24"/>
      <w:lang w:eastAsia="zh-CN"/>
    </w:rPr>
  </w:style>
  <w:style w:type="paragraph" w:styleId="17">
    <w:name w:val="Title"/>
    <w:basedOn w:val="1"/>
    <w:next w:val="1"/>
    <w:qFormat/>
    <w:uiPriority w:val="0"/>
    <w:pPr>
      <w:spacing w:before="240" w:after="60"/>
      <w:jc w:val="center"/>
      <w:outlineLvl w:val="0"/>
    </w:pPr>
    <w:rPr>
      <w:rFonts w:ascii="Arial" w:hAnsi="Arial" w:eastAsia="楷体_GB2312"/>
      <w:b/>
      <w:bCs/>
      <w:sz w:val="32"/>
      <w:szCs w:val="32"/>
    </w:rPr>
  </w:style>
  <w:style w:type="paragraph" w:styleId="18">
    <w:name w:val="annotation subject"/>
    <w:next w:val="8"/>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正文_19"/>
    <w:next w:val="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Table Paragraph"/>
    <w:basedOn w:val="1"/>
    <w:qFormat/>
    <w:uiPriority w:val="0"/>
    <w:pPr>
      <w:jc w:val="left"/>
    </w:pPr>
    <w:rPr>
      <w:kern w:val="0"/>
      <w:sz w:val="22"/>
      <w:lang w:eastAsia="en-US"/>
    </w:rPr>
  </w:style>
  <w:style w:type="paragraph" w:customStyle="1" w:styleId="24">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6">
    <w:name w:val="font11"/>
    <w:qFormat/>
    <w:uiPriority w:val="0"/>
    <w:rPr>
      <w:rFonts w:hint="default" w:ascii="Times New Roman" w:hAnsi="Times New Roman" w:cs="Times New Roman"/>
      <w:color w:val="000000"/>
      <w:sz w:val="21"/>
      <w:szCs w:val="21"/>
      <w:u w:val="none"/>
    </w:rPr>
  </w:style>
  <w:style w:type="paragraph" w:customStyle="1" w:styleId="27">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lang w:val="fr-FR"/>
    </w:rPr>
  </w:style>
  <w:style w:type="paragraph" w:styleId="28">
    <w:name w:val="List Paragraph"/>
    <w:basedOn w:val="1"/>
    <w:qFormat/>
    <w:uiPriority w:val="34"/>
    <w:pPr>
      <w:widowControl/>
      <w:ind w:firstLine="420"/>
    </w:pPr>
    <w:rPr>
      <w:rFonts w:ascii="Calibri" w:hAnsi="Calibri" w:eastAsia="宋体" w:cs="Calibri"/>
      <w:kern w:val="0"/>
      <w:szCs w:val="21"/>
    </w:rPr>
  </w:style>
  <w:style w:type="character" w:customStyle="1" w:styleId="29">
    <w:name w:val="font01"/>
    <w:basedOn w:val="21"/>
    <w:qFormat/>
    <w:uiPriority w:val="0"/>
    <w:rPr>
      <w:rFonts w:hint="eastAsia" w:ascii="宋体" w:hAnsi="宋体" w:eastAsia="宋体" w:cs="宋体"/>
      <w:color w:val="000000"/>
      <w:sz w:val="20"/>
      <w:szCs w:val="20"/>
      <w:u w:val="none"/>
    </w:rPr>
  </w:style>
  <w:style w:type="paragraph" w:customStyle="1" w:styleId="30">
    <w:name w:val="书目1"/>
    <w:basedOn w:val="1"/>
    <w:next w:val="1"/>
    <w:unhideWhenUsed/>
    <w:qFormat/>
    <w:uiPriority w:val="37"/>
  </w:style>
  <w:style w:type="paragraph" w:customStyle="1" w:styleId="31">
    <w:name w:val="标题 22"/>
    <w:next w:val="1"/>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32">
    <w:name w:val="Normal_1"/>
    <w:next w:val="33"/>
    <w:qFormat/>
    <w:uiPriority w:val="0"/>
    <w:rPr>
      <w:rFonts w:ascii="Times New Roman" w:hAnsi="Times New Roman" w:eastAsia="Times New Roman" w:cs="Times New Roman"/>
      <w:sz w:val="24"/>
      <w:szCs w:val="24"/>
    </w:rPr>
  </w:style>
  <w:style w:type="paragraph" w:customStyle="1" w:styleId="33">
    <w:name w:val="默认段落字体 Para Char"/>
    <w:basedOn w:val="34"/>
    <w:next w:val="1"/>
    <w:qFormat/>
    <w:uiPriority w:val="0"/>
    <w:pPr>
      <w:widowControl w:val="0"/>
      <w:spacing w:before="80" w:after="80" w:line="360" w:lineRule="auto"/>
      <w:jc w:val="both"/>
    </w:pPr>
    <w:rPr>
      <w:rFonts w:ascii="Calibri" w:hAnsi="Calibri" w:cs="Times New Roman"/>
      <w:kern w:val="2"/>
      <w:szCs w:val="20"/>
    </w:rPr>
  </w:style>
  <w:style w:type="paragraph" w:customStyle="1" w:styleId="34">
    <w:name w:val="Normal_0"/>
    <w:next w:val="33"/>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35">
    <w:name w:val="正文文本1"/>
    <w:basedOn w:val="1"/>
    <w:qFormat/>
    <w:uiPriority w:val="1"/>
    <w:pPr>
      <w:ind w:firstLine="200" w:firstLineChars="200"/>
      <w:jc w:val="both"/>
    </w:pPr>
    <w:rPr>
      <w:rFonts w:ascii="Microsoft YaHei UI" w:hAnsi="Microsoft YaHei UI" w:eastAsia="Microsoft YaHei UI" w:cs="Times New Roman"/>
      <w:sz w:val="21"/>
      <w:szCs w:val="21"/>
    </w:rPr>
  </w:style>
  <w:style w:type="paragraph" w:customStyle="1" w:styleId="36">
    <w:name w:val="正文_1"/>
    <w:qFormat/>
    <w:uiPriority w:val="1"/>
    <w:pPr>
      <w:widowControl w:val="0"/>
      <w:ind w:right="5" w:rightChars="5"/>
    </w:pPr>
    <w:rPr>
      <w:rFonts w:ascii="Calibri" w:hAnsi="Calibri" w:eastAsia="宋体" w:cs="Times New Roman"/>
      <w:sz w:val="22"/>
      <w:szCs w:val="22"/>
      <w:lang w:val="en-US" w:eastAsia="en-US" w:bidi="ar-SA"/>
    </w:rPr>
  </w:style>
  <w:style w:type="table" w:customStyle="1" w:styleId="37">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38">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44293</Words>
  <Characters>46746</Characters>
  <Lines>0</Lines>
  <Paragraphs>0</Paragraphs>
  <TotalTime>1</TotalTime>
  <ScaleCrop>false</ScaleCrop>
  <LinksUpToDate>false</LinksUpToDate>
  <CharactersWithSpaces>47821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2024-07-08T08:25:00Z</dcterms:created>
  <dc:creator>chenjie</dc:creator>
  <cp:lastModifiedBy>陈洁</cp:lastModifiedBy>
  <dcterms:modified xsi:type="dcterms:W3CDTF">2024-09-29T00:58:44Z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729C6789832F4E259B488D3AAEB81767</vt:lpwstr>
  </property>
</Properties>
</file>