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黑体" w:hAnsi="黑体" w:eastAsia="黑体"/>
          <w:b/>
          <w:sz w:val="32"/>
          <w:szCs w:val="32"/>
        </w:rPr>
      </w:pPr>
      <w:r>
        <w:rPr>
          <w:rFonts w:hint="eastAsia" w:ascii="黑体" w:hAnsi="黑体" w:eastAsia="黑体"/>
          <w:b/>
          <w:sz w:val="32"/>
          <w:szCs w:val="32"/>
        </w:rPr>
        <w:t>中海石油化学股份有限公司</w:t>
      </w:r>
    </w:p>
    <w:p>
      <w:pPr>
        <w:spacing w:line="360" w:lineRule="auto"/>
        <w:jc w:val="center"/>
        <w:outlineLvl w:val="0"/>
        <w:rPr>
          <w:rFonts w:ascii="黑体" w:hAnsi="黑体" w:eastAsia="黑体"/>
          <w:b/>
          <w:sz w:val="32"/>
          <w:szCs w:val="32"/>
        </w:rPr>
      </w:pPr>
      <w:r>
        <w:rPr>
          <w:rFonts w:hint="eastAsia" w:ascii="黑体" w:hAnsi="黑体" w:eastAsia="黑体"/>
          <w:b/>
          <w:sz w:val="32"/>
          <w:szCs w:val="32"/>
        </w:rPr>
        <w:t>公开询价文件</w:t>
      </w:r>
    </w:p>
    <w:p>
      <w:pPr>
        <w:spacing w:line="360" w:lineRule="auto"/>
        <w:jc w:val="center"/>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中海化学</w:t>
      </w:r>
      <w:r>
        <w:rPr>
          <w:rFonts w:asciiTheme="minorEastAsia" w:hAnsiTheme="minorEastAsia"/>
          <w:sz w:val="24"/>
          <w:szCs w:val="24"/>
        </w:rPr>
        <w:t>采办共享中心对</w:t>
      </w:r>
      <w:r>
        <w:rPr>
          <w:rFonts w:hint="eastAsia" w:asciiTheme="minorEastAsia" w:hAnsiTheme="minorEastAsia"/>
          <w:sz w:val="24"/>
          <w:szCs w:val="24"/>
          <w:u w:val="single"/>
        </w:rPr>
        <w:t>年产30万吨绿色增值复合肥项目水土保持验收评价服务（重新招标）</w:t>
      </w:r>
      <w:r>
        <w:rPr>
          <w:rFonts w:hint="eastAsia" w:asciiTheme="minorEastAsia" w:hAnsiTheme="minorEastAsia"/>
          <w:sz w:val="24"/>
          <w:szCs w:val="24"/>
        </w:rPr>
        <w:t>项目进行公开询价采购，欢迎合格的供应商参加。现将有关事项明确如下：</w:t>
      </w:r>
    </w:p>
    <w:p>
      <w:pPr>
        <w:spacing w:line="360" w:lineRule="auto"/>
        <w:ind w:firstLine="420"/>
        <w:outlineLvl w:val="0"/>
        <w:rPr>
          <w:rFonts w:asciiTheme="minorEastAsia" w:hAnsiTheme="minorEastAsia"/>
          <w:b/>
          <w:sz w:val="24"/>
          <w:szCs w:val="24"/>
        </w:rPr>
      </w:pPr>
      <w:r>
        <w:rPr>
          <w:rFonts w:hint="eastAsia" w:asciiTheme="minorEastAsia" w:hAnsiTheme="minorEastAsia"/>
          <w:b/>
          <w:sz w:val="24"/>
          <w:szCs w:val="24"/>
        </w:rPr>
        <w:t>一、总则</w:t>
      </w:r>
    </w:p>
    <w:p>
      <w:pPr>
        <w:spacing w:line="360" w:lineRule="auto"/>
        <w:ind w:firstLine="42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.合格的响应人：符合询价公告的供应商资格条件。</w:t>
      </w:r>
    </w:p>
    <w:p>
      <w:pPr>
        <w:spacing w:line="360" w:lineRule="auto"/>
        <w:ind w:firstLine="420"/>
        <w:rPr>
          <w:rFonts w:asciiTheme="minorEastAsia" w:hAnsiTheme="minorEastAsia"/>
          <w:sz w:val="24"/>
          <w:szCs w:val="24"/>
        </w:rPr>
      </w:pPr>
      <w:r>
        <w:rPr>
          <w:rFonts w:hint="eastAsia" w:asciiTheme="minorEastAsia" w:hAnsiTheme="minorEastAsia"/>
          <w:sz w:val="24"/>
          <w:szCs w:val="24"/>
        </w:rPr>
        <w:t>2.采购内容、技术参数及要求：见本附件</w:t>
      </w:r>
      <w:r>
        <w:rPr>
          <w:rFonts w:asciiTheme="minorEastAsia" w:hAnsiTheme="minorEastAsia"/>
          <w:sz w:val="24"/>
          <w:szCs w:val="24"/>
        </w:rPr>
        <w:t>2:</w:t>
      </w:r>
      <w:r>
        <w:rPr>
          <w:rFonts w:hint="eastAsia" w:asciiTheme="minorEastAsia" w:hAnsiTheme="minorEastAsia"/>
          <w:sz w:val="24"/>
          <w:szCs w:val="24"/>
        </w:rPr>
        <w:t xml:space="preserve"> 技术要求。</w:t>
      </w:r>
    </w:p>
    <w:p>
      <w:pPr>
        <w:spacing w:line="360" w:lineRule="auto"/>
        <w:ind w:firstLine="420"/>
        <w:rPr>
          <w:rFonts w:asciiTheme="minorEastAsia" w:hAnsiTheme="minorEastAsia"/>
          <w:sz w:val="24"/>
          <w:szCs w:val="24"/>
          <w:highlight w:val="yellow"/>
        </w:rPr>
      </w:pPr>
      <w:r>
        <w:rPr>
          <w:rFonts w:asciiTheme="minorEastAsia" w:hAnsiTheme="minorEastAsia"/>
          <w:sz w:val="24"/>
          <w:szCs w:val="24"/>
        </w:rPr>
        <w:t>3</w:t>
      </w:r>
      <w:r>
        <w:rPr>
          <w:rFonts w:hint="eastAsia" w:asciiTheme="minorEastAsia" w:hAnsiTheme="minorEastAsia"/>
          <w:sz w:val="24"/>
          <w:szCs w:val="24"/>
        </w:rPr>
        <w:t>.公告时间：</w:t>
      </w:r>
      <w:r>
        <w:rPr>
          <w:rFonts w:hint="eastAsia" w:asciiTheme="minorEastAsia" w:hAnsiTheme="minorEastAsia"/>
          <w:sz w:val="24"/>
          <w:szCs w:val="24"/>
          <w:highlight w:val="yellow"/>
        </w:rPr>
        <w:t>自</w:t>
      </w:r>
      <w:r>
        <w:rPr>
          <w:rFonts w:asciiTheme="minorEastAsia" w:hAnsiTheme="minorEastAsia"/>
          <w:sz w:val="24"/>
          <w:szCs w:val="24"/>
          <w:highlight w:val="yellow"/>
          <w:u w:val="single"/>
        </w:rPr>
        <w:t>202</w:t>
      </w:r>
      <w:r>
        <w:rPr>
          <w:rFonts w:hint="eastAsia" w:asciiTheme="minorEastAsia" w:hAnsiTheme="minorEastAsia"/>
          <w:sz w:val="24"/>
          <w:szCs w:val="24"/>
          <w:highlight w:val="yellow"/>
          <w:u w:val="single"/>
          <w:lang w:val="en-US" w:eastAsia="zh-CN"/>
        </w:rPr>
        <w:t>4</w:t>
      </w:r>
      <w:r>
        <w:rPr>
          <w:rFonts w:hint="eastAsia" w:asciiTheme="minorEastAsia" w:hAnsiTheme="minorEastAsia"/>
          <w:sz w:val="24"/>
          <w:szCs w:val="24"/>
          <w:highlight w:val="yellow"/>
        </w:rPr>
        <w:t>年</w:t>
      </w:r>
      <w:r>
        <w:rPr>
          <w:rFonts w:hint="eastAsia" w:asciiTheme="minorEastAsia" w:hAnsiTheme="minorEastAsia"/>
          <w:sz w:val="24"/>
          <w:szCs w:val="24"/>
          <w:highlight w:val="yellow"/>
          <w:u w:val="single"/>
          <w:lang w:val="en-US" w:eastAsia="zh-CN"/>
        </w:rPr>
        <w:t>08</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rPr>
        <w:t>月</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u w:val="single"/>
          <w:lang w:val="en-US" w:eastAsia="zh-CN"/>
        </w:rPr>
        <w:t>19</w:t>
      </w:r>
      <w:r>
        <w:rPr>
          <w:rFonts w:hint="eastAsia" w:asciiTheme="minorEastAsia" w:hAnsiTheme="minorEastAsia"/>
          <w:sz w:val="24"/>
          <w:szCs w:val="24"/>
          <w:highlight w:val="yellow"/>
        </w:rPr>
        <w:t>日起至</w:t>
      </w:r>
      <w:r>
        <w:rPr>
          <w:rFonts w:hint="eastAsia" w:asciiTheme="minorEastAsia" w:hAnsiTheme="minorEastAsia"/>
          <w:sz w:val="24"/>
          <w:szCs w:val="24"/>
          <w:highlight w:val="yellow"/>
          <w:u w:val="single"/>
        </w:rPr>
        <w:t xml:space="preserve"> </w:t>
      </w:r>
      <w:r>
        <w:rPr>
          <w:rFonts w:asciiTheme="minorEastAsia" w:hAnsiTheme="minorEastAsia"/>
          <w:sz w:val="24"/>
          <w:szCs w:val="24"/>
          <w:highlight w:val="yellow"/>
          <w:u w:val="single"/>
        </w:rPr>
        <w:t>202</w:t>
      </w:r>
      <w:r>
        <w:rPr>
          <w:rFonts w:hint="eastAsia" w:asciiTheme="minorEastAsia" w:hAnsiTheme="minorEastAsia"/>
          <w:sz w:val="24"/>
          <w:szCs w:val="24"/>
          <w:highlight w:val="yellow"/>
          <w:u w:val="single"/>
          <w:lang w:val="en-US" w:eastAsia="zh-CN"/>
        </w:rPr>
        <w:t>4</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rPr>
        <w:t>年</w:t>
      </w:r>
      <w:r>
        <w:rPr>
          <w:rFonts w:hint="eastAsia" w:asciiTheme="minorEastAsia" w:hAnsiTheme="minorEastAsia"/>
          <w:sz w:val="24"/>
          <w:szCs w:val="24"/>
          <w:highlight w:val="yellow"/>
          <w:u w:val="single"/>
          <w:lang w:val="en-US" w:eastAsia="zh-CN"/>
        </w:rPr>
        <w:t>08</w:t>
      </w:r>
      <w:r>
        <w:rPr>
          <w:rFonts w:hint="eastAsia" w:asciiTheme="minorEastAsia" w:hAnsiTheme="minorEastAsia"/>
          <w:sz w:val="24"/>
          <w:szCs w:val="24"/>
          <w:highlight w:val="yellow"/>
        </w:rPr>
        <w:t>月</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u w:val="single"/>
          <w:lang w:val="en-US" w:eastAsia="zh-CN"/>
        </w:rPr>
        <w:t>23</w:t>
      </w:r>
      <w:r>
        <w:rPr>
          <w:rFonts w:hint="eastAsia" w:asciiTheme="minorEastAsia" w:hAnsiTheme="minorEastAsia"/>
          <w:sz w:val="24"/>
          <w:szCs w:val="24"/>
          <w:highlight w:val="yellow"/>
        </w:rPr>
        <w:t>日止</w:t>
      </w:r>
      <w:r>
        <w:rPr>
          <w:rFonts w:hint="eastAsia" w:asciiTheme="minorEastAsia" w:hAnsiTheme="minorEastAsia"/>
          <w:sz w:val="24"/>
          <w:szCs w:val="24"/>
          <w:highlight w:val="none"/>
        </w:rPr>
        <w:t>。</w:t>
      </w:r>
    </w:p>
    <w:p>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highlight w:val="none"/>
        </w:rPr>
        <w:t>询价人</w:t>
      </w:r>
      <w:r>
        <w:rPr>
          <w:rFonts w:asciiTheme="minorEastAsia" w:hAnsiTheme="minorEastAsia"/>
          <w:sz w:val="24"/>
          <w:szCs w:val="24"/>
          <w:highlight w:val="none"/>
        </w:rPr>
        <w:t>于</w:t>
      </w:r>
      <w:r>
        <w:rPr>
          <w:rFonts w:asciiTheme="minorEastAsia" w:hAnsiTheme="minorEastAsia"/>
          <w:sz w:val="24"/>
          <w:szCs w:val="24"/>
          <w:highlight w:val="yellow"/>
          <w:u w:val="single"/>
        </w:rPr>
        <w:t>202</w:t>
      </w:r>
      <w:r>
        <w:rPr>
          <w:rFonts w:hint="eastAsia" w:asciiTheme="minorEastAsia" w:hAnsiTheme="minorEastAsia"/>
          <w:sz w:val="24"/>
          <w:szCs w:val="24"/>
          <w:highlight w:val="yellow"/>
          <w:u w:val="single"/>
          <w:lang w:val="en-US" w:eastAsia="zh-CN"/>
        </w:rPr>
        <w:t>4</w:t>
      </w:r>
      <w:r>
        <w:rPr>
          <w:rFonts w:hint="eastAsia" w:asciiTheme="minorEastAsia" w:hAnsiTheme="minorEastAsia"/>
          <w:sz w:val="24"/>
          <w:szCs w:val="24"/>
          <w:highlight w:val="yellow"/>
        </w:rPr>
        <w:t>年</w:t>
      </w:r>
      <w:r>
        <w:rPr>
          <w:rFonts w:hint="eastAsia" w:asciiTheme="minorEastAsia" w:hAnsiTheme="minorEastAsia"/>
          <w:sz w:val="24"/>
          <w:szCs w:val="24"/>
          <w:highlight w:val="yellow"/>
          <w:u w:val="single"/>
          <w:lang w:val="en-US" w:eastAsia="zh-CN"/>
        </w:rPr>
        <w:t>08</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rPr>
        <w:t>月</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u w:val="single"/>
          <w:lang w:val="en-US" w:eastAsia="zh-CN"/>
        </w:rPr>
        <w:t>19</w:t>
      </w:r>
      <w:r>
        <w:rPr>
          <w:rFonts w:hint="eastAsia" w:asciiTheme="minorEastAsia" w:hAnsiTheme="minorEastAsia"/>
          <w:sz w:val="24"/>
          <w:szCs w:val="24"/>
          <w:highlight w:val="yellow"/>
        </w:rPr>
        <w:t>日</w:t>
      </w:r>
      <w:r>
        <w:rPr>
          <w:rFonts w:asciiTheme="minorEastAsia" w:hAnsiTheme="minorEastAsia"/>
          <w:sz w:val="24"/>
          <w:szCs w:val="24"/>
        </w:rPr>
        <w:t>（北京时间</w:t>
      </w:r>
      <w:r>
        <w:rPr>
          <w:rFonts w:hint="eastAsia" w:asciiTheme="minorEastAsia" w:hAnsiTheme="minorEastAsia"/>
          <w:sz w:val="24"/>
          <w:szCs w:val="24"/>
        </w:rPr>
        <w:t>）将询价文件发布至中国海洋石油集团有限公司采办业务管理与交易系统（以下简称“系统”）https://buy.cnooc.com.cn，请登陆并下载。</w:t>
      </w:r>
    </w:p>
    <w:p>
      <w:pPr>
        <w:spacing w:line="360" w:lineRule="auto"/>
        <w:ind w:firstLine="420"/>
        <w:rPr>
          <w:rFonts w:asciiTheme="minorEastAsia" w:hAnsiTheme="minorEastAsia"/>
          <w:sz w:val="24"/>
          <w:szCs w:val="24"/>
        </w:rPr>
      </w:pPr>
      <w:r>
        <w:rPr>
          <w:rFonts w:asciiTheme="minorEastAsia" w:hAnsiTheme="minorEastAsia"/>
          <w:sz w:val="24"/>
          <w:szCs w:val="24"/>
        </w:rPr>
        <w:t>4.递交响应文件的截止时间及地点：递交</w:t>
      </w:r>
      <w:r>
        <w:rPr>
          <w:rFonts w:hint="eastAsia" w:asciiTheme="minorEastAsia" w:hAnsiTheme="minorEastAsia"/>
          <w:sz w:val="24"/>
          <w:szCs w:val="24"/>
        </w:rPr>
        <w:t>报价</w:t>
      </w:r>
      <w:r>
        <w:rPr>
          <w:rFonts w:asciiTheme="minorEastAsia" w:hAnsiTheme="minorEastAsia"/>
          <w:sz w:val="24"/>
          <w:szCs w:val="24"/>
        </w:rPr>
        <w:t>文件的截止时间为</w:t>
      </w:r>
      <w:r>
        <w:rPr>
          <w:rFonts w:asciiTheme="minorEastAsia" w:hAnsiTheme="minorEastAsia"/>
          <w:sz w:val="24"/>
          <w:szCs w:val="24"/>
          <w:highlight w:val="yellow"/>
          <w:u w:val="single"/>
        </w:rPr>
        <w:t>202</w:t>
      </w:r>
      <w:r>
        <w:rPr>
          <w:rFonts w:hint="eastAsia" w:asciiTheme="minorEastAsia" w:hAnsiTheme="minorEastAsia"/>
          <w:sz w:val="24"/>
          <w:szCs w:val="24"/>
          <w:highlight w:val="yellow"/>
          <w:u w:val="single"/>
          <w:lang w:val="en-US" w:eastAsia="zh-CN"/>
        </w:rPr>
        <w:t>4</w:t>
      </w:r>
      <w:r>
        <w:rPr>
          <w:rFonts w:asciiTheme="minorEastAsia" w:hAnsiTheme="minorEastAsia"/>
          <w:sz w:val="24"/>
          <w:szCs w:val="24"/>
          <w:highlight w:val="yellow"/>
        </w:rPr>
        <w:t>年</w:t>
      </w:r>
      <w:r>
        <w:rPr>
          <w:rFonts w:hint="eastAsia" w:asciiTheme="minorEastAsia" w:hAnsiTheme="minorEastAsia"/>
          <w:sz w:val="24"/>
          <w:szCs w:val="24"/>
          <w:highlight w:val="yellow"/>
          <w:u w:val="single"/>
          <w:lang w:val="en-US" w:eastAsia="zh-CN"/>
        </w:rPr>
        <w:t>08</w:t>
      </w:r>
      <w:r>
        <w:rPr>
          <w:rFonts w:asciiTheme="minorEastAsia" w:hAnsiTheme="minorEastAsia"/>
          <w:sz w:val="24"/>
          <w:szCs w:val="24"/>
          <w:highlight w:val="yellow"/>
        </w:rPr>
        <w:t>月</w:t>
      </w:r>
      <w:r>
        <w:rPr>
          <w:rFonts w:hint="eastAsia" w:asciiTheme="minorEastAsia" w:hAnsiTheme="minorEastAsia"/>
          <w:sz w:val="24"/>
          <w:szCs w:val="24"/>
          <w:highlight w:val="yellow"/>
          <w:u w:val="single"/>
          <w:lang w:val="en-US" w:eastAsia="zh-CN"/>
        </w:rPr>
        <w:t>30</w:t>
      </w:r>
      <w:r>
        <w:rPr>
          <w:rFonts w:asciiTheme="minorEastAsia" w:hAnsiTheme="minorEastAsia"/>
          <w:sz w:val="24"/>
          <w:szCs w:val="24"/>
          <w:highlight w:val="yellow"/>
        </w:rPr>
        <w:t>日</w:t>
      </w:r>
      <w:r>
        <w:rPr>
          <w:rFonts w:asciiTheme="minorEastAsia" w:hAnsiTheme="minorEastAsia"/>
          <w:sz w:val="24"/>
          <w:szCs w:val="24"/>
          <w:highlight w:val="yellow"/>
          <w:u w:val="single"/>
        </w:rPr>
        <w:t>1</w:t>
      </w:r>
      <w:r>
        <w:rPr>
          <w:rFonts w:hint="eastAsia" w:asciiTheme="minorEastAsia" w:hAnsiTheme="minorEastAsia"/>
          <w:sz w:val="24"/>
          <w:szCs w:val="24"/>
          <w:highlight w:val="yellow"/>
          <w:u w:val="single"/>
          <w:lang w:val="en-US" w:eastAsia="zh-CN"/>
        </w:rPr>
        <w:t>0</w:t>
      </w:r>
      <w:r>
        <w:rPr>
          <w:rFonts w:asciiTheme="minorEastAsia" w:hAnsiTheme="minorEastAsia"/>
          <w:sz w:val="24"/>
          <w:szCs w:val="24"/>
          <w:highlight w:val="yellow"/>
        </w:rPr>
        <w:t>时，</w:t>
      </w:r>
      <w:r>
        <w:rPr>
          <w:rFonts w:hint="eastAsia" w:asciiTheme="minorEastAsia" w:hAnsiTheme="minorEastAsia"/>
          <w:sz w:val="24"/>
          <w:szCs w:val="24"/>
        </w:rPr>
        <w:t>请在规定报价截止时间前通过系统报价及挂接PDF形式的电子报价文件附件。挂接的电子报价文件应加盖</w:t>
      </w:r>
      <w:r>
        <w:rPr>
          <w:rFonts w:asciiTheme="minorEastAsia" w:hAnsiTheme="minorEastAsia"/>
          <w:sz w:val="24"/>
          <w:szCs w:val="24"/>
        </w:rPr>
        <w:t>公章</w:t>
      </w:r>
      <w:r>
        <w:rPr>
          <w:rFonts w:hint="eastAsia" w:asciiTheme="minorEastAsia" w:hAnsiTheme="minorEastAsia"/>
          <w:sz w:val="24"/>
          <w:szCs w:val="24"/>
        </w:rPr>
        <w:t>（如有需要可增加商务文件、技术文件）。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w:t>
      </w:r>
      <w:r>
        <w:rPr>
          <w:rFonts w:hint="eastAsia" w:asciiTheme="minorEastAsia" w:hAnsiTheme="minorEastAsia"/>
          <w:sz w:val="24"/>
          <w:szCs w:val="24"/>
        </w:rPr>
        <w:t>应答人或应答人所提供的第三方不得存在的其他情形：</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（1）被中国海洋石油集团有限公司在集团范围内进行风险提示，且在中国海洋石油集团有限公司采办信息系统中被采购冻结，进入调查程序的；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（2）被中国海洋石油集团有限公司处以“取消投标资格”及以上处罚，且仍在处罚期内或处罚期满但在系统中的供应商档案中的“档案状态”为“采购冻结”、“业务状态”为“冻结”的；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（3）被询价人所属单位处以“取消投标资格”及以上处罚，且仍在处罚期内或处罚期满但在系统中的供应商档案中的“业务状态”为冻结的；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（4）应答人未在系统中领购询价文件；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（5）询价文件中规定的环境管理体系认证、质量管理体系认证、健康安全管理</w:t>
      </w:r>
      <w:r>
        <w:rPr>
          <w:rFonts w:asciiTheme="minorEastAsia" w:hAnsiTheme="minorEastAsia"/>
          <w:sz w:val="24"/>
          <w:szCs w:val="24"/>
        </w:rPr>
        <w:t>体系认证和国家强制产品认证等相关否决事项</w:t>
      </w:r>
      <w:r>
        <w:rPr>
          <w:rFonts w:hint="eastAsia" w:asciiTheme="minorEastAsia" w:hAnsiTheme="minorEastAsia"/>
          <w:sz w:val="24"/>
          <w:szCs w:val="24"/>
        </w:rPr>
        <w:t>，应在中国国家认证认可监督管理委员会网站（</w:t>
      </w:r>
      <w:r>
        <w:fldChar w:fldCharType="begin"/>
      </w:r>
      <w:r>
        <w:instrText xml:space="preserve"> HYPERLINK "http://www.cnca.gov.cn）核实" </w:instrText>
      </w:r>
      <w:r>
        <w:fldChar w:fldCharType="separate"/>
      </w:r>
      <w:r>
        <w:rPr>
          <w:rFonts w:hint="eastAsia" w:asciiTheme="minorEastAsia" w:hAnsiTheme="minorEastAsia"/>
          <w:sz w:val="24"/>
          <w:szCs w:val="24"/>
        </w:rPr>
        <w:t>http://www.cnca.gov.cn）核实</w:t>
      </w:r>
      <w:r>
        <w:rPr>
          <w:rFonts w:hint="eastAsia" w:asciiTheme="minorEastAsia" w:hAnsiTheme="minorEastAsia"/>
          <w:sz w:val="24"/>
          <w:szCs w:val="24"/>
        </w:rPr>
        <w:fldChar w:fldCharType="end"/>
      </w:r>
      <w:r>
        <w:rPr>
          <w:rFonts w:hint="eastAsia" w:asciiTheme="minorEastAsia" w:hAnsiTheme="minorEastAsia"/>
          <w:sz w:val="24"/>
          <w:szCs w:val="24"/>
        </w:rPr>
        <w:t>；</w:t>
      </w:r>
    </w:p>
    <w:p>
      <w:pPr>
        <w:widowControl/>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（6）近一年内，存在其它违反国家法律、法规或发生重大产品质量问题情形的，经核查属实，其应答将被否决；</w:t>
      </w:r>
    </w:p>
    <w:p>
      <w:pPr>
        <w:widowControl/>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（7）中国海油在职员工（不含正式派出的）有在投标人单位担任股东、法人代表、董事、监事和其他任职人员的情形；</w:t>
      </w:r>
    </w:p>
    <w:p>
      <w:pPr>
        <w:widowControl/>
        <w:snapToGrid w:val="0"/>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（8）应答人与本采购项目其他应答人存在控股关系或管理关系、单位负责人为同一人的情形。</w:t>
      </w:r>
    </w:p>
    <w:p>
      <w:pPr>
        <w:widowControl/>
        <w:snapToGrid w:val="0"/>
        <w:spacing w:line="360" w:lineRule="auto"/>
        <w:ind w:firstLine="482" w:firstLineChars="200"/>
        <w:jc w:val="left"/>
        <w:rPr>
          <w:rFonts w:ascii="宋体" w:hAnsi="宋体" w:eastAsia="宋体" w:cs="宋体"/>
          <w:kern w:val="0"/>
          <w:sz w:val="24"/>
          <w:szCs w:val="24"/>
        </w:rPr>
      </w:pPr>
      <w:r>
        <w:rPr>
          <w:rFonts w:hint="eastAsia" w:ascii="宋体" w:hAnsi="宋体" w:eastAsia="宋体" w:cs="宋体"/>
          <w:b/>
          <w:bCs/>
          <w:kern w:val="0"/>
          <w:sz w:val="24"/>
          <w:szCs w:val="24"/>
        </w:rPr>
        <w:t>6</w:t>
      </w:r>
      <w:r>
        <w:rPr>
          <w:rFonts w:hint="eastAsia" w:ascii="宋体" w:hAnsi="宋体" w:eastAsia="宋体" w:cs="宋体"/>
          <w:kern w:val="0"/>
          <w:sz w:val="24"/>
          <w:szCs w:val="24"/>
        </w:rPr>
        <w:t>.</w:t>
      </w:r>
      <w:r>
        <w:rPr>
          <w:rFonts w:hint="eastAsia" w:ascii="宋体" w:hAnsi="宋体" w:eastAsia="宋体" w:cs="宋体"/>
          <w:b/>
          <w:kern w:val="0"/>
          <w:sz w:val="24"/>
          <w:szCs w:val="24"/>
        </w:rPr>
        <w:t>注</w:t>
      </w:r>
      <w:r>
        <w:rPr>
          <w:rFonts w:hint="eastAsia" w:ascii="宋体" w:hAnsi="宋体" w:eastAsia="宋体" w:cs="宋体"/>
          <w:kern w:val="0"/>
          <w:sz w:val="24"/>
          <w:szCs w:val="24"/>
        </w:rPr>
        <w:t>：</w:t>
      </w:r>
    </w:p>
    <w:p>
      <w:pPr>
        <w:widowControl/>
        <w:snapToGrid w:val="0"/>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（1）采</w:t>
      </w:r>
      <w:r>
        <w:rPr>
          <w:rFonts w:ascii="宋体" w:hAnsi="宋体" w:eastAsia="宋体" w:cs="宋体"/>
          <w:b/>
          <w:kern w:val="0"/>
          <w:sz w:val="24"/>
          <w:szCs w:val="24"/>
        </w:rPr>
        <w:t>办业务系统中报价与系统中挂接</w:t>
      </w:r>
      <w:r>
        <w:rPr>
          <w:rFonts w:hint="eastAsia" w:ascii="宋体" w:hAnsi="宋体" w:eastAsia="宋体" w:cs="宋体"/>
          <w:b/>
          <w:kern w:val="0"/>
          <w:sz w:val="24"/>
          <w:szCs w:val="24"/>
        </w:rPr>
        <w:t>PDF形式</w:t>
      </w:r>
      <w:r>
        <w:rPr>
          <w:rFonts w:ascii="宋体" w:hAnsi="宋体" w:eastAsia="宋体" w:cs="宋体"/>
          <w:b/>
          <w:kern w:val="0"/>
          <w:sz w:val="24"/>
          <w:szCs w:val="24"/>
        </w:rPr>
        <w:t>价格应保持一致</w:t>
      </w:r>
      <w:r>
        <w:rPr>
          <w:rFonts w:hint="eastAsia" w:ascii="宋体" w:hAnsi="宋体" w:eastAsia="宋体" w:cs="宋体"/>
          <w:b/>
          <w:kern w:val="0"/>
          <w:sz w:val="24"/>
          <w:szCs w:val="24"/>
        </w:rPr>
        <w:t>；当</w:t>
      </w:r>
      <w:r>
        <w:rPr>
          <w:rFonts w:ascii="宋体" w:hAnsi="宋体" w:eastAsia="宋体" w:cs="宋体"/>
          <w:b/>
          <w:kern w:val="0"/>
          <w:sz w:val="24"/>
          <w:szCs w:val="24"/>
        </w:rPr>
        <w:t>系统报价与挂接</w:t>
      </w:r>
      <w:r>
        <w:rPr>
          <w:rFonts w:hint="eastAsia" w:ascii="宋体" w:hAnsi="宋体" w:eastAsia="宋体" w:cs="宋体"/>
          <w:b/>
          <w:kern w:val="0"/>
          <w:sz w:val="24"/>
          <w:szCs w:val="24"/>
        </w:rPr>
        <w:t>PDF形式报</w:t>
      </w:r>
      <w:r>
        <w:rPr>
          <w:rFonts w:ascii="宋体" w:hAnsi="宋体" w:eastAsia="宋体" w:cs="宋体"/>
          <w:b/>
          <w:kern w:val="0"/>
          <w:sz w:val="24"/>
          <w:szCs w:val="24"/>
        </w:rPr>
        <w:t>价不一致的，以“</w:t>
      </w:r>
      <w:r>
        <w:rPr>
          <w:rFonts w:hint="eastAsia" w:ascii="宋体" w:hAnsi="宋体" w:eastAsia="宋体" w:cs="宋体"/>
          <w:b/>
          <w:kern w:val="0"/>
          <w:sz w:val="24"/>
          <w:szCs w:val="24"/>
        </w:rPr>
        <w:t>采</w:t>
      </w:r>
      <w:r>
        <w:rPr>
          <w:rFonts w:ascii="宋体" w:hAnsi="宋体" w:eastAsia="宋体" w:cs="宋体"/>
          <w:b/>
          <w:kern w:val="0"/>
          <w:sz w:val="24"/>
          <w:szCs w:val="24"/>
        </w:rPr>
        <w:t>办业务系统</w:t>
      </w:r>
      <w:r>
        <w:rPr>
          <w:rFonts w:hint="eastAsia" w:ascii="宋体" w:hAnsi="宋体" w:eastAsia="宋体" w:cs="宋体"/>
          <w:b/>
          <w:kern w:val="0"/>
          <w:sz w:val="24"/>
          <w:szCs w:val="24"/>
        </w:rPr>
        <w:t>报价</w:t>
      </w:r>
      <w:r>
        <w:rPr>
          <w:rFonts w:ascii="宋体" w:hAnsi="宋体" w:eastAsia="宋体" w:cs="宋体"/>
          <w:b/>
          <w:kern w:val="0"/>
          <w:sz w:val="24"/>
          <w:szCs w:val="24"/>
        </w:rPr>
        <w:t>”为准；</w:t>
      </w:r>
    </w:p>
    <w:p>
      <w:pPr>
        <w:widowControl/>
        <w:spacing w:line="360" w:lineRule="auto"/>
        <w:ind w:firstLine="482" w:firstLineChars="200"/>
        <w:jc w:val="left"/>
        <w:rPr>
          <w:rFonts w:ascii="宋体" w:hAnsi="宋体" w:eastAsia="宋体" w:cs="宋体"/>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w:t>
      </w:r>
      <w:r>
        <w:rPr>
          <w:rFonts w:hint="eastAsia" w:ascii="宋体" w:hAnsi="宋体" w:eastAsia="宋体" w:cs="宋体"/>
          <w:b/>
          <w:kern w:val="0"/>
          <w:sz w:val="24"/>
          <w:szCs w:val="24"/>
        </w:rPr>
        <w:t>响应人如发现询价文件及其评审办法中存在含糊不清、相互矛盾、多种含义以及歧视性不公正条款或违法违规内容时，请在报价</w:t>
      </w:r>
      <w:r>
        <w:rPr>
          <w:rFonts w:ascii="宋体" w:hAnsi="宋体" w:eastAsia="宋体" w:cs="宋体"/>
          <w:b/>
          <w:kern w:val="0"/>
          <w:sz w:val="24"/>
          <w:szCs w:val="24"/>
        </w:rPr>
        <w:t>截止日到期前</w:t>
      </w:r>
      <w:r>
        <w:rPr>
          <w:rFonts w:hint="eastAsia" w:ascii="宋体" w:hAnsi="宋体" w:eastAsia="宋体" w:cs="宋体"/>
          <w:b/>
          <w:kern w:val="0"/>
          <w:sz w:val="24"/>
          <w:szCs w:val="24"/>
        </w:rPr>
        <w:t>一天书面形式反映，未对询价文件提出异议或要求澄清的，将视为完全理解并默认询价文件所有条款，并同意放弃对询价文件有不明或误解而询问、质疑、投诉的权利；</w:t>
      </w:r>
    </w:p>
    <w:p>
      <w:pPr>
        <w:widowControl/>
        <w:snapToGrid w:val="0"/>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w:t>
      </w:r>
      <w:r>
        <w:rPr>
          <w:rFonts w:ascii="宋体" w:hAnsi="宋体" w:eastAsia="宋体" w:cs="宋体"/>
          <w:b/>
          <w:kern w:val="0"/>
          <w:sz w:val="24"/>
          <w:szCs w:val="24"/>
        </w:rPr>
        <w:t>3</w:t>
      </w:r>
      <w:r>
        <w:rPr>
          <w:rFonts w:hint="eastAsia" w:ascii="宋体" w:hAnsi="宋体" w:eastAsia="宋体" w:cs="宋体"/>
          <w:b/>
          <w:kern w:val="0"/>
          <w:sz w:val="24"/>
          <w:szCs w:val="24"/>
        </w:rPr>
        <w:t>）凡参加的响应人均视作认同本次询价的各项约定事宜(包括供应商资格、技术参数、相关日期等)响应人不得以各类约定事宜提出质疑；</w:t>
      </w:r>
    </w:p>
    <w:p>
      <w:pPr>
        <w:widowControl/>
        <w:snapToGrid w:val="0"/>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w:t>
      </w:r>
      <w:r>
        <w:rPr>
          <w:rFonts w:ascii="宋体" w:hAnsi="宋体" w:eastAsia="宋体" w:cs="宋体"/>
          <w:b/>
          <w:kern w:val="0"/>
          <w:sz w:val="24"/>
          <w:szCs w:val="24"/>
        </w:rPr>
        <w:t>4</w:t>
      </w:r>
      <w:r>
        <w:rPr>
          <w:rFonts w:hint="eastAsia" w:ascii="宋体" w:hAnsi="宋体" w:eastAsia="宋体" w:cs="宋体"/>
          <w:b/>
          <w:kern w:val="0"/>
          <w:sz w:val="24"/>
          <w:szCs w:val="24"/>
        </w:rPr>
        <w:t>）重要指标（打“★”号）清晰偏离的将导致废标，不予澄清。</w:t>
      </w:r>
    </w:p>
    <w:p>
      <w:pPr>
        <w:widowControl/>
        <w:tabs>
          <w:tab w:val="left" w:pos="3544"/>
        </w:tabs>
        <w:snapToGrid w:val="0"/>
        <w:spacing w:line="360" w:lineRule="auto"/>
        <w:ind w:firstLine="241" w:firstLineChars="100"/>
        <w:jc w:val="left"/>
        <w:outlineLvl w:val="0"/>
        <w:rPr>
          <w:rFonts w:ascii="宋体" w:hAnsi="宋体" w:eastAsia="宋体" w:cs="宋体"/>
          <w:b/>
          <w:kern w:val="0"/>
          <w:sz w:val="24"/>
          <w:szCs w:val="24"/>
        </w:rPr>
      </w:pPr>
      <w:r>
        <w:rPr>
          <w:rFonts w:hint="eastAsia" w:ascii="宋体" w:hAnsi="宋体" w:eastAsia="宋体" w:cs="宋体"/>
          <w:b/>
          <w:kern w:val="0"/>
          <w:sz w:val="24"/>
          <w:szCs w:val="24"/>
        </w:rPr>
        <w:t>二、询价文件及评审</w:t>
      </w:r>
    </w:p>
    <w:p>
      <w:pPr>
        <w:widowControl/>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1．询价文件构成：</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w:t>
      </w:r>
      <w:r>
        <w:rPr>
          <w:rFonts w:asciiTheme="minorEastAsia" w:hAnsiTheme="minorEastAsia"/>
          <w:sz w:val="24"/>
          <w:szCs w:val="24"/>
        </w:rPr>
        <w:t>询价文件</w:t>
      </w:r>
      <w:r>
        <w:rPr>
          <w:rFonts w:hint="eastAsia" w:asciiTheme="minorEastAsia" w:hAnsiTheme="minorEastAsia"/>
          <w:sz w:val="24"/>
          <w:szCs w:val="24"/>
        </w:rPr>
        <w:t>包括</w:t>
      </w:r>
      <w:r>
        <w:rPr>
          <w:rFonts w:hint="eastAsia" w:asciiTheme="minorEastAsia" w:hAnsiTheme="minorEastAsia"/>
          <w:sz w:val="24"/>
          <w:szCs w:val="24"/>
          <w:lang w:val="en-US" w:eastAsia="zh-CN"/>
        </w:rPr>
        <w:t>四</w:t>
      </w:r>
      <w:r>
        <w:rPr>
          <w:rFonts w:asciiTheme="minorEastAsia" w:hAnsiTheme="minorEastAsia"/>
          <w:sz w:val="24"/>
          <w:szCs w:val="24"/>
        </w:rPr>
        <w:t>部分</w:t>
      </w:r>
      <w:r>
        <w:rPr>
          <w:rFonts w:hint="eastAsia" w:asciiTheme="minorEastAsia" w:hAnsiTheme="minorEastAsia"/>
          <w:sz w:val="24"/>
          <w:szCs w:val="24"/>
        </w:rPr>
        <w:t>，</w:t>
      </w:r>
      <w:r>
        <w:rPr>
          <w:rFonts w:asciiTheme="minorEastAsia" w:hAnsiTheme="minorEastAsia"/>
          <w:sz w:val="24"/>
          <w:szCs w:val="24"/>
        </w:rPr>
        <w:t>请仔细阅读</w:t>
      </w:r>
      <w:r>
        <w:rPr>
          <w:rFonts w:hint="eastAsia" w:asciiTheme="minorEastAsia" w:hAnsiTheme="minorEastAsia"/>
          <w:sz w:val="24"/>
          <w:szCs w:val="24"/>
        </w:rPr>
        <w:t>和检查询价文件的全部内容：</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附件1</w:t>
      </w:r>
      <w:r>
        <w:rPr>
          <w:rFonts w:asciiTheme="minorEastAsia" w:hAnsiTheme="minorEastAsia"/>
          <w:sz w:val="24"/>
          <w:szCs w:val="24"/>
        </w:rPr>
        <w:t>：</w:t>
      </w:r>
      <w:r>
        <w:rPr>
          <w:rFonts w:hint="eastAsia" w:asciiTheme="minorEastAsia" w:hAnsiTheme="minorEastAsia"/>
          <w:sz w:val="24"/>
          <w:szCs w:val="24"/>
        </w:rPr>
        <w:t>投标文件及评标基本要求</w:t>
      </w:r>
      <w:r>
        <w:rPr>
          <w:rFonts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附件2</w:t>
      </w:r>
      <w:r>
        <w:rPr>
          <w:rFonts w:asciiTheme="minorEastAsia" w:hAnsiTheme="minorEastAsia"/>
          <w:sz w:val="24"/>
          <w:szCs w:val="24"/>
        </w:rPr>
        <w:t>：</w:t>
      </w:r>
      <w:r>
        <w:rPr>
          <w:rFonts w:hint="eastAsia" w:asciiTheme="minorEastAsia" w:hAnsiTheme="minorEastAsia"/>
          <w:sz w:val="24"/>
          <w:szCs w:val="24"/>
        </w:rPr>
        <w:t>技术要求</w:t>
      </w:r>
      <w:r>
        <w:rPr>
          <w:rFonts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附件</w:t>
      </w:r>
      <w:r>
        <w:rPr>
          <w:rFonts w:asciiTheme="minorEastAsia" w:hAnsiTheme="minorEastAsia"/>
          <w:sz w:val="24"/>
          <w:szCs w:val="24"/>
        </w:rPr>
        <w:t>3：</w:t>
      </w:r>
      <w:r>
        <w:rPr>
          <w:rFonts w:hint="eastAsia" w:asciiTheme="minorEastAsia" w:hAnsiTheme="minorEastAsia"/>
          <w:sz w:val="24"/>
          <w:szCs w:val="24"/>
        </w:rPr>
        <w:t>格式附件</w:t>
      </w:r>
      <w:r>
        <w:rPr>
          <w:rFonts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附件</w:t>
      </w:r>
      <w:r>
        <w:rPr>
          <w:rFonts w:hint="eastAsia" w:asciiTheme="minorEastAsia" w:hAnsiTheme="minorEastAsia"/>
          <w:sz w:val="24"/>
          <w:szCs w:val="24"/>
          <w:lang w:val="en-US" w:eastAsia="zh-CN"/>
        </w:rPr>
        <w:t>4</w:t>
      </w:r>
      <w:r>
        <w:rPr>
          <w:rFonts w:hint="eastAsia" w:asciiTheme="minorEastAsia" w:hAnsiTheme="minorEastAsia"/>
          <w:sz w:val="24"/>
          <w:szCs w:val="24"/>
        </w:rPr>
        <w:t>：投标人不参与串通投标、弄虚作假承诺书</w:t>
      </w:r>
      <w:r>
        <w:rPr>
          <w:rFonts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．评审原则：本次采用响应询价文件要求且报价最低原则。如最低报价存在两家应答人一致的</w:t>
      </w:r>
      <w:r>
        <w:rPr>
          <w:rFonts w:asciiTheme="minorEastAsia" w:hAnsiTheme="minorEastAsia"/>
          <w:sz w:val="24"/>
          <w:szCs w:val="24"/>
        </w:rPr>
        <w:t>情形</w:t>
      </w:r>
      <w:r>
        <w:rPr>
          <w:rFonts w:hint="eastAsia" w:asciiTheme="minorEastAsia" w:hAnsiTheme="minorEastAsia"/>
          <w:sz w:val="24"/>
          <w:szCs w:val="24"/>
        </w:rPr>
        <w:t>，通过澄清方式进行二次报价，最低价确定为成交人。</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3．响应报价有算术错误及其他错误的，评审小组按以下原则要求报价人对响应报价进行修正，并要求供应商澄清确认。供应商拒不澄清确认的，评审小组应当否决其响应文件：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(1)响应文件中的大写金额与小写金额不一致的，以大写金额为准；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(2)总价金额与单价金额不一致的，以单价金额为准，但单价金额小数点有明显错误的除外；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(3）响应报价为各分项报价金额之和，响应报价与分项报价的合价不一致的， 应以各分项合价累计数为准，修正响应报价。</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(4)响应文件中响应报价有疏漏项，则视其疏漏项包含在其他分项报价中，并要求应答人书面澄清确认，应答人不按规定回复澄清确认或确认缺漏项价格不包含在响应文件中的，评审小组应当否决其报价。</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4．响应文件有下列情形之一的作无效报价处理：</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）报价文件未加盖公章的；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）报价文件无法定代表人或者负责人签字,也没有授权委托人签字的；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）委托他人办理而未提供授权委托书和委托代理人身份证复印件的；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）报价一经涂改，未在涂改处加盖公章或者未经法定代表人或授权委托人签字或盖章的；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）对技术要求未详细应答或未能说明报价标的内容有关技术要求、偏离情况的，致使其响应文件无法评审的；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）报价文件未实质性响应询价文件要求的；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）评审小组认定有重大偏差的；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8</w:t>
      </w:r>
      <w:r>
        <w:rPr>
          <w:rFonts w:hint="eastAsia" w:asciiTheme="minorEastAsia" w:hAnsiTheme="minorEastAsia"/>
          <w:sz w:val="24"/>
          <w:szCs w:val="24"/>
        </w:rPr>
        <w:t>）其他违反法律、法规的情形。</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.本次询价采购，采购人有权根据市场调查情况对采购结果进行对比，如有异常情况，采购人可以暂不采购。若认为本次采购确与市场调查不符的，可另行组织采购，无须向报价人解释具体原因。</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6.资质、信誉、业绩、</w:t>
      </w:r>
      <w:r>
        <w:rPr>
          <w:rStyle w:val="24"/>
          <w:rFonts w:hint="eastAsia"/>
          <w:highlight w:val="none"/>
          <w:lang w:val="en-US" w:eastAsia="zh-CN"/>
        </w:rPr>
        <w:t>投标人供货范围及要求</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Style w:val="24"/>
          <w:rFonts w:hint="default" w:cstheme="minorBidi"/>
          <w:kern w:val="0"/>
          <w:highlight w:val="none"/>
          <w:lang w:val="en-US" w:eastAsia="zh-CN" w:bidi="ar-SA"/>
        </w:rPr>
        <w:t>★</w:t>
      </w:r>
      <w:r>
        <w:rPr>
          <w:rFonts w:hint="eastAsia" w:asciiTheme="minorEastAsia" w:hAnsiTheme="minorEastAsia"/>
          <w:sz w:val="24"/>
          <w:szCs w:val="24"/>
          <w:highlight w:val="none"/>
        </w:rPr>
        <w:t>资质要求：</w:t>
      </w:r>
      <w:r>
        <w:rPr>
          <w:rFonts w:asciiTheme="minorEastAsia" w:hAnsiTheme="minorEastAsia"/>
          <w:sz w:val="24"/>
          <w:szCs w:val="24"/>
          <w:highlight w:val="none"/>
        </w:rPr>
        <w:t xml:space="preserve"> </w:t>
      </w:r>
    </w:p>
    <w:p>
      <w:pPr>
        <w:pStyle w:val="23"/>
        <w:widowControl/>
        <w:spacing w:line="360" w:lineRule="auto"/>
        <w:ind w:left="0" w:firstLine="480" w:firstLineChars="200"/>
        <w:rPr>
          <w:rFonts w:hint="default" w:asciiTheme="minorEastAsia" w:hAnsiTheme="minorEastAsia"/>
          <w:kern w:val="2"/>
          <w:sz w:val="24"/>
          <w:szCs w:val="24"/>
          <w:lang w:val="en-US" w:eastAsia="zh-CN"/>
        </w:rPr>
      </w:pPr>
      <w:r>
        <w:rPr>
          <w:rFonts w:hint="eastAsia" w:asciiTheme="minorEastAsia" w:hAnsiTheme="minorEastAsia"/>
          <w:kern w:val="2"/>
          <w:sz w:val="24"/>
          <w:szCs w:val="24"/>
          <w:lang w:val="en-US" w:eastAsia="zh-CN"/>
        </w:rPr>
        <w:t>投标人须在中华人民共和国境内注册并具有独立法人资格（提供证件扫描件），具有有效的营业执照或事业单位法人证书，公司注册成立满三年。</w:t>
      </w:r>
    </w:p>
    <w:p>
      <w:pPr>
        <w:pStyle w:val="23"/>
        <w:widowControl/>
        <w:spacing w:line="360" w:lineRule="auto"/>
        <w:ind w:left="420"/>
        <w:rPr>
          <w:rFonts w:asciiTheme="minorEastAsia" w:hAnsiTheme="minorEastAsia"/>
          <w:kern w:val="2"/>
          <w:sz w:val="24"/>
          <w:szCs w:val="24"/>
          <w:lang w:eastAsia="zh-CN"/>
        </w:rPr>
      </w:pPr>
      <w:r>
        <w:rPr>
          <w:rFonts w:hint="eastAsia" w:asciiTheme="minorEastAsia" w:hAnsiTheme="minorEastAsia"/>
          <w:kern w:val="2"/>
          <w:sz w:val="24"/>
          <w:szCs w:val="24"/>
          <w:lang w:eastAsia="zh-CN"/>
        </w:rPr>
        <w:t>（2）信誉要求：</w:t>
      </w:r>
    </w:p>
    <w:p>
      <w:pPr>
        <w:pStyle w:val="23"/>
        <w:widowControl/>
        <w:spacing w:line="240" w:lineRule="auto"/>
        <w:ind w:left="0" w:firstLine="480" w:firstLineChars="200"/>
        <w:rPr>
          <w:rFonts w:asciiTheme="minorEastAsia" w:hAnsiTheme="minorEastAsia"/>
          <w:kern w:val="2"/>
          <w:sz w:val="24"/>
          <w:szCs w:val="24"/>
          <w:lang w:eastAsia="zh-CN"/>
        </w:rPr>
      </w:pPr>
      <w:r>
        <w:rPr>
          <w:rFonts w:hint="eastAsia" w:asciiTheme="minorEastAsia" w:hAnsiTheme="minorEastAsia"/>
          <w:sz w:val="24"/>
          <w:szCs w:val="24"/>
          <w:lang w:eastAsia="zh-CN"/>
        </w:rPr>
        <w:t>A</w:t>
      </w:r>
      <w:r>
        <w:rPr>
          <w:rFonts w:hint="eastAsia" w:asciiTheme="minorEastAsia" w:hAnsiTheme="minorEastAsia"/>
          <w:kern w:val="2"/>
          <w:sz w:val="24"/>
          <w:szCs w:val="24"/>
          <w:lang w:eastAsia="zh-CN"/>
        </w:rPr>
        <w:t>、申请人不得是最高人民法院在“信用中国”网站（</w:t>
      </w:r>
      <w:r>
        <w:fldChar w:fldCharType="begin"/>
      </w:r>
      <w:r>
        <w:instrText xml:space="preserve"> HYPERLINK "http://www.creditchina.gov.cn）或" </w:instrText>
      </w:r>
      <w:r>
        <w:fldChar w:fldCharType="separate"/>
      </w:r>
      <w:r>
        <w:rPr>
          <w:rFonts w:hint="eastAsia" w:asciiTheme="minorEastAsia" w:hAnsiTheme="minorEastAsia"/>
          <w:kern w:val="2"/>
          <w:sz w:val="24"/>
          <w:szCs w:val="24"/>
          <w:lang w:eastAsia="zh-CN"/>
        </w:rPr>
        <w:t>www.creditchina.gov.cn）或“中国执行信息公开网</w:t>
      </w:r>
      <w:r>
        <w:rPr>
          <w:rFonts w:hint="eastAsia" w:asciiTheme="minorEastAsia" w:hAnsiTheme="minorEastAsia"/>
          <w:kern w:val="2"/>
          <w:sz w:val="24"/>
          <w:szCs w:val="24"/>
          <w:lang w:eastAsia="zh-CN"/>
        </w:rPr>
        <w:fldChar w:fldCharType="end"/>
      </w:r>
      <w:r>
        <w:rPr>
          <w:rFonts w:hint="eastAsia" w:asciiTheme="minorEastAsia" w:hAnsiTheme="minorEastAsia"/>
          <w:kern w:val="2"/>
          <w:sz w:val="24"/>
          <w:szCs w:val="24"/>
          <w:lang w:eastAsia="zh-CN"/>
        </w:rPr>
        <w:t>”（</w:t>
      </w:r>
      <w:r>
        <w:fldChar w:fldCharType="begin"/>
      </w:r>
      <w:r>
        <w:instrText xml:space="preserve"> HYPERLINK "http://zxgk.court.gov.cn/）列入失信被执行人名单（应附查询结果复印件并加盖单位章" </w:instrText>
      </w:r>
      <w:r>
        <w:fldChar w:fldCharType="separate"/>
      </w:r>
      <w:r>
        <w:rPr>
          <w:rFonts w:hint="eastAsia" w:asciiTheme="minorEastAsia" w:hAnsiTheme="minorEastAsia"/>
          <w:kern w:val="2"/>
          <w:sz w:val="24"/>
          <w:szCs w:val="24"/>
          <w:lang w:eastAsia="zh-CN"/>
        </w:rPr>
        <w:t>http://zxgk.court.gov.cn/）列入失信被执行人名单（应附查询结果复印件并加盖单位章</w:t>
      </w:r>
      <w:r>
        <w:rPr>
          <w:rFonts w:hint="eastAsia" w:asciiTheme="minorEastAsia" w:hAnsiTheme="minorEastAsia"/>
          <w:kern w:val="2"/>
          <w:sz w:val="24"/>
          <w:szCs w:val="24"/>
          <w:lang w:eastAsia="zh-CN"/>
        </w:rPr>
        <w:fldChar w:fldCharType="end"/>
      </w:r>
      <w:r>
        <w:rPr>
          <w:rFonts w:hint="eastAsia" w:asciiTheme="minorEastAsia" w:hAnsiTheme="minorEastAsia"/>
          <w:kern w:val="2"/>
          <w:sz w:val="24"/>
          <w:szCs w:val="24"/>
          <w:lang w:eastAsia="zh-CN"/>
        </w:rPr>
        <w:t>）。</w:t>
      </w:r>
    </w:p>
    <w:p>
      <w:pPr>
        <w:pStyle w:val="23"/>
        <w:widowControl/>
        <w:spacing w:line="240" w:lineRule="auto"/>
        <w:ind w:firstLine="480" w:firstLineChars="200"/>
        <w:rPr>
          <w:rFonts w:asciiTheme="minorEastAsia" w:hAnsiTheme="minorEastAsia"/>
          <w:kern w:val="2"/>
          <w:sz w:val="24"/>
          <w:szCs w:val="24"/>
          <w:lang w:eastAsia="zh-CN"/>
        </w:rPr>
      </w:pPr>
      <w:r>
        <w:rPr>
          <w:rFonts w:hint="eastAsia" w:asciiTheme="minorEastAsia" w:hAnsiTheme="minorEastAsia"/>
          <w:sz w:val="24"/>
          <w:szCs w:val="24"/>
          <w:lang w:eastAsia="zh-CN"/>
        </w:rPr>
        <w:t>B</w:t>
      </w:r>
      <w:r>
        <w:rPr>
          <w:rFonts w:hint="eastAsia" w:asciiTheme="minorEastAsia" w:hAnsiTheme="minorEastAsia"/>
          <w:kern w:val="2"/>
          <w:sz w:val="24"/>
          <w:szCs w:val="24"/>
          <w:lang w:eastAsia="zh-CN"/>
        </w:rPr>
        <w:t>、近三年（201</w:t>
      </w:r>
      <w:r>
        <w:rPr>
          <w:rFonts w:asciiTheme="minorEastAsia" w:hAnsiTheme="minorEastAsia"/>
          <w:kern w:val="2"/>
          <w:sz w:val="24"/>
          <w:szCs w:val="24"/>
          <w:lang w:eastAsia="zh-CN"/>
        </w:rPr>
        <w:t>9</w:t>
      </w:r>
      <w:r>
        <w:rPr>
          <w:rFonts w:hint="eastAsia" w:asciiTheme="minorEastAsia" w:hAnsiTheme="minorEastAsia"/>
          <w:kern w:val="2"/>
          <w:sz w:val="24"/>
          <w:szCs w:val="24"/>
          <w:lang w:eastAsia="zh-CN"/>
        </w:rPr>
        <w:t>年-报价截止日前）内申请人或其法定代表人、拟委任的项目负责人不得在“中国裁判文书网”（</w:t>
      </w:r>
      <w:r>
        <w:rPr>
          <w:rFonts w:asciiTheme="minorEastAsia" w:hAnsiTheme="minorEastAsia"/>
          <w:kern w:val="2"/>
          <w:sz w:val="24"/>
          <w:szCs w:val="24"/>
          <w:lang w:eastAsia="zh-CN"/>
        </w:rPr>
        <w:t>https://wenshu.court.gov.cn/</w:t>
      </w:r>
      <w:r>
        <w:rPr>
          <w:rFonts w:hint="eastAsia" w:asciiTheme="minorEastAsia" w:hAnsiTheme="minorEastAsia"/>
          <w:kern w:val="2"/>
          <w:sz w:val="24"/>
          <w:szCs w:val="24"/>
          <w:lang w:eastAsia="zh-CN"/>
        </w:rPr>
        <w:t>）有行贿犯罪行为（应附查询结果复印件并加盖单位章）。</w:t>
      </w:r>
    </w:p>
    <w:p>
      <w:pPr>
        <w:pStyle w:val="7"/>
        <w:widowControl/>
        <w:spacing w:line="360" w:lineRule="auto"/>
        <w:ind w:right="11" w:firstLine="420"/>
        <w:rPr>
          <w:rFonts w:asciiTheme="minorEastAsia" w:hAnsiTheme="minorEastAsia"/>
          <w:sz w:val="24"/>
          <w:szCs w:val="24"/>
        </w:rPr>
      </w:pPr>
      <w:r>
        <w:rPr>
          <w:rFonts w:hint="eastAsia" w:asciiTheme="minorEastAsia" w:hAnsiTheme="minorEastAsia"/>
          <w:sz w:val="24"/>
          <w:szCs w:val="24"/>
        </w:rPr>
        <w:t>C、申请人不得被工商行政管理机关在全国企业信用信息公示系统（</w:t>
      </w:r>
      <w:r>
        <w:fldChar w:fldCharType="begin"/>
      </w:r>
      <w:r>
        <w:instrText xml:space="preserve"> HYPERLINK "http://www.gsxt.gov.cn）中列入严重违法失信企业名（应附查询结果复印件并加盖单位章" </w:instrText>
      </w:r>
      <w:r>
        <w:fldChar w:fldCharType="separate"/>
      </w:r>
      <w:r>
        <w:rPr>
          <w:rFonts w:hint="eastAsia" w:asciiTheme="minorEastAsia" w:hAnsiTheme="minorEastAsia"/>
          <w:sz w:val="24"/>
          <w:szCs w:val="24"/>
        </w:rPr>
        <w:t>http://www.gsxt.gov.cn）中列入严重违法失信企业名（应附查询结果复印件并加盖单位章</w:t>
      </w:r>
      <w:r>
        <w:rPr>
          <w:rFonts w:hint="eastAsia" w:asciiTheme="minorEastAsia" w:hAnsiTheme="minorEastAsia"/>
          <w:sz w:val="24"/>
          <w:szCs w:val="24"/>
        </w:rPr>
        <w:fldChar w:fldCharType="end"/>
      </w:r>
      <w:r>
        <w:rPr>
          <w:rFonts w:hint="eastAsia" w:asciiTheme="minorEastAsia" w:hAnsiTheme="minorEastAsia"/>
          <w:sz w:val="24"/>
          <w:szCs w:val="24"/>
        </w:rPr>
        <w:t>）。</w:t>
      </w:r>
    </w:p>
    <w:p>
      <w:pPr>
        <w:pStyle w:val="7"/>
        <w:widowControl/>
        <w:spacing w:line="360" w:lineRule="auto"/>
        <w:ind w:right="11" w:firstLine="420"/>
        <w:rPr>
          <w:rFonts w:asciiTheme="minorEastAsia" w:hAnsiTheme="minorEastAsia"/>
          <w:sz w:val="24"/>
          <w:szCs w:val="24"/>
        </w:rPr>
      </w:pPr>
      <w:r>
        <w:rPr>
          <w:rFonts w:asciiTheme="minorEastAsia" w:hAnsiTheme="minorEastAsia"/>
          <w:sz w:val="24"/>
          <w:szCs w:val="24"/>
        </w:rPr>
        <w:t>D</w:t>
      </w:r>
      <w:r>
        <w:rPr>
          <w:rFonts w:hint="eastAsia" w:asciiTheme="minorEastAsia" w:hAnsiTheme="minorEastAsia"/>
          <w:sz w:val="24"/>
          <w:szCs w:val="24"/>
        </w:rPr>
        <w:t>、申请人在《中国海洋石油集团有限公司采办业务管理与交易系统》填报供应商注册信息，并在注册审核通过后，方可具备参与采办业务的基本资格，未通过注册审核的申请人应答均视为无效。</w:t>
      </w:r>
    </w:p>
    <w:p>
      <w:pPr>
        <w:pStyle w:val="7"/>
        <w:widowControl/>
        <w:spacing w:line="360" w:lineRule="auto"/>
        <w:ind w:right="11" w:firstLine="420"/>
        <w:rPr>
          <w:rFonts w:asciiTheme="minorEastAsia" w:hAnsiTheme="minorEastAsia"/>
          <w:sz w:val="24"/>
          <w:szCs w:val="24"/>
        </w:rPr>
      </w:pPr>
      <w:r>
        <w:rPr>
          <w:rFonts w:asciiTheme="minorEastAsia" w:hAnsiTheme="minorEastAsia"/>
          <w:sz w:val="24"/>
          <w:szCs w:val="24"/>
        </w:rPr>
        <w:t>E</w:t>
      </w:r>
      <w:r>
        <w:rPr>
          <w:rFonts w:hint="eastAsia" w:asciiTheme="minorEastAsia" w:hAnsiTheme="minorEastAsia"/>
          <w:sz w:val="24"/>
          <w:szCs w:val="24"/>
        </w:rPr>
        <w:t>、</w:t>
      </w:r>
      <w:r>
        <w:rPr>
          <w:rFonts w:asciiTheme="minorEastAsia" w:hAnsiTheme="minorEastAsia"/>
          <w:sz w:val="24"/>
          <w:szCs w:val="24"/>
        </w:rPr>
        <w:t>申请人应在应答文件中提供其公司章程或其他能够体现出资人、股东信息的法定文件，作为评标/评审时的依据。</w:t>
      </w:r>
    </w:p>
    <w:p>
      <w:pPr>
        <w:pStyle w:val="7"/>
        <w:widowControl/>
        <w:spacing w:line="360" w:lineRule="auto"/>
        <w:ind w:right="11" w:firstLine="420"/>
        <w:rPr>
          <w:rFonts w:asciiTheme="minorEastAsia" w:hAnsiTheme="minorEastAsia"/>
          <w:sz w:val="24"/>
          <w:szCs w:val="24"/>
        </w:rPr>
      </w:pPr>
      <w:r>
        <w:rPr>
          <w:rFonts w:asciiTheme="minorEastAsia" w:hAnsiTheme="minorEastAsia"/>
          <w:sz w:val="24"/>
          <w:szCs w:val="24"/>
        </w:rPr>
        <w:t>F</w:t>
      </w:r>
      <w:r>
        <w:rPr>
          <w:rFonts w:hint="eastAsia" w:asciiTheme="minorEastAsia" w:hAnsiTheme="minorEastAsia"/>
          <w:sz w:val="24"/>
          <w:szCs w:val="24"/>
        </w:rPr>
        <w:t>、申请人</w:t>
      </w:r>
      <w:r>
        <w:rPr>
          <w:rFonts w:asciiTheme="minorEastAsia" w:hAnsiTheme="minorEastAsia"/>
          <w:sz w:val="24"/>
          <w:szCs w:val="24"/>
        </w:rPr>
        <w:t>承诺：中国海油在职员工（不含正式派出的）未有在投标人单位担任股东、法人代表、董事、监事和其他任职人员的情形。</w:t>
      </w:r>
    </w:p>
    <w:p>
      <w:pPr>
        <w:pStyle w:val="7"/>
        <w:widowControl/>
        <w:spacing w:line="360" w:lineRule="auto"/>
        <w:ind w:right="11" w:firstLine="420"/>
        <w:rPr>
          <w:rFonts w:asciiTheme="minorEastAsia" w:hAnsiTheme="minorEastAsia"/>
          <w:sz w:val="24"/>
          <w:szCs w:val="24"/>
        </w:rPr>
      </w:pPr>
      <w:r>
        <w:rPr>
          <w:rFonts w:asciiTheme="minorEastAsia" w:hAnsiTheme="minorEastAsia"/>
          <w:sz w:val="24"/>
          <w:szCs w:val="24"/>
        </w:rPr>
        <w:t>G、</w:t>
      </w:r>
      <w:r>
        <w:rPr>
          <w:rFonts w:hint="eastAsia" w:asciiTheme="minorEastAsia" w:hAnsiTheme="minorEastAsia"/>
          <w:sz w:val="24"/>
          <w:szCs w:val="24"/>
        </w:rPr>
        <w:t>申请人</w:t>
      </w:r>
      <w:r>
        <w:rPr>
          <w:rFonts w:asciiTheme="minorEastAsia" w:hAnsiTheme="minorEastAsia"/>
          <w:sz w:val="24"/>
          <w:szCs w:val="24"/>
        </w:rPr>
        <w:t>承诺：</w:t>
      </w:r>
      <w:r>
        <w:rPr>
          <w:rFonts w:hint="eastAsia" w:asciiTheme="minorEastAsia" w:hAnsiTheme="minorEastAsia"/>
          <w:sz w:val="24"/>
          <w:szCs w:val="24"/>
        </w:rPr>
        <w:t>与本采购项目其他应答人不存在控股关系或管理关系、单位负责人为同一人的情形。</w:t>
      </w:r>
    </w:p>
    <w:p>
      <w:pPr>
        <w:pStyle w:val="23"/>
        <w:widowControl/>
        <w:spacing w:line="360" w:lineRule="auto"/>
        <w:ind w:left="420"/>
        <w:rPr>
          <w:rStyle w:val="24"/>
          <w:rFonts w:hint="default" w:cstheme="minorBidi"/>
          <w:kern w:val="0"/>
          <w:highlight w:val="none"/>
          <w:lang w:val="en-US" w:eastAsia="zh-CN" w:bidi="ar-SA"/>
        </w:rPr>
      </w:pPr>
      <w:r>
        <w:rPr>
          <w:rStyle w:val="24"/>
          <w:rFonts w:hint="eastAsia" w:cstheme="minorBidi"/>
          <w:kern w:val="0"/>
          <w:highlight w:val="none"/>
          <w:lang w:val="en-US" w:eastAsia="zh-CN" w:bidi="ar-SA"/>
        </w:rPr>
        <w:t>（3）</w:t>
      </w:r>
      <w:r>
        <w:rPr>
          <w:rStyle w:val="24"/>
          <w:rFonts w:hint="default" w:cstheme="minorBidi"/>
          <w:kern w:val="0"/>
          <w:highlight w:val="none"/>
          <w:lang w:val="en-US" w:eastAsia="zh-CN" w:bidi="ar-SA"/>
        </w:rPr>
        <w:t>★</w:t>
      </w:r>
      <w:r>
        <w:rPr>
          <w:rStyle w:val="24"/>
          <w:rFonts w:hint="eastAsia" w:cstheme="minorBidi"/>
          <w:kern w:val="0"/>
          <w:highlight w:val="none"/>
          <w:lang w:val="en-US" w:eastAsia="zh-CN" w:bidi="ar-SA"/>
        </w:rPr>
        <w:t>业绩</w:t>
      </w:r>
      <w:r>
        <w:rPr>
          <w:rFonts w:hint="eastAsia" w:asciiTheme="minorEastAsia" w:hAnsiTheme="minorEastAsia"/>
          <w:kern w:val="2"/>
          <w:sz w:val="24"/>
          <w:szCs w:val="24"/>
          <w:highlight w:val="none"/>
          <w:lang w:eastAsia="zh-CN"/>
        </w:rPr>
        <w:t>要求：</w:t>
      </w:r>
    </w:p>
    <w:p>
      <w:pPr>
        <w:pStyle w:val="23"/>
        <w:widowControl/>
        <w:spacing w:line="360" w:lineRule="auto"/>
        <w:ind w:firstLine="480" w:firstLineChars="200"/>
        <w:rPr>
          <w:rStyle w:val="24"/>
          <w:rFonts w:hint="default"/>
          <w:highlight w:val="none"/>
          <w:lang w:val="en-US" w:eastAsia="zh-CN"/>
        </w:rPr>
      </w:pPr>
      <w:r>
        <w:rPr>
          <w:rStyle w:val="24"/>
          <w:rFonts w:hint="eastAsia" w:cstheme="minorBidi"/>
          <w:kern w:val="0"/>
          <w:highlight w:val="none"/>
          <w:lang w:val="en-US" w:eastAsia="zh-CN" w:bidi="ar-SA"/>
        </w:rPr>
        <w:t xml:space="preserve"> 2018年1月1日至投标截止日提供2项水土保持验收评估业绩，并提供合同扫描件</w:t>
      </w:r>
      <w:r>
        <w:rPr>
          <w:rStyle w:val="24"/>
          <w:rFonts w:hint="eastAsia"/>
          <w:highlight w:val="none"/>
          <w:lang w:val="en-US" w:eastAsia="zh-CN"/>
        </w:rPr>
        <w:t>。</w:t>
      </w:r>
    </w:p>
    <w:p>
      <w:pPr>
        <w:spacing w:line="360" w:lineRule="auto"/>
        <w:ind w:firstLine="480" w:firstLineChars="200"/>
        <w:rPr>
          <w:rFonts w:hint="default" w:asciiTheme="minorEastAsia" w:hAnsiTheme="minorEastAsia"/>
          <w:kern w:val="2"/>
          <w:sz w:val="24"/>
          <w:szCs w:val="24"/>
          <w:highlight w:val="none"/>
          <w:lang w:val="en-US" w:eastAsia="zh-CN"/>
        </w:rPr>
      </w:pPr>
      <w:r>
        <w:rPr>
          <w:rFonts w:hint="eastAsia" w:asciiTheme="minorEastAsia" w:hAnsiTheme="minorEastAsia"/>
          <w:kern w:val="2"/>
          <w:sz w:val="24"/>
          <w:szCs w:val="24"/>
          <w:highlight w:val="none"/>
          <w:lang w:eastAsia="zh-CN"/>
        </w:rPr>
        <w:t>（</w:t>
      </w:r>
      <w:r>
        <w:rPr>
          <w:rFonts w:asciiTheme="minorEastAsia" w:hAnsiTheme="minorEastAsia"/>
          <w:kern w:val="2"/>
          <w:sz w:val="24"/>
          <w:szCs w:val="24"/>
          <w:highlight w:val="none"/>
          <w:lang w:eastAsia="zh-CN"/>
        </w:rPr>
        <w:t>4</w:t>
      </w:r>
      <w:r>
        <w:rPr>
          <w:rFonts w:hint="eastAsia" w:asciiTheme="minorEastAsia" w:hAnsiTheme="minorEastAsia"/>
          <w:kern w:val="2"/>
          <w:sz w:val="24"/>
          <w:szCs w:val="24"/>
          <w:highlight w:val="none"/>
          <w:lang w:eastAsia="zh-CN"/>
        </w:rPr>
        <w:t>）投标人服务范围</w:t>
      </w:r>
      <w:r>
        <w:rPr>
          <w:rFonts w:hint="eastAsia" w:asciiTheme="minorEastAsia" w:hAnsiTheme="minorEastAsia"/>
          <w:kern w:val="2"/>
          <w:sz w:val="24"/>
          <w:szCs w:val="24"/>
          <w:highlight w:val="none"/>
          <w:lang w:val="en-US" w:eastAsia="zh-CN"/>
        </w:rPr>
        <w:t>要求：</w:t>
      </w:r>
    </w:p>
    <w:p>
      <w:pPr>
        <w:spacing w:line="360" w:lineRule="auto"/>
        <w:ind w:firstLine="480" w:firstLineChars="200"/>
        <w:rPr>
          <w:rFonts w:hint="eastAsia" w:asciiTheme="minorEastAsia" w:hAnsiTheme="minorEastAsia"/>
          <w:kern w:val="2"/>
          <w:sz w:val="24"/>
          <w:szCs w:val="24"/>
          <w:highlight w:val="none"/>
          <w:lang w:eastAsia="zh-CN"/>
        </w:rPr>
      </w:pPr>
      <w:r>
        <w:rPr>
          <w:rStyle w:val="24"/>
          <w:rFonts w:hint="default" w:cstheme="minorBidi"/>
          <w:kern w:val="0"/>
          <w:highlight w:val="none"/>
          <w:lang w:val="en-US" w:eastAsia="zh-CN" w:bidi="ar-SA"/>
        </w:rPr>
        <w:t>★</w:t>
      </w:r>
      <w:r>
        <w:rPr>
          <w:rFonts w:hint="eastAsia" w:asciiTheme="minorEastAsia" w:hAnsiTheme="minorEastAsia"/>
          <w:kern w:val="2"/>
          <w:sz w:val="24"/>
          <w:szCs w:val="24"/>
          <w:highlight w:val="none"/>
          <w:lang w:eastAsia="zh-CN"/>
        </w:rPr>
        <w:t>服务范围1：按照现有国家法律法规标准，开展验收评价工作，并出具符合现有国家法律法规标准的评价报告；评价报告报相关政府部门进行审查，结合审查意见对报告内容进行修改和完善，直至完成专家评审、政府审查和批复。</w:t>
      </w:r>
    </w:p>
    <w:p>
      <w:pPr>
        <w:pStyle w:val="2"/>
        <w:rPr>
          <w:rFonts w:hint="eastAsia" w:asciiTheme="minorEastAsia" w:hAnsiTheme="minorEastAsia"/>
          <w:kern w:val="2"/>
          <w:sz w:val="24"/>
          <w:szCs w:val="24"/>
          <w:highlight w:val="none"/>
          <w:lang w:val="en-US" w:eastAsia="zh-CN"/>
        </w:rPr>
      </w:pPr>
      <w:r>
        <w:rPr>
          <w:rFonts w:hint="eastAsia" w:asciiTheme="minorEastAsia" w:hAnsiTheme="minorEastAsia"/>
          <w:kern w:val="2"/>
          <w:sz w:val="24"/>
          <w:szCs w:val="24"/>
          <w:highlight w:val="none"/>
          <w:lang w:val="en-US" w:eastAsia="zh-CN"/>
        </w:rPr>
        <w:t xml:space="preserve">     服务范围2：对招标人提供的资料遵守保密原则，防止泄密；严禁私自向第三方提供本公司资料，未经招标人允许，现场严禁拍照；</w:t>
      </w:r>
    </w:p>
    <w:p>
      <w:pPr>
        <w:pStyle w:val="2"/>
        <w:ind w:firstLine="720" w:firstLineChars="300"/>
        <w:rPr>
          <w:rFonts w:hint="default"/>
          <w:lang w:val="en-US" w:eastAsia="zh-CN"/>
        </w:rPr>
      </w:pPr>
      <w:r>
        <w:rPr>
          <w:rFonts w:hint="eastAsia" w:asciiTheme="minorEastAsia" w:hAnsiTheme="minorEastAsia"/>
          <w:kern w:val="2"/>
          <w:sz w:val="24"/>
          <w:szCs w:val="24"/>
          <w:highlight w:val="none"/>
          <w:lang w:val="en-US" w:eastAsia="zh-CN"/>
        </w:rPr>
        <w:t>提报报告表（备案稿）及附件、附图纸质版10套，电子版（含可编辑版、签字盖章扫描版）1份；其他相关资料文件应满足报审、报备以及甲方存档要求。</w:t>
      </w:r>
    </w:p>
    <w:p>
      <w:pPr>
        <w:pStyle w:val="8"/>
        <w:spacing w:line="360" w:lineRule="auto"/>
        <w:ind w:left="0" w:leftChars="0" w:firstLine="480" w:firstLineChars="200"/>
        <w:rPr>
          <w:rStyle w:val="24"/>
          <w:rFonts w:hint="default"/>
          <w:highlight w:val="none"/>
          <w:lang w:val="en-US" w:eastAsia="zh-CN"/>
        </w:rPr>
      </w:pPr>
      <w:r>
        <w:rPr>
          <w:rStyle w:val="24"/>
          <w:rFonts w:hint="eastAsia"/>
          <w:highlight w:val="none"/>
          <w:lang w:val="en-US" w:eastAsia="zh-CN"/>
        </w:rPr>
        <w:t xml:space="preserve">（5）交货期、工期及付款要求: </w:t>
      </w:r>
    </w:p>
    <w:p>
      <w:pPr>
        <w:ind w:firstLine="480" w:firstLineChars="200"/>
        <w:rPr>
          <w:rStyle w:val="24"/>
          <w:rFonts w:hint="eastAsia"/>
          <w:highlight w:val="none"/>
          <w:lang w:val="en-US" w:eastAsia="zh-CN"/>
        </w:rPr>
      </w:pPr>
      <w:r>
        <w:rPr>
          <w:rStyle w:val="24"/>
          <w:rFonts w:hint="eastAsia"/>
          <w:highlight w:val="none"/>
          <w:lang w:val="en-US" w:eastAsia="zh-CN"/>
        </w:rPr>
        <w:t>5.1自签订合同之日，启动编制工作；自合同签订之日起15个自然日内完成并提交年产30万吨绿色增值复合肥项目水土保持验收评价报告表（报审稿）；水土保持验收评价报告表经政府部门审查后，根据审查意见进行修订，并于5个工作日内完成报告修改；</w:t>
      </w:r>
    </w:p>
    <w:p>
      <w:pPr>
        <w:ind w:firstLine="480" w:firstLineChars="200"/>
        <w:rPr>
          <w:rFonts w:hint="default"/>
          <w:lang w:val="en-US" w:eastAsia="zh-CN"/>
        </w:rPr>
      </w:pPr>
      <w:r>
        <w:rPr>
          <w:rStyle w:val="24"/>
          <w:rFonts w:hint="eastAsia"/>
          <w:highlight w:val="none"/>
          <w:lang w:val="en-US" w:eastAsia="zh-CN"/>
        </w:rPr>
        <w:t>5.2 招标人在鹤岗市水务局完成备案及获得批复后，一次性支付投标人全部合同金额。</w:t>
      </w:r>
    </w:p>
    <w:p>
      <w:pPr>
        <w:ind w:firstLine="480"/>
        <w:rPr>
          <w:rFonts w:hint="default"/>
          <w:lang w:val="en-US" w:eastAsia="zh-CN"/>
        </w:rPr>
      </w:pPr>
    </w:p>
    <w:p>
      <w:pPr>
        <w:pStyle w:val="8"/>
        <w:tabs>
          <w:tab w:val="left" w:pos="770"/>
        </w:tabs>
        <w:spacing w:before="0" w:line="360" w:lineRule="auto"/>
        <w:ind w:left="139" w:right="134" w:firstLine="340" w:firstLineChars="142"/>
        <w:rPr>
          <w:rFonts w:cs="宋体" w:asciiTheme="minorEastAsia" w:hAnsiTheme="minorEastAsia" w:eastAsiaTheme="minorEastAsia"/>
          <w:sz w:val="24"/>
          <w:szCs w:val="24"/>
          <w:lang w:eastAsia="zh-CN"/>
        </w:rPr>
      </w:pPr>
      <w:r>
        <w:rPr>
          <w:rFonts w:hint="eastAsia" w:asciiTheme="minorEastAsia" w:hAnsiTheme="minorEastAsia"/>
          <w:sz w:val="24"/>
          <w:szCs w:val="24"/>
          <w:lang w:eastAsia="zh-CN"/>
        </w:rPr>
        <w:t>7.</w:t>
      </w:r>
      <w:r>
        <w:rPr>
          <w:rFonts w:hint="eastAsia" w:asciiTheme="minorEastAsia" w:hAnsiTheme="minorEastAsia" w:eastAsiaTheme="minorEastAsia"/>
          <w:kern w:val="2"/>
          <w:sz w:val="24"/>
          <w:szCs w:val="24"/>
          <w:lang w:eastAsia="zh-CN"/>
        </w:rPr>
        <w:t>申请人在《中国海洋石油集团有限公司采办业务管理与交易系统》填报供应商注册信息，并在注册审核通过后，方可具备参与采办业务的基本资格，未通过注册审核的申请人应答均视为无效。</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8.申请人应于中标后</w:t>
      </w:r>
      <w:r>
        <w:rPr>
          <w:rFonts w:asciiTheme="minorEastAsia" w:hAnsiTheme="minorEastAsia"/>
          <w:sz w:val="24"/>
          <w:szCs w:val="24"/>
        </w:rPr>
        <w:t>2日内按照准入名录的资料提报要求完成资料准备和上传工作</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9.询价文件中明确要求资质需要在评议阶段通过权威网站查询的，以权威网站查询结果为准。响应文件中已提供查询结果证明但未查询到的，可以澄清。响应文件中未明确要求通过权威网站查询的，以响应文件为准。</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10.</w:t>
      </w:r>
      <w:r>
        <w:rPr>
          <w:rFonts w:hint="eastAsia" w:asciiTheme="minorEastAsia" w:hAnsiTheme="minorEastAsia"/>
          <w:sz w:val="24"/>
          <w:szCs w:val="24"/>
        </w:rPr>
        <w:t>应答人与本采购项目其他应答人存在控股关系或管理关系、单位负责人为同一人的情形，则存在关联关系，评审小组应当否决其响应文件。对发现违反招投标法《招标投标法实施条例》第三十四条款规定的成交人，取消其成交资格，对发现存在围标、串标情形的供应商严肃处理。</w:t>
      </w:r>
    </w:p>
    <w:p>
      <w:pPr>
        <w:spacing w:line="360" w:lineRule="auto"/>
        <w:ind w:firstLine="480" w:firstLineChars="200"/>
        <w:outlineLvl w:val="0"/>
        <w:rPr>
          <w:rFonts w:asciiTheme="minorEastAsia" w:hAnsiTheme="minorEastAsia"/>
          <w:sz w:val="24"/>
          <w:szCs w:val="24"/>
        </w:rPr>
      </w:pPr>
      <w:r>
        <w:rPr>
          <w:rFonts w:hint="eastAsia" w:asciiTheme="minorEastAsia" w:hAnsiTheme="minorEastAsia"/>
          <w:sz w:val="24"/>
          <w:szCs w:val="24"/>
        </w:rPr>
        <w:t>三、联系方式</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联系单位：中海石油化学股份有限公司采办共享中心</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联系人：</w:t>
      </w:r>
      <w:r>
        <w:rPr>
          <w:rFonts w:hint="eastAsia" w:asciiTheme="minorEastAsia" w:hAnsiTheme="minorEastAsia"/>
          <w:sz w:val="24"/>
          <w:szCs w:val="24"/>
          <w:lang w:val="en-US" w:eastAsia="zh-CN"/>
        </w:rPr>
        <w:t>孔令伟</w:t>
      </w:r>
      <w:r>
        <w:rPr>
          <w:rFonts w:asciiTheme="minorEastAsia" w:hAnsiTheme="minorEastAsia"/>
          <w:sz w:val="24"/>
          <w:szCs w:val="24"/>
        </w:rPr>
        <w:tab/>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联系电话：</w:t>
      </w:r>
      <w:r>
        <w:rPr>
          <w:rFonts w:hint="eastAsia" w:asciiTheme="minorEastAsia" w:hAnsiTheme="minorEastAsia"/>
          <w:sz w:val="24"/>
          <w:szCs w:val="24"/>
          <w:lang w:val="en-US" w:eastAsia="zh-CN"/>
        </w:rPr>
        <w:t>18045859188</w:t>
      </w:r>
      <w:r>
        <w:rPr>
          <w:rFonts w:hint="eastAsia" w:asciiTheme="minorEastAsia" w:hAnsiTheme="minorEastAsia"/>
          <w:sz w:val="24"/>
          <w:szCs w:val="24"/>
        </w:rPr>
        <w:t>/</w:t>
      </w:r>
      <w:r>
        <w:rPr>
          <w:rFonts w:asciiTheme="minorEastAsia" w:hAnsiTheme="minorEastAsia"/>
          <w:sz w:val="24"/>
          <w:szCs w:val="24"/>
        </w:rPr>
        <w:t>0468-8969</w:t>
      </w:r>
      <w:r>
        <w:rPr>
          <w:rFonts w:hint="eastAsia" w:asciiTheme="minorEastAsia" w:hAnsiTheme="minorEastAsia"/>
          <w:sz w:val="24"/>
          <w:szCs w:val="24"/>
          <w:lang w:val="en-US" w:eastAsia="zh-CN"/>
        </w:rPr>
        <w:t>11</w:t>
      </w:r>
      <w:r>
        <w:rPr>
          <w:rFonts w:asciiTheme="minorEastAsia" w:hAnsiTheme="minorEastAsia"/>
          <w:sz w:val="24"/>
          <w:szCs w:val="24"/>
        </w:rPr>
        <w:t>6</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邮  箱</w:t>
      </w:r>
      <w:r>
        <w:rPr>
          <w:rFonts w:asciiTheme="minorEastAsia" w:hAnsiTheme="minorEastAsia"/>
          <w:sz w:val="24"/>
          <w:szCs w:val="24"/>
        </w:rPr>
        <w:t>：</w:t>
      </w:r>
      <w:r>
        <w:rPr>
          <w:rFonts w:hint="eastAsia" w:asciiTheme="minorEastAsia" w:hAnsiTheme="minorEastAsia"/>
          <w:sz w:val="24"/>
          <w:szCs w:val="24"/>
          <w:lang w:val="en-US" w:eastAsia="zh-CN"/>
        </w:rPr>
        <w:t>konglw4</w:t>
      </w:r>
      <w:r>
        <w:rPr>
          <w:rFonts w:asciiTheme="minorEastAsia" w:hAnsiTheme="minorEastAsia"/>
          <w:sz w:val="24"/>
          <w:szCs w:val="24"/>
        </w:rPr>
        <w:t>@cnooc.com.cn</w:t>
      </w:r>
    </w:p>
    <w:p>
      <w:pPr>
        <w:spacing w:line="360" w:lineRule="auto"/>
        <w:rPr>
          <w:sz w:val="24"/>
          <w:szCs w:val="24"/>
        </w:rPr>
      </w:pPr>
    </w:p>
    <w:p>
      <w:pPr>
        <w:spacing w:line="360" w:lineRule="auto"/>
        <w:rPr>
          <w:rFonts w:ascii="黑体" w:hAnsi="黑体" w:eastAsia="黑体"/>
          <w:sz w:val="24"/>
          <w:szCs w:val="24"/>
        </w:rPr>
      </w:pPr>
      <w:r>
        <w:rPr>
          <w:rFonts w:hint="eastAsia" w:ascii="黑体" w:hAnsi="黑体" w:eastAsia="黑体"/>
          <w:sz w:val="24"/>
          <w:szCs w:val="24"/>
        </w:rPr>
        <w:br w:type="page"/>
      </w:r>
    </w:p>
    <w:p>
      <w:pPr>
        <w:spacing w:line="360" w:lineRule="auto"/>
        <w:outlineLvl w:val="1"/>
        <w:rPr>
          <w:rFonts w:ascii="黑体" w:hAnsi="黑体" w:eastAsia="黑体"/>
          <w:sz w:val="24"/>
          <w:szCs w:val="24"/>
        </w:rPr>
      </w:pPr>
      <w:r>
        <w:rPr>
          <w:rFonts w:hint="eastAsia" w:ascii="黑体" w:hAnsi="黑体" w:eastAsia="黑体"/>
          <w:sz w:val="24"/>
          <w:szCs w:val="24"/>
        </w:rPr>
        <w:t xml:space="preserve">附件1 ：投标文件及评标基本要求 </w:t>
      </w:r>
      <w:r>
        <w:rPr>
          <w:rFonts w:ascii="黑体" w:hAnsi="黑体" w:eastAsia="黑体"/>
          <w:sz w:val="24"/>
          <w:szCs w:val="24"/>
        </w:rPr>
        <w:t xml:space="preserve">                     </w:t>
      </w:r>
    </w:p>
    <w:p>
      <w:pPr>
        <w:spacing w:line="360" w:lineRule="auto"/>
        <w:ind w:firstLine="241" w:firstLineChars="100"/>
        <w:jc w:val="center"/>
        <w:rPr>
          <w:rFonts w:ascii="仿宋" w:hAnsi="仿宋" w:eastAsia="仿宋" w:cs="Calibri"/>
          <w:b/>
          <w:bCs/>
          <w:sz w:val="24"/>
          <w:szCs w:val="24"/>
        </w:rPr>
      </w:pPr>
      <w:r>
        <w:rPr>
          <w:rFonts w:hint="eastAsia" w:ascii="仿宋" w:hAnsi="仿宋" w:eastAsia="仿宋" w:cs="Calibri"/>
          <w:b/>
          <w:bCs/>
          <w:sz w:val="24"/>
          <w:szCs w:val="24"/>
        </w:rPr>
        <w:t>基本要求</w:t>
      </w:r>
    </w:p>
    <w:tbl>
      <w:tblPr>
        <w:tblStyle w:val="17"/>
        <w:tblW w:w="5616" w:type="pct"/>
        <w:jc w:val="center"/>
        <w:tblLayout w:type="autofit"/>
        <w:tblCellMar>
          <w:top w:w="0" w:type="dxa"/>
          <w:left w:w="0" w:type="dxa"/>
          <w:bottom w:w="0" w:type="dxa"/>
          <w:right w:w="0" w:type="dxa"/>
        </w:tblCellMar>
      </w:tblPr>
      <w:tblGrid>
        <w:gridCol w:w="593"/>
        <w:gridCol w:w="702"/>
        <w:gridCol w:w="2099"/>
        <w:gridCol w:w="6330"/>
      </w:tblGrid>
      <w:tr>
        <w:tblPrEx>
          <w:tblCellMar>
            <w:top w:w="0" w:type="dxa"/>
            <w:left w:w="0" w:type="dxa"/>
            <w:bottom w:w="0" w:type="dxa"/>
            <w:right w:w="0" w:type="dxa"/>
          </w:tblCellMar>
        </w:tblPrEx>
        <w:trPr>
          <w:trHeight w:val="397" w:hRule="atLeast"/>
          <w:jc w:val="center"/>
        </w:trPr>
        <w:tc>
          <w:tcPr>
            <w:tcW w:w="666" w:type="pct"/>
            <w:gridSpan w:val="2"/>
            <w:tcBorders>
              <w:top w:val="single" w:color="000000" w:sz="4" w:space="0"/>
              <w:left w:val="single" w:color="000000" w:sz="4" w:space="0"/>
              <w:bottom w:val="single" w:color="auto" w:sz="4" w:space="0"/>
              <w:right w:val="single" w:color="000000" w:sz="4" w:space="0"/>
            </w:tcBorders>
            <w:vAlign w:val="center"/>
          </w:tcPr>
          <w:p>
            <w:pPr>
              <w:pStyle w:val="23"/>
              <w:spacing w:line="360" w:lineRule="auto"/>
              <w:jc w:val="center"/>
              <w:rPr>
                <w:rFonts w:ascii="仿宋" w:hAnsi="仿宋" w:eastAsia="仿宋" w:cs="Calibri"/>
                <w:b/>
                <w:bCs/>
                <w:sz w:val="24"/>
                <w:szCs w:val="24"/>
                <w:lang w:eastAsia="zh-CN"/>
              </w:rPr>
            </w:pPr>
            <w:r>
              <w:rPr>
                <w:rFonts w:hint="eastAsia" w:ascii="仿宋" w:hAnsi="仿宋" w:eastAsia="仿宋" w:cs="Calibri"/>
                <w:b/>
                <w:bCs/>
                <w:sz w:val="24"/>
                <w:szCs w:val="24"/>
                <w:lang w:eastAsia="zh-CN"/>
              </w:rPr>
              <w:t>序号</w:t>
            </w:r>
          </w:p>
        </w:tc>
        <w:tc>
          <w:tcPr>
            <w:tcW w:w="1079" w:type="pct"/>
            <w:tcBorders>
              <w:top w:val="single" w:color="000000" w:sz="4" w:space="0"/>
              <w:left w:val="nil"/>
              <w:bottom w:val="single" w:color="000000" w:sz="4" w:space="0"/>
              <w:right w:val="single" w:color="000000" w:sz="4" w:space="0"/>
            </w:tcBorders>
            <w:vAlign w:val="center"/>
          </w:tcPr>
          <w:p>
            <w:pPr>
              <w:pStyle w:val="23"/>
              <w:spacing w:line="360" w:lineRule="auto"/>
              <w:jc w:val="center"/>
              <w:rPr>
                <w:rFonts w:ascii="仿宋" w:hAnsi="仿宋" w:eastAsia="仿宋" w:cs="Calibri"/>
                <w:b/>
                <w:bCs/>
                <w:sz w:val="24"/>
                <w:szCs w:val="24"/>
                <w:lang w:eastAsia="zh-CN"/>
              </w:rPr>
            </w:pPr>
            <w:r>
              <w:rPr>
                <w:rFonts w:hint="eastAsia" w:ascii="仿宋" w:hAnsi="仿宋" w:eastAsia="仿宋" w:cs="Calibri"/>
                <w:b/>
                <w:bCs/>
                <w:sz w:val="24"/>
                <w:szCs w:val="24"/>
                <w:lang w:eastAsia="zh-CN"/>
              </w:rPr>
              <w:t>内容</w:t>
            </w:r>
          </w:p>
        </w:tc>
        <w:tc>
          <w:tcPr>
            <w:tcW w:w="3253" w:type="pct"/>
            <w:tcBorders>
              <w:top w:val="single" w:color="000000" w:sz="4" w:space="0"/>
              <w:left w:val="nil"/>
              <w:bottom w:val="single" w:color="000000" w:sz="4" w:space="0"/>
              <w:right w:val="single" w:color="000000" w:sz="4" w:space="0"/>
            </w:tcBorders>
            <w:vAlign w:val="center"/>
          </w:tcPr>
          <w:p>
            <w:pPr>
              <w:pStyle w:val="23"/>
              <w:spacing w:line="360" w:lineRule="auto"/>
              <w:jc w:val="center"/>
              <w:rPr>
                <w:rFonts w:ascii="仿宋" w:hAnsi="仿宋" w:eastAsia="仿宋" w:cs="Calibri"/>
                <w:b/>
                <w:bCs/>
                <w:sz w:val="24"/>
                <w:szCs w:val="24"/>
                <w:lang w:eastAsia="zh-CN"/>
              </w:rPr>
            </w:pPr>
            <w:r>
              <w:rPr>
                <w:rFonts w:hint="eastAsia" w:ascii="仿宋" w:hAnsi="仿宋" w:eastAsia="仿宋" w:cs="Calibri"/>
                <w:b/>
                <w:bCs/>
                <w:sz w:val="24"/>
                <w:szCs w:val="24"/>
                <w:lang w:eastAsia="zh-CN"/>
              </w:rPr>
              <w:t>标准</w:t>
            </w:r>
          </w:p>
        </w:tc>
      </w:tr>
      <w:tr>
        <w:tblPrEx>
          <w:tblCellMar>
            <w:top w:w="0" w:type="dxa"/>
            <w:left w:w="0" w:type="dxa"/>
            <w:bottom w:w="0" w:type="dxa"/>
            <w:right w:w="0" w:type="dxa"/>
          </w:tblCellMar>
        </w:tblPrEx>
        <w:trPr>
          <w:trHeight w:val="337" w:hRule="atLeast"/>
          <w:jc w:val="center"/>
        </w:trPr>
        <w:tc>
          <w:tcPr>
            <w:tcW w:w="305" w:type="pct"/>
            <w:vMerge w:val="restart"/>
            <w:tcBorders>
              <w:top w:val="single" w:color="auto" w:sz="4" w:space="0"/>
              <w:left w:val="single" w:color="auto" w:sz="4" w:space="0"/>
              <w:right w:val="single" w:color="000000" w:sz="6" w:space="0"/>
            </w:tcBorders>
            <w:vAlign w:val="center"/>
          </w:tcPr>
          <w:p>
            <w:pPr>
              <w:pStyle w:val="23"/>
              <w:spacing w:line="360" w:lineRule="auto"/>
              <w:jc w:val="center"/>
              <w:rPr>
                <w:rFonts w:ascii="仿宋" w:hAnsi="仿宋" w:eastAsia="仿宋" w:cs="Calibri"/>
                <w:bCs/>
                <w:sz w:val="24"/>
                <w:szCs w:val="24"/>
                <w:lang w:eastAsia="zh-CN"/>
              </w:rPr>
            </w:pPr>
            <w:r>
              <w:rPr>
                <w:rFonts w:ascii="仿宋" w:hAnsi="仿宋" w:eastAsia="仿宋" w:cs="Calibri"/>
                <w:bCs/>
                <w:sz w:val="24"/>
                <w:szCs w:val="24"/>
                <w:lang w:eastAsia="zh-CN"/>
              </w:rPr>
              <w:t>1</w:t>
            </w:r>
          </w:p>
          <w:p>
            <w:pPr>
              <w:spacing w:line="360" w:lineRule="auto"/>
              <w:jc w:val="center"/>
              <w:rPr>
                <w:rFonts w:ascii="仿宋" w:hAnsi="仿宋" w:eastAsia="仿宋" w:cs="Calibri"/>
                <w:bCs/>
                <w:sz w:val="24"/>
                <w:szCs w:val="24"/>
              </w:rPr>
            </w:pPr>
          </w:p>
        </w:tc>
        <w:tc>
          <w:tcPr>
            <w:tcW w:w="360" w:type="pct"/>
            <w:vMerge w:val="restart"/>
            <w:tcBorders>
              <w:top w:val="single" w:color="auto" w:sz="4" w:space="0"/>
              <w:left w:val="nil"/>
              <w:right w:val="single" w:color="auto" w:sz="4" w:space="0"/>
            </w:tcBorders>
            <w:textDirection w:val="tbRlV"/>
            <w:vAlign w:val="center"/>
          </w:tcPr>
          <w:p>
            <w:pPr>
              <w:pStyle w:val="23"/>
              <w:spacing w:line="360" w:lineRule="auto"/>
              <w:ind w:left="113" w:right="113"/>
              <w:jc w:val="center"/>
              <w:rPr>
                <w:rFonts w:ascii="仿宋" w:hAnsi="仿宋" w:eastAsia="仿宋" w:cs="Calibri"/>
                <w:bCs/>
                <w:sz w:val="24"/>
                <w:szCs w:val="24"/>
                <w:lang w:eastAsia="zh-CN"/>
              </w:rPr>
            </w:pPr>
            <w:r>
              <w:rPr>
                <w:rFonts w:hint="eastAsia" w:ascii="仿宋" w:hAnsi="仿宋" w:eastAsia="仿宋" w:cs="Calibri"/>
                <w:bCs/>
                <w:sz w:val="24"/>
                <w:szCs w:val="24"/>
                <w:lang w:eastAsia="zh-CN"/>
              </w:rPr>
              <w:t>商务评议</w:t>
            </w:r>
          </w:p>
        </w:tc>
        <w:tc>
          <w:tcPr>
            <w:tcW w:w="1079" w:type="pct"/>
            <w:tcBorders>
              <w:top w:val="single" w:color="000000" w:sz="4" w:space="0"/>
              <w:left w:val="single" w:color="auto" w:sz="4" w:space="0"/>
              <w:bottom w:val="single" w:color="000000" w:sz="4" w:space="0"/>
              <w:right w:val="single" w:color="000000" w:sz="4" w:space="0"/>
            </w:tcBorders>
            <w:vAlign w:val="center"/>
          </w:tcPr>
          <w:p>
            <w:pPr>
              <w:pStyle w:val="23"/>
              <w:spacing w:line="360" w:lineRule="auto"/>
              <w:jc w:val="center"/>
              <w:rPr>
                <w:rFonts w:ascii="仿宋" w:hAnsi="仿宋" w:eastAsia="仿宋" w:cs="Calibri"/>
                <w:bCs/>
                <w:sz w:val="24"/>
                <w:szCs w:val="24"/>
                <w:lang w:eastAsia="zh-CN"/>
              </w:rPr>
            </w:pPr>
            <w:r>
              <w:rPr>
                <w:rFonts w:hint="eastAsia" w:ascii="仿宋" w:hAnsi="仿宋" w:eastAsia="仿宋" w:cs="Calibri"/>
                <w:bCs/>
                <w:sz w:val="24"/>
                <w:szCs w:val="24"/>
                <w:lang w:eastAsia="zh-CN"/>
              </w:rPr>
              <w:t>营业执照</w:t>
            </w:r>
          </w:p>
        </w:tc>
        <w:tc>
          <w:tcPr>
            <w:tcW w:w="3253" w:type="pct"/>
            <w:tcBorders>
              <w:top w:val="single" w:color="000000" w:sz="4" w:space="0"/>
              <w:left w:val="nil"/>
              <w:bottom w:val="single" w:color="000000" w:sz="4" w:space="0"/>
              <w:right w:val="single" w:color="000000" w:sz="4" w:space="0"/>
            </w:tcBorders>
            <w:vAlign w:val="center"/>
          </w:tcPr>
          <w:p>
            <w:pPr>
              <w:pStyle w:val="23"/>
              <w:spacing w:line="240" w:lineRule="auto"/>
              <w:jc w:val="both"/>
              <w:rPr>
                <w:rFonts w:hint="default" w:ascii="仿宋" w:hAnsi="仿宋" w:eastAsia="仿宋" w:cs="Calibri"/>
                <w:bCs/>
                <w:sz w:val="24"/>
                <w:szCs w:val="24"/>
                <w:lang w:val="en-US" w:eastAsia="zh-CN"/>
              </w:rPr>
            </w:pPr>
            <w:r>
              <w:rPr>
                <w:rFonts w:hint="eastAsia" w:ascii="仿宋" w:hAnsi="仿宋" w:eastAsia="仿宋" w:cs="仿宋"/>
                <w:sz w:val="24"/>
                <w:szCs w:val="24"/>
                <w:lang w:eastAsia="zh-CN"/>
              </w:rPr>
              <w:t>中华人民共和国境内注册的独立法人单位，具有合法有效的企业法人营业执照、税务登记证及组织机构代码证或证照合一的营业执照</w:t>
            </w:r>
            <w:r>
              <w:rPr>
                <w:rFonts w:hint="eastAsia" w:ascii="仿宋" w:hAnsi="仿宋" w:eastAsia="仿宋" w:cs="仿宋"/>
                <w:sz w:val="24"/>
                <w:szCs w:val="24"/>
                <w:lang w:val="en-US" w:eastAsia="zh-CN"/>
              </w:rPr>
              <w:t>，投标时需提供原件扫描件。</w:t>
            </w:r>
          </w:p>
        </w:tc>
      </w:tr>
      <w:tr>
        <w:tblPrEx>
          <w:tblCellMar>
            <w:top w:w="0" w:type="dxa"/>
            <w:left w:w="0" w:type="dxa"/>
            <w:bottom w:w="0" w:type="dxa"/>
            <w:right w:w="0" w:type="dxa"/>
          </w:tblCellMar>
        </w:tblPrEx>
        <w:trPr>
          <w:trHeight w:val="1289" w:hRule="atLeast"/>
          <w:jc w:val="center"/>
        </w:trPr>
        <w:tc>
          <w:tcPr>
            <w:tcW w:w="305" w:type="pct"/>
            <w:vMerge w:val="continue"/>
            <w:tcBorders>
              <w:left w:val="single" w:color="auto" w:sz="4" w:space="0"/>
              <w:right w:val="single" w:color="000000" w:sz="6" w:space="0"/>
            </w:tcBorders>
            <w:vAlign w:val="center"/>
          </w:tcPr>
          <w:p>
            <w:pPr>
              <w:spacing w:line="360" w:lineRule="auto"/>
              <w:jc w:val="center"/>
              <w:rPr>
                <w:rFonts w:ascii="仿宋" w:hAnsi="仿宋" w:eastAsia="仿宋" w:cs="Calibri"/>
                <w:bCs/>
                <w:kern w:val="0"/>
                <w:sz w:val="24"/>
                <w:szCs w:val="24"/>
              </w:rPr>
            </w:pPr>
          </w:p>
        </w:tc>
        <w:tc>
          <w:tcPr>
            <w:tcW w:w="360" w:type="pct"/>
            <w:vMerge w:val="continue"/>
            <w:tcBorders>
              <w:left w:val="nil"/>
              <w:right w:val="single" w:color="auto" w:sz="4" w:space="0"/>
            </w:tcBorders>
            <w:vAlign w:val="center"/>
          </w:tcPr>
          <w:p>
            <w:pPr>
              <w:widowControl/>
              <w:spacing w:line="360" w:lineRule="auto"/>
              <w:rPr>
                <w:rFonts w:ascii="仿宋" w:hAnsi="仿宋" w:eastAsia="仿宋" w:cs="Calibri"/>
                <w:bCs/>
                <w:kern w:val="0"/>
                <w:sz w:val="24"/>
                <w:szCs w:val="24"/>
              </w:rPr>
            </w:pPr>
          </w:p>
        </w:tc>
        <w:tc>
          <w:tcPr>
            <w:tcW w:w="1079" w:type="pct"/>
            <w:tcBorders>
              <w:top w:val="single" w:color="000000" w:sz="4" w:space="0"/>
              <w:left w:val="single" w:color="auto" w:sz="4" w:space="0"/>
              <w:bottom w:val="nil"/>
              <w:right w:val="single" w:color="000000" w:sz="4" w:space="0"/>
            </w:tcBorders>
            <w:vAlign w:val="center"/>
          </w:tcPr>
          <w:p>
            <w:pPr>
              <w:pStyle w:val="23"/>
              <w:spacing w:line="360" w:lineRule="auto"/>
              <w:jc w:val="center"/>
              <w:rPr>
                <w:rFonts w:ascii="仿宋" w:hAnsi="仿宋" w:eastAsia="仿宋" w:cs="Calibri"/>
                <w:bCs/>
                <w:sz w:val="24"/>
                <w:szCs w:val="24"/>
                <w:lang w:eastAsia="zh-CN"/>
              </w:rPr>
            </w:pPr>
            <w:r>
              <w:rPr>
                <w:rFonts w:hint="eastAsia" w:ascii="仿宋" w:hAnsi="仿宋" w:eastAsia="仿宋" w:cs="Calibri"/>
                <w:bCs/>
                <w:sz w:val="24"/>
                <w:szCs w:val="24"/>
                <w:lang w:eastAsia="zh-CN"/>
              </w:rPr>
              <w:t>报价文件签字盖章</w:t>
            </w:r>
          </w:p>
        </w:tc>
        <w:tc>
          <w:tcPr>
            <w:tcW w:w="3253" w:type="pct"/>
            <w:tcBorders>
              <w:top w:val="single" w:color="000000" w:sz="4" w:space="0"/>
              <w:left w:val="nil"/>
              <w:bottom w:val="nil"/>
              <w:right w:val="single" w:color="000000" w:sz="4" w:space="0"/>
            </w:tcBorders>
            <w:vAlign w:val="center"/>
          </w:tcPr>
          <w:p>
            <w:pPr>
              <w:pStyle w:val="23"/>
              <w:spacing w:line="240" w:lineRule="auto"/>
              <w:jc w:val="both"/>
              <w:rPr>
                <w:rFonts w:ascii="仿宋" w:hAnsi="仿宋" w:eastAsia="仿宋" w:cs="Calibri"/>
                <w:bCs/>
                <w:sz w:val="24"/>
                <w:szCs w:val="24"/>
                <w:lang w:eastAsia="zh-CN"/>
              </w:rPr>
            </w:pPr>
            <w:r>
              <w:rPr>
                <w:rFonts w:hint="eastAsia" w:ascii="仿宋" w:hAnsi="仿宋" w:eastAsia="仿宋" w:cs="Calibri"/>
                <w:bCs/>
                <w:sz w:val="24"/>
                <w:szCs w:val="24"/>
                <w:lang w:eastAsia="zh-CN"/>
              </w:rPr>
              <w:t>有法定代表人（单位负责人）或其委托代理人签字并加盖单位章。由法定代表人（单位负责人）签字的，应附法定代表人（单位负责人）身份证明，由代理人签字的，应附授权委托书，身份证明或授权委托书，模板见附件</w:t>
            </w:r>
            <w:r>
              <w:rPr>
                <w:rFonts w:ascii="仿宋" w:hAnsi="仿宋" w:eastAsia="仿宋" w:cs="Calibri"/>
                <w:bCs/>
                <w:sz w:val="24"/>
                <w:szCs w:val="24"/>
                <w:lang w:eastAsia="zh-CN"/>
              </w:rPr>
              <w:t>3：</w:t>
            </w:r>
            <w:r>
              <w:rPr>
                <w:rFonts w:hint="eastAsia" w:ascii="仿宋" w:hAnsi="仿宋" w:eastAsia="仿宋" w:cs="Calibri"/>
                <w:bCs/>
                <w:sz w:val="24"/>
                <w:szCs w:val="24"/>
                <w:lang w:eastAsia="zh-CN"/>
              </w:rPr>
              <w:t>格式附件</w:t>
            </w:r>
          </w:p>
        </w:tc>
      </w:tr>
      <w:tr>
        <w:tblPrEx>
          <w:tblCellMar>
            <w:top w:w="0" w:type="dxa"/>
            <w:left w:w="0" w:type="dxa"/>
            <w:bottom w:w="0" w:type="dxa"/>
            <w:right w:w="0" w:type="dxa"/>
          </w:tblCellMar>
        </w:tblPrEx>
        <w:trPr>
          <w:trHeight w:val="273" w:hRule="atLeast"/>
          <w:jc w:val="center"/>
        </w:trPr>
        <w:tc>
          <w:tcPr>
            <w:tcW w:w="305" w:type="pct"/>
            <w:vMerge w:val="continue"/>
            <w:tcBorders>
              <w:left w:val="single" w:color="auto" w:sz="4" w:space="0"/>
              <w:right w:val="single" w:color="000000" w:sz="6" w:space="0"/>
            </w:tcBorders>
            <w:vAlign w:val="center"/>
          </w:tcPr>
          <w:p>
            <w:pPr>
              <w:spacing w:line="360" w:lineRule="auto"/>
              <w:jc w:val="center"/>
              <w:rPr>
                <w:rFonts w:ascii="仿宋" w:hAnsi="仿宋" w:eastAsia="仿宋" w:cs="Calibri"/>
                <w:bCs/>
                <w:kern w:val="0"/>
                <w:sz w:val="24"/>
                <w:szCs w:val="24"/>
              </w:rPr>
            </w:pPr>
          </w:p>
        </w:tc>
        <w:tc>
          <w:tcPr>
            <w:tcW w:w="360" w:type="pct"/>
            <w:vMerge w:val="continue"/>
            <w:tcBorders>
              <w:left w:val="nil"/>
              <w:right w:val="single" w:color="auto" w:sz="4" w:space="0"/>
            </w:tcBorders>
            <w:vAlign w:val="center"/>
          </w:tcPr>
          <w:p>
            <w:pPr>
              <w:widowControl/>
              <w:spacing w:line="360" w:lineRule="auto"/>
              <w:rPr>
                <w:rFonts w:ascii="仿宋" w:hAnsi="仿宋" w:eastAsia="仿宋" w:cs="Calibri"/>
                <w:bCs/>
                <w:kern w:val="0"/>
                <w:sz w:val="24"/>
                <w:szCs w:val="24"/>
              </w:rPr>
            </w:pPr>
          </w:p>
        </w:tc>
        <w:tc>
          <w:tcPr>
            <w:tcW w:w="1079" w:type="pct"/>
            <w:tcBorders>
              <w:top w:val="single" w:color="000000" w:sz="4" w:space="0"/>
              <w:left w:val="single" w:color="auto" w:sz="4" w:space="0"/>
              <w:bottom w:val="single" w:color="000000" w:sz="4" w:space="0"/>
              <w:right w:val="single" w:color="000000" w:sz="4" w:space="0"/>
            </w:tcBorders>
            <w:vAlign w:val="center"/>
          </w:tcPr>
          <w:p>
            <w:pPr>
              <w:pStyle w:val="23"/>
              <w:spacing w:line="360" w:lineRule="auto"/>
              <w:jc w:val="center"/>
              <w:rPr>
                <w:rFonts w:ascii="仿宋" w:hAnsi="仿宋" w:eastAsia="仿宋" w:cs="Calibri"/>
                <w:bCs/>
                <w:sz w:val="24"/>
                <w:szCs w:val="24"/>
                <w:lang w:eastAsia="zh-CN"/>
              </w:rPr>
            </w:pPr>
            <w:r>
              <w:rPr>
                <w:rFonts w:hint="eastAsia" w:ascii="仿宋" w:hAnsi="仿宋" w:eastAsia="仿宋" w:cs="Calibri"/>
                <w:bCs/>
                <w:sz w:val="24"/>
                <w:szCs w:val="24"/>
                <w:lang w:eastAsia="zh-CN"/>
              </w:rPr>
              <w:t>报价有效期</w:t>
            </w:r>
          </w:p>
        </w:tc>
        <w:tc>
          <w:tcPr>
            <w:tcW w:w="3253" w:type="pct"/>
            <w:tcBorders>
              <w:top w:val="single" w:color="000000" w:sz="4" w:space="0"/>
              <w:left w:val="nil"/>
              <w:bottom w:val="single" w:color="000000" w:sz="4" w:space="0"/>
              <w:right w:val="single" w:color="000000" w:sz="4" w:space="0"/>
            </w:tcBorders>
            <w:vAlign w:val="center"/>
          </w:tcPr>
          <w:p>
            <w:pPr>
              <w:pStyle w:val="23"/>
              <w:spacing w:line="360" w:lineRule="auto"/>
              <w:jc w:val="both"/>
              <w:rPr>
                <w:rFonts w:ascii="仿宋" w:hAnsi="仿宋" w:eastAsia="仿宋" w:cs="Calibri"/>
                <w:bCs/>
                <w:sz w:val="24"/>
                <w:szCs w:val="24"/>
                <w:lang w:eastAsia="zh-CN"/>
              </w:rPr>
            </w:pPr>
            <w:r>
              <w:rPr>
                <w:rFonts w:hint="eastAsia" w:ascii="仿宋" w:hAnsi="仿宋" w:eastAsia="仿宋" w:cs="Calibri"/>
                <w:bCs/>
                <w:sz w:val="24"/>
                <w:szCs w:val="24"/>
                <w:lang w:eastAsia="zh-CN"/>
              </w:rPr>
              <w:t>报价截止之日起【</w:t>
            </w:r>
            <w:r>
              <w:rPr>
                <w:rFonts w:ascii="仿宋" w:hAnsi="仿宋" w:eastAsia="仿宋" w:cs="Calibri"/>
                <w:bCs/>
                <w:sz w:val="24"/>
                <w:szCs w:val="24"/>
                <w:lang w:eastAsia="zh-CN"/>
              </w:rPr>
              <w:t>90</w:t>
            </w:r>
            <w:r>
              <w:rPr>
                <w:rFonts w:hint="eastAsia" w:ascii="仿宋" w:hAnsi="仿宋" w:eastAsia="仿宋" w:cs="Calibri"/>
                <w:bCs/>
                <w:sz w:val="24"/>
                <w:szCs w:val="24"/>
                <w:lang w:eastAsia="zh-CN"/>
              </w:rPr>
              <w:t>】天内保持有效</w:t>
            </w:r>
          </w:p>
        </w:tc>
      </w:tr>
      <w:tr>
        <w:tblPrEx>
          <w:tblCellMar>
            <w:top w:w="0" w:type="dxa"/>
            <w:left w:w="0" w:type="dxa"/>
            <w:bottom w:w="0" w:type="dxa"/>
            <w:right w:w="0" w:type="dxa"/>
          </w:tblCellMar>
        </w:tblPrEx>
        <w:trPr>
          <w:trHeight w:val="6644" w:hRule="atLeast"/>
          <w:jc w:val="center"/>
        </w:trPr>
        <w:tc>
          <w:tcPr>
            <w:tcW w:w="305" w:type="pct"/>
            <w:vMerge w:val="continue"/>
            <w:tcBorders>
              <w:left w:val="single" w:color="auto" w:sz="4" w:space="0"/>
              <w:right w:val="single" w:color="000000" w:sz="6" w:space="0"/>
            </w:tcBorders>
            <w:vAlign w:val="center"/>
          </w:tcPr>
          <w:p>
            <w:pPr>
              <w:spacing w:line="360" w:lineRule="auto"/>
              <w:jc w:val="center"/>
              <w:rPr>
                <w:rFonts w:ascii="仿宋" w:hAnsi="仿宋" w:eastAsia="仿宋" w:cs="Calibri"/>
                <w:bCs/>
                <w:kern w:val="0"/>
                <w:sz w:val="24"/>
                <w:szCs w:val="24"/>
              </w:rPr>
            </w:pPr>
          </w:p>
        </w:tc>
        <w:tc>
          <w:tcPr>
            <w:tcW w:w="360" w:type="pct"/>
            <w:vMerge w:val="continue"/>
            <w:tcBorders>
              <w:left w:val="nil"/>
              <w:right w:val="single" w:color="auto" w:sz="4" w:space="0"/>
            </w:tcBorders>
            <w:vAlign w:val="center"/>
          </w:tcPr>
          <w:p>
            <w:pPr>
              <w:pStyle w:val="23"/>
              <w:spacing w:line="360" w:lineRule="auto"/>
              <w:jc w:val="center"/>
              <w:rPr>
                <w:rFonts w:ascii="仿宋" w:hAnsi="仿宋" w:eastAsia="仿宋" w:cs="Calibri"/>
                <w:bCs/>
                <w:sz w:val="24"/>
                <w:szCs w:val="24"/>
                <w:lang w:eastAsia="zh-CN"/>
              </w:rPr>
            </w:pPr>
          </w:p>
        </w:tc>
        <w:tc>
          <w:tcPr>
            <w:tcW w:w="1079" w:type="pct"/>
            <w:tcBorders>
              <w:top w:val="single" w:color="000000" w:sz="4" w:space="0"/>
              <w:left w:val="single" w:color="auto" w:sz="4" w:space="0"/>
              <w:bottom w:val="single" w:color="000000" w:sz="4" w:space="0"/>
              <w:right w:val="single" w:color="000000" w:sz="4" w:space="0"/>
            </w:tcBorders>
            <w:vAlign w:val="center"/>
          </w:tcPr>
          <w:p>
            <w:pPr>
              <w:pStyle w:val="23"/>
              <w:spacing w:line="360" w:lineRule="auto"/>
              <w:jc w:val="center"/>
              <w:rPr>
                <w:rFonts w:ascii="仿宋" w:hAnsi="仿宋" w:eastAsia="仿宋" w:cs="Calibri"/>
                <w:bCs/>
                <w:sz w:val="24"/>
                <w:szCs w:val="24"/>
                <w:lang w:eastAsia="zh-CN"/>
              </w:rPr>
            </w:pPr>
            <w:r>
              <w:rPr>
                <w:rFonts w:hint="eastAsia" w:ascii="仿宋" w:hAnsi="仿宋" w:eastAsia="仿宋" w:cs="仿宋"/>
                <w:sz w:val="24"/>
                <w:szCs w:val="24"/>
                <w:lang w:eastAsia="zh-CN"/>
              </w:rPr>
              <w:t>信誉要求</w:t>
            </w:r>
          </w:p>
        </w:tc>
        <w:tc>
          <w:tcPr>
            <w:tcW w:w="3253" w:type="pct"/>
            <w:tcBorders>
              <w:top w:val="single" w:color="000000" w:sz="4" w:space="0"/>
              <w:left w:val="nil"/>
              <w:bottom w:val="single" w:color="000000" w:sz="4" w:space="0"/>
              <w:right w:val="single" w:color="000000" w:sz="4" w:space="0"/>
            </w:tcBorders>
            <w:vAlign w:val="center"/>
          </w:tcPr>
          <w:p>
            <w:pPr>
              <w:pStyle w:val="23"/>
              <w:spacing w:line="240" w:lineRule="auto"/>
              <w:jc w:val="both"/>
              <w:rPr>
                <w:rFonts w:ascii="仿宋" w:hAnsi="仿宋" w:eastAsia="仿宋" w:cs="仿宋"/>
                <w:sz w:val="24"/>
                <w:szCs w:val="24"/>
                <w:lang w:eastAsia="zh-CN"/>
              </w:rPr>
            </w:pPr>
            <w:r>
              <w:rPr>
                <w:rFonts w:hint="eastAsia" w:ascii="仿宋" w:hAnsi="仿宋" w:eastAsia="仿宋" w:cs="仿宋"/>
                <w:sz w:val="24"/>
                <w:szCs w:val="24"/>
                <w:lang w:eastAsia="zh-CN"/>
              </w:rPr>
              <w:t>1.申请人不得是最高人民法院在“信用中国”网站（www.creditchina.gov.cn）或各级法院列入失信被执行人名单（应附查询结果复印件并加盖单位章）</w:t>
            </w:r>
          </w:p>
          <w:p>
            <w:pPr>
              <w:pStyle w:val="23"/>
              <w:spacing w:line="240" w:lineRule="auto"/>
              <w:jc w:val="both"/>
              <w:rPr>
                <w:rFonts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Theme="minorEastAsia" w:hAnsiTheme="minorEastAsia"/>
                <w:kern w:val="2"/>
                <w:sz w:val="24"/>
                <w:szCs w:val="24"/>
                <w:lang w:eastAsia="zh-CN"/>
              </w:rPr>
              <w:t xml:space="preserve"> </w:t>
            </w:r>
            <w:r>
              <w:rPr>
                <w:rFonts w:hint="eastAsia" w:ascii="仿宋" w:hAnsi="仿宋" w:eastAsia="仿宋" w:cs="仿宋"/>
                <w:sz w:val="24"/>
                <w:szCs w:val="24"/>
                <w:lang w:eastAsia="zh-CN"/>
              </w:rPr>
              <w:t>近三年（201</w:t>
            </w:r>
            <w:r>
              <w:rPr>
                <w:rFonts w:ascii="仿宋" w:hAnsi="仿宋" w:eastAsia="仿宋" w:cs="仿宋"/>
                <w:sz w:val="24"/>
                <w:szCs w:val="24"/>
                <w:lang w:eastAsia="zh-CN"/>
              </w:rPr>
              <w:t>9</w:t>
            </w:r>
            <w:r>
              <w:rPr>
                <w:rFonts w:hint="eastAsia" w:ascii="仿宋" w:hAnsi="仿宋" w:eastAsia="仿宋" w:cs="仿宋"/>
                <w:sz w:val="24"/>
                <w:szCs w:val="24"/>
                <w:lang w:eastAsia="zh-CN"/>
              </w:rPr>
              <w:t>年-报价截止日前）内申请人或其法定代表人、拟委任的项目负责人不得在“中国裁判文书网”（</w:t>
            </w:r>
            <w:r>
              <w:rPr>
                <w:rFonts w:ascii="仿宋" w:hAnsi="仿宋" w:eastAsia="仿宋" w:cs="仿宋"/>
                <w:sz w:val="24"/>
                <w:szCs w:val="24"/>
                <w:lang w:eastAsia="zh-CN"/>
              </w:rPr>
              <w:t>https://wenshu.court.gov.cn/</w:t>
            </w:r>
            <w:r>
              <w:rPr>
                <w:rFonts w:hint="eastAsia" w:ascii="仿宋" w:hAnsi="仿宋" w:eastAsia="仿宋" w:cs="仿宋"/>
                <w:sz w:val="24"/>
                <w:szCs w:val="24"/>
                <w:lang w:eastAsia="zh-CN"/>
              </w:rPr>
              <w:t>）有行贿犯罪行为（应附查询结果复印件并加盖单位章）</w:t>
            </w:r>
          </w:p>
          <w:p>
            <w:pPr>
              <w:pStyle w:val="23"/>
              <w:spacing w:line="240" w:lineRule="auto"/>
              <w:jc w:val="both"/>
              <w:rPr>
                <w:rFonts w:ascii="仿宋" w:hAnsi="仿宋" w:eastAsia="仿宋" w:cs="仿宋"/>
                <w:sz w:val="24"/>
                <w:szCs w:val="24"/>
                <w:lang w:eastAsia="zh-CN"/>
              </w:rPr>
            </w:pPr>
            <w:r>
              <w:rPr>
                <w:rFonts w:hint="eastAsia" w:ascii="仿宋" w:hAnsi="仿宋" w:eastAsia="仿宋" w:cs="仿宋"/>
                <w:sz w:val="24"/>
                <w:szCs w:val="24"/>
                <w:lang w:eastAsia="zh-CN"/>
              </w:rPr>
              <w:t>3.申请人不得被工商行政管理机关在全国企业信用信息公示系统（http://www.gsxt.gov.cn）中列入严重违法失信企业名（应附查询结果复印件并加盖单位章）</w:t>
            </w:r>
          </w:p>
          <w:p>
            <w:pPr>
              <w:pStyle w:val="23"/>
              <w:spacing w:line="240" w:lineRule="auto"/>
              <w:jc w:val="both"/>
              <w:rPr>
                <w:rFonts w:ascii="仿宋" w:hAnsi="仿宋" w:eastAsia="仿宋" w:cs="仿宋"/>
                <w:sz w:val="24"/>
                <w:szCs w:val="24"/>
                <w:lang w:eastAsia="zh-CN"/>
              </w:rPr>
            </w:pPr>
            <w:r>
              <w:rPr>
                <w:rFonts w:hint="eastAsia" w:ascii="仿宋" w:hAnsi="仿宋" w:eastAsia="仿宋" w:cs="仿宋"/>
                <w:sz w:val="24"/>
                <w:szCs w:val="24"/>
                <w:lang w:eastAsia="zh-CN"/>
              </w:rPr>
              <w:t>4.应答人与本采购项目其他应答人不得存在控股关系或管理关系、单位负责人为同一人的情形</w:t>
            </w:r>
          </w:p>
          <w:p>
            <w:pPr>
              <w:pStyle w:val="23"/>
              <w:spacing w:line="240" w:lineRule="auto"/>
              <w:jc w:val="both"/>
              <w:rPr>
                <w:rFonts w:ascii="仿宋" w:hAnsi="仿宋" w:eastAsia="仿宋" w:cs="仿宋"/>
                <w:sz w:val="24"/>
                <w:szCs w:val="24"/>
                <w:lang w:eastAsia="zh-CN"/>
              </w:rPr>
            </w:pPr>
            <w:r>
              <w:rPr>
                <w:rFonts w:hint="eastAsia" w:ascii="仿宋" w:hAnsi="仿宋" w:eastAsia="仿宋" w:cs="仿宋"/>
                <w:sz w:val="24"/>
                <w:szCs w:val="24"/>
                <w:lang w:eastAsia="zh-CN"/>
              </w:rPr>
              <w:t>5.申请人在《中国海洋石油集团有限公司采办业务管理与交易系统》填报供应商注册信息，并在注册审核通过后，方可具备参与采办业务的基本资格，未通过注册审核的申请人应答均视为无效</w:t>
            </w:r>
          </w:p>
          <w:p>
            <w:pPr>
              <w:spacing w:line="240" w:lineRule="auto"/>
              <w:ind w:right="10"/>
              <w:rPr>
                <w:rFonts w:ascii="仿宋" w:hAnsi="仿宋" w:eastAsia="仿宋" w:cs="仿宋"/>
                <w:sz w:val="24"/>
                <w:szCs w:val="24"/>
              </w:rPr>
            </w:pPr>
            <w:r>
              <w:rPr>
                <w:rFonts w:hint="eastAsia" w:ascii="仿宋" w:hAnsi="仿宋" w:eastAsia="仿宋" w:cs="仿宋"/>
                <w:sz w:val="24"/>
                <w:szCs w:val="24"/>
              </w:rPr>
              <w:t>6.询价文件中明确要求资质需要在评议阶段通过权威网站查询的，以权威网站查询结果为准。响应文件中已提供查询结果证明但未查询到的，可以澄清。响应文件中未明确要求通过权威网站查询的，以响应文件为准</w:t>
            </w:r>
          </w:p>
        </w:tc>
      </w:tr>
      <w:tr>
        <w:tblPrEx>
          <w:tblCellMar>
            <w:top w:w="0" w:type="dxa"/>
            <w:left w:w="0" w:type="dxa"/>
            <w:bottom w:w="0" w:type="dxa"/>
            <w:right w:w="0" w:type="dxa"/>
          </w:tblCellMar>
        </w:tblPrEx>
        <w:trPr>
          <w:trHeight w:val="922" w:hRule="atLeast"/>
          <w:jc w:val="center"/>
        </w:trPr>
        <w:tc>
          <w:tcPr>
            <w:tcW w:w="305" w:type="pct"/>
            <w:vMerge w:val="continue"/>
            <w:tcBorders>
              <w:left w:val="single" w:color="auto" w:sz="4" w:space="0"/>
              <w:right w:val="single" w:color="000000" w:sz="6" w:space="0"/>
            </w:tcBorders>
            <w:vAlign w:val="center"/>
          </w:tcPr>
          <w:p>
            <w:pPr>
              <w:spacing w:line="360" w:lineRule="auto"/>
              <w:jc w:val="center"/>
              <w:rPr>
                <w:rFonts w:ascii="仿宋" w:hAnsi="仿宋" w:eastAsia="仿宋" w:cs="Calibri"/>
                <w:bCs/>
                <w:kern w:val="0"/>
                <w:sz w:val="24"/>
                <w:szCs w:val="24"/>
              </w:rPr>
            </w:pPr>
          </w:p>
        </w:tc>
        <w:tc>
          <w:tcPr>
            <w:tcW w:w="360" w:type="pct"/>
            <w:vMerge w:val="continue"/>
            <w:tcBorders>
              <w:left w:val="nil"/>
              <w:right w:val="single" w:color="auto" w:sz="4" w:space="0"/>
            </w:tcBorders>
            <w:vAlign w:val="center"/>
          </w:tcPr>
          <w:p>
            <w:pPr>
              <w:pStyle w:val="23"/>
              <w:spacing w:line="360" w:lineRule="auto"/>
              <w:jc w:val="center"/>
              <w:rPr>
                <w:rFonts w:ascii="仿宋" w:hAnsi="仿宋" w:eastAsia="仿宋" w:cs="Calibri"/>
                <w:bCs/>
                <w:sz w:val="24"/>
                <w:szCs w:val="24"/>
                <w:lang w:eastAsia="zh-CN"/>
              </w:rPr>
            </w:pPr>
          </w:p>
        </w:tc>
        <w:tc>
          <w:tcPr>
            <w:tcW w:w="1079" w:type="pct"/>
            <w:tcBorders>
              <w:top w:val="single" w:color="000000" w:sz="4" w:space="0"/>
              <w:left w:val="single" w:color="auto" w:sz="4" w:space="0"/>
              <w:right w:val="single" w:color="000000" w:sz="4" w:space="0"/>
            </w:tcBorders>
            <w:vAlign w:val="center"/>
          </w:tcPr>
          <w:p>
            <w:pPr>
              <w:pStyle w:val="3"/>
              <w:rPr>
                <w:rFonts w:ascii="仿宋" w:hAnsi="仿宋" w:eastAsia="仿宋" w:cs="仿宋"/>
                <w:kern w:val="2"/>
              </w:rPr>
            </w:pPr>
            <w:r>
              <w:rPr>
                <w:rFonts w:ascii="仿宋" w:hAnsi="仿宋" w:eastAsia="仿宋" w:cs="仿宋"/>
                <w:kern w:val="2"/>
              </w:rPr>
              <w:t>投标人的财务状况要求</w:t>
            </w:r>
          </w:p>
        </w:tc>
        <w:tc>
          <w:tcPr>
            <w:tcW w:w="3253" w:type="pct"/>
            <w:tcBorders>
              <w:top w:val="single" w:color="000000" w:sz="4" w:space="0"/>
              <w:left w:val="nil"/>
              <w:bottom w:val="single" w:color="auto" w:sz="4" w:space="0"/>
              <w:right w:val="single" w:color="000000" w:sz="4" w:space="0"/>
            </w:tcBorders>
            <w:vAlign w:val="center"/>
          </w:tcPr>
          <w:p>
            <w:pPr>
              <w:pStyle w:val="3"/>
              <w:rPr>
                <w:rFonts w:ascii="仿宋" w:hAnsi="仿宋" w:eastAsia="仿宋" w:cs="仿宋"/>
                <w:kern w:val="2"/>
              </w:rPr>
            </w:pPr>
            <w:r>
              <w:rPr>
                <w:rFonts w:ascii="仿宋" w:hAnsi="仿宋" w:eastAsia="仿宋" w:cs="仿宋"/>
                <w:kern w:val="2"/>
              </w:rPr>
              <w:t>投标人提交</w:t>
            </w:r>
            <w:r>
              <w:rPr>
                <w:rFonts w:hint="eastAsia" w:ascii="仿宋" w:hAnsi="仿宋" w:eastAsia="仿宋" w:cs="仿宋"/>
                <w:kern w:val="2"/>
              </w:rPr>
              <w:t>近3</w:t>
            </w:r>
            <w:r>
              <w:rPr>
                <w:rFonts w:ascii="仿宋" w:hAnsi="仿宋" w:eastAsia="仿宋" w:cs="仿宋"/>
                <w:kern w:val="2"/>
              </w:rPr>
              <w:t>年资产负债表和其他财务报表，以表明财务能力和长期赢利能力</w:t>
            </w:r>
          </w:p>
        </w:tc>
      </w:tr>
      <w:tr>
        <w:tblPrEx>
          <w:tblCellMar>
            <w:top w:w="0" w:type="dxa"/>
            <w:left w:w="0" w:type="dxa"/>
            <w:bottom w:w="0" w:type="dxa"/>
            <w:right w:w="0" w:type="dxa"/>
          </w:tblCellMar>
        </w:tblPrEx>
        <w:trPr>
          <w:trHeight w:val="2341" w:hRule="atLeast"/>
          <w:jc w:val="center"/>
        </w:trPr>
        <w:tc>
          <w:tcPr>
            <w:tcW w:w="305" w:type="pct"/>
            <w:vMerge w:val="continue"/>
            <w:tcBorders>
              <w:left w:val="single" w:color="auto" w:sz="4" w:space="0"/>
              <w:right w:val="single" w:color="000000" w:sz="6" w:space="0"/>
            </w:tcBorders>
            <w:vAlign w:val="center"/>
          </w:tcPr>
          <w:p>
            <w:pPr>
              <w:widowControl/>
              <w:spacing w:line="360" w:lineRule="auto"/>
              <w:rPr>
                <w:rFonts w:hint="eastAsia" w:ascii="仿宋" w:hAnsi="仿宋" w:eastAsia="仿宋" w:cs="Calibri"/>
                <w:bCs/>
                <w:kern w:val="0"/>
                <w:sz w:val="24"/>
                <w:szCs w:val="24"/>
                <w:lang w:val="en-US" w:eastAsia="zh-CN"/>
              </w:rPr>
            </w:pPr>
          </w:p>
        </w:tc>
        <w:tc>
          <w:tcPr>
            <w:tcW w:w="360" w:type="pct"/>
            <w:vMerge w:val="continue"/>
            <w:tcBorders>
              <w:left w:val="nil"/>
              <w:right w:val="single" w:color="auto" w:sz="4" w:space="0"/>
            </w:tcBorders>
            <w:textDirection w:val="tbRlV"/>
            <w:vAlign w:val="center"/>
          </w:tcPr>
          <w:p>
            <w:pPr>
              <w:widowControl/>
              <w:spacing w:line="360" w:lineRule="auto"/>
              <w:ind w:left="113" w:right="113"/>
              <w:rPr>
                <w:rFonts w:hint="eastAsia" w:ascii="仿宋" w:hAnsi="仿宋" w:eastAsia="仿宋" w:cs="Calibri"/>
                <w:bCs/>
                <w:kern w:val="0"/>
                <w:sz w:val="24"/>
                <w:szCs w:val="24"/>
                <w:lang w:val="en-US" w:eastAsia="zh-CN"/>
              </w:rPr>
            </w:pPr>
          </w:p>
        </w:tc>
        <w:tc>
          <w:tcPr>
            <w:tcW w:w="1079" w:type="pct"/>
            <w:tcBorders>
              <w:top w:val="single" w:color="auto" w:sz="4" w:space="0"/>
              <w:left w:val="single" w:color="auto" w:sz="4" w:space="0"/>
              <w:bottom w:val="single" w:color="auto" w:sz="4" w:space="0"/>
              <w:right w:val="single" w:color="auto" w:sz="4" w:space="0"/>
            </w:tcBorders>
            <w:vAlign w:val="center"/>
          </w:tcPr>
          <w:p>
            <w:pPr>
              <w:pStyle w:val="23"/>
              <w:spacing w:line="360" w:lineRule="auto"/>
              <w:jc w:val="center"/>
              <w:rPr>
                <w:rFonts w:ascii="仿宋" w:hAnsi="仿宋" w:eastAsia="仿宋" w:cs="Calibri"/>
                <w:bCs/>
                <w:sz w:val="24"/>
                <w:szCs w:val="24"/>
                <w:lang w:eastAsia="zh-CN"/>
              </w:rPr>
            </w:pPr>
            <w:r>
              <w:rPr>
                <w:rFonts w:ascii="仿宋" w:hAnsi="仿宋" w:eastAsia="仿宋" w:cs="Calibri"/>
                <w:bCs/>
                <w:sz w:val="24"/>
                <w:szCs w:val="24"/>
                <w:lang w:eastAsia="zh-CN"/>
              </w:rPr>
              <w:t>付款条款</w:t>
            </w:r>
          </w:p>
        </w:tc>
        <w:tc>
          <w:tcPr>
            <w:tcW w:w="325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right="11" w:firstLine="480" w:firstLineChars="200"/>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yellow"/>
                <w:lang w:val="en-US" w:eastAsia="zh-CN" w:bidi="ar-SA"/>
              </w:rPr>
              <w:t>合同签订后且甲方提供全部水土保持评价服务资料后乙方15日内完成并提交年产30万吨绿色增值复合肥项目水土保持评价报告表（报审稿）；水土保持评价报告表经政府部门审查后，根据审查意见进行修订，并于5个工作日内完成报告修改。甲方在鹤岗市水务局完成备案及获得批复后，甲方验收合格且收到等额增值税专用发票后30日内支付该次服务费用的100%。</w:t>
            </w:r>
          </w:p>
        </w:tc>
      </w:tr>
      <w:tr>
        <w:tblPrEx>
          <w:tblCellMar>
            <w:top w:w="0" w:type="dxa"/>
            <w:left w:w="0" w:type="dxa"/>
            <w:bottom w:w="0" w:type="dxa"/>
            <w:right w:w="0" w:type="dxa"/>
          </w:tblCellMar>
        </w:tblPrEx>
        <w:trPr>
          <w:trHeight w:val="2341" w:hRule="atLeast"/>
          <w:jc w:val="center"/>
        </w:trPr>
        <w:tc>
          <w:tcPr>
            <w:tcW w:w="305" w:type="pct"/>
            <w:vMerge w:val="continue"/>
            <w:tcBorders>
              <w:left w:val="single" w:color="auto" w:sz="4" w:space="0"/>
              <w:bottom w:val="single" w:color="auto" w:sz="4" w:space="0"/>
              <w:right w:val="single" w:color="000000" w:sz="6" w:space="0"/>
            </w:tcBorders>
            <w:vAlign w:val="center"/>
          </w:tcPr>
          <w:p>
            <w:pPr>
              <w:widowControl/>
              <w:spacing w:line="360" w:lineRule="auto"/>
              <w:rPr>
                <w:rFonts w:hint="eastAsia" w:ascii="仿宋" w:hAnsi="仿宋" w:eastAsia="仿宋" w:cs="Calibri"/>
                <w:bCs/>
                <w:kern w:val="0"/>
                <w:sz w:val="24"/>
                <w:szCs w:val="24"/>
                <w:lang w:val="en-US" w:eastAsia="zh-CN"/>
              </w:rPr>
            </w:pPr>
          </w:p>
        </w:tc>
        <w:tc>
          <w:tcPr>
            <w:tcW w:w="360" w:type="pct"/>
            <w:vMerge w:val="continue"/>
            <w:tcBorders>
              <w:left w:val="nil"/>
              <w:bottom w:val="single" w:color="auto" w:sz="4" w:space="0"/>
              <w:right w:val="single" w:color="auto" w:sz="4" w:space="0"/>
            </w:tcBorders>
            <w:textDirection w:val="tbRlV"/>
            <w:vAlign w:val="center"/>
          </w:tcPr>
          <w:p>
            <w:pPr>
              <w:widowControl/>
              <w:spacing w:line="360" w:lineRule="auto"/>
              <w:ind w:left="113" w:right="113"/>
              <w:rPr>
                <w:rFonts w:hint="eastAsia" w:ascii="仿宋" w:hAnsi="仿宋" w:eastAsia="仿宋" w:cs="Calibri"/>
                <w:bCs/>
                <w:kern w:val="0"/>
                <w:sz w:val="24"/>
                <w:szCs w:val="24"/>
                <w:lang w:val="en-US" w:eastAsia="zh-CN"/>
              </w:rPr>
            </w:pPr>
          </w:p>
        </w:tc>
        <w:tc>
          <w:tcPr>
            <w:tcW w:w="1079" w:type="pct"/>
            <w:tcBorders>
              <w:top w:val="single" w:color="auto" w:sz="4" w:space="0"/>
              <w:left w:val="single" w:color="auto" w:sz="4" w:space="0"/>
              <w:bottom w:val="single" w:color="auto" w:sz="4" w:space="0"/>
              <w:right w:val="single" w:color="auto" w:sz="4" w:space="0"/>
            </w:tcBorders>
            <w:vAlign w:val="center"/>
          </w:tcPr>
          <w:p>
            <w:pPr>
              <w:pStyle w:val="23"/>
              <w:spacing w:line="360" w:lineRule="auto"/>
              <w:jc w:val="center"/>
              <w:rPr>
                <w:rFonts w:ascii="仿宋" w:hAnsi="仿宋" w:eastAsia="仿宋" w:cs="Calibri"/>
                <w:bCs/>
                <w:kern w:val="0"/>
                <w:sz w:val="24"/>
                <w:szCs w:val="24"/>
                <w:lang w:val="en-US" w:eastAsia="zh-CN" w:bidi="ar-SA"/>
              </w:rPr>
            </w:pPr>
            <w:r>
              <w:rPr>
                <w:rFonts w:hint="eastAsia" w:ascii="仿宋" w:hAnsi="仿宋" w:eastAsia="仿宋" w:cs="Calibri"/>
                <w:bCs/>
                <w:sz w:val="24"/>
                <w:szCs w:val="24"/>
                <w:lang w:eastAsia="zh-CN"/>
              </w:rPr>
              <w:t>一般商务指标偏离</w:t>
            </w:r>
          </w:p>
        </w:tc>
        <w:tc>
          <w:tcPr>
            <w:tcW w:w="3253" w:type="pct"/>
            <w:tcBorders>
              <w:top w:val="single" w:color="auto" w:sz="4" w:space="0"/>
              <w:left w:val="single" w:color="auto" w:sz="4" w:space="0"/>
              <w:bottom w:val="single" w:color="auto" w:sz="4" w:space="0"/>
              <w:right w:val="single" w:color="auto" w:sz="4" w:space="0"/>
            </w:tcBorders>
            <w:vAlign w:val="center"/>
          </w:tcPr>
          <w:p>
            <w:pPr>
              <w:pStyle w:val="7"/>
              <w:spacing w:line="240" w:lineRule="auto"/>
              <w:ind w:right="11" w:right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一般商务指标偏离超过（含）3项，则商务评议不合格。</w:t>
            </w:r>
          </w:p>
        </w:tc>
      </w:tr>
      <w:tr>
        <w:tblPrEx>
          <w:tblCellMar>
            <w:top w:w="0" w:type="dxa"/>
            <w:left w:w="0" w:type="dxa"/>
            <w:bottom w:w="0" w:type="dxa"/>
            <w:right w:w="0" w:type="dxa"/>
          </w:tblCellMar>
        </w:tblPrEx>
        <w:trPr>
          <w:trHeight w:val="362" w:hRule="atLeast"/>
          <w:jc w:val="center"/>
        </w:trPr>
        <w:tc>
          <w:tcPr>
            <w:tcW w:w="305" w:type="pct"/>
            <w:vMerge w:val="restart"/>
            <w:tcBorders>
              <w:top w:val="single" w:color="auto" w:sz="4" w:space="0"/>
              <w:left w:val="single" w:color="auto" w:sz="4" w:space="0"/>
              <w:right w:val="single" w:color="auto" w:sz="4" w:space="0"/>
            </w:tcBorders>
            <w:vAlign w:val="center"/>
          </w:tcPr>
          <w:p>
            <w:pPr>
              <w:pStyle w:val="23"/>
              <w:spacing w:line="360" w:lineRule="auto"/>
              <w:jc w:val="center"/>
              <w:rPr>
                <w:rFonts w:ascii="仿宋" w:hAnsi="仿宋" w:eastAsia="仿宋" w:cs="Calibri"/>
                <w:bCs/>
                <w:sz w:val="24"/>
                <w:szCs w:val="24"/>
              </w:rPr>
            </w:pPr>
            <w:r>
              <w:rPr>
                <w:rFonts w:hint="eastAsia" w:ascii="仿宋" w:hAnsi="仿宋" w:eastAsia="仿宋" w:cs="Calibri"/>
                <w:bCs/>
                <w:kern w:val="0"/>
                <w:sz w:val="24"/>
                <w:szCs w:val="24"/>
                <w:lang w:val="en-US" w:eastAsia="zh-CN"/>
              </w:rPr>
              <w:t>2</w:t>
            </w:r>
          </w:p>
        </w:tc>
        <w:tc>
          <w:tcPr>
            <w:tcW w:w="360" w:type="pct"/>
            <w:vMerge w:val="restart"/>
            <w:tcBorders>
              <w:top w:val="single" w:color="auto" w:sz="4" w:space="0"/>
              <w:left w:val="single" w:color="auto" w:sz="4" w:space="0"/>
              <w:right w:val="single" w:color="auto" w:sz="4" w:space="0"/>
            </w:tcBorders>
            <w:textDirection w:val="tbRlV"/>
            <w:vAlign w:val="center"/>
          </w:tcPr>
          <w:p>
            <w:pPr>
              <w:pStyle w:val="23"/>
              <w:spacing w:line="360" w:lineRule="auto"/>
              <w:ind w:left="113" w:right="113"/>
              <w:jc w:val="center"/>
              <w:rPr>
                <w:rFonts w:ascii="仿宋" w:hAnsi="仿宋" w:eastAsia="仿宋" w:cs="Calibri"/>
                <w:bCs/>
                <w:sz w:val="24"/>
                <w:szCs w:val="24"/>
                <w:lang w:eastAsia="zh-CN"/>
              </w:rPr>
            </w:pPr>
            <w:r>
              <w:rPr>
                <w:rFonts w:hint="eastAsia" w:ascii="仿宋" w:hAnsi="仿宋" w:eastAsia="仿宋" w:cs="Calibri"/>
                <w:bCs/>
                <w:kern w:val="0"/>
                <w:sz w:val="24"/>
                <w:szCs w:val="24"/>
                <w:lang w:val="en-US" w:eastAsia="zh-CN" w:bidi="ar-SA"/>
              </w:rPr>
              <w:t>技术评议</w:t>
            </w:r>
          </w:p>
        </w:tc>
        <w:tc>
          <w:tcPr>
            <w:tcW w:w="1079" w:type="pct"/>
            <w:tcBorders>
              <w:top w:val="single" w:color="auto" w:sz="4" w:space="0"/>
              <w:left w:val="single" w:color="auto" w:sz="4" w:space="0"/>
              <w:bottom w:val="single" w:color="auto" w:sz="4" w:space="0"/>
              <w:right w:val="single" w:color="auto" w:sz="4" w:space="0"/>
            </w:tcBorders>
            <w:vAlign w:val="center"/>
          </w:tcPr>
          <w:p>
            <w:pPr>
              <w:pStyle w:val="23"/>
              <w:spacing w:line="360" w:lineRule="auto"/>
              <w:jc w:val="center"/>
              <w:rPr>
                <w:rFonts w:hint="eastAsia" w:ascii="仿宋" w:hAnsi="仿宋" w:eastAsia="仿宋" w:cs="Calibri"/>
                <w:bCs/>
                <w:kern w:val="0"/>
                <w:sz w:val="24"/>
                <w:szCs w:val="24"/>
                <w:lang w:val="en-US" w:eastAsia="zh-CN" w:bidi="ar-SA"/>
              </w:rPr>
            </w:pPr>
            <w:r>
              <w:rPr>
                <w:rFonts w:hint="eastAsia" w:ascii="宋体" w:hAnsi="宋体"/>
                <w:b w:val="0"/>
                <w:bCs w:val="0"/>
                <w:color w:val="auto"/>
                <w:szCs w:val="21"/>
              </w:rPr>
              <w:t>★</w:t>
            </w:r>
            <w:r>
              <w:rPr>
                <w:rFonts w:hint="eastAsia" w:ascii="仿宋" w:hAnsi="仿宋" w:eastAsia="仿宋" w:cs="Calibri"/>
                <w:bCs/>
                <w:sz w:val="24"/>
                <w:szCs w:val="24"/>
                <w:lang w:eastAsia="zh-CN"/>
              </w:rPr>
              <w:t>资质要求</w:t>
            </w:r>
          </w:p>
        </w:tc>
        <w:tc>
          <w:tcPr>
            <w:tcW w:w="3253" w:type="pct"/>
            <w:tcBorders>
              <w:top w:val="single" w:color="000000" w:sz="4" w:space="0"/>
              <w:left w:val="single" w:color="auto" w:sz="4" w:space="0"/>
              <w:bottom w:val="single" w:color="000000" w:sz="4" w:space="0"/>
              <w:right w:val="single" w:color="000000" w:sz="4" w:space="0"/>
            </w:tcBorders>
            <w:vAlign w:val="center"/>
          </w:tcPr>
          <w:p>
            <w:pPr>
              <w:pStyle w:val="23"/>
              <w:spacing w:line="240" w:lineRule="auto"/>
              <w:jc w:val="both"/>
              <w:rPr>
                <w:rFonts w:hint="eastAsia" w:ascii="仿宋" w:hAnsi="仿宋" w:eastAsia="仿宋" w:cs="Calibri"/>
                <w:bCs/>
                <w:kern w:val="0"/>
                <w:sz w:val="24"/>
                <w:szCs w:val="24"/>
                <w:lang w:val="en-US" w:eastAsia="zh-CN" w:bidi="ar-SA"/>
              </w:rPr>
            </w:pPr>
            <w:r>
              <w:rPr>
                <w:rFonts w:hint="eastAsia" w:ascii="仿宋" w:hAnsi="仿宋" w:eastAsia="仿宋" w:cs="Calibri"/>
                <w:bCs/>
                <w:sz w:val="24"/>
                <w:szCs w:val="24"/>
                <w:lang w:eastAsia="zh-CN"/>
              </w:rPr>
              <w:t>投标人须在中华人民共和国境内注册并具有独立法人资格（提供证件扫描件），具有有效的营业执照或事业单位法人证书，公司注册成立满三年。</w:t>
            </w:r>
          </w:p>
        </w:tc>
      </w:tr>
      <w:tr>
        <w:tblPrEx>
          <w:tblCellMar>
            <w:top w:w="0" w:type="dxa"/>
            <w:left w:w="0" w:type="dxa"/>
            <w:bottom w:w="0" w:type="dxa"/>
            <w:right w:w="0" w:type="dxa"/>
          </w:tblCellMar>
        </w:tblPrEx>
        <w:trPr>
          <w:trHeight w:val="362" w:hRule="atLeast"/>
          <w:jc w:val="center"/>
        </w:trPr>
        <w:tc>
          <w:tcPr>
            <w:tcW w:w="305" w:type="pct"/>
            <w:vMerge w:val="continue"/>
            <w:tcBorders>
              <w:left w:val="single" w:color="auto" w:sz="4" w:space="0"/>
              <w:right w:val="single" w:color="auto" w:sz="4" w:space="0"/>
            </w:tcBorders>
            <w:vAlign w:val="center"/>
          </w:tcPr>
          <w:p>
            <w:pPr>
              <w:pStyle w:val="23"/>
              <w:spacing w:line="360" w:lineRule="auto"/>
              <w:jc w:val="center"/>
              <w:rPr>
                <w:rFonts w:ascii="仿宋" w:hAnsi="仿宋" w:eastAsia="仿宋" w:cs="Calibri"/>
                <w:bCs/>
                <w:sz w:val="24"/>
                <w:szCs w:val="24"/>
              </w:rPr>
            </w:pPr>
          </w:p>
        </w:tc>
        <w:tc>
          <w:tcPr>
            <w:tcW w:w="360" w:type="pct"/>
            <w:vMerge w:val="continue"/>
            <w:tcBorders>
              <w:left w:val="single" w:color="auto" w:sz="4" w:space="0"/>
              <w:right w:val="single" w:color="auto" w:sz="4" w:space="0"/>
            </w:tcBorders>
            <w:textDirection w:val="tbRlV"/>
            <w:vAlign w:val="center"/>
          </w:tcPr>
          <w:p>
            <w:pPr>
              <w:pStyle w:val="23"/>
              <w:spacing w:line="360" w:lineRule="auto"/>
              <w:ind w:left="113" w:right="113"/>
              <w:jc w:val="center"/>
              <w:rPr>
                <w:rFonts w:ascii="仿宋" w:hAnsi="仿宋" w:eastAsia="仿宋" w:cs="Calibri"/>
                <w:bCs/>
                <w:sz w:val="24"/>
                <w:szCs w:val="24"/>
                <w:lang w:eastAsia="zh-CN"/>
              </w:rPr>
            </w:pPr>
          </w:p>
        </w:tc>
        <w:tc>
          <w:tcPr>
            <w:tcW w:w="1079"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right="11"/>
              <w:jc w:val="center"/>
              <w:rPr>
                <w:rFonts w:ascii="仿宋" w:hAnsi="仿宋" w:eastAsia="仿宋" w:cs="Calibri"/>
                <w:bCs/>
                <w:kern w:val="0"/>
                <w:sz w:val="24"/>
                <w:szCs w:val="24"/>
              </w:rPr>
            </w:pPr>
            <w:r>
              <w:rPr>
                <w:rFonts w:hint="eastAsia" w:ascii="宋体" w:hAnsi="宋体"/>
                <w:b w:val="0"/>
                <w:bCs w:val="0"/>
                <w:color w:val="auto"/>
                <w:szCs w:val="21"/>
              </w:rPr>
              <w:t>★</w:t>
            </w:r>
            <w:r>
              <w:rPr>
                <w:rFonts w:hint="eastAsia" w:ascii="仿宋" w:hAnsi="仿宋" w:eastAsia="仿宋" w:cs="Calibri"/>
                <w:bCs/>
                <w:sz w:val="24"/>
                <w:szCs w:val="24"/>
                <w:lang w:val="en-US" w:eastAsia="zh-CN"/>
              </w:rPr>
              <w:t>业绩</w:t>
            </w:r>
            <w:r>
              <w:rPr>
                <w:rFonts w:hint="eastAsia" w:ascii="仿宋" w:hAnsi="仿宋" w:eastAsia="仿宋" w:cs="Calibri"/>
                <w:bCs/>
                <w:sz w:val="24"/>
                <w:szCs w:val="24"/>
                <w:lang w:eastAsia="zh-CN"/>
              </w:rPr>
              <w:t>要求</w:t>
            </w:r>
          </w:p>
        </w:tc>
        <w:tc>
          <w:tcPr>
            <w:tcW w:w="3253" w:type="pct"/>
            <w:tcBorders>
              <w:top w:val="single" w:color="000000" w:sz="4" w:space="0"/>
              <w:left w:val="single" w:color="auto" w:sz="4" w:space="0"/>
              <w:bottom w:val="single" w:color="000000" w:sz="4" w:space="0"/>
              <w:right w:val="single" w:color="000000" w:sz="4" w:space="0"/>
            </w:tcBorders>
            <w:vAlign w:val="center"/>
          </w:tcPr>
          <w:p>
            <w:pPr>
              <w:spacing w:line="240" w:lineRule="auto"/>
              <w:ind w:left="105" w:leftChars="50"/>
              <w:jc w:val="left"/>
              <w:rPr>
                <w:rFonts w:hint="eastAsia" w:ascii="仿宋" w:hAnsi="仿宋" w:eastAsia="仿宋" w:cs="Calibri"/>
                <w:bCs/>
                <w:kern w:val="0"/>
                <w:sz w:val="24"/>
                <w:szCs w:val="24"/>
              </w:rPr>
            </w:pPr>
            <w:r>
              <w:rPr>
                <w:rFonts w:hint="eastAsia" w:ascii="仿宋" w:hAnsi="仿宋" w:eastAsia="仿宋" w:cs="Calibri"/>
                <w:bCs/>
                <w:kern w:val="0"/>
                <w:sz w:val="24"/>
                <w:szCs w:val="24"/>
              </w:rPr>
              <w:t>2018年1月1日至投标截止日提供2项水土保持验收评估业绩，并提供合同扫描件。</w:t>
            </w:r>
          </w:p>
          <w:p>
            <w:pPr>
              <w:spacing w:line="240" w:lineRule="auto"/>
              <w:ind w:left="105" w:leftChars="50"/>
              <w:jc w:val="left"/>
              <w:rPr>
                <w:rFonts w:hint="eastAsia" w:ascii="仿宋" w:hAnsi="仿宋" w:eastAsia="仿宋" w:cs="Calibri"/>
                <w:bCs/>
                <w:kern w:val="0"/>
                <w:sz w:val="24"/>
                <w:szCs w:val="24"/>
                <w:lang w:eastAsia="zh-CN"/>
              </w:rPr>
            </w:pPr>
            <w:r>
              <w:rPr>
                <w:rFonts w:hint="eastAsia" w:ascii="仿宋" w:hAnsi="仿宋" w:eastAsia="仿宋" w:cs="Calibri"/>
                <w:bCs/>
                <w:kern w:val="0"/>
                <w:sz w:val="24"/>
                <w:szCs w:val="24"/>
              </w:rPr>
              <w:t xml:space="preserve"> </w:t>
            </w:r>
          </w:p>
        </w:tc>
      </w:tr>
      <w:tr>
        <w:tblPrEx>
          <w:tblCellMar>
            <w:top w:w="0" w:type="dxa"/>
            <w:left w:w="0" w:type="dxa"/>
            <w:bottom w:w="0" w:type="dxa"/>
            <w:right w:w="0" w:type="dxa"/>
          </w:tblCellMar>
        </w:tblPrEx>
        <w:trPr>
          <w:trHeight w:val="90" w:hRule="atLeast"/>
          <w:jc w:val="center"/>
        </w:trPr>
        <w:tc>
          <w:tcPr>
            <w:tcW w:w="305" w:type="pct"/>
            <w:vMerge w:val="continue"/>
            <w:tcBorders>
              <w:left w:val="single" w:color="auto" w:sz="4" w:space="0"/>
              <w:right w:val="single" w:color="auto" w:sz="4" w:space="0"/>
            </w:tcBorders>
            <w:vAlign w:val="center"/>
          </w:tcPr>
          <w:p>
            <w:pPr>
              <w:pStyle w:val="23"/>
              <w:spacing w:line="360" w:lineRule="auto"/>
              <w:jc w:val="center"/>
              <w:rPr>
                <w:rFonts w:ascii="仿宋" w:hAnsi="仿宋" w:eastAsia="仿宋" w:cs="Calibri"/>
                <w:bCs/>
                <w:sz w:val="24"/>
                <w:szCs w:val="24"/>
              </w:rPr>
            </w:pPr>
          </w:p>
        </w:tc>
        <w:tc>
          <w:tcPr>
            <w:tcW w:w="360" w:type="pct"/>
            <w:vMerge w:val="continue"/>
            <w:tcBorders>
              <w:left w:val="single" w:color="auto" w:sz="4" w:space="0"/>
              <w:right w:val="single" w:color="auto" w:sz="4" w:space="0"/>
            </w:tcBorders>
            <w:textDirection w:val="tbRlV"/>
            <w:vAlign w:val="center"/>
          </w:tcPr>
          <w:p>
            <w:pPr>
              <w:pStyle w:val="23"/>
              <w:spacing w:line="360" w:lineRule="auto"/>
              <w:ind w:left="113" w:right="113"/>
              <w:jc w:val="center"/>
              <w:rPr>
                <w:rFonts w:ascii="仿宋" w:hAnsi="仿宋" w:eastAsia="仿宋" w:cs="Calibri"/>
                <w:bCs/>
                <w:sz w:val="24"/>
                <w:szCs w:val="24"/>
                <w:lang w:eastAsia="zh-CN"/>
              </w:rPr>
            </w:pPr>
          </w:p>
        </w:tc>
        <w:tc>
          <w:tcPr>
            <w:tcW w:w="1079"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right="11"/>
              <w:jc w:val="center"/>
              <w:rPr>
                <w:rFonts w:hint="eastAsia" w:ascii="仿宋" w:hAnsi="仿宋" w:eastAsia="仿宋" w:cs="Calibri"/>
                <w:bCs/>
                <w:kern w:val="0"/>
                <w:sz w:val="24"/>
                <w:szCs w:val="24"/>
                <w:lang w:val="en-US" w:eastAsia="zh-CN"/>
              </w:rPr>
            </w:pPr>
            <w:r>
              <w:rPr>
                <w:rFonts w:hint="eastAsia" w:ascii="仿宋" w:hAnsi="仿宋" w:eastAsia="仿宋" w:cs="Calibri"/>
                <w:bCs/>
                <w:sz w:val="24"/>
                <w:szCs w:val="24"/>
                <w:lang w:val="en-US" w:eastAsia="zh-CN"/>
              </w:rPr>
              <w:t>投标人服务范围要求</w:t>
            </w:r>
          </w:p>
        </w:tc>
        <w:tc>
          <w:tcPr>
            <w:tcW w:w="3253" w:type="pct"/>
            <w:tcBorders>
              <w:top w:val="single" w:color="000000" w:sz="4" w:space="0"/>
              <w:left w:val="single" w:color="auto" w:sz="4" w:space="0"/>
              <w:bottom w:val="single" w:color="000000" w:sz="4" w:space="0"/>
              <w:right w:val="single" w:color="000000" w:sz="4" w:space="0"/>
            </w:tcBorders>
            <w:vAlign w:val="center"/>
          </w:tcPr>
          <w:p>
            <w:pPr>
              <w:spacing w:line="240" w:lineRule="auto"/>
              <w:ind w:left="105" w:leftChars="50" w:firstLine="480" w:firstLineChars="200"/>
              <w:jc w:val="left"/>
              <w:rPr>
                <w:rFonts w:hint="eastAsia" w:ascii="仿宋" w:hAnsi="仿宋" w:eastAsia="仿宋" w:cs="Calibri"/>
                <w:bCs/>
                <w:kern w:val="0"/>
                <w:sz w:val="24"/>
                <w:szCs w:val="24"/>
              </w:rPr>
            </w:pPr>
            <w:r>
              <w:rPr>
                <w:rFonts w:hint="eastAsia" w:ascii="仿宋" w:hAnsi="仿宋" w:eastAsia="仿宋" w:cs="Calibri"/>
                <w:bCs/>
                <w:kern w:val="0"/>
                <w:sz w:val="24"/>
                <w:szCs w:val="24"/>
              </w:rPr>
              <w:t>★服务范围1：按照现有国家法律法规标准，开展验收评价工作，并出具符合现有国家法律法规标准的评价报告；评价报告报相关政府部门进行审查，结合审查意见对报告内容进行修改和完善，直至完成专家评审、政府审查和批复。</w:t>
            </w:r>
          </w:p>
          <w:p>
            <w:pPr>
              <w:spacing w:line="240" w:lineRule="auto"/>
              <w:ind w:left="105" w:leftChars="50"/>
              <w:jc w:val="left"/>
              <w:rPr>
                <w:rFonts w:hint="eastAsia" w:ascii="仿宋" w:hAnsi="仿宋" w:eastAsia="仿宋" w:cs="Calibri"/>
                <w:bCs/>
                <w:kern w:val="0"/>
                <w:sz w:val="24"/>
                <w:szCs w:val="24"/>
              </w:rPr>
            </w:pPr>
            <w:r>
              <w:rPr>
                <w:rFonts w:hint="eastAsia" w:ascii="仿宋" w:hAnsi="仿宋" w:eastAsia="仿宋" w:cs="Calibri"/>
                <w:bCs/>
                <w:kern w:val="0"/>
                <w:sz w:val="24"/>
                <w:szCs w:val="24"/>
              </w:rPr>
              <w:t xml:space="preserve">    服务范围2：对招标人提供的资料遵守保密原则，防止泄密；严禁私自向第三方提供本公司资料，未经招标人允许，现场严禁拍照；</w:t>
            </w:r>
          </w:p>
          <w:p>
            <w:pPr>
              <w:spacing w:line="240" w:lineRule="auto"/>
              <w:ind w:left="105" w:leftChars="50" w:firstLine="480" w:firstLineChars="200"/>
              <w:jc w:val="left"/>
              <w:rPr>
                <w:rFonts w:hint="eastAsia" w:ascii="仿宋" w:hAnsi="仿宋" w:eastAsia="仿宋" w:cs="Calibri"/>
                <w:bCs/>
                <w:kern w:val="0"/>
                <w:sz w:val="24"/>
                <w:szCs w:val="24"/>
              </w:rPr>
            </w:pPr>
            <w:r>
              <w:rPr>
                <w:rFonts w:hint="eastAsia" w:ascii="仿宋" w:hAnsi="仿宋" w:eastAsia="仿宋" w:cs="Calibri"/>
                <w:bCs/>
                <w:kern w:val="0"/>
                <w:sz w:val="24"/>
                <w:szCs w:val="24"/>
              </w:rPr>
              <w:t>提报报告表（备案稿）及附件、附图纸质版10套，电子版（含可编辑版、签字盖章扫描版）1份；其他相关资料文件应满足报审、报备以及甲方存档要求。</w:t>
            </w:r>
          </w:p>
        </w:tc>
      </w:tr>
      <w:tr>
        <w:tblPrEx>
          <w:tblCellMar>
            <w:top w:w="0" w:type="dxa"/>
            <w:left w:w="0" w:type="dxa"/>
            <w:bottom w:w="0" w:type="dxa"/>
            <w:right w:w="0" w:type="dxa"/>
          </w:tblCellMar>
        </w:tblPrEx>
        <w:trPr>
          <w:trHeight w:val="340" w:hRule="atLeast"/>
          <w:jc w:val="center"/>
        </w:trPr>
        <w:tc>
          <w:tcPr>
            <w:tcW w:w="305" w:type="pct"/>
            <w:vMerge w:val="continue"/>
            <w:tcBorders>
              <w:left w:val="single" w:color="auto" w:sz="4" w:space="0"/>
              <w:bottom w:val="single" w:color="auto" w:sz="4" w:space="0"/>
              <w:right w:val="single" w:color="auto" w:sz="4" w:space="0"/>
            </w:tcBorders>
            <w:vAlign w:val="center"/>
          </w:tcPr>
          <w:p>
            <w:pPr>
              <w:widowControl/>
              <w:spacing w:line="360" w:lineRule="auto"/>
              <w:rPr>
                <w:rFonts w:ascii="仿宋" w:hAnsi="仿宋" w:eastAsia="仿宋" w:cs="Calibri"/>
                <w:bCs/>
                <w:kern w:val="0"/>
                <w:sz w:val="24"/>
                <w:szCs w:val="24"/>
              </w:rPr>
            </w:pPr>
          </w:p>
        </w:tc>
        <w:tc>
          <w:tcPr>
            <w:tcW w:w="360" w:type="pct"/>
            <w:vMerge w:val="continue"/>
            <w:tcBorders>
              <w:left w:val="single" w:color="auto" w:sz="4" w:space="0"/>
              <w:bottom w:val="single" w:color="auto" w:sz="4" w:space="0"/>
              <w:right w:val="single" w:color="auto" w:sz="4" w:space="0"/>
            </w:tcBorders>
            <w:vAlign w:val="center"/>
          </w:tcPr>
          <w:p>
            <w:pPr>
              <w:pStyle w:val="23"/>
              <w:spacing w:line="360" w:lineRule="auto"/>
              <w:ind w:left="113" w:right="113"/>
              <w:jc w:val="center"/>
              <w:rPr>
                <w:rFonts w:ascii="仿宋" w:hAnsi="仿宋" w:eastAsia="仿宋" w:cs="Calibri"/>
                <w:bCs/>
                <w:sz w:val="24"/>
                <w:szCs w:val="24"/>
                <w:lang w:eastAsia="zh-CN"/>
              </w:rPr>
            </w:pPr>
          </w:p>
        </w:tc>
        <w:tc>
          <w:tcPr>
            <w:tcW w:w="1079" w:type="pct"/>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1"/>
              <w:jc w:val="center"/>
              <w:rPr>
                <w:rFonts w:ascii="仿宋" w:hAnsi="仿宋" w:eastAsia="仿宋" w:cs="Calibri"/>
                <w:bCs/>
                <w:kern w:val="0"/>
                <w:sz w:val="24"/>
                <w:szCs w:val="24"/>
              </w:rPr>
            </w:pPr>
            <w:r>
              <w:rPr>
                <w:rFonts w:hint="eastAsia" w:ascii="仿宋" w:hAnsi="仿宋" w:eastAsia="仿宋" w:cs="Calibri"/>
                <w:bCs/>
                <w:kern w:val="0"/>
                <w:sz w:val="24"/>
                <w:szCs w:val="24"/>
                <w:lang w:val="en-US" w:eastAsia="zh-CN"/>
              </w:rPr>
              <w:t>交货期、工期及付款要求</w:t>
            </w:r>
          </w:p>
        </w:tc>
        <w:tc>
          <w:tcPr>
            <w:tcW w:w="3253" w:type="pct"/>
            <w:tcBorders>
              <w:top w:val="single" w:color="000000" w:sz="4" w:space="0"/>
              <w:left w:val="single" w:color="auto" w:sz="4" w:space="0"/>
              <w:bottom w:val="single" w:color="000000" w:sz="4" w:space="0"/>
              <w:right w:val="single" w:color="000000" w:sz="4" w:space="0"/>
            </w:tcBorders>
            <w:vAlign w:val="center"/>
          </w:tcPr>
          <w:p>
            <w:pPr>
              <w:spacing w:line="360" w:lineRule="auto"/>
              <w:ind w:left="105" w:leftChars="50"/>
              <w:jc w:val="left"/>
              <w:rPr>
                <w:rFonts w:hint="eastAsia" w:ascii="仿宋" w:hAnsi="仿宋" w:eastAsia="仿宋" w:cs="Calibri"/>
                <w:bCs/>
                <w:kern w:val="0"/>
                <w:sz w:val="24"/>
                <w:szCs w:val="24"/>
              </w:rPr>
            </w:pPr>
            <w:bookmarkStart w:id="69" w:name="_GoBack"/>
            <w:r>
              <w:rPr>
                <w:rFonts w:hint="eastAsia" w:ascii="仿宋" w:hAnsi="仿宋" w:eastAsia="仿宋" w:cs="Calibri"/>
                <w:bCs/>
                <w:kern w:val="0"/>
                <w:sz w:val="24"/>
                <w:szCs w:val="24"/>
              </w:rPr>
              <w:t>1</w:t>
            </w:r>
            <w:r>
              <w:rPr>
                <w:rFonts w:hint="eastAsia" w:ascii="仿宋" w:hAnsi="仿宋" w:eastAsia="仿宋" w:cs="Calibri"/>
                <w:bCs/>
                <w:kern w:val="0"/>
                <w:sz w:val="24"/>
                <w:szCs w:val="24"/>
                <w:lang w:eastAsia="zh-CN"/>
              </w:rPr>
              <w:t>、</w:t>
            </w:r>
            <w:r>
              <w:rPr>
                <w:rFonts w:hint="eastAsia" w:ascii="仿宋" w:hAnsi="仿宋" w:eastAsia="仿宋" w:cs="Calibri"/>
                <w:bCs/>
                <w:kern w:val="0"/>
                <w:sz w:val="24"/>
                <w:szCs w:val="24"/>
              </w:rPr>
              <w:t>自签订合同之日，启动编制工作；自合同签订之日起15个自然日内完成并提交年产30万吨绿色增值复合肥项目水土保持验收评价报告表（报审稿）；水土保持验收评价报告表经政府部门审查后，根据审查意见进行修订，并于5个工作日内完成报告修改；</w:t>
            </w:r>
          </w:p>
          <w:p>
            <w:pPr>
              <w:spacing w:line="360" w:lineRule="auto"/>
              <w:ind w:left="105" w:leftChars="50"/>
              <w:jc w:val="left"/>
              <w:rPr>
                <w:rFonts w:hint="eastAsia" w:ascii="仿宋" w:hAnsi="仿宋" w:eastAsia="仿宋" w:cs="Calibri"/>
                <w:bCs/>
                <w:kern w:val="0"/>
                <w:sz w:val="24"/>
                <w:szCs w:val="24"/>
                <w:lang w:eastAsia="zh-CN"/>
              </w:rPr>
            </w:pPr>
            <w:r>
              <w:rPr>
                <w:rFonts w:hint="eastAsia" w:ascii="仿宋" w:hAnsi="仿宋" w:eastAsia="仿宋" w:cs="Calibri"/>
                <w:bCs/>
                <w:kern w:val="0"/>
                <w:sz w:val="24"/>
                <w:szCs w:val="24"/>
                <w:lang w:val="en-US" w:eastAsia="zh-CN"/>
              </w:rPr>
              <w:t>2、</w:t>
            </w:r>
            <w:r>
              <w:rPr>
                <w:rFonts w:hint="eastAsia" w:ascii="仿宋" w:hAnsi="仿宋" w:eastAsia="仿宋" w:cs="Calibri"/>
                <w:bCs/>
                <w:kern w:val="0"/>
                <w:sz w:val="24"/>
                <w:szCs w:val="24"/>
              </w:rPr>
              <w:t xml:space="preserve"> 招标人在鹤岗市水务局完成备案及获得批复后，一次性支付投标人全部合同金额。</w:t>
            </w:r>
            <w:bookmarkEnd w:id="69"/>
          </w:p>
        </w:tc>
      </w:tr>
      <w:tr>
        <w:tblPrEx>
          <w:tblCellMar>
            <w:top w:w="0" w:type="dxa"/>
            <w:left w:w="0" w:type="dxa"/>
            <w:bottom w:w="0" w:type="dxa"/>
            <w:right w:w="0" w:type="dxa"/>
          </w:tblCellMar>
        </w:tblPrEx>
        <w:trPr>
          <w:trHeight w:val="265"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Calibri"/>
                <w:bCs/>
                <w:kern w:val="0"/>
                <w:sz w:val="24"/>
                <w:szCs w:val="24"/>
              </w:rPr>
            </w:pPr>
            <w:r>
              <w:rPr>
                <w:rFonts w:hint="eastAsia" w:ascii="仿宋" w:hAnsi="仿宋" w:eastAsia="仿宋" w:cs="Calibri"/>
                <w:bCs/>
                <w:kern w:val="0"/>
                <w:sz w:val="24"/>
                <w:szCs w:val="24"/>
              </w:rPr>
              <w:t>3</w:t>
            </w:r>
          </w:p>
        </w:tc>
        <w:tc>
          <w:tcPr>
            <w:tcW w:w="1440" w:type="pct"/>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1"/>
              <w:jc w:val="center"/>
              <w:rPr>
                <w:rFonts w:ascii="仿宋" w:hAnsi="仿宋" w:eastAsia="仿宋" w:cs="Calibri"/>
                <w:bCs/>
                <w:kern w:val="0"/>
                <w:sz w:val="24"/>
                <w:szCs w:val="24"/>
              </w:rPr>
            </w:pPr>
            <w:r>
              <w:rPr>
                <w:rFonts w:hint="eastAsia" w:ascii="仿宋" w:hAnsi="仿宋" w:eastAsia="仿宋" w:cs="Calibri"/>
                <w:bCs/>
                <w:kern w:val="0"/>
                <w:sz w:val="24"/>
                <w:szCs w:val="24"/>
              </w:rPr>
              <w:t>价格评议</w:t>
            </w:r>
          </w:p>
        </w:tc>
        <w:tc>
          <w:tcPr>
            <w:tcW w:w="3253" w:type="pct"/>
            <w:tcBorders>
              <w:top w:val="single" w:color="000000" w:sz="4" w:space="0"/>
              <w:left w:val="single" w:color="auto" w:sz="4" w:space="0"/>
              <w:bottom w:val="single" w:color="000000" w:sz="4" w:space="0"/>
              <w:right w:val="single" w:color="000000" w:sz="4" w:space="0"/>
            </w:tcBorders>
            <w:vAlign w:val="center"/>
          </w:tcPr>
          <w:p>
            <w:pPr>
              <w:pStyle w:val="7"/>
              <w:spacing w:line="360" w:lineRule="auto"/>
              <w:ind w:right="11"/>
              <w:rPr>
                <w:rFonts w:ascii="仿宋" w:hAnsi="仿宋" w:eastAsia="仿宋" w:cs="Calibri"/>
                <w:bCs/>
                <w:kern w:val="0"/>
                <w:sz w:val="24"/>
                <w:szCs w:val="24"/>
              </w:rPr>
            </w:pPr>
            <w:r>
              <w:rPr>
                <w:rFonts w:hint="eastAsia" w:ascii="仿宋" w:hAnsi="仿宋" w:eastAsia="仿宋" w:cs="Calibri"/>
                <w:bCs/>
                <w:kern w:val="0"/>
                <w:sz w:val="24"/>
                <w:szCs w:val="24"/>
              </w:rPr>
              <w:t>模板见附件3：格式附件中报价书及附件</w:t>
            </w:r>
            <w:r>
              <w:rPr>
                <w:rFonts w:hint="eastAsia" w:ascii="仿宋" w:hAnsi="仿宋" w:eastAsia="仿宋" w:cs="Calibri"/>
                <w:bCs/>
                <w:kern w:val="0"/>
                <w:sz w:val="24"/>
                <w:szCs w:val="24"/>
                <w:lang w:val="en-US" w:eastAsia="zh-CN"/>
              </w:rPr>
              <w:t>1</w:t>
            </w:r>
            <w:r>
              <w:rPr>
                <w:rFonts w:hint="eastAsia" w:ascii="仿宋" w:hAnsi="仿宋" w:eastAsia="仿宋" w:cs="Calibri"/>
                <w:bCs/>
                <w:kern w:val="0"/>
                <w:sz w:val="24"/>
                <w:szCs w:val="24"/>
              </w:rPr>
              <w:t>：分项报价表</w:t>
            </w:r>
          </w:p>
        </w:tc>
      </w:tr>
    </w:tbl>
    <w:p>
      <w:pPr>
        <w:spacing w:line="360" w:lineRule="auto"/>
        <w:rPr>
          <w:rFonts w:ascii="黑体" w:hAnsi="黑体" w:eastAsia="黑体"/>
          <w:sz w:val="24"/>
          <w:szCs w:val="24"/>
        </w:rPr>
      </w:pPr>
      <w:r>
        <w:rPr>
          <w:rFonts w:hint="eastAsia" w:ascii="黑体" w:hAnsi="黑体" w:eastAsia="黑体"/>
          <w:sz w:val="24"/>
          <w:szCs w:val="24"/>
        </w:rPr>
        <w:br w:type="page"/>
      </w:r>
    </w:p>
    <w:p>
      <w:pPr>
        <w:spacing w:line="360" w:lineRule="auto"/>
        <w:outlineLvl w:val="1"/>
        <w:rPr>
          <w:rFonts w:hint="eastAsia" w:ascii="黑体" w:hAnsi="黑体" w:eastAsia="黑体"/>
          <w:sz w:val="24"/>
          <w:szCs w:val="24"/>
        </w:rPr>
      </w:pPr>
      <w:r>
        <w:rPr>
          <w:rFonts w:hint="eastAsia" w:ascii="黑体" w:hAnsi="黑体" w:eastAsia="黑体"/>
          <w:sz w:val="24"/>
          <w:szCs w:val="24"/>
        </w:rPr>
        <w:t>附件</w:t>
      </w:r>
      <w:r>
        <w:rPr>
          <w:rFonts w:ascii="黑体" w:hAnsi="黑体" w:eastAsia="黑体"/>
          <w:sz w:val="24"/>
          <w:szCs w:val="24"/>
        </w:rPr>
        <w:t>2</w:t>
      </w:r>
      <w:r>
        <w:rPr>
          <w:rFonts w:hint="eastAsia" w:ascii="黑体" w:hAnsi="黑体" w:eastAsia="黑体"/>
          <w:sz w:val="24"/>
          <w:szCs w:val="24"/>
        </w:rPr>
        <w:t>：技术要求</w:t>
      </w:r>
    </w:p>
    <w:p>
      <w:pPr>
        <w:spacing w:line="360" w:lineRule="auto"/>
        <w:ind w:left="1055" w:hanging="1055" w:hangingChars="292"/>
        <w:jc w:val="center"/>
        <w:rPr>
          <w:rFonts w:ascii="宋体" w:hAnsi="宋体"/>
          <w:b/>
          <w:sz w:val="36"/>
          <w:szCs w:val="36"/>
        </w:rPr>
      </w:pPr>
    </w:p>
    <w:p>
      <w:pPr>
        <w:spacing w:line="360" w:lineRule="auto"/>
        <w:ind w:left="1055" w:hanging="1055" w:hangingChars="292"/>
        <w:jc w:val="center"/>
        <w:rPr>
          <w:rFonts w:ascii="宋体" w:hAnsi="宋体"/>
          <w:b/>
          <w:sz w:val="36"/>
          <w:szCs w:val="36"/>
        </w:rPr>
      </w:pPr>
    </w:p>
    <w:p>
      <w:pPr>
        <w:spacing w:line="360" w:lineRule="auto"/>
        <w:jc w:val="both"/>
        <w:rPr>
          <w:rFonts w:hint="eastAsia"/>
          <w:b/>
          <w:sz w:val="36"/>
          <w:szCs w:val="36"/>
        </w:rPr>
      </w:pPr>
      <w:bookmarkStart w:id="0" w:name="_Toc38896850"/>
      <w:bookmarkStart w:id="1" w:name="_Toc349220119"/>
    </w:p>
    <w:p>
      <w:pPr>
        <w:spacing w:line="360" w:lineRule="auto"/>
        <w:ind w:left="1055" w:hanging="1055" w:hangingChars="292"/>
        <w:jc w:val="center"/>
        <w:rPr>
          <w:rFonts w:hint="eastAsia"/>
          <w:b/>
          <w:sz w:val="36"/>
          <w:szCs w:val="36"/>
        </w:rPr>
      </w:pPr>
    </w:p>
    <w:bookmarkEnd w:id="0"/>
    <w:bookmarkEnd w:id="1"/>
    <w:p>
      <w:pPr>
        <w:spacing w:line="360" w:lineRule="auto"/>
        <w:ind w:left="1290" w:hanging="1290" w:hangingChars="292"/>
        <w:jc w:val="center"/>
        <w:rPr>
          <w:rFonts w:hint="eastAsia"/>
          <w:b/>
          <w:sz w:val="44"/>
          <w:szCs w:val="44"/>
        </w:rPr>
      </w:pPr>
      <w:bookmarkStart w:id="2" w:name="_Toc44480663"/>
      <w:r>
        <w:rPr>
          <w:rFonts w:hint="eastAsia"/>
          <w:b/>
          <w:sz w:val="44"/>
          <w:szCs w:val="44"/>
        </w:rPr>
        <w:t>中海石油华鹤煤化有限公司</w:t>
      </w:r>
    </w:p>
    <w:p>
      <w:pPr>
        <w:spacing w:line="480" w:lineRule="auto"/>
        <w:jc w:val="center"/>
        <w:rPr>
          <w:rFonts w:hint="eastAsia"/>
          <w:b/>
          <w:bCs/>
          <w:sz w:val="48"/>
          <w:szCs w:val="48"/>
        </w:rPr>
      </w:pPr>
    </w:p>
    <w:p>
      <w:pPr>
        <w:rPr>
          <w:rFonts w:hint="eastAsia"/>
          <w:b/>
          <w:bCs/>
          <w:sz w:val="36"/>
          <w:szCs w:val="36"/>
        </w:rPr>
      </w:pPr>
      <w:r>
        <w:rPr>
          <w:rFonts w:hint="eastAsia" w:ascii="Times New Roman" w:hAnsi="Times New Roman" w:eastAsia="宋体" w:cs="Times New Roman"/>
          <w:b/>
          <w:bCs/>
          <w:sz w:val="36"/>
          <w:szCs w:val="36"/>
        </w:rPr>
        <w:t>年产30万吨绿色增值复合肥项目水土保持验收评价</w:t>
      </w:r>
    </w:p>
    <w:p>
      <w:pPr>
        <w:jc w:val="center"/>
        <w:rPr>
          <w:rFonts w:hint="eastAsia"/>
          <w:b/>
          <w:position w:val="-6"/>
          <w:sz w:val="28"/>
        </w:rPr>
      </w:pPr>
    </w:p>
    <w:p>
      <w:pPr>
        <w:jc w:val="center"/>
        <w:rPr>
          <w:rFonts w:hint="eastAsia"/>
          <w:b/>
          <w:position w:val="-6"/>
          <w:sz w:val="28"/>
        </w:rPr>
      </w:pPr>
    </w:p>
    <w:p>
      <w:pPr>
        <w:jc w:val="center"/>
        <w:rPr>
          <w:rFonts w:hint="eastAsia"/>
          <w:b/>
          <w:position w:val="-6"/>
          <w:sz w:val="28"/>
        </w:rPr>
      </w:pPr>
    </w:p>
    <w:p>
      <w:pPr>
        <w:jc w:val="center"/>
        <w:rPr>
          <w:rFonts w:hint="eastAsia"/>
          <w:b/>
          <w:position w:val="-6"/>
          <w:sz w:val="28"/>
        </w:rPr>
      </w:pPr>
    </w:p>
    <w:p>
      <w:pPr>
        <w:jc w:val="center"/>
        <w:rPr>
          <w:rFonts w:hint="eastAsia"/>
          <w:b/>
          <w:position w:val="-6"/>
          <w:sz w:val="28"/>
        </w:rPr>
      </w:pPr>
    </w:p>
    <w:p>
      <w:pPr>
        <w:jc w:val="center"/>
        <w:rPr>
          <w:rFonts w:hint="eastAsia"/>
          <w:b/>
          <w:position w:val="-6"/>
          <w:sz w:val="28"/>
        </w:rPr>
      </w:pPr>
    </w:p>
    <w:p>
      <w:pPr>
        <w:jc w:val="center"/>
        <w:rPr>
          <w:b/>
          <w:position w:val="-6"/>
          <w:sz w:val="28"/>
        </w:rPr>
      </w:pPr>
    </w:p>
    <w:p>
      <w:pPr>
        <w:spacing w:line="360" w:lineRule="auto"/>
        <w:ind w:left="315" w:hanging="315"/>
        <w:jc w:val="center"/>
        <w:rPr>
          <w:rFonts w:hint="eastAsia"/>
          <w:b/>
          <w:sz w:val="48"/>
          <w:szCs w:val="48"/>
        </w:rPr>
      </w:pPr>
      <w:r>
        <w:rPr>
          <w:rFonts w:hint="eastAsia"/>
          <w:b/>
          <w:sz w:val="48"/>
          <w:szCs w:val="48"/>
        </w:rPr>
        <w:t>技术询价文件</w:t>
      </w:r>
    </w:p>
    <w:p>
      <w:pPr>
        <w:spacing w:line="360" w:lineRule="auto"/>
        <w:ind w:left="315" w:hanging="315"/>
        <w:jc w:val="center"/>
        <w:rPr>
          <w:b/>
          <w:sz w:val="48"/>
          <w:szCs w:val="48"/>
        </w:rPr>
      </w:pPr>
      <w:r>
        <w:rPr>
          <w:rFonts w:hint="eastAsia"/>
          <w:b/>
          <w:sz w:val="48"/>
          <w:szCs w:val="48"/>
        </w:rPr>
        <w:t>（服务类）</w:t>
      </w:r>
    </w:p>
    <w:p>
      <w:pPr>
        <w:spacing w:line="360" w:lineRule="auto"/>
        <w:ind w:left="315" w:hanging="315"/>
        <w:jc w:val="center"/>
        <w:rPr>
          <w:b/>
          <w:sz w:val="48"/>
          <w:szCs w:val="48"/>
        </w:rPr>
      </w:pPr>
    </w:p>
    <w:p>
      <w:pPr>
        <w:spacing w:line="360" w:lineRule="auto"/>
        <w:ind w:left="315" w:hanging="315"/>
        <w:jc w:val="center"/>
        <w:rPr>
          <w:rFonts w:hint="eastAsia"/>
          <w:b/>
          <w:sz w:val="48"/>
          <w:szCs w:val="48"/>
        </w:rPr>
      </w:pPr>
    </w:p>
    <w:p>
      <w:pPr>
        <w:spacing w:line="360" w:lineRule="auto"/>
        <w:ind w:left="315" w:hanging="315"/>
        <w:jc w:val="center"/>
        <w:rPr>
          <w:rFonts w:hint="eastAsia"/>
          <w:b/>
          <w:sz w:val="48"/>
          <w:szCs w:val="48"/>
        </w:rPr>
      </w:pPr>
    </w:p>
    <w:p>
      <w:pPr>
        <w:rPr>
          <w:rFonts w:hint="eastAsia"/>
          <w:bCs/>
        </w:rPr>
      </w:pPr>
    </w:p>
    <w:p>
      <w:pPr>
        <w:jc w:val="center"/>
        <w:rPr>
          <w:bCs/>
          <w:sz w:val="28"/>
          <w:szCs w:val="28"/>
        </w:rPr>
      </w:pPr>
      <w:r>
        <w:rPr>
          <w:bCs/>
          <w:sz w:val="28"/>
          <w:szCs w:val="28"/>
        </w:rPr>
        <w:t>202</w:t>
      </w:r>
      <w:r>
        <w:rPr>
          <w:rFonts w:hint="eastAsia"/>
          <w:bCs/>
          <w:sz w:val="28"/>
          <w:szCs w:val="28"/>
          <w:lang w:val="en-US" w:eastAsia="zh-CN"/>
        </w:rPr>
        <w:t>4</w:t>
      </w:r>
      <w:r>
        <w:rPr>
          <w:rFonts w:hint="eastAsia"/>
          <w:bCs/>
          <w:sz w:val="28"/>
          <w:szCs w:val="28"/>
        </w:rPr>
        <w:t>年</w:t>
      </w:r>
      <w:r>
        <w:rPr>
          <w:rFonts w:hint="eastAsia"/>
          <w:bCs/>
          <w:sz w:val="28"/>
          <w:szCs w:val="28"/>
          <w:lang w:val="en-US" w:eastAsia="zh-CN"/>
        </w:rPr>
        <w:t>8</w:t>
      </w:r>
      <w:r>
        <w:rPr>
          <w:rFonts w:hint="eastAsia"/>
          <w:bCs/>
          <w:sz w:val="28"/>
          <w:szCs w:val="28"/>
        </w:rPr>
        <w:t>月</w:t>
      </w:r>
      <w:r>
        <w:rPr>
          <w:rFonts w:hint="eastAsia"/>
          <w:bCs/>
          <w:sz w:val="28"/>
          <w:szCs w:val="28"/>
          <w:lang w:val="en-US" w:eastAsia="zh-CN"/>
        </w:rPr>
        <w:t>19</w:t>
      </w:r>
      <w:r>
        <w:rPr>
          <w:rFonts w:hint="eastAsia"/>
          <w:bCs/>
          <w:sz w:val="28"/>
          <w:szCs w:val="28"/>
        </w:rPr>
        <w:t>日</w:t>
      </w:r>
    </w:p>
    <w:p>
      <w:pPr>
        <w:rPr>
          <w:rFonts w:hint="eastAsia"/>
          <w:bCs/>
          <w:sz w:val="28"/>
          <w:szCs w:val="28"/>
        </w:rPr>
      </w:pPr>
    </w:p>
    <w:p>
      <w:pPr>
        <w:rPr>
          <w:rFonts w:hint="eastAsia"/>
          <w:bCs/>
          <w:position w:val="-6"/>
        </w:rPr>
        <w:sectPr>
          <w:headerReference r:id="rId3" w:type="first"/>
          <w:footerReference r:id="rId4" w:type="even"/>
          <w:pgSz w:w="11906" w:h="16838"/>
          <w:pgMar w:top="1440" w:right="1558" w:bottom="936" w:left="1701" w:header="851" w:footer="992" w:gutter="0"/>
          <w:cols w:space="720" w:num="1"/>
          <w:docGrid w:linePitch="312" w:charSpace="0"/>
        </w:sectPr>
      </w:pPr>
    </w:p>
    <w:p>
      <w:pPr>
        <w:jc w:val="center"/>
        <w:rPr>
          <w:b/>
          <w:sz w:val="24"/>
        </w:rPr>
      </w:pPr>
      <w:r>
        <w:rPr>
          <w:rFonts w:hint="eastAsia"/>
          <w:b/>
          <w:sz w:val="24"/>
        </w:rPr>
        <w:t>目</w:t>
      </w:r>
      <w:r>
        <w:rPr>
          <w:b/>
          <w:sz w:val="24"/>
        </w:rPr>
        <w:t xml:space="preserve"> </w:t>
      </w:r>
      <w:r>
        <w:rPr>
          <w:rFonts w:hint="eastAsia"/>
          <w:b/>
          <w:sz w:val="24"/>
        </w:rPr>
        <w:t>录</w:t>
      </w:r>
    </w:p>
    <w:p>
      <w:pPr>
        <w:pStyle w:val="15"/>
        <w:tabs>
          <w:tab w:val="left" w:pos="420"/>
        </w:tabs>
        <w:rPr>
          <w:rFonts w:ascii="Times New Roman" w:hAnsi="Times New Roman" w:cs="Times New Roman"/>
          <w:b w:val="0"/>
          <w:bCs w:val="0"/>
          <w:caps w:val="0"/>
          <w:sz w:val="21"/>
          <w:szCs w:val="22"/>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rPr>
          <w:rStyle w:val="22"/>
          <w:rFonts w:ascii="Times New Roman" w:hAnsi="Times New Roman"/>
        </w:rPr>
        <w:fldChar w:fldCharType="begin"/>
      </w:r>
      <w:r>
        <w:rPr>
          <w:rStyle w:val="22"/>
          <w:rFonts w:ascii="Times New Roman" w:hAnsi="Times New Roman"/>
        </w:rPr>
        <w:instrText xml:space="preserve"> </w:instrText>
      </w:r>
      <w:r>
        <w:rPr>
          <w:rFonts w:ascii="Times New Roman" w:hAnsi="Times New Roman"/>
        </w:rPr>
        <w:instrText xml:space="preserve">HYPERLINK \l "_Toc106353804"</w:instrText>
      </w:r>
      <w:r>
        <w:rPr>
          <w:rStyle w:val="22"/>
          <w:rFonts w:ascii="Times New Roman" w:hAnsi="Times New Roman"/>
        </w:rPr>
        <w:instrText xml:space="preserve"> </w:instrText>
      </w:r>
      <w:r>
        <w:rPr>
          <w:rStyle w:val="22"/>
          <w:rFonts w:ascii="Times New Roman" w:hAnsi="Times New Roman"/>
        </w:rPr>
        <w:fldChar w:fldCharType="separate"/>
      </w:r>
      <w:r>
        <w:rPr>
          <w:rStyle w:val="22"/>
          <w:rFonts w:ascii="Times New Roman" w:hAnsi="Times New Roman"/>
        </w:rPr>
        <w:t>1</w:t>
      </w:r>
      <w:r>
        <w:rPr>
          <w:rFonts w:ascii="Times New Roman" w:hAnsi="Times New Roman" w:cs="Times New Roman"/>
          <w:b w:val="0"/>
          <w:bCs w:val="0"/>
          <w:caps w:val="0"/>
          <w:sz w:val="21"/>
          <w:szCs w:val="22"/>
        </w:rPr>
        <w:tab/>
      </w:r>
      <w:r>
        <w:rPr>
          <w:rStyle w:val="22"/>
          <w:rFonts w:hint="eastAsia" w:ascii="Times New Roman" w:hAnsi="Times New Roman"/>
        </w:rPr>
        <w:t>总则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_Toc106353804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Style w:val="22"/>
          <w:rFonts w:ascii="Times New Roman" w:hAnsi="Times New Roman"/>
        </w:rPr>
        <w:fldChar w:fldCharType="end"/>
      </w:r>
    </w:p>
    <w:p>
      <w:pPr>
        <w:pStyle w:val="15"/>
        <w:tabs>
          <w:tab w:val="left" w:pos="420"/>
        </w:tabs>
        <w:rPr>
          <w:rFonts w:ascii="Times New Roman" w:hAnsi="Times New Roman" w:cs="Times New Roman"/>
          <w:b w:val="0"/>
          <w:bCs w:val="0"/>
          <w:caps w:val="0"/>
          <w:sz w:val="21"/>
          <w:szCs w:val="22"/>
        </w:rPr>
      </w:pPr>
      <w:r>
        <w:rPr>
          <w:rStyle w:val="22"/>
          <w:rFonts w:ascii="Times New Roman" w:hAnsi="Times New Roman"/>
        </w:rPr>
        <w:fldChar w:fldCharType="begin"/>
      </w:r>
      <w:r>
        <w:rPr>
          <w:rStyle w:val="22"/>
          <w:rFonts w:ascii="Times New Roman" w:hAnsi="Times New Roman"/>
        </w:rPr>
        <w:instrText xml:space="preserve"> </w:instrText>
      </w:r>
      <w:r>
        <w:rPr>
          <w:rFonts w:ascii="Times New Roman" w:hAnsi="Times New Roman"/>
        </w:rPr>
        <w:instrText xml:space="preserve">HYPERLINK \l "_Toc106353805"</w:instrText>
      </w:r>
      <w:r>
        <w:rPr>
          <w:rStyle w:val="22"/>
          <w:rFonts w:ascii="Times New Roman" w:hAnsi="Times New Roman"/>
        </w:rPr>
        <w:instrText xml:space="preserve"> </w:instrText>
      </w:r>
      <w:r>
        <w:rPr>
          <w:rStyle w:val="22"/>
          <w:rFonts w:ascii="Times New Roman" w:hAnsi="Times New Roman"/>
        </w:rPr>
        <w:fldChar w:fldCharType="separate"/>
      </w:r>
      <w:r>
        <w:rPr>
          <w:rStyle w:val="22"/>
          <w:rFonts w:ascii="Times New Roman" w:hAnsi="Times New Roman"/>
        </w:rPr>
        <w:t>2</w:t>
      </w:r>
      <w:r>
        <w:rPr>
          <w:rFonts w:ascii="Times New Roman" w:hAnsi="Times New Roman" w:cs="Times New Roman"/>
          <w:b w:val="0"/>
          <w:bCs w:val="0"/>
          <w:caps w:val="0"/>
          <w:sz w:val="21"/>
          <w:szCs w:val="22"/>
        </w:rPr>
        <w:tab/>
      </w:r>
      <w:r>
        <w:rPr>
          <w:rStyle w:val="22"/>
          <w:rFonts w:hint="eastAsia" w:ascii="Times New Roman" w:hAnsi="Times New Roman"/>
        </w:rPr>
        <w:t>项目概况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_Toc106353805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Style w:val="22"/>
          <w:rFonts w:ascii="Times New Roman" w:hAnsi="Times New Roman"/>
        </w:rPr>
        <w:fldChar w:fldCharType="end"/>
      </w:r>
    </w:p>
    <w:p>
      <w:pPr>
        <w:pStyle w:val="15"/>
        <w:tabs>
          <w:tab w:val="left" w:pos="420"/>
        </w:tabs>
        <w:rPr>
          <w:rFonts w:ascii="Times New Roman" w:hAnsi="Times New Roman" w:cs="Times New Roman"/>
          <w:b w:val="0"/>
          <w:bCs w:val="0"/>
          <w:caps w:val="0"/>
          <w:sz w:val="21"/>
          <w:szCs w:val="22"/>
        </w:rPr>
      </w:pPr>
      <w:r>
        <w:rPr>
          <w:rStyle w:val="22"/>
          <w:rFonts w:ascii="Times New Roman" w:hAnsi="Times New Roman"/>
        </w:rPr>
        <w:fldChar w:fldCharType="begin"/>
      </w:r>
      <w:r>
        <w:rPr>
          <w:rStyle w:val="22"/>
          <w:rFonts w:ascii="Times New Roman" w:hAnsi="Times New Roman"/>
        </w:rPr>
        <w:instrText xml:space="preserve"> </w:instrText>
      </w:r>
      <w:r>
        <w:rPr>
          <w:rFonts w:ascii="Times New Roman" w:hAnsi="Times New Roman"/>
        </w:rPr>
        <w:instrText xml:space="preserve">HYPERLINK \l "_Toc106353806"</w:instrText>
      </w:r>
      <w:r>
        <w:rPr>
          <w:rStyle w:val="22"/>
          <w:rFonts w:ascii="Times New Roman" w:hAnsi="Times New Roman"/>
        </w:rPr>
        <w:instrText xml:space="preserve"> </w:instrText>
      </w:r>
      <w:r>
        <w:rPr>
          <w:rStyle w:val="22"/>
          <w:rFonts w:ascii="Times New Roman" w:hAnsi="Times New Roman"/>
        </w:rPr>
        <w:fldChar w:fldCharType="separate"/>
      </w:r>
      <w:r>
        <w:rPr>
          <w:rStyle w:val="22"/>
          <w:rFonts w:ascii="Times New Roman" w:hAnsi="Times New Roman"/>
        </w:rPr>
        <w:t>3</w:t>
      </w:r>
      <w:r>
        <w:rPr>
          <w:rFonts w:ascii="Times New Roman" w:hAnsi="Times New Roman" w:cs="Times New Roman"/>
          <w:b w:val="0"/>
          <w:bCs w:val="0"/>
          <w:caps w:val="0"/>
          <w:sz w:val="21"/>
          <w:szCs w:val="22"/>
        </w:rPr>
        <w:tab/>
      </w:r>
      <w:r>
        <w:rPr>
          <w:rStyle w:val="22"/>
          <w:rFonts w:hint="eastAsia" w:ascii="Times New Roman" w:hAnsi="Times New Roman"/>
        </w:rPr>
        <w:t>标准规范及技术要求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_Toc106353806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Style w:val="22"/>
          <w:rFonts w:ascii="Times New Roman" w:hAnsi="Times New Roman"/>
        </w:rPr>
        <w:fldChar w:fldCharType="end"/>
      </w:r>
    </w:p>
    <w:p>
      <w:pPr>
        <w:pStyle w:val="15"/>
        <w:tabs>
          <w:tab w:val="left" w:pos="630"/>
        </w:tabs>
        <w:rPr>
          <w:rFonts w:ascii="Times New Roman" w:hAnsi="Times New Roman" w:cs="Times New Roman"/>
          <w:b w:val="0"/>
          <w:bCs w:val="0"/>
          <w:caps w:val="0"/>
          <w:sz w:val="21"/>
          <w:szCs w:val="22"/>
        </w:rPr>
      </w:pPr>
      <w:r>
        <w:rPr>
          <w:rStyle w:val="22"/>
          <w:rFonts w:ascii="Times New Roman" w:hAnsi="Times New Roman"/>
        </w:rPr>
        <w:fldChar w:fldCharType="begin"/>
      </w:r>
      <w:r>
        <w:rPr>
          <w:rStyle w:val="22"/>
          <w:rFonts w:ascii="Times New Roman" w:hAnsi="Times New Roman"/>
        </w:rPr>
        <w:instrText xml:space="preserve"> </w:instrText>
      </w:r>
      <w:r>
        <w:rPr>
          <w:rFonts w:ascii="Times New Roman" w:hAnsi="Times New Roman"/>
        </w:rPr>
        <w:instrText xml:space="preserve">HYPERLINK \l "_Toc106353807"</w:instrText>
      </w:r>
      <w:r>
        <w:rPr>
          <w:rStyle w:val="22"/>
          <w:rFonts w:ascii="Times New Roman" w:hAnsi="Times New Roman"/>
        </w:rPr>
        <w:instrText xml:space="preserve"> </w:instrText>
      </w:r>
      <w:r>
        <w:rPr>
          <w:rStyle w:val="22"/>
          <w:rFonts w:ascii="Times New Roman" w:hAnsi="Times New Roman"/>
        </w:rPr>
        <w:fldChar w:fldCharType="separate"/>
      </w:r>
      <w:r>
        <w:rPr>
          <w:rStyle w:val="22"/>
          <w:rFonts w:ascii="Times New Roman" w:hAnsi="Times New Roman"/>
        </w:rPr>
        <w:t>3.1</w:t>
      </w:r>
      <w:r>
        <w:rPr>
          <w:rFonts w:ascii="Times New Roman" w:hAnsi="Times New Roman" w:cs="Times New Roman"/>
          <w:b w:val="0"/>
          <w:bCs w:val="0"/>
          <w:caps w:val="0"/>
          <w:sz w:val="21"/>
          <w:szCs w:val="22"/>
        </w:rPr>
        <w:tab/>
      </w:r>
      <w:r>
        <w:rPr>
          <w:rStyle w:val="22"/>
          <w:rFonts w:hint="eastAsia" w:ascii="Times New Roman" w:hAnsi="Times New Roman"/>
        </w:rPr>
        <w:t>标准规范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_Toc106353807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Style w:val="22"/>
          <w:rFonts w:ascii="Times New Roman" w:hAnsi="Times New Roman"/>
        </w:rPr>
        <w:fldChar w:fldCharType="end"/>
      </w:r>
    </w:p>
    <w:p>
      <w:pPr>
        <w:pStyle w:val="15"/>
        <w:tabs>
          <w:tab w:val="left" w:pos="630"/>
        </w:tabs>
        <w:rPr>
          <w:rFonts w:ascii="Times New Roman" w:hAnsi="Times New Roman" w:cs="Times New Roman"/>
          <w:b w:val="0"/>
          <w:bCs w:val="0"/>
          <w:caps w:val="0"/>
          <w:sz w:val="21"/>
          <w:szCs w:val="22"/>
        </w:rPr>
      </w:pPr>
      <w:r>
        <w:rPr>
          <w:rStyle w:val="22"/>
          <w:rFonts w:ascii="Times New Roman" w:hAnsi="Times New Roman"/>
        </w:rPr>
        <w:fldChar w:fldCharType="begin"/>
      </w:r>
      <w:r>
        <w:rPr>
          <w:rStyle w:val="22"/>
          <w:rFonts w:ascii="Times New Roman" w:hAnsi="Times New Roman"/>
        </w:rPr>
        <w:instrText xml:space="preserve"> </w:instrText>
      </w:r>
      <w:r>
        <w:rPr>
          <w:rFonts w:ascii="Times New Roman" w:hAnsi="Times New Roman"/>
        </w:rPr>
        <w:instrText xml:space="preserve">HYPERLINK \l "_Toc106353808"</w:instrText>
      </w:r>
      <w:r>
        <w:rPr>
          <w:rStyle w:val="22"/>
          <w:rFonts w:ascii="Times New Roman" w:hAnsi="Times New Roman"/>
        </w:rPr>
        <w:instrText xml:space="preserve"> </w:instrText>
      </w:r>
      <w:r>
        <w:rPr>
          <w:rStyle w:val="22"/>
          <w:rFonts w:ascii="Times New Roman" w:hAnsi="Times New Roman"/>
        </w:rPr>
        <w:fldChar w:fldCharType="separate"/>
      </w:r>
      <w:r>
        <w:rPr>
          <w:rStyle w:val="22"/>
          <w:rFonts w:ascii="Times New Roman" w:hAnsi="Times New Roman"/>
        </w:rPr>
        <w:t>3.2</w:t>
      </w:r>
      <w:r>
        <w:rPr>
          <w:rFonts w:ascii="Times New Roman" w:hAnsi="Times New Roman" w:cs="Times New Roman"/>
          <w:b w:val="0"/>
          <w:bCs w:val="0"/>
          <w:caps w:val="0"/>
          <w:sz w:val="21"/>
          <w:szCs w:val="22"/>
        </w:rPr>
        <w:tab/>
      </w:r>
      <w:r>
        <w:rPr>
          <w:rStyle w:val="22"/>
          <w:rFonts w:hint="eastAsia" w:ascii="Times New Roman" w:hAnsi="Times New Roman"/>
        </w:rPr>
        <w:t>技术要求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_Toc106353808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Style w:val="22"/>
          <w:rFonts w:ascii="Times New Roman" w:hAnsi="Times New Roman"/>
        </w:rPr>
        <w:fldChar w:fldCharType="end"/>
      </w:r>
    </w:p>
    <w:p>
      <w:pPr>
        <w:pStyle w:val="15"/>
        <w:tabs>
          <w:tab w:val="left" w:pos="420"/>
        </w:tabs>
        <w:rPr>
          <w:rFonts w:ascii="Times New Roman" w:hAnsi="Times New Roman" w:cs="Times New Roman"/>
          <w:b w:val="0"/>
          <w:bCs w:val="0"/>
          <w:caps w:val="0"/>
          <w:sz w:val="21"/>
          <w:szCs w:val="22"/>
        </w:rPr>
      </w:pPr>
      <w:r>
        <w:rPr>
          <w:rStyle w:val="22"/>
          <w:rFonts w:ascii="Times New Roman" w:hAnsi="Times New Roman"/>
        </w:rPr>
        <w:fldChar w:fldCharType="begin"/>
      </w:r>
      <w:r>
        <w:rPr>
          <w:rStyle w:val="22"/>
          <w:rFonts w:ascii="Times New Roman" w:hAnsi="Times New Roman"/>
        </w:rPr>
        <w:instrText xml:space="preserve"> </w:instrText>
      </w:r>
      <w:r>
        <w:rPr>
          <w:rFonts w:ascii="Times New Roman" w:hAnsi="Times New Roman"/>
        </w:rPr>
        <w:instrText xml:space="preserve">HYPERLINK \l "_Toc106353809"</w:instrText>
      </w:r>
      <w:r>
        <w:rPr>
          <w:rStyle w:val="22"/>
          <w:rFonts w:ascii="Times New Roman" w:hAnsi="Times New Roman"/>
        </w:rPr>
        <w:instrText xml:space="preserve"> </w:instrText>
      </w:r>
      <w:r>
        <w:rPr>
          <w:rStyle w:val="22"/>
          <w:rFonts w:ascii="Times New Roman" w:hAnsi="Times New Roman"/>
        </w:rPr>
        <w:fldChar w:fldCharType="separate"/>
      </w:r>
      <w:r>
        <w:rPr>
          <w:rStyle w:val="22"/>
          <w:rFonts w:ascii="Times New Roman" w:hAnsi="Times New Roman"/>
        </w:rPr>
        <w:t>4</w:t>
      </w:r>
      <w:r>
        <w:rPr>
          <w:rFonts w:ascii="Times New Roman" w:hAnsi="Times New Roman" w:cs="Times New Roman"/>
          <w:b w:val="0"/>
          <w:bCs w:val="0"/>
          <w:caps w:val="0"/>
          <w:sz w:val="21"/>
          <w:szCs w:val="22"/>
        </w:rPr>
        <w:tab/>
      </w:r>
      <w:r>
        <w:rPr>
          <w:rStyle w:val="22"/>
          <w:rFonts w:hint="eastAsia" w:ascii="Times New Roman" w:hAnsi="Times New Roman"/>
        </w:rPr>
        <w:t>供货与服务范围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_Toc106353809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Style w:val="22"/>
          <w:rFonts w:ascii="Times New Roman" w:hAnsi="Times New Roman"/>
        </w:rPr>
        <w:fldChar w:fldCharType="end"/>
      </w:r>
    </w:p>
    <w:p>
      <w:pPr>
        <w:pStyle w:val="15"/>
        <w:tabs>
          <w:tab w:val="left" w:pos="630"/>
        </w:tabs>
        <w:rPr>
          <w:rFonts w:ascii="Times New Roman" w:hAnsi="Times New Roman" w:cs="Times New Roman"/>
          <w:b w:val="0"/>
          <w:bCs w:val="0"/>
          <w:caps w:val="0"/>
          <w:sz w:val="21"/>
          <w:szCs w:val="22"/>
        </w:rPr>
      </w:pPr>
      <w:r>
        <w:rPr>
          <w:rStyle w:val="22"/>
          <w:rFonts w:ascii="Times New Roman" w:hAnsi="Times New Roman"/>
        </w:rPr>
        <w:fldChar w:fldCharType="begin"/>
      </w:r>
      <w:r>
        <w:rPr>
          <w:rStyle w:val="22"/>
          <w:rFonts w:ascii="Times New Roman" w:hAnsi="Times New Roman"/>
        </w:rPr>
        <w:instrText xml:space="preserve"> </w:instrText>
      </w:r>
      <w:r>
        <w:rPr>
          <w:rFonts w:ascii="Times New Roman" w:hAnsi="Times New Roman"/>
        </w:rPr>
        <w:instrText xml:space="preserve">HYPERLINK \l "_Toc106353810"</w:instrText>
      </w:r>
      <w:r>
        <w:rPr>
          <w:rStyle w:val="22"/>
          <w:rFonts w:ascii="Times New Roman" w:hAnsi="Times New Roman"/>
        </w:rPr>
        <w:instrText xml:space="preserve"> </w:instrText>
      </w:r>
      <w:r>
        <w:rPr>
          <w:rStyle w:val="22"/>
          <w:rFonts w:ascii="Times New Roman" w:hAnsi="Times New Roman"/>
        </w:rPr>
        <w:fldChar w:fldCharType="separate"/>
      </w:r>
      <w:r>
        <w:rPr>
          <w:rStyle w:val="22"/>
          <w:rFonts w:ascii="Times New Roman" w:hAnsi="Times New Roman"/>
        </w:rPr>
        <w:t>4.1</w:t>
      </w:r>
      <w:r>
        <w:rPr>
          <w:rFonts w:ascii="Times New Roman" w:hAnsi="Times New Roman" w:cs="Times New Roman"/>
          <w:b w:val="0"/>
          <w:bCs w:val="0"/>
          <w:caps w:val="0"/>
          <w:sz w:val="21"/>
          <w:szCs w:val="22"/>
        </w:rPr>
        <w:tab/>
      </w:r>
      <w:r>
        <w:rPr>
          <w:rStyle w:val="22"/>
          <w:rFonts w:hint="eastAsia" w:ascii="Times New Roman" w:hAnsi="Times New Roman"/>
        </w:rPr>
        <w:t>招标人服务范围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_Toc106353810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Style w:val="22"/>
          <w:rFonts w:ascii="Times New Roman" w:hAnsi="Times New Roman"/>
        </w:rPr>
        <w:fldChar w:fldCharType="end"/>
      </w:r>
    </w:p>
    <w:p>
      <w:pPr>
        <w:pStyle w:val="15"/>
        <w:tabs>
          <w:tab w:val="left" w:pos="630"/>
        </w:tabs>
        <w:rPr>
          <w:rFonts w:ascii="Times New Roman" w:hAnsi="Times New Roman" w:cs="Times New Roman"/>
          <w:b w:val="0"/>
          <w:bCs w:val="0"/>
          <w:caps w:val="0"/>
          <w:sz w:val="21"/>
          <w:szCs w:val="22"/>
        </w:rPr>
      </w:pPr>
      <w:r>
        <w:rPr>
          <w:rStyle w:val="22"/>
          <w:rFonts w:ascii="Times New Roman" w:hAnsi="Times New Roman"/>
        </w:rPr>
        <w:fldChar w:fldCharType="begin"/>
      </w:r>
      <w:r>
        <w:rPr>
          <w:rStyle w:val="22"/>
          <w:rFonts w:ascii="Times New Roman" w:hAnsi="Times New Roman"/>
        </w:rPr>
        <w:instrText xml:space="preserve"> </w:instrText>
      </w:r>
      <w:r>
        <w:rPr>
          <w:rFonts w:ascii="Times New Roman" w:hAnsi="Times New Roman"/>
        </w:rPr>
        <w:instrText xml:space="preserve">HYPERLINK \l "_Toc106353811"</w:instrText>
      </w:r>
      <w:r>
        <w:rPr>
          <w:rStyle w:val="22"/>
          <w:rFonts w:ascii="Times New Roman" w:hAnsi="Times New Roman"/>
        </w:rPr>
        <w:instrText xml:space="preserve"> </w:instrText>
      </w:r>
      <w:r>
        <w:rPr>
          <w:rStyle w:val="22"/>
          <w:rFonts w:ascii="Times New Roman" w:hAnsi="Times New Roman"/>
        </w:rPr>
        <w:fldChar w:fldCharType="separate"/>
      </w:r>
      <w:r>
        <w:rPr>
          <w:rStyle w:val="22"/>
          <w:rFonts w:ascii="Times New Roman" w:hAnsi="Times New Roman"/>
        </w:rPr>
        <w:t>4.2</w:t>
      </w:r>
      <w:r>
        <w:rPr>
          <w:rFonts w:ascii="Times New Roman" w:hAnsi="Times New Roman" w:cs="Times New Roman"/>
          <w:b w:val="0"/>
          <w:bCs w:val="0"/>
          <w:caps w:val="0"/>
          <w:sz w:val="21"/>
          <w:szCs w:val="22"/>
        </w:rPr>
        <w:tab/>
      </w:r>
      <w:r>
        <w:rPr>
          <w:rStyle w:val="22"/>
          <w:rFonts w:hint="eastAsia" w:ascii="Times New Roman" w:hAnsi="Times New Roman"/>
        </w:rPr>
        <w:t>投标人服务范围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_Toc106353811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Style w:val="22"/>
          <w:rFonts w:ascii="Times New Roman" w:hAnsi="Times New Roman"/>
        </w:rPr>
        <w:fldChar w:fldCharType="end"/>
      </w:r>
    </w:p>
    <w:p>
      <w:pPr>
        <w:pStyle w:val="15"/>
        <w:tabs>
          <w:tab w:val="left" w:pos="420"/>
        </w:tabs>
        <w:rPr>
          <w:rFonts w:ascii="Times New Roman" w:hAnsi="Times New Roman" w:cs="Times New Roman"/>
          <w:b w:val="0"/>
          <w:bCs w:val="0"/>
          <w:caps w:val="0"/>
          <w:sz w:val="21"/>
          <w:szCs w:val="22"/>
        </w:rPr>
      </w:pPr>
      <w:r>
        <w:rPr>
          <w:rStyle w:val="22"/>
          <w:rFonts w:ascii="Times New Roman" w:hAnsi="Times New Roman"/>
        </w:rPr>
        <w:fldChar w:fldCharType="begin"/>
      </w:r>
      <w:r>
        <w:rPr>
          <w:rStyle w:val="22"/>
          <w:rFonts w:ascii="Times New Roman" w:hAnsi="Times New Roman"/>
        </w:rPr>
        <w:instrText xml:space="preserve"> </w:instrText>
      </w:r>
      <w:r>
        <w:rPr>
          <w:rFonts w:ascii="Times New Roman" w:hAnsi="Times New Roman"/>
        </w:rPr>
        <w:instrText xml:space="preserve">HYPERLINK \l "_Toc106353812"</w:instrText>
      </w:r>
      <w:r>
        <w:rPr>
          <w:rStyle w:val="22"/>
          <w:rFonts w:ascii="Times New Roman" w:hAnsi="Times New Roman"/>
        </w:rPr>
        <w:instrText xml:space="preserve"> </w:instrText>
      </w:r>
      <w:r>
        <w:rPr>
          <w:rStyle w:val="22"/>
          <w:rFonts w:ascii="Times New Roman" w:hAnsi="Times New Roman"/>
        </w:rPr>
        <w:fldChar w:fldCharType="separate"/>
      </w:r>
      <w:r>
        <w:rPr>
          <w:rStyle w:val="22"/>
          <w:rFonts w:ascii="Times New Roman" w:hAnsi="Times New Roman"/>
        </w:rPr>
        <w:t>5</w:t>
      </w:r>
      <w:r>
        <w:rPr>
          <w:rFonts w:ascii="Times New Roman" w:hAnsi="Times New Roman" w:cs="Times New Roman"/>
          <w:b w:val="0"/>
          <w:bCs w:val="0"/>
          <w:caps w:val="0"/>
          <w:sz w:val="21"/>
          <w:szCs w:val="22"/>
        </w:rPr>
        <w:tab/>
      </w:r>
      <w:r>
        <w:rPr>
          <w:rStyle w:val="22"/>
          <w:rFonts w:hint="eastAsia" w:ascii="Times New Roman" w:hAnsi="Times New Roman"/>
        </w:rPr>
        <w:t>交货期、工期及付款要求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_Toc106353812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Style w:val="22"/>
          <w:rFonts w:ascii="Times New Roman" w:hAnsi="Times New Roman"/>
        </w:rPr>
        <w:fldChar w:fldCharType="end"/>
      </w:r>
    </w:p>
    <w:p>
      <w:pPr>
        <w:pStyle w:val="15"/>
        <w:tabs>
          <w:tab w:val="left" w:pos="420"/>
        </w:tabs>
        <w:rPr>
          <w:rFonts w:ascii="Times New Roman" w:hAnsi="Times New Roman" w:cs="Times New Roman"/>
          <w:b w:val="0"/>
          <w:bCs w:val="0"/>
          <w:caps w:val="0"/>
          <w:sz w:val="21"/>
          <w:szCs w:val="22"/>
        </w:rPr>
      </w:pPr>
      <w:r>
        <w:rPr>
          <w:rStyle w:val="22"/>
          <w:rFonts w:ascii="Times New Roman" w:hAnsi="Times New Roman"/>
        </w:rPr>
        <w:fldChar w:fldCharType="begin"/>
      </w:r>
      <w:r>
        <w:rPr>
          <w:rStyle w:val="22"/>
          <w:rFonts w:ascii="Times New Roman" w:hAnsi="Times New Roman"/>
        </w:rPr>
        <w:instrText xml:space="preserve"> </w:instrText>
      </w:r>
      <w:r>
        <w:rPr>
          <w:rFonts w:ascii="Times New Roman" w:hAnsi="Times New Roman"/>
        </w:rPr>
        <w:instrText xml:space="preserve">HYPERLINK \l "_Toc106353813"</w:instrText>
      </w:r>
      <w:r>
        <w:rPr>
          <w:rStyle w:val="22"/>
          <w:rFonts w:ascii="Times New Roman" w:hAnsi="Times New Roman"/>
        </w:rPr>
        <w:instrText xml:space="preserve"> </w:instrText>
      </w:r>
      <w:r>
        <w:rPr>
          <w:rStyle w:val="22"/>
          <w:rFonts w:ascii="Times New Roman" w:hAnsi="Times New Roman"/>
        </w:rPr>
        <w:fldChar w:fldCharType="separate"/>
      </w:r>
      <w:r>
        <w:rPr>
          <w:rStyle w:val="22"/>
          <w:rFonts w:ascii="Times New Roman" w:hAnsi="Times New Roman"/>
        </w:rPr>
        <w:t>6</w:t>
      </w:r>
      <w:r>
        <w:rPr>
          <w:rFonts w:ascii="Times New Roman" w:hAnsi="Times New Roman" w:cs="Times New Roman"/>
          <w:b w:val="0"/>
          <w:bCs w:val="0"/>
          <w:caps w:val="0"/>
          <w:sz w:val="21"/>
          <w:szCs w:val="22"/>
        </w:rPr>
        <w:tab/>
      </w:r>
      <w:r>
        <w:rPr>
          <w:rStyle w:val="22"/>
          <w:rFonts w:hint="eastAsia" w:ascii="Times New Roman" w:hAnsi="Times New Roman"/>
        </w:rPr>
        <w:t>检验和试验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_Toc106353813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Style w:val="22"/>
          <w:rFonts w:ascii="Times New Roman" w:hAnsi="Times New Roman"/>
        </w:rPr>
        <w:fldChar w:fldCharType="end"/>
      </w:r>
    </w:p>
    <w:p>
      <w:pPr>
        <w:pStyle w:val="15"/>
        <w:tabs>
          <w:tab w:val="left" w:pos="420"/>
        </w:tabs>
        <w:rPr>
          <w:rFonts w:ascii="Times New Roman" w:hAnsi="Times New Roman" w:cs="Times New Roman"/>
          <w:b w:val="0"/>
          <w:bCs w:val="0"/>
          <w:caps w:val="0"/>
          <w:sz w:val="21"/>
          <w:szCs w:val="22"/>
        </w:rPr>
      </w:pPr>
      <w:r>
        <w:rPr>
          <w:rStyle w:val="22"/>
          <w:rFonts w:ascii="Times New Roman" w:hAnsi="Times New Roman"/>
        </w:rPr>
        <w:fldChar w:fldCharType="begin"/>
      </w:r>
      <w:r>
        <w:rPr>
          <w:rStyle w:val="22"/>
          <w:rFonts w:ascii="Times New Roman" w:hAnsi="Times New Roman"/>
        </w:rPr>
        <w:instrText xml:space="preserve"> </w:instrText>
      </w:r>
      <w:r>
        <w:rPr>
          <w:rFonts w:ascii="Times New Roman" w:hAnsi="Times New Roman"/>
        </w:rPr>
        <w:instrText xml:space="preserve">HYPERLINK \l "_Toc106353814"</w:instrText>
      </w:r>
      <w:r>
        <w:rPr>
          <w:rStyle w:val="22"/>
          <w:rFonts w:ascii="Times New Roman" w:hAnsi="Times New Roman"/>
        </w:rPr>
        <w:instrText xml:space="preserve"> </w:instrText>
      </w:r>
      <w:r>
        <w:rPr>
          <w:rStyle w:val="22"/>
          <w:rFonts w:ascii="Times New Roman" w:hAnsi="Times New Roman"/>
        </w:rPr>
        <w:fldChar w:fldCharType="separate"/>
      </w:r>
      <w:r>
        <w:rPr>
          <w:rStyle w:val="22"/>
          <w:rFonts w:ascii="Times New Roman" w:hAnsi="Times New Roman"/>
        </w:rPr>
        <w:t>7</w:t>
      </w:r>
      <w:r>
        <w:rPr>
          <w:rFonts w:ascii="Times New Roman" w:hAnsi="Times New Roman" w:cs="Times New Roman"/>
          <w:b w:val="0"/>
          <w:bCs w:val="0"/>
          <w:caps w:val="0"/>
          <w:sz w:val="21"/>
          <w:szCs w:val="22"/>
        </w:rPr>
        <w:tab/>
      </w:r>
      <w:r>
        <w:rPr>
          <w:rStyle w:val="22"/>
          <w:rFonts w:hint="eastAsia" w:ascii="Times New Roman" w:hAnsi="Times New Roman"/>
        </w:rPr>
        <w:t>售后服务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_Toc106353814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Style w:val="22"/>
          <w:rFonts w:ascii="Times New Roman" w:hAnsi="Times New Roman"/>
        </w:rPr>
        <w:fldChar w:fldCharType="end"/>
      </w:r>
    </w:p>
    <w:p>
      <w:pPr>
        <w:pStyle w:val="15"/>
        <w:tabs>
          <w:tab w:val="left" w:pos="420"/>
        </w:tabs>
        <w:rPr>
          <w:rFonts w:ascii="Times New Roman" w:hAnsi="Times New Roman" w:cs="Times New Roman"/>
          <w:b w:val="0"/>
          <w:bCs w:val="0"/>
          <w:caps w:val="0"/>
          <w:sz w:val="21"/>
          <w:szCs w:val="22"/>
        </w:rPr>
      </w:pPr>
      <w:r>
        <w:rPr>
          <w:rStyle w:val="22"/>
          <w:rFonts w:ascii="Times New Roman" w:hAnsi="Times New Roman"/>
        </w:rPr>
        <w:fldChar w:fldCharType="begin"/>
      </w:r>
      <w:r>
        <w:rPr>
          <w:rStyle w:val="22"/>
          <w:rFonts w:ascii="Times New Roman" w:hAnsi="Times New Roman"/>
        </w:rPr>
        <w:instrText xml:space="preserve"> </w:instrText>
      </w:r>
      <w:r>
        <w:rPr>
          <w:rFonts w:ascii="Times New Roman" w:hAnsi="Times New Roman"/>
        </w:rPr>
        <w:instrText xml:space="preserve">HYPERLINK \l "_Toc106353815"</w:instrText>
      </w:r>
      <w:r>
        <w:rPr>
          <w:rStyle w:val="22"/>
          <w:rFonts w:ascii="Times New Roman" w:hAnsi="Times New Roman"/>
        </w:rPr>
        <w:instrText xml:space="preserve"> </w:instrText>
      </w:r>
      <w:r>
        <w:rPr>
          <w:rStyle w:val="22"/>
          <w:rFonts w:ascii="Times New Roman" w:hAnsi="Times New Roman"/>
        </w:rPr>
        <w:fldChar w:fldCharType="separate"/>
      </w:r>
      <w:r>
        <w:rPr>
          <w:rStyle w:val="22"/>
          <w:rFonts w:ascii="Times New Roman" w:hAnsi="Times New Roman"/>
        </w:rPr>
        <w:t>8</w:t>
      </w:r>
      <w:r>
        <w:rPr>
          <w:rFonts w:ascii="Times New Roman" w:hAnsi="Times New Roman" w:cs="Times New Roman"/>
          <w:b w:val="0"/>
          <w:bCs w:val="0"/>
          <w:caps w:val="0"/>
          <w:sz w:val="21"/>
          <w:szCs w:val="22"/>
        </w:rPr>
        <w:tab/>
      </w:r>
      <w:r>
        <w:rPr>
          <w:rStyle w:val="22"/>
          <w:rFonts w:hint="eastAsia" w:ascii="Times New Roman" w:hAnsi="Times New Roman"/>
        </w:rPr>
        <w:t>技术投标文件要求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_Toc106353815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Style w:val="22"/>
          <w:rFonts w:ascii="Times New Roman" w:hAnsi="Times New Roman"/>
        </w:rPr>
        <w:fldChar w:fldCharType="end"/>
      </w:r>
    </w:p>
    <w:p>
      <w:pPr>
        <w:pStyle w:val="15"/>
        <w:rPr>
          <w:rFonts w:ascii="Times New Roman" w:hAnsi="Times New Roman" w:cs="Times New Roman"/>
          <w:b w:val="0"/>
          <w:bCs w:val="0"/>
          <w:caps w:val="0"/>
          <w:sz w:val="21"/>
          <w:szCs w:val="22"/>
        </w:rPr>
      </w:pPr>
      <w:r>
        <w:rPr>
          <w:rStyle w:val="22"/>
          <w:rFonts w:ascii="Times New Roman" w:hAnsi="Times New Roman"/>
        </w:rPr>
        <w:fldChar w:fldCharType="begin"/>
      </w:r>
      <w:r>
        <w:rPr>
          <w:rStyle w:val="22"/>
          <w:rFonts w:ascii="Times New Roman" w:hAnsi="Times New Roman"/>
        </w:rPr>
        <w:instrText xml:space="preserve"> </w:instrText>
      </w:r>
      <w:r>
        <w:rPr>
          <w:rFonts w:ascii="Times New Roman" w:hAnsi="Times New Roman"/>
        </w:rPr>
        <w:instrText xml:space="preserve">HYPERLINK \l "_Toc106353816"</w:instrText>
      </w:r>
      <w:r>
        <w:rPr>
          <w:rStyle w:val="22"/>
          <w:rFonts w:ascii="Times New Roman" w:hAnsi="Times New Roman"/>
        </w:rPr>
        <w:instrText xml:space="preserve"> </w:instrText>
      </w:r>
      <w:r>
        <w:rPr>
          <w:rStyle w:val="22"/>
          <w:rFonts w:ascii="Times New Roman" w:hAnsi="Times New Roman"/>
        </w:rPr>
        <w:fldChar w:fldCharType="separate"/>
      </w:r>
      <w:r>
        <w:rPr>
          <w:rStyle w:val="22"/>
          <w:rFonts w:hint="eastAsia" w:ascii="Times New Roman" w:hAnsi="Times New Roman"/>
        </w:rPr>
        <w:t>附件</w:t>
      </w:r>
      <w:r>
        <w:rPr>
          <w:rStyle w:val="22"/>
          <w:rFonts w:ascii="Times New Roman" w:hAnsi="Times New Roman"/>
        </w:rPr>
        <w:t>1</w:t>
      </w:r>
      <w:r>
        <w:rPr>
          <w:rStyle w:val="22"/>
          <w:rFonts w:hint="eastAsia" w:ascii="Times New Roman" w:hAnsi="Times New Roman"/>
        </w:rPr>
        <w:t>动员计划</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_Toc106353816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Style w:val="22"/>
          <w:rFonts w:ascii="Times New Roman" w:hAnsi="Times New Roman"/>
        </w:rPr>
        <w:fldChar w:fldCharType="end"/>
      </w:r>
    </w:p>
    <w:p>
      <w:pPr>
        <w:pStyle w:val="15"/>
        <w:rPr>
          <w:rStyle w:val="22"/>
          <w:rFonts w:ascii="Times New Roman" w:hAnsi="Times New Roman"/>
        </w:rPr>
      </w:pPr>
      <w:r>
        <w:rPr>
          <w:rStyle w:val="22"/>
          <w:rFonts w:ascii="Times New Roman" w:hAnsi="Times New Roman"/>
        </w:rPr>
        <w:fldChar w:fldCharType="begin"/>
      </w:r>
      <w:r>
        <w:rPr>
          <w:rStyle w:val="22"/>
          <w:rFonts w:ascii="Times New Roman" w:hAnsi="Times New Roman"/>
        </w:rPr>
        <w:instrText xml:space="preserve"> </w:instrText>
      </w:r>
      <w:r>
        <w:rPr>
          <w:rFonts w:ascii="Times New Roman" w:hAnsi="Times New Roman"/>
        </w:rPr>
        <w:instrText xml:space="preserve">HYPERLINK \l "_Toc106353817"</w:instrText>
      </w:r>
      <w:r>
        <w:rPr>
          <w:rStyle w:val="22"/>
          <w:rFonts w:ascii="Times New Roman" w:hAnsi="Times New Roman"/>
        </w:rPr>
        <w:instrText xml:space="preserve"> </w:instrText>
      </w:r>
      <w:r>
        <w:rPr>
          <w:rStyle w:val="22"/>
          <w:rFonts w:ascii="Times New Roman" w:hAnsi="Times New Roman"/>
        </w:rPr>
        <w:fldChar w:fldCharType="separate"/>
      </w:r>
      <w:r>
        <w:rPr>
          <w:rStyle w:val="22"/>
          <w:rFonts w:hint="eastAsia" w:ascii="Times New Roman" w:hAnsi="Times New Roman"/>
        </w:rPr>
        <w:t>附件</w:t>
      </w:r>
      <w:r>
        <w:rPr>
          <w:rStyle w:val="22"/>
          <w:rFonts w:ascii="Times New Roman" w:hAnsi="Times New Roman"/>
        </w:rPr>
        <w:t xml:space="preserve">2 </w:t>
      </w:r>
      <w:r>
        <w:rPr>
          <w:rStyle w:val="22"/>
          <w:rFonts w:hint="eastAsia" w:ascii="Times New Roman" w:hAnsi="Times New Roman"/>
        </w:rPr>
        <w:t>技术偏离表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_Toc106353817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Style w:val="22"/>
          <w:rFonts w:ascii="Times New Roman" w:hAnsi="Times New Roman"/>
        </w:rPr>
        <w:fldChar w:fldCharType="end"/>
      </w:r>
    </w:p>
    <w:p>
      <w:pPr>
        <w:pStyle w:val="15"/>
        <w:rPr>
          <w:rFonts w:ascii="Times New Roman" w:hAnsi="Times New Roman" w:cs="Times New Roman"/>
          <w:b w:val="0"/>
          <w:bCs w:val="0"/>
          <w:caps w:val="0"/>
          <w:sz w:val="21"/>
          <w:szCs w:val="22"/>
        </w:rPr>
      </w:pPr>
      <w:r>
        <w:rPr>
          <w:rStyle w:val="22"/>
          <w:rFonts w:ascii="Times New Roman" w:hAnsi="Times New Roman"/>
        </w:rPr>
        <w:br w:type="page"/>
      </w:r>
    </w:p>
    <w:p>
      <w:pPr>
        <w:pStyle w:val="27"/>
        <w:numPr>
          <w:ilvl w:val="0"/>
          <w:numId w:val="4"/>
        </w:numPr>
        <w:tabs>
          <w:tab w:val="left" w:pos="426"/>
        </w:tabs>
        <w:suppressAutoHyphens w:val="0"/>
        <w:spacing w:line="360" w:lineRule="auto"/>
        <w:outlineLvl w:val="0"/>
        <w:rPr>
          <w:rFonts w:hint="eastAsia" w:ascii="Times New Roman" w:hAnsi="Times New Roman"/>
          <w:b/>
          <w:bCs/>
          <w:color w:val="000000"/>
          <w:sz w:val="21"/>
          <w:szCs w:val="21"/>
        </w:rPr>
      </w:pPr>
      <w:r>
        <w:rPr>
          <w:rFonts w:ascii="Times New Roman" w:hAnsi="Times New Roman" w:cs="Calibri"/>
          <w:bCs/>
          <w:caps/>
          <w:szCs w:val="24"/>
        </w:rPr>
        <w:fldChar w:fldCharType="end"/>
      </w:r>
      <w:bookmarkStart w:id="3" w:name="_Toc38896845"/>
      <w:bookmarkStart w:id="4" w:name="_Toc106353804"/>
      <w:r>
        <w:rPr>
          <w:rFonts w:hint="eastAsia" w:ascii="Times New Roman" w:hAnsi="Times New Roman"/>
          <w:b/>
          <w:bCs/>
          <w:color w:val="000000"/>
          <w:sz w:val="21"/>
          <w:szCs w:val="21"/>
        </w:rPr>
        <w:t>总则</w:t>
      </w:r>
      <w:bookmarkEnd w:id="3"/>
      <w:bookmarkEnd w:id="4"/>
    </w:p>
    <w:p>
      <w:pPr>
        <w:spacing w:line="360" w:lineRule="auto"/>
        <w:ind w:firstLine="424" w:firstLineChars="202"/>
        <w:rPr>
          <w:color w:val="000000"/>
          <w:szCs w:val="21"/>
        </w:rPr>
      </w:pPr>
      <w:r>
        <w:rPr>
          <w:color w:val="000000"/>
          <w:szCs w:val="21"/>
        </w:rPr>
        <w:t>本</w:t>
      </w:r>
      <w:r>
        <w:rPr>
          <w:rFonts w:hint="eastAsia"/>
          <w:color w:val="000000"/>
          <w:szCs w:val="21"/>
        </w:rPr>
        <w:t>技术询价文件仅适用于中海石油华鹤煤化有限公司</w:t>
      </w:r>
      <w:r>
        <w:rPr>
          <w:rFonts w:hint="eastAsia"/>
          <w:b/>
          <w:bCs w:val="0"/>
          <w:i w:val="0"/>
          <w:iCs/>
          <w:szCs w:val="21"/>
        </w:rPr>
        <w:t>年产30万吨绿色增值复合肥项目水土保持验收评价</w:t>
      </w:r>
      <w:r>
        <w:rPr>
          <w:color w:val="000000"/>
          <w:szCs w:val="21"/>
        </w:rPr>
        <w:t>。它</w:t>
      </w:r>
      <w:r>
        <w:rPr>
          <w:rFonts w:hint="eastAsia"/>
          <w:color w:val="000000"/>
          <w:szCs w:val="21"/>
        </w:rPr>
        <w:t>规定</w:t>
      </w:r>
      <w:r>
        <w:rPr>
          <w:color w:val="000000"/>
          <w:szCs w:val="21"/>
        </w:rPr>
        <w:t>了该</w:t>
      </w:r>
      <w:r>
        <w:rPr>
          <w:rFonts w:hint="eastAsia"/>
          <w:color w:val="000000"/>
          <w:szCs w:val="21"/>
        </w:rPr>
        <w:t>项目采办在标准规范与技术要求、供货与服务范围、交货期与工期、检验与试验、售后服务、投标</w:t>
      </w:r>
      <w:r>
        <w:rPr>
          <w:color w:val="000000"/>
          <w:szCs w:val="21"/>
        </w:rPr>
        <w:t>技术文件、</w:t>
      </w:r>
      <w:r>
        <w:rPr>
          <w:rFonts w:hint="eastAsia"/>
          <w:color w:val="000000"/>
          <w:szCs w:val="21"/>
        </w:rPr>
        <w:t>完工资料等方面的具体要求。</w:t>
      </w:r>
    </w:p>
    <w:p>
      <w:pPr>
        <w:numPr>
          <w:ilvl w:val="0"/>
          <w:numId w:val="6"/>
        </w:numPr>
        <w:spacing w:line="360" w:lineRule="auto"/>
        <w:ind w:left="0" w:firstLine="0"/>
        <w:rPr>
          <w:rFonts w:hint="eastAsia"/>
          <w:szCs w:val="21"/>
        </w:rPr>
      </w:pPr>
      <w:r>
        <w:rPr>
          <w:szCs w:val="21"/>
        </w:rPr>
        <w:t>本</w:t>
      </w:r>
      <w:r>
        <w:rPr>
          <w:rFonts w:hint="eastAsia"/>
          <w:szCs w:val="21"/>
        </w:rPr>
        <w:t>技术询价文件</w:t>
      </w:r>
      <w:r>
        <w:rPr>
          <w:szCs w:val="21"/>
        </w:rPr>
        <w:t>提出的是最低限度的技术要求，并未对一切技术细节</w:t>
      </w:r>
      <w:r>
        <w:rPr>
          <w:rFonts w:hint="eastAsia"/>
          <w:szCs w:val="21"/>
        </w:rPr>
        <w:t>做</w:t>
      </w:r>
      <w:r>
        <w:rPr>
          <w:szCs w:val="21"/>
        </w:rPr>
        <w:t>出规定，也未引述</w:t>
      </w:r>
      <w:r>
        <w:rPr>
          <w:rFonts w:hint="eastAsia"/>
          <w:szCs w:val="21"/>
        </w:rPr>
        <w:t>全部</w:t>
      </w:r>
      <w:r>
        <w:rPr>
          <w:szCs w:val="21"/>
        </w:rPr>
        <w:t>有关标准规范的条文，</w:t>
      </w:r>
      <w:r>
        <w:rPr>
          <w:rFonts w:hint="eastAsia"/>
          <w:szCs w:val="21"/>
        </w:rPr>
        <w:t>投标人应按本技术询价文件的要求进行投标，并</w:t>
      </w:r>
      <w:r>
        <w:rPr>
          <w:szCs w:val="21"/>
        </w:rPr>
        <w:t>应提供符合本</w:t>
      </w:r>
      <w:r>
        <w:rPr>
          <w:rFonts w:hint="eastAsia"/>
          <w:szCs w:val="21"/>
        </w:rPr>
        <w:t>技术询价文件</w:t>
      </w:r>
      <w:r>
        <w:rPr>
          <w:szCs w:val="21"/>
        </w:rPr>
        <w:t>和有关标准规范的优质</w:t>
      </w:r>
      <w:r>
        <w:rPr>
          <w:rFonts w:hint="eastAsia"/>
          <w:szCs w:val="21"/>
        </w:rPr>
        <w:t>服务及其备件材料。对国家有关安全、环保等强制性标准，投标人必须满足。</w:t>
      </w:r>
    </w:p>
    <w:p>
      <w:pPr>
        <w:numPr>
          <w:ilvl w:val="0"/>
          <w:numId w:val="6"/>
        </w:numPr>
        <w:spacing w:line="360" w:lineRule="auto"/>
        <w:ind w:left="0" w:firstLine="0"/>
        <w:rPr>
          <w:szCs w:val="21"/>
        </w:rPr>
      </w:pPr>
      <w:r>
        <w:rPr>
          <w:rFonts w:hint="eastAsia"/>
          <w:szCs w:val="21"/>
        </w:rPr>
        <w:t>任何偏差都应取得招标人的书面确认，否则招标人将认为投标人已经认可了本技术询价文件中的所有要求。</w:t>
      </w:r>
      <w:r>
        <w:rPr>
          <w:szCs w:val="21"/>
        </w:rPr>
        <w:t>如果</w:t>
      </w:r>
      <w:r>
        <w:rPr>
          <w:rFonts w:hint="eastAsia"/>
          <w:szCs w:val="21"/>
        </w:rPr>
        <w:t>投标人</w:t>
      </w:r>
      <w:r>
        <w:rPr>
          <w:szCs w:val="21"/>
        </w:rPr>
        <w:t>没有以书面形式对本</w:t>
      </w:r>
      <w:r>
        <w:rPr>
          <w:rFonts w:hint="eastAsia"/>
          <w:szCs w:val="21"/>
        </w:rPr>
        <w:t>技术询价文件</w:t>
      </w:r>
      <w:r>
        <w:rPr>
          <w:szCs w:val="21"/>
        </w:rPr>
        <w:t>的条文提出异议，则意味着</w:t>
      </w:r>
      <w:r>
        <w:rPr>
          <w:rFonts w:hint="eastAsia"/>
          <w:szCs w:val="21"/>
        </w:rPr>
        <w:t>投标人</w:t>
      </w:r>
      <w:r>
        <w:rPr>
          <w:szCs w:val="21"/>
        </w:rPr>
        <w:t>提供的</w:t>
      </w:r>
      <w:r>
        <w:rPr>
          <w:rFonts w:hint="eastAsia"/>
          <w:szCs w:val="21"/>
        </w:rPr>
        <w:t>服务及备件材料</w:t>
      </w:r>
      <w:r>
        <w:rPr>
          <w:szCs w:val="21"/>
        </w:rPr>
        <w:t>完全符合本</w:t>
      </w:r>
      <w:r>
        <w:rPr>
          <w:rFonts w:hint="eastAsia"/>
          <w:szCs w:val="21"/>
        </w:rPr>
        <w:t>技术询价文件</w:t>
      </w:r>
      <w:r>
        <w:rPr>
          <w:szCs w:val="21"/>
        </w:rPr>
        <w:t>的</w:t>
      </w:r>
      <w:r>
        <w:rPr>
          <w:rFonts w:hint="eastAsia"/>
          <w:szCs w:val="21"/>
        </w:rPr>
        <w:t>明确的和潜在</w:t>
      </w:r>
      <w:r>
        <w:rPr>
          <w:szCs w:val="21"/>
        </w:rPr>
        <w:t>要求</w:t>
      </w:r>
      <w:r>
        <w:rPr>
          <w:rFonts w:hint="eastAsia"/>
          <w:szCs w:val="21"/>
        </w:rPr>
        <w:t>，</w:t>
      </w:r>
      <w:r>
        <w:rPr>
          <w:szCs w:val="21"/>
        </w:rPr>
        <w:t>如有异议应在以“</w:t>
      </w:r>
      <w:r>
        <w:rPr>
          <w:rFonts w:hint="eastAsia"/>
          <w:szCs w:val="21"/>
        </w:rPr>
        <w:t>技术偏离表</w:t>
      </w:r>
      <w:r>
        <w:rPr>
          <w:szCs w:val="21"/>
        </w:rPr>
        <w:t>”为标题的专门</w:t>
      </w:r>
      <w:r>
        <w:rPr>
          <w:rFonts w:hint="eastAsia"/>
          <w:szCs w:val="21"/>
        </w:rPr>
        <w:t>文件</w:t>
      </w:r>
      <w:r>
        <w:rPr>
          <w:szCs w:val="21"/>
        </w:rPr>
        <w:t>中加以详细描述。</w:t>
      </w:r>
    </w:p>
    <w:p>
      <w:pPr>
        <w:numPr>
          <w:ilvl w:val="0"/>
          <w:numId w:val="6"/>
        </w:numPr>
        <w:spacing w:line="360" w:lineRule="auto"/>
        <w:ind w:left="0" w:firstLine="0"/>
        <w:rPr>
          <w:szCs w:val="21"/>
        </w:rPr>
      </w:pPr>
      <w:r>
        <w:rPr>
          <w:szCs w:val="21"/>
        </w:rPr>
        <w:t>本</w:t>
      </w:r>
      <w:r>
        <w:rPr>
          <w:rFonts w:hint="eastAsia"/>
          <w:szCs w:val="21"/>
        </w:rPr>
        <w:t>技术询价文件</w:t>
      </w:r>
      <w:r>
        <w:rPr>
          <w:szCs w:val="21"/>
        </w:rPr>
        <w:t>所使用的标准</w:t>
      </w:r>
      <w:r>
        <w:rPr>
          <w:rFonts w:hint="eastAsia"/>
          <w:szCs w:val="21"/>
        </w:rPr>
        <w:t>规范</w:t>
      </w:r>
      <w:r>
        <w:rPr>
          <w:szCs w:val="21"/>
        </w:rPr>
        <w:t>如遇与</w:t>
      </w:r>
      <w:r>
        <w:rPr>
          <w:rFonts w:hint="eastAsia"/>
          <w:szCs w:val="21"/>
        </w:rPr>
        <w:t>投标人</w:t>
      </w:r>
      <w:r>
        <w:rPr>
          <w:szCs w:val="21"/>
        </w:rPr>
        <w:t>所执行的标准发生矛盾时，按较高标准执行。在合同签订后，</w:t>
      </w:r>
      <w:r>
        <w:rPr>
          <w:rFonts w:hint="eastAsia"/>
          <w:szCs w:val="21"/>
        </w:rPr>
        <w:t>招标人</w:t>
      </w:r>
      <w:r>
        <w:rPr>
          <w:szCs w:val="21"/>
        </w:rPr>
        <w:t>有权提出因标准规范发生变化</w:t>
      </w:r>
      <w:r>
        <w:rPr>
          <w:rFonts w:hint="eastAsia"/>
          <w:szCs w:val="21"/>
        </w:rPr>
        <w:t>或招标人实际工作需要</w:t>
      </w:r>
      <w:r>
        <w:rPr>
          <w:szCs w:val="21"/>
        </w:rPr>
        <w:t>而产生的修订要求，具体事宜由</w:t>
      </w:r>
      <w:r>
        <w:rPr>
          <w:rFonts w:hint="eastAsia"/>
          <w:szCs w:val="21"/>
        </w:rPr>
        <w:t>招投标</w:t>
      </w:r>
      <w:r>
        <w:rPr>
          <w:szCs w:val="21"/>
        </w:rPr>
        <w:t>双方协商确定。</w:t>
      </w:r>
    </w:p>
    <w:p>
      <w:pPr>
        <w:numPr>
          <w:ilvl w:val="0"/>
          <w:numId w:val="6"/>
        </w:numPr>
        <w:spacing w:line="360" w:lineRule="auto"/>
        <w:ind w:left="0" w:firstLine="0"/>
        <w:rPr>
          <w:rFonts w:hint="eastAsia"/>
          <w:szCs w:val="21"/>
        </w:rPr>
      </w:pPr>
      <w:r>
        <w:rPr>
          <w:rFonts w:hint="eastAsia"/>
          <w:szCs w:val="21"/>
        </w:rPr>
        <w:t>当招标人的有关技术文件发生相互矛盾或抵触时，将按照下列顺序优先执行：标准规范及有关技术文件、详细设计图纸、工程量清单、工程报价单或预算书。</w:t>
      </w:r>
    </w:p>
    <w:p>
      <w:pPr>
        <w:numPr>
          <w:ilvl w:val="0"/>
          <w:numId w:val="6"/>
        </w:numPr>
        <w:spacing w:line="360" w:lineRule="auto"/>
        <w:ind w:left="0" w:firstLine="0"/>
        <w:rPr>
          <w:rFonts w:hint="eastAsia"/>
          <w:szCs w:val="21"/>
        </w:rPr>
      </w:pPr>
      <w:r>
        <w:rPr>
          <w:rFonts w:hint="eastAsia"/>
          <w:szCs w:val="21"/>
        </w:rPr>
        <w:t>招标人对投标人技术文件的审核，并不能减轻或取消投标人对所供设备或服务应承担的责任和义务。</w:t>
      </w:r>
    </w:p>
    <w:p>
      <w:pPr>
        <w:numPr>
          <w:ilvl w:val="0"/>
          <w:numId w:val="6"/>
        </w:numPr>
        <w:spacing w:line="360" w:lineRule="auto"/>
        <w:ind w:left="0" w:firstLine="0"/>
        <w:rPr>
          <w:rFonts w:hint="eastAsia"/>
          <w:szCs w:val="21"/>
        </w:rPr>
      </w:pPr>
      <w:r>
        <w:rPr>
          <w:rFonts w:hint="eastAsia"/>
          <w:szCs w:val="21"/>
        </w:rPr>
        <w:t>投标人所提供的服务</w:t>
      </w:r>
      <w:r>
        <w:rPr>
          <w:szCs w:val="21"/>
        </w:rPr>
        <w:t>及备件材料</w:t>
      </w:r>
      <w:r>
        <w:rPr>
          <w:rFonts w:hint="eastAsia"/>
          <w:szCs w:val="21"/>
        </w:rPr>
        <w:t>，必须完全满足招标人技术询价文件及标准规范要求，并对所供服务及</w:t>
      </w:r>
      <w:r>
        <w:rPr>
          <w:szCs w:val="21"/>
        </w:rPr>
        <w:t>备件材料</w:t>
      </w:r>
      <w:r>
        <w:rPr>
          <w:rFonts w:hint="eastAsia"/>
          <w:szCs w:val="21"/>
        </w:rPr>
        <w:t>的质量负有全部责任。</w:t>
      </w:r>
    </w:p>
    <w:p>
      <w:pPr>
        <w:pStyle w:val="27"/>
        <w:numPr>
          <w:ilvl w:val="0"/>
          <w:numId w:val="4"/>
        </w:numPr>
        <w:tabs>
          <w:tab w:val="left" w:pos="426"/>
        </w:tabs>
        <w:suppressAutoHyphens w:val="0"/>
        <w:spacing w:line="360" w:lineRule="auto"/>
        <w:outlineLvl w:val="0"/>
        <w:rPr>
          <w:rFonts w:hint="eastAsia" w:ascii="Times New Roman" w:hAnsi="Times New Roman"/>
          <w:b/>
          <w:bCs/>
          <w:color w:val="000000"/>
          <w:sz w:val="21"/>
          <w:szCs w:val="21"/>
        </w:rPr>
      </w:pPr>
      <w:bookmarkStart w:id="5" w:name="_Toc38896846"/>
      <w:bookmarkStart w:id="6" w:name="_Toc106353805"/>
      <w:r>
        <w:rPr>
          <w:rFonts w:hint="eastAsia" w:ascii="Times New Roman" w:hAnsi="Times New Roman"/>
          <w:b/>
          <w:bCs/>
          <w:color w:val="000000"/>
          <w:sz w:val="21"/>
          <w:szCs w:val="21"/>
        </w:rPr>
        <w:t>项目概况</w:t>
      </w:r>
      <w:bookmarkEnd w:id="5"/>
      <w:bookmarkEnd w:id="6"/>
    </w:p>
    <w:p>
      <w:pPr>
        <w:numPr>
          <w:ilvl w:val="0"/>
          <w:numId w:val="7"/>
        </w:numPr>
        <w:spacing w:line="360" w:lineRule="auto"/>
        <w:rPr>
          <w:i w:val="0"/>
          <w:iCs/>
          <w:szCs w:val="21"/>
        </w:rPr>
      </w:pPr>
      <w:r>
        <w:rPr>
          <w:rFonts w:hint="eastAsia"/>
          <w:szCs w:val="21"/>
        </w:rPr>
        <w:t>项目名称：</w:t>
      </w:r>
      <w:r>
        <w:rPr>
          <w:rFonts w:hint="eastAsia"/>
          <w:b/>
          <w:i w:val="0"/>
          <w:iCs/>
          <w:szCs w:val="21"/>
        </w:rPr>
        <w:t>年产30万吨绿色增值复合肥项目水土保持验收评价</w:t>
      </w:r>
    </w:p>
    <w:p>
      <w:pPr>
        <w:numPr>
          <w:ilvl w:val="0"/>
          <w:numId w:val="7"/>
        </w:numPr>
        <w:spacing w:line="360" w:lineRule="auto"/>
        <w:rPr>
          <w:szCs w:val="21"/>
        </w:rPr>
      </w:pPr>
      <w:r>
        <w:rPr>
          <w:rFonts w:hint="eastAsia"/>
          <w:szCs w:val="21"/>
        </w:rPr>
        <w:t>服务地点：黑龙江省哈萝公路鹤岗段8号</w:t>
      </w:r>
    </w:p>
    <w:p>
      <w:pPr>
        <w:numPr>
          <w:ilvl w:val="0"/>
          <w:numId w:val="7"/>
        </w:numPr>
        <w:spacing w:line="360" w:lineRule="auto"/>
        <w:rPr>
          <w:szCs w:val="21"/>
        </w:rPr>
      </w:pPr>
      <w:r>
        <w:rPr>
          <w:szCs w:val="21"/>
        </w:rPr>
        <w:t>项目简介</w:t>
      </w:r>
    </w:p>
    <w:p>
      <w:pPr>
        <w:spacing w:line="360" w:lineRule="auto"/>
        <w:ind w:firstLine="420" w:firstLineChars="200"/>
        <w:rPr>
          <w:szCs w:val="21"/>
        </w:rPr>
      </w:pPr>
      <w:r>
        <w:rPr>
          <w:rFonts w:hint="eastAsia"/>
          <w:szCs w:val="21"/>
        </w:rPr>
        <w:t>中海石油华鹤煤化有限公司（以下简称华鹤公司或公司）现有一套年产3</w:t>
      </w:r>
      <w:r>
        <w:rPr>
          <w:szCs w:val="21"/>
        </w:rPr>
        <w:t>0万吨合成氨、</w:t>
      </w:r>
      <w:r>
        <w:rPr>
          <w:rFonts w:hint="eastAsia"/>
          <w:szCs w:val="21"/>
        </w:rPr>
        <w:t>5</w:t>
      </w:r>
      <w:r>
        <w:rPr>
          <w:szCs w:val="21"/>
        </w:rPr>
        <w:t>2万吨大颗粒尿素</w:t>
      </w:r>
      <w:r>
        <w:rPr>
          <w:rFonts w:hint="eastAsia"/>
          <w:szCs w:val="21"/>
        </w:rPr>
        <w:t>装置，在此基础上于原厂区土地使用范围内新建绿色增值复合肥（以下简称复合肥）装置。厂内预留空地约50000m</w:t>
      </w:r>
      <w:r>
        <w:rPr>
          <w:rFonts w:hint="eastAsia"/>
          <w:szCs w:val="21"/>
          <w:vertAlign w:val="superscript"/>
        </w:rPr>
        <w:t>2</w:t>
      </w:r>
      <w:r>
        <w:rPr>
          <w:rFonts w:hint="eastAsia"/>
          <w:szCs w:val="21"/>
        </w:rPr>
        <w:t>，满足复合肥建设用地需求，无需征地；</w:t>
      </w:r>
      <w:bookmarkStart w:id="7" w:name="_Hlk80454695"/>
      <w:r>
        <w:rPr>
          <w:rFonts w:hint="eastAsia"/>
          <w:szCs w:val="21"/>
        </w:rPr>
        <w:t>项目依托现有装置建设，可利用现有的水、电、汽、气等公用设施和资源，无需新建配套设施</w:t>
      </w:r>
      <w:bookmarkEnd w:id="7"/>
      <w:r>
        <w:rPr>
          <w:rFonts w:hint="eastAsia"/>
          <w:szCs w:val="21"/>
        </w:rPr>
        <w:t>。</w:t>
      </w:r>
    </w:p>
    <w:p>
      <w:pPr>
        <w:spacing w:line="360" w:lineRule="auto"/>
        <w:ind w:firstLine="420" w:firstLineChars="200"/>
        <w:rPr>
          <w:szCs w:val="21"/>
        </w:rPr>
      </w:pPr>
      <w:r>
        <w:rPr>
          <w:rFonts w:hint="eastAsia"/>
          <w:szCs w:val="21"/>
        </w:rPr>
        <w:t>复合肥原料除尿</w:t>
      </w:r>
      <w:r>
        <w:rPr>
          <w:rFonts w:hint="eastAsia"/>
          <w:szCs w:val="21"/>
          <w:lang w:eastAsia="zh-CN"/>
        </w:rPr>
        <w:t>素</w:t>
      </w:r>
      <w:r>
        <w:rPr>
          <w:rFonts w:hint="eastAsia"/>
          <w:szCs w:val="21"/>
        </w:rPr>
        <w:t>依托现有装置生产外，磷酸一铵、氯化铵、氯化钾、填料（棒土、微量元素、缓释剂、活化剂等）均需外购；本项目中所生产的最终产品主要是绿色增值高浓度（含氮、磷、钾）复合肥。</w:t>
      </w:r>
      <w:r>
        <w:rPr>
          <w:szCs w:val="21"/>
        </w:rPr>
        <w:t>本项目不产生工业废水。</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本项目位于黑龙江鹤岗市，区域起伏较大，高程在160-177m左右，总体为东高西低，区域地貌为低山、丘陵。项目区属大陆性季风气候，多年平均气温 3.2℃，多年平均降水量为571.6mm，无霜期130～150d之间，冻层深1.4～2.20m</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年平均风速3~4m/s。</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项目区属于东北黑土区，土壤侵蚀类型为水力侵蚀，水土流失强度以轻度侵蚀为主。项目区属于省级水土流失重点治理区，不涉及其他水功能一级区的保护区和保留区、自然保护区、世界文化和自然遗产地、风景名胜区、地质公园、森林公园以及重要湿地等水土保持敏感区。</w:t>
      </w:r>
    </w:p>
    <w:p>
      <w:pPr>
        <w:numPr>
          <w:ilvl w:val="0"/>
          <w:numId w:val="7"/>
        </w:numPr>
        <w:spacing w:line="360" w:lineRule="auto"/>
        <w:rPr>
          <w:rFonts w:hint="eastAsia"/>
          <w:szCs w:val="21"/>
        </w:rPr>
      </w:pPr>
      <w:r>
        <w:rPr>
          <w:rFonts w:hint="eastAsia"/>
          <w:szCs w:val="21"/>
          <w:lang w:val="en-US" w:eastAsia="zh-CN"/>
        </w:rPr>
        <w:t>水土保持</w:t>
      </w:r>
      <w:r>
        <w:rPr>
          <w:rFonts w:hint="eastAsia"/>
          <w:szCs w:val="21"/>
          <w:lang w:eastAsia="zh-CN"/>
        </w:rPr>
        <w:t>验收</w:t>
      </w:r>
      <w:r>
        <w:rPr>
          <w:rFonts w:hint="eastAsia"/>
          <w:szCs w:val="21"/>
        </w:rPr>
        <w:t>评价概述</w:t>
      </w:r>
    </w:p>
    <w:p>
      <w:pPr>
        <w:autoSpaceDE w:val="0"/>
        <w:autoSpaceDN w:val="0"/>
        <w:spacing w:line="360" w:lineRule="auto"/>
        <w:ind w:firstLine="424" w:firstLineChars="202"/>
        <w:rPr>
          <w:rFonts w:ascii="Times New Roman" w:hAnsi="Times New Roman" w:eastAsia="宋体" w:cs="Times New Roman"/>
          <w:szCs w:val="21"/>
        </w:rPr>
      </w:pPr>
      <w:r>
        <w:rPr>
          <w:rFonts w:hint="eastAsia"/>
          <w:szCs w:val="21"/>
        </w:rPr>
        <w:t>本次</w:t>
      </w:r>
      <w:r>
        <w:rPr>
          <w:rFonts w:hint="eastAsia"/>
          <w:szCs w:val="21"/>
          <w:lang w:val="en-US" w:eastAsia="zh-CN"/>
        </w:rPr>
        <w:t>水土保持验收</w:t>
      </w:r>
      <w:r>
        <w:rPr>
          <w:rFonts w:hint="eastAsia"/>
          <w:szCs w:val="21"/>
        </w:rPr>
        <w:t>评价对象为中海石油华鹤煤化有限公司</w:t>
      </w:r>
      <w:r>
        <w:rPr>
          <w:rFonts w:hint="eastAsia"/>
          <w:szCs w:val="21"/>
          <w:lang w:val="en-US" w:eastAsia="zh-CN"/>
        </w:rPr>
        <w:t>厂区内部</w:t>
      </w:r>
      <w:r>
        <w:rPr>
          <w:rFonts w:hint="eastAsia"/>
          <w:szCs w:val="21"/>
        </w:rPr>
        <w:t>新建</w:t>
      </w:r>
      <w:r>
        <w:rPr>
          <w:rFonts w:hint="eastAsia"/>
          <w:b/>
          <w:i w:val="0"/>
          <w:iCs/>
          <w:szCs w:val="21"/>
        </w:rPr>
        <w:t>年产30万吨绿色增值复合肥项目水土保持验收评价</w:t>
      </w:r>
      <w:r>
        <w:rPr>
          <w:rFonts w:hint="eastAsia"/>
          <w:szCs w:val="21"/>
        </w:rPr>
        <w:t>，本次</w:t>
      </w:r>
      <w:r>
        <w:rPr>
          <w:rFonts w:hint="eastAsia"/>
          <w:szCs w:val="21"/>
          <w:lang w:eastAsia="zh-CN"/>
        </w:rPr>
        <w:t>验收</w:t>
      </w:r>
      <w:r>
        <w:rPr>
          <w:rFonts w:hint="eastAsia"/>
          <w:szCs w:val="21"/>
        </w:rPr>
        <w:t>评价范围包括</w:t>
      </w:r>
      <w:r>
        <w:rPr>
          <w:rFonts w:hint="eastAsia" w:ascii="Times New Roman" w:hAnsi="Times New Roman" w:eastAsia="宋体" w:cs="Times New Roman"/>
          <w:szCs w:val="21"/>
        </w:rPr>
        <w:t>项目建设区内新增水土流失得到有效控制</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防治责任范围内的生态得到最大限度的保护，环境得到明显改变</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水土保持设施安全有效。</w:t>
      </w:r>
    </w:p>
    <w:p>
      <w:pPr>
        <w:pStyle w:val="27"/>
        <w:numPr>
          <w:ilvl w:val="0"/>
          <w:numId w:val="4"/>
        </w:numPr>
        <w:tabs>
          <w:tab w:val="left" w:pos="426"/>
        </w:tabs>
        <w:suppressAutoHyphens w:val="0"/>
        <w:spacing w:line="360" w:lineRule="auto"/>
        <w:outlineLvl w:val="0"/>
        <w:rPr>
          <w:rFonts w:hint="eastAsia" w:ascii="Times New Roman" w:hAnsi="Times New Roman"/>
          <w:b/>
          <w:bCs/>
          <w:color w:val="000000"/>
          <w:sz w:val="21"/>
          <w:szCs w:val="21"/>
        </w:rPr>
      </w:pPr>
      <w:bookmarkStart w:id="8" w:name="_Toc38896847"/>
      <w:bookmarkStart w:id="9" w:name="_Toc106353806"/>
      <w:r>
        <w:rPr>
          <w:rFonts w:hint="eastAsia" w:ascii="Times New Roman" w:hAnsi="Times New Roman"/>
          <w:b/>
          <w:bCs/>
          <w:color w:val="000000"/>
          <w:sz w:val="21"/>
          <w:szCs w:val="21"/>
        </w:rPr>
        <w:t>标准规范及技术要求</w:t>
      </w:r>
      <w:bookmarkEnd w:id="8"/>
      <w:bookmarkEnd w:id="9"/>
    </w:p>
    <w:p>
      <w:pPr>
        <w:pStyle w:val="27"/>
        <w:numPr>
          <w:ilvl w:val="0"/>
          <w:numId w:val="8"/>
        </w:numPr>
        <w:tabs>
          <w:tab w:val="left" w:pos="426"/>
        </w:tabs>
        <w:suppressAutoHyphens w:val="0"/>
        <w:spacing w:line="360" w:lineRule="auto"/>
        <w:outlineLvl w:val="0"/>
        <w:rPr>
          <w:rFonts w:hint="eastAsia" w:ascii="Times New Roman" w:hAnsi="Times New Roman"/>
          <w:b/>
          <w:bCs/>
          <w:color w:val="000000"/>
          <w:sz w:val="21"/>
          <w:szCs w:val="21"/>
        </w:rPr>
      </w:pPr>
      <w:bookmarkStart w:id="10" w:name="_Toc106353807"/>
      <w:bookmarkStart w:id="11" w:name="_Toc38896848"/>
      <w:r>
        <w:rPr>
          <w:rFonts w:hint="eastAsia" w:ascii="Times New Roman" w:hAnsi="Times New Roman"/>
          <w:b/>
          <w:bCs/>
          <w:color w:val="000000"/>
          <w:sz w:val="21"/>
          <w:szCs w:val="21"/>
        </w:rPr>
        <w:t>标准规范</w:t>
      </w:r>
      <w:bookmarkEnd w:id="10"/>
      <w:bookmarkEnd w:id="11"/>
    </w:p>
    <w:p>
      <w:pPr>
        <w:autoSpaceDE w:val="0"/>
        <w:autoSpaceDN w:val="0"/>
        <w:spacing w:line="360" w:lineRule="auto"/>
        <w:ind w:firstLine="424" w:firstLineChars="202"/>
        <w:rPr>
          <w:rFonts w:hint="eastAsia"/>
          <w:szCs w:val="21"/>
        </w:rPr>
      </w:pPr>
      <w:r>
        <w:rPr>
          <w:rFonts w:hint="eastAsia"/>
          <w:szCs w:val="21"/>
        </w:rPr>
        <w:t>本项目执行的标准规范，包括但不限于以下国家法律、法规、标准规范，若以下法律、法规、标准规范与最新的国家和行业法律、法规、标准规范不一致或相冲突，则应按最新的标准规范执行。</w:t>
      </w:r>
    </w:p>
    <w:p>
      <w:pPr>
        <w:autoSpaceDE w:val="0"/>
        <w:autoSpaceDN w:val="0"/>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3.1.1</w:t>
      </w:r>
      <w:r>
        <w:rPr>
          <w:rFonts w:hint="eastAsia" w:ascii="Times New Roman" w:hAnsi="Times New Roman" w:eastAsia="宋体" w:cs="Times New Roman"/>
          <w:szCs w:val="21"/>
        </w:rPr>
        <w:t>《中华人民共和国水土保持法》（第十一届全国人大常委会第十八次会议，2011 年 3 月 1 日起施行）</w:t>
      </w:r>
      <w:r>
        <w:rPr>
          <w:rFonts w:hint="eastAsia" w:ascii="Times New Roman" w:hAnsi="Times New Roman" w:eastAsia="宋体" w:cs="Times New Roman"/>
          <w:szCs w:val="21"/>
          <w:lang w:eastAsia="zh-CN"/>
        </w:rPr>
        <w:t>；</w:t>
      </w:r>
    </w:p>
    <w:p>
      <w:pPr>
        <w:autoSpaceDE w:val="0"/>
        <w:autoSpaceDN w:val="0"/>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3.1.2</w:t>
      </w:r>
      <w:r>
        <w:rPr>
          <w:rFonts w:hint="eastAsia" w:ascii="Times New Roman" w:hAnsi="Times New Roman" w:eastAsia="宋体" w:cs="Times New Roman"/>
          <w:szCs w:val="21"/>
        </w:rPr>
        <w:t>《中华人民共和国土地管理法》</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2019 年 8 月 26 日修订</w:t>
      </w:r>
      <w:r>
        <w:rPr>
          <w:rFonts w:hint="eastAsia" w:ascii="Times New Roman" w:hAnsi="Times New Roman" w:eastAsia="宋体" w:cs="Times New Roman"/>
          <w:szCs w:val="21"/>
          <w:lang w:eastAsia="zh-CN"/>
        </w:rPr>
        <w:t>）；</w:t>
      </w:r>
    </w:p>
    <w:p>
      <w:pPr>
        <w:autoSpaceDE w:val="0"/>
        <w:autoSpaceDN w:val="0"/>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3.1.3</w:t>
      </w:r>
      <w:r>
        <w:rPr>
          <w:rFonts w:hint="eastAsia" w:ascii="Times New Roman" w:hAnsi="Times New Roman" w:eastAsia="宋体" w:cs="Times New Roman"/>
          <w:szCs w:val="21"/>
        </w:rPr>
        <w:t>《中华人民共和国水土保持法实施条例》</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2011年01月08日修订施行）</w:t>
      </w:r>
      <w:r>
        <w:rPr>
          <w:rFonts w:hint="eastAsia" w:ascii="Times New Roman" w:hAnsi="Times New Roman" w:eastAsia="宋体" w:cs="Times New Roman"/>
          <w:szCs w:val="21"/>
          <w:lang w:eastAsia="zh-CN"/>
        </w:rPr>
        <w:t>；</w:t>
      </w:r>
    </w:p>
    <w:p>
      <w:pPr>
        <w:autoSpaceDE w:val="0"/>
        <w:autoSpaceDN w:val="0"/>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3.1.4</w:t>
      </w:r>
      <w:r>
        <w:rPr>
          <w:rFonts w:hint="eastAsia" w:ascii="Times New Roman" w:hAnsi="Times New Roman" w:eastAsia="宋体" w:cs="Times New Roman"/>
          <w:szCs w:val="21"/>
        </w:rPr>
        <w:t>《黑龙江省水土保持条例》（黑龙江省第十二届人民代表大会常务委员会第三十七次会议，2017 年 12 月 27 日通过）</w:t>
      </w:r>
      <w:r>
        <w:rPr>
          <w:rFonts w:hint="eastAsia" w:ascii="Times New Roman" w:hAnsi="Times New Roman" w:eastAsia="宋体" w:cs="Times New Roman"/>
          <w:szCs w:val="21"/>
          <w:lang w:eastAsia="zh-CN"/>
        </w:rPr>
        <w:t>；</w:t>
      </w:r>
    </w:p>
    <w:p>
      <w:pPr>
        <w:autoSpaceDE w:val="0"/>
        <w:autoSpaceDN w:val="0"/>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3.1.5</w:t>
      </w:r>
      <w:r>
        <w:rPr>
          <w:rFonts w:hint="eastAsia" w:ascii="Times New Roman" w:hAnsi="Times New Roman" w:eastAsia="宋体" w:cs="Times New Roman"/>
          <w:szCs w:val="21"/>
        </w:rPr>
        <w:t>《生产建设项目水土保持技术标准》</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GB50433－2018</w:t>
      </w:r>
      <w:r>
        <w:rPr>
          <w:rFonts w:hint="eastAsia" w:ascii="Times New Roman" w:hAnsi="Times New Roman" w:eastAsia="宋体" w:cs="Times New Roman"/>
          <w:szCs w:val="21"/>
          <w:lang w:eastAsia="zh-CN"/>
        </w:rPr>
        <w:t>）；</w:t>
      </w:r>
    </w:p>
    <w:p>
      <w:pPr>
        <w:autoSpaceDE w:val="0"/>
        <w:autoSpaceDN w:val="0"/>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3.1.6</w:t>
      </w:r>
      <w:r>
        <w:rPr>
          <w:rFonts w:hint="eastAsia" w:ascii="Times New Roman" w:hAnsi="Times New Roman" w:eastAsia="宋体" w:cs="Times New Roman"/>
          <w:szCs w:val="21"/>
        </w:rPr>
        <w:t>《生产建设项目水土流失防治标准》</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GB/T50434－2018</w:t>
      </w:r>
      <w:r>
        <w:rPr>
          <w:rFonts w:hint="eastAsia" w:ascii="Times New Roman" w:hAnsi="Times New Roman" w:eastAsia="宋体" w:cs="Times New Roman"/>
          <w:szCs w:val="21"/>
          <w:lang w:eastAsia="zh-CN"/>
        </w:rPr>
        <w:t>）；</w:t>
      </w:r>
    </w:p>
    <w:p>
      <w:pPr>
        <w:autoSpaceDE w:val="0"/>
        <w:autoSpaceDN w:val="0"/>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3.1.7</w:t>
      </w:r>
      <w:r>
        <w:rPr>
          <w:rFonts w:hint="eastAsia" w:ascii="Times New Roman" w:hAnsi="Times New Roman" w:eastAsia="宋体" w:cs="Times New Roman"/>
          <w:szCs w:val="21"/>
        </w:rPr>
        <w:t>《土壤侵蚀分类分级标准》</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SL190-2007</w:t>
      </w:r>
      <w:r>
        <w:rPr>
          <w:rFonts w:hint="eastAsia" w:ascii="Times New Roman" w:hAnsi="Times New Roman" w:eastAsia="宋体" w:cs="Times New Roman"/>
          <w:szCs w:val="21"/>
          <w:lang w:eastAsia="zh-CN"/>
        </w:rPr>
        <w:t>）；</w:t>
      </w:r>
    </w:p>
    <w:p>
      <w:pPr>
        <w:autoSpaceDE w:val="0"/>
        <w:autoSpaceDN w:val="0"/>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3.1.8</w:t>
      </w:r>
      <w:r>
        <w:rPr>
          <w:rFonts w:hint="eastAsia" w:ascii="Times New Roman" w:hAnsi="Times New Roman" w:eastAsia="宋体" w:cs="Times New Roman"/>
          <w:szCs w:val="21"/>
        </w:rPr>
        <w:t>《土地利用现状分类》（GB/T 21010-2017）</w:t>
      </w:r>
      <w:r>
        <w:rPr>
          <w:rFonts w:hint="eastAsia" w:ascii="Times New Roman" w:hAnsi="Times New Roman" w:eastAsia="宋体" w:cs="Times New Roman"/>
          <w:szCs w:val="21"/>
          <w:lang w:eastAsia="zh-CN"/>
        </w:rPr>
        <w:t>；</w:t>
      </w:r>
    </w:p>
    <w:p>
      <w:pPr>
        <w:autoSpaceDE w:val="0"/>
        <w:autoSpaceDN w:val="0"/>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3.1.9</w:t>
      </w:r>
      <w:r>
        <w:rPr>
          <w:rFonts w:hint="eastAsia" w:ascii="Times New Roman" w:hAnsi="Times New Roman" w:eastAsia="宋体" w:cs="Times New Roman"/>
          <w:szCs w:val="21"/>
        </w:rPr>
        <w:t>《水土保持监测技术规程》</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SL277-2002</w:t>
      </w:r>
      <w:r>
        <w:rPr>
          <w:rFonts w:hint="eastAsia" w:ascii="Times New Roman" w:hAnsi="Times New Roman" w:eastAsia="宋体" w:cs="Times New Roman"/>
          <w:szCs w:val="21"/>
          <w:lang w:eastAsia="zh-CN"/>
        </w:rPr>
        <w:t>）；</w:t>
      </w:r>
    </w:p>
    <w:p>
      <w:pPr>
        <w:autoSpaceDE w:val="0"/>
        <w:autoSpaceDN w:val="0"/>
        <w:spacing w:line="360" w:lineRule="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3.1.10</w:t>
      </w:r>
      <w:r>
        <w:rPr>
          <w:rFonts w:hint="eastAsia" w:ascii="Times New Roman" w:hAnsi="Times New Roman" w:eastAsia="宋体" w:cs="Times New Roman"/>
          <w:szCs w:val="21"/>
        </w:rPr>
        <w:t>《水土保持工程调查与勘测标准》（GB/T51297-2018）</w:t>
      </w:r>
      <w:r>
        <w:rPr>
          <w:rFonts w:hint="eastAsia" w:ascii="Times New Roman" w:hAnsi="Times New Roman" w:eastAsia="宋体" w:cs="Times New Roman"/>
          <w:szCs w:val="21"/>
          <w:lang w:eastAsia="zh-CN"/>
        </w:rPr>
        <w:t>；</w:t>
      </w:r>
    </w:p>
    <w:p>
      <w:pPr>
        <w:autoSpaceDE w:val="0"/>
        <w:autoSpaceDN w:val="0"/>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3.1.11</w:t>
      </w:r>
      <w:r>
        <w:rPr>
          <w:rFonts w:hint="eastAsia" w:ascii="Times New Roman" w:hAnsi="Times New Roman" w:eastAsia="宋体" w:cs="Times New Roman"/>
          <w:szCs w:val="21"/>
        </w:rPr>
        <w:t>《水土保持工程设计规范》（GB51018-2014）；</w:t>
      </w:r>
    </w:p>
    <w:p>
      <w:pPr>
        <w:autoSpaceDE w:val="0"/>
        <w:autoSpaceDN w:val="0"/>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3.1.12</w:t>
      </w:r>
      <w:r>
        <w:rPr>
          <w:rFonts w:hint="eastAsia" w:ascii="Times New Roman" w:hAnsi="Times New Roman" w:eastAsia="宋体" w:cs="Times New Roman"/>
          <w:szCs w:val="21"/>
        </w:rPr>
        <w:t>《生产建设项目水土保持监测与评价标准》（GB/T 51240-2018）</w:t>
      </w:r>
      <w:r>
        <w:rPr>
          <w:rFonts w:hint="eastAsia" w:ascii="Times New Roman" w:hAnsi="Times New Roman" w:eastAsia="宋体" w:cs="Times New Roman"/>
          <w:szCs w:val="21"/>
          <w:lang w:eastAsia="zh-CN"/>
        </w:rPr>
        <w:t>。</w:t>
      </w:r>
    </w:p>
    <w:p>
      <w:pPr>
        <w:pStyle w:val="27"/>
        <w:numPr>
          <w:ilvl w:val="0"/>
          <w:numId w:val="8"/>
        </w:numPr>
        <w:tabs>
          <w:tab w:val="left" w:pos="426"/>
        </w:tabs>
        <w:suppressAutoHyphens w:val="0"/>
        <w:spacing w:line="360" w:lineRule="auto"/>
        <w:outlineLvl w:val="0"/>
        <w:rPr>
          <w:rFonts w:hint="eastAsia" w:ascii="Times New Roman" w:hAnsi="Times New Roman"/>
          <w:kern w:val="2"/>
          <w:sz w:val="21"/>
          <w:szCs w:val="21"/>
        </w:rPr>
      </w:pPr>
      <w:bookmarkStart w:id="12" w:name="OLE_LINK3"/>
      <w:bookmarkStart w:id="13" w:name="_Toc38896849"/>
      <w:bookmarkStart w:id="14" w:name="_Toc106353808"/>
      <w:r>
        <w:rPr>
          <w:rFonts w:hint="eastAsia" w:ascii="Times New Roman" w:hAnsi="Times New Roman"/>
          <w:b/>
          <w:bCs/>
          <w:color w:val="000000"/>
          <w:sz w:val="21"/>
          <w:szCs w:val="21"/>
        </w:rPr>
        <w:t>技术要求</w:t>
      </w:r>
      <w:bookmarkEnd w:id="12"/>
      <w:bookmarkEnd w:id="13"/>
      <w:bookmarkEnd w:id="14"/>
    </w:p>
    <w:p>
      <w:pPr>
        <w:spacing w:line="360" w:lineRule="auto"/>
        <w:rPr>
          <w:rFonts w:hint="eastAsia"/>
          <w:bCs/>
          <w:color w:val="000000"/>
          <w:szCs w:val="21"/>
        </w:rPr>
      </w:pPr>
      <w:r>
        <w:rPr>
          <w:rFonts w:hint="eastAsia"/>
          <w:bCs/>
          <w:color w:val="000000"/>
          <w:szCs w:val="21"/>
        </w:rPr>
        <w:t>3.2.1</w:t>
      </w:r>
      <w:r>
        <w:rPr>
          <w:rFonts w:hint="eastAsia"/>
          <w:bCs/>
          <w:color w:val="000000"/>
          <w:szCs w:val="21"/>
          <w:lang w:val="en-US" w:eastAsia="zh-CN"/>
        </w:rPr>
        <w:t>水土保持验收</w:t>
      </w:r>
      <w:r>
        <w:rPr>
          <w:rFonts w:hint="eastAsia"/>
          <w:bCs/>
          <w:color w:val="000000"/>
          <w:szCs w:val="21"/>
        </w:rPr>
        <w:t>评价公司要求</w:t>
      </w:r>
    </w:p>
    <w:p>
      <w:pPr>
        <w:spacing w:line="360" w:lineRule="auto"/>
        <w:rPr>
          <w:szCs w:val="21"/>
        </w:rPr>
      </w:pPr>
      <w:r>
        <w:rPr>
          <w:rFonts w:hint="eastAsia" w:ascii="宋体" w:hAnsi="宋体"/>
          <w:szCs w:val="21"/>
        </w:rPr>
        <w:t>★</w:t>
      </w:r>
      <w:r>
        <w:rPr>
          <w:rFonts w:hint="eastAsia"/>
          <w:bCs/>
          <w:color w:val="000000"/>
          <w:szCs w:val="21"/>
        </w:rPr>
        <w:t>3.2.1.1</w:t>
      </w:r>
      <w:r>
        <w:rPr>
          <w:rFonts w:hint="eastAsia" w:ascii="宋体" w:hAnsi="宋体"/>
          <w:szCs w:val="21"/>
        </w:rPr>
        <w:t>投标人须在中华人民共和国境内注册并具</w:t>
      </w:r>
      <w:r>
        <w:rPr>
          <w:rFonts w:hint="eastAsia" w:ascii="宋体" w:hAnsi="宋体"/>
          <w:szCs w:val="21"/>
          <w:highlight w:val="none"/>
        </w:rPr>
        <w:t>有独立法人资格（提供证件扫描件），具有有效的营业执照或事业单位法人证书</w:t>
      </w:r>
      <w:r>
        <w:rPr>
          <w:rFonts w:hint="eastAsia" w:ascii="宋体" w:hAnsi="宋体"/>
          <w:szCs w:val="21"/>
          <w:highlight w:val="none"/>
          <w:lang w:eastAsia="zh-CN"/>
        </w:rPr>
        <w:t>，</w:t>
      </w:r>
      <w:r>
        <w:rPr>
          <w:rFonts w:hint="eastAsia" w:ascii="宋体" w:hAnsi="宋体"/>
          <w:szCs w:val="21"/>
          <w:highlight w:val="none"/>
          <w:lang w:val="en-US" w:eastAsia="zh-CN"/>
        </w:rPr>
        <w:t>公司注册成立满三年。</w:t>
      </w:r>
    </w:p>
    <w:p>
      <w:pPr>
        <w:spacing w:line="360" w:lineRule="auto"/>
        <w:rPr>
          <w:rFonts w:hint="eastAsia"/>
          <w:lang w:eastAsia="zh-CN"/>
        </w:rPr>
      </w:pPr>
      <w:r>
        <w:rPr>
          <w:rFonts w:hint="eastAsia"/>
          <w:szCs w:val="21"/>
        </w:rPr>
        <w:t>3</w:t>
      </w:r>
      <w:r>
        <w:rPr>
          <w:szCs w:val="21"/>
        </w:rPr>
        <w:t>.2.1.</w:t>
      </w:r>
      <w:bookmarkStart w:id="15" w:name="_Toc349220137"/>
      <w:r>
        <w:rPr>
          <w:rFonts w:hint="eastAsia"/>
          <w:szCs w:val="21"/>
          <w:lang w:val="en-US" w:eastAsia="zh-CN"/>
        </w:rPr>
        <w:t>2</w:t>
      </w:r>
      <w:r>
        <w:rPr>
          <w:rFonts w:hint="eastAsia"/>
          <w:szCs w:val="21"/>
        </w:rPr>
        <w:t>相关</w:t>
      </w:r>
      <w:r>
        <w:rPr>
          <w:szCs w:val="21"/>
        </w:rPr>
        <w:t>安全环保要求</w:t>
      </w:r>
      <w:r>
        <w:rPr>
          <w:rFonts w:hint="eastAsia"/>
          <w:szCs w:val="21"/>
        </w:rPr>
        <w:t>：</w:t>
      </w:r>
      <w:r>
        <w:rPr>
          <w:rFonts w:hint="eastAsia"/>
          <w:lang w:val="en-US" w:eastAsia="zh-CN"/>
        </w:rPr>
        <w:t>投标人</w:t>
      </w:r>
      <w:r>
        <w:t>需按照</w:t>
      </w:r>
      <w:r>
        <w:rPr>
          <w:rFonts w:hint="eastAsia"/>
          <w:lang w:val="en-US" w:eastAsia="zh-CN"/>
        </w:rPr>
        <w:t>招标人</w:t>
      </w:r>
      <w:r>
        <w:t>管理要求进行入厂安全培训、工作风险性分析、现场作业票办理等管理制度</w:t>
      </w:r>
      <w:r>
        <w:rPr>
          <w:rFonts w:hint="eastAsia"/>
          <w:lang w:eastAsia="zh-CN"/>
        </w:rPr>
        <w:t>。</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lang w:val="en-US" w:eastAsia="zh-CN"/>
        </w:rPr>
        <w:t>3.2.1.3</w:t>
      </w:r>
      <w:r>
        <w:rPr>
          <w:rFonts w:hint="eastAsia" w:ascii="Times New Roman" w:hAnsi="Times New Roman" w:eastAsia="宋体" w:cs="Times New Roman"/>
          <w:szCs w:val="21"/>
          <w:lang w:eastAsia="zh-CN"/>
        </w:rPr>
        <w:t>投标</w:t>
      </w:r>
      <w:r>
        <w:rPr>
          <w:rFonts w:ascii="Times New Roman" w:hAnsi="Times New Roman" w:eastAsia="宋体" w:cs="Times New Roman"/>
          <w:szCs w:val="21"/>
        </w:rPr>
        <w:t>单位应确保入场人员具有合法的劳动关系</w:t>
      </w:r>
      <w:r>
        <w:rPr>
          <w:rFonts w:hint="eastAsia" w:ascii="Times New Roman" w:hAnsi="Times New Roman" w:eastAsia="宋体" w:cs="Times New Roman"/>
          <w:szCs w:val="21"/>
          <w:lang w:eastAsia="zh-CN"/>
        </w:rPr>
        <w:t>和</w:t>
      </w:r>
      <w:r>
        <w:rPr>
          <w:rFonts w:ascii="Times New Roman" w:hAnsi="Times New Roman" w:eastAsia="宋体" w:cs="Times New Roman"/>
          <w:szCs w:val="21"/>
        </w:rPr>
        <w:t>健康体检</w:t>
      </w:r>
      <w:r>
        <w:rPr>
          <w:rFonts w:hint="eastAsia" w:ascii="Times New Roman" w:hAnsi="Times New Roman" w:eastAsia="宋体" w:cs="Times New Roman"/>
          <w:szCs w:val="21"/>
          <w:lang w:eastAsia="zh-CN"/>
        </w:rPr>
        <w:t>证明</w:t>
      </w:r>
      <w:r>
        <w:rPr>
          <w:rFonts w:ascii="Times New Roman" w:hAnsi="Times New Roman" w:eastAsia="宋体" w:cs="Times New Roman"/>
          <w:szCs w:val="21"/>
        </w:rPr>
        <w:t>，确保进场人员身体条件符合作业要求</w:t>
      </w:r>
      <w:bookmarkEnd w:id="15"/>
      <w:r>
        <w:rPr>
          <w:rFonts w:ascii="Times New Roman" w:hAnsi="Times New Roman" w:eastAsia="宋体" w:cs="Times New Roman"/>
          <w:szCs w:val="21"/>
        </w:rPr>
        <w:t>（两份材料</w:t>
      </w:r>
      <w:r>
        <w:rPr>
          <w:rFonts w:hint="eastAsia" w:ascii="Times New Roman" w:hAnsi="Times New Roman" w:eastAsia="宋体" w:cs="Times New Roman"/>
          <w:szCs w:val="21"/>
          <w:lang w:eastAsia="zh-CN"/>
        </w:rPr>
        <w:t>提供</w:t>
      </w:r>
      <w:r>
        <w:rPr>
          <w:rFonts w:ascii="Times New Roman" w:hAnsi="Times New Roman" w:eastAsia="宋体" w:cs="Times New Roman"/>
          <w:szCs w:val="21"/>
        </w:rPr>
        <w:t>复印件</w:t>
      </w:r>
      <w:r>
        <w:rPr>
          <w:rFonts w:hint="eastAsia" w:ascii="Times New Roman" w:hAnsi="Times New Roman" w:eastAsia="宋体" w:cs="Times New Roman"/>
          <w:szCs w:val="21"/>
          <w:lang w:eastAsia="zh-CN"/>
        </w:rPr>
        <w:t>，并</w:t>
      </w:r>
      <w:r>
        <w:rPr>
          <w:rFonts w:ascii="Times New Roman" w:hAnsi="Times New Roman" w:eastAsia="宋体" w:cs="Times New Roman"/>
          <w:szCs w:val="21"/>
        </w:rPr>
        <w:t>加盖承包商单位公章。其中，用工合同复印件至少包括员工基本信息页、劳企签字盖章页）。</w:t>
      </w:r>
    </w:p>
    <w:p>
      <w:pPr>
        <w:spacing w:line="360" w:lineRule="auto"/>
        <w:rPr>
          <w:rFonts w:hint="eastAsia" w:ascii="宋体" w:hAnsi="宋体" w:eastAsia="宋体" w:cs="Times New Roman"/>
          <w:b w:val="0"/>
          <w:bCs w:val="0"/>
          <w:color w:val="000000"/>
          <w:szCs w:val="21"/>
          <w:highlight w:val="none"/>
          <w:lang w:val="en-US" w:eastAsia="zh-CN"/>
        </w:rPr>
      </w:pPr>
      <w:r>
        <w:rPr>
          <w:rFonts w:hint="eastAsia" w:ascii="宋体" w:hAnsi="宋体"/>
          <w:szCs w:val="21"/>
          <w:highlight w:val="none"/>
        </w:rPr>
        <w:t>★</w:t>
      </w:r>
      <w:r>
        <w:rPr>
          <w:rFonts w:hint="eastAsia"/>
          <w:szCs w:val="21"/>
          <w:highlight w:val="none"/>
        </w:rPr>
        <w:t>3.</w:t>
      </w:r>
      <w:r>
        <w:rPr>
          <w:szCs w:val="21"/>
          <w:highlight w:val="none"/>
        </w:rPr>
        <w:t>2</w:t>
      </w:r>
      <w:r>
        <w:rPr>
          <w:rFonts w:hint="eastAsia"/>
          <w:szCs w:val="21"/>
          <w:highlight w:val="none"/>
        </w:rPr>
        <w:t>.1.</w:t>
      </w:r>
      <w:r>
        <w:rPr>
          <w:rFonts w:hint="eastAsia"/>
          <w:szCs w:val="21"/>
          <w:highlight w:val="none"/>
          <w:lang w:val="en-US" w:eastAsia="zh-CN"/>
        </w:rPr>
        <w:t xml:space="preserve">4 </w:t>
      </w:r>
      <w:r>
        <w:rPr>
          <w:rFonts w:hint="eastAsia" w:ascii="宋体" w:hAnsi="宋体" w:eastAsia="宋体" w:cs="Times New Roman"/>
          <w:b w:val="0"/>
          <w:bCs w:val="0"/>
          <w:color w:val="000000"/>
          <w:szCs w:val="21"/>
          <w:highlight w:val="none"/>
        </w:rPr>
        <w:t>201</w:t>
      </w:r>
      <w:r>
        <w:rPr>
          <w:rFonts w:hint="eastAsia" w:ascii="宋体" w:hAnsi="宋体" w:eastAsia="宋体" w:cs="Times New Roman"/>
          <w:b w:val="0"/>
          <w:bCs w:val="0"/>
          <w:color w:val="000000"/>
          <w:szCs w:val="21"/>
          <w:highlight w:val="none"/>
          <w:lang w:val="en-US" w:eastAsia="zh-CN"/>
        </w:rPr>
        <w:t>8</w:t>
      </w:r>
      <w:r>
        <w:rPr>
          <w:rFonts w:hint="eastAsia" w:ascii="宋体" w:hAnsi="宋体" w:eastAsia="宋体" w:cs="Times New Roman"/>
          <w:b w:val="0"/>
          <w:bCs w:val="0"/>
          <w:color w:val="000000"/>
          <w:szCs w:val="21"/>
          <w:highlight w:val="none"/>
        </w:rPr>
        <w:t>年1月1日至投标截止日</w:t>
      </w:r>
      <w:r>
        <w:rPr>
          <w:rFonts w:hint="eastAsia" w:ascii="宋体" w:hAnsi="宋体" w:eastAsia="宋体" w:cs="Times New Roman"/>
          <w:b w:val="0"/>
          <w:bCs w:val="0"/>
          <w:color w:val="000000"/>
          <w:szCs w:val="21"/>
          <w:highlight w:val="none"/>
          <w:lang w:val="en-US" w:eastAsia="zh-CN"/>
        </w:rPr>
        <w:t>提供2</w:t>
      </w:r>
      <w:r>
        <w:rPr>
          <w:rFonts w:hint="eastAsia" w:ascii="宋体" w:hAnsi="宋体" w:eastAsia="宋体" w:cs="Times New Roman"/>
          <w:b w:val="0"/>
          <w:bCs w:val="0"/>
          <w:color w:val="000000"/>
          <w:szCs w:val="21"/>
          <w:highlight w:val="none"/>
        </w:rPr>
        <w:t>项</w:t>
      </w:r>
      <w:r>
        <w:rPr>
          <w:rFonts w:hint="eastAsia" w:ascii="宋体" w:hAnsi="宋体" w:eastAsia="宋体" w:cs="Times New Roman"/>
          <w:b w:val="0"/>
          <w:bCs w:val="0"/>
          <w:color w:val="000000"/>
          <w:szCs w:val="21"/>
          <w:highlight w:val="none"/>
          <w:lang w:val="en-US" w:eastAsia="zh-CN"/>
        </w:rPr>
        <w:t>水土保持验收评估业绩，并提供合同扫描件。</w:t>
      </w:r>
    </w:p>
    <w:p>
      <w:pPr>
        <w:spacing w:line="360" w:lineRule="auto"/>
        <w:rPr>
          <w:szCs w:val="21"/>
        </w:rPr>
      </w:pPr>
      <w:r>
        <w:rPr>
          <w:rFonts w:hint="eastAsia"/>
          <w:szCs w:val="21"/>
        </w:rPr>
        <w:t>3</w:t>
      </w:r>
      <w:r>
        <w:rPr>
          <w:szCs w:val="21"/>
        </w:rPr>
        <w:t>.2.1.</w:t>
      </w:r>
      <w:r>
        <w:rPr>
          <w:rFonts w:hint="eastAsia"/>
          <w:szCs w:val="21"/>
          <w:lang w:val="en-US" w:eastAsia="zh-CN"/>
        </w:rPr>
        <w:t>5投标人</w:t>
      </w:r>
      <w:r>
        <w:rPr>
          <w:rFonts w:hint="eastAsia" w:ascii="宋体" w:hAnsi="宋体"/>
          <w:bCs/>
          <w:color w:val="000000"/>
          <w:szCs w:val="21"/>
          <w:lang w:val="en-US" w:eastAsia="zh-CN"/>
        </w:rPr>
        <w:t>承担本项目水土保持验收评价服务的调研、资料收集、报告印制与邮递，以及涉及的现场踏勘、评审、会务等工作及相关费用（包括涉及的人员差旅交通、食宿等）。若招标人提供的基础资料无法满足投标人报价要求，投标人应在报价阶段提出，否则视为不影响报价。</w:t>
      </w:r>
    </w:p>
    <w:p>
      <w:pPr>
        <w:spacing w:line="360" w:lineRule="auto"/>
        <w:rPr>
          <w:rFonts w:hint="eastAsia"/>
          <w:szCs w:val="21"/>
        </w:rPr>
      </w:pPr>
      <w:r>
        <w:rPr>
          <w:rFonts w:hint="eastAsia"/>
          <w:bCs/>
          <w:color w:val="000000"/>
          <w:szCs w:val="21"/>
        </w:rPr>
        <w:t>3.2.</w:t>
      </w:r>
      <w:r>
        <w:rPr>
          <w:bCs/>
          <w:color w:val="000000"/>
          <w:szCs w:val="21"/>
        </w:rPr>
        <w:t>2</w:t>
      </w:r>
      <w:r>
        <w:rPr>
          <w:rFonts w:hint="eastAsia"/>
          <w:szCs w:val="21"/>
          <w:lang w:val="en-US" w:eastAsia="zh-CN"/>
        </w:rPr>
        <w:t>水土保持验收</w:t>
      </w:r>
      <w:r>
        <w:rPr>
          <w:rFonts w:hint="eastAsia"/>
          <w:szCs w:val="21"/>
        </w:rPr>
        <w:t>评价质量控制要求</w:t>
      </w:r>
    </w:p>
    <w:p>
      <w:pPr>
        <w:spacing w:line="360" w:lineRule="auto"/>
        <w:rPr>
          <w:rFonts w:hint="eastAsia" w:eastAsia="宋体"/>
          <w:szCs w:val="21"/>
          <w:lang w:eastAsia="zh-CN"/>
        </w:rPr>
      </w:pPr>
      <w:r>
        <w:rPr>
          <w:rFonts w:hint="eastAsia"/>
          <w:szCs w:val="21"/>
        </w:rPr>
        <w:t>3.2.</w:t>
      </w:r>
      <w:r>
        <w:rPr>
          <w:szCs w:val="21"/>
        </w:rPr>
        <w:t>2</w:t>
      </w:r>
      <w:r>
        <w:rPr>
          <w:rFonts w:hint="eastAsia"/>
          <w:szCs w:val="21"/>
        </w:rPr>
        <w:t>.1 投标人应采取有效措施，全面评价符合本技术规范书及最新国家业法律、法规、行业规范标准的要求</w:t>
      </w:r>
      <w:r>
        <w:rPr>
          <w:rFonts w:hint="eastAsia"/>
          <w:szCs w:val="21"/>
          <w:lang w:eastAsia="zh-CN"/>
        </w:rPr>
        <w:t>。</w:t>
      </w:r>
    </w:p>
    <w:p>
      <w:pPr>
        <w:spacing w:line="360" w:lineRule="auto"/>
        <w:rPr>
          <w:szCs w:val="21"/>
        </w:rPr>
      </w:pPr>
      <w:r>
        <w:rPr>
          <w:rFonts w:hint="eastAsia"/>
          <w:szCs w:val="21"/>
        </w:rPr>
        <w:t>3.2.</w:t>
      </w:r>
      <w:r>
        <w:rPr>
          <w:szCs w:val="21"/>
        </w:rPr>
        <w:t>2</w:t>
      </w:r>
      <w:r>
        <w:rPr>
          <w:rFonts w:hint="eastAsia"/>
          <w:szCs w:val="21"/>
        </w:rPr>
        <w:t xml:space="preserve">.2 </w:t>
      </w:r>
      <w:r>
        <w:rPr>
          <w:rFonts w:hint="eastAsia"/>
          <w:szCs w:val="21"/>
          <w:lang w:val="en-US" w:eastAsia="zh-CN"/>
        </w:rPr>
        <w:t>水土保持验收</w:t>
      </w:r>
      <w:r>
        <w:rPr>
          <w:rFonts w:hint="eastAsia"/>
          <w:szCs w:val="21"/>
        </w:rPr>
        <w:t>评价须阐明</w:t>
      </w:r>
      <w:r>
        <w:rPr>
          <w:rFonts w:hint="eastAsia"/>
          <w:szCs w:val="21"/>
          <w:lang w:val="en-US" w:eastAsia="zh-CN"/>
        </w:rPr>
        <w:t>水土保持</w:t>
      </w:r>
      <w:r>
        <w:rPr>
          <w:rFonts w:hint="eastAsia"/>
          <w:szCs w:val="21"/>
        </w:rPr>
        <w:t>保护保障体系及措施，对系统的评价总体质量负责。</w:t>
      </w:r>
    </w:p>
    <w:p>
      <w:pPr>
        <w:pStyle w:val="27"/>
        <w:numPr>
          <w:ilvl w:val="0"/>
          <w:numId w:val="4"/>
        </w:numPr>
        <w:tabs>
          <w:tab w:val="left" w:pos="426"/>
        </w:tabs>
        <w:suppressAutoHyphens w:val="0"/>
        <w:spacing w:line="360" w:lineRule="auto"/>
        <w:outlineLvl w:val="0"/>
        <w:rPr>
          <w:rFonts w:hint="eastAsia" w:ascii="Times New Roman" w:hAnsi="Times New Roman"/>
          <w:b/>
          <w:bCs/>
          <w:color w:val="000000"/>
          <w:sz w:val="21"/>
          <w:szCs w:val="21"/>
        </w:rPr>
      </w:pPr>
      <w:bookmarkStart w:id="16" w:name="_Toc106353809"/>
      <w:r>
        <w:rPr>
          <w:rFonts w:hint="eastAsia" w:ascii="Times New Roman" w:hAnsi="Times New Roman"/>
          <w:b/>
          <w:bCs/>
          <w:color w:val="000000"/>
          <w:sz w:val="21"/>
          <w:szCs w:val="21"/>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297180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4pt;margin-top:23.4pt;height:0pt;width:0.05pt;z-index:251662336;mso-width-relative:page;mso-height-relative:page;" filled="f" stroked="t" coordsize="21600,21600" o:gfxdata="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FHAnn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imes New Roman" w:hAnsi="Times New Roman"/>
          <w:b/>
          <w:bCs/>
          <w:color w:val="000000"/>
          <w:sz w:val="21"/>
          <w:szCs w:val="21"/>
        </w:rPr>
        <w:t>供货与服务范围</w:t>
      </w:r>
      <w:bookmarkEnd w:id="16"/>
    </w:p>
    <w:p>
      <w:pPr>
        <w:pStyle w:val="27"/>
        <w:numPr>
          <w:ilvl w:val="0"/>
          <w:numId w:val="9"/>
        </w:numPr>
        <w:tabs>
          <w:tab w:val="left" w:pos="426"/>
        </w:tabs>
        <w:suppressAutoHyphens w:val="0"/>
        <w:spacing w:line="360" w:lineRule="auto"/>
        <w:outlineLvl w:val="0"/>
        <w:rPr>
          <w:rFonts w:hint="eastAsia" w:ascii="Times New Roman" w:hAnsi="Times New Roman"/>
          <w:b/>
          <w:bCs/>
          <w:color w:val="000000"/>
          <w:sz w:val="21"/>
          <w:szCs w:val="21"/>
        </w:rPr>
      </w:pPr>
      <w:bookmarkStart w:id="17" w:name="_Toc106353810"/>
      <w:bookmarkStart w:id="18" w:name="_Toc38896855"/>
      <w:bookmarkStart w:id="19" w:name="_Toc349220121"/>
      <w:r>
        <w:rPr>
          <w:rFonts w:hint="eastAsia" w:ascii="Times New Roman" w:hAnsi="Times New Roman"/>
          <w:b/>
          <w:sz w:val="21"/>
          <w:szCs w:val="21"/>
        </w:rPr>
        <w:t>招标人服务范围</w:t>
      </w:r>
      <w:bookmarkEnd w:id="17"/>
      <w:bookmarkEnd w:id="18"/>
    </w:p>
    <w:p>
      <w:pPr>
        <w:spacing w:line="360" w:lineRule="auto"/>
        <w:rPr>
          <w:szCs w:val="21"/>
        </w:rPr>
      </w:pPr>
      <w:r>
        <w:rPr>
          <w:rFonts w:hint="eastAsia"/>
          <w:szCs w:val="21"/>
        </w:rPr>
        <w:t>4.1.1 服务</w:t>
      </w:r>
      <w:r>
        <w:rPr>
          <w:szCs w:val="21"/>
        </w:rPr>
        <w:t>范围</w:t>
      </w:r>
      <w:r>
        <w:rPr>
          <w:rFonts w:hint="eastAsia"/>
          <w:szCs w:val="21"/>
        </w:rPr>
        <w:t>1：为进厂人员提供三级安全教育；</w:t>
      </w:r>
    </w:p>
    <w:p>
      <w:pPr>
        <w:spacing w:line="360" w:lineRule="auto"/>
        <w:rPr>
          <w:szCs w:val="21"/>
        </w:rPr>
      </w:pPr>
      <w:r>
        <w:rPr>
          <w:rFonts w:hint="eastAsia"/>
          <w:szCs w:val="21"/>
        </w:rPr>
        <w:t>4.1.2 服务</w:t>
      </w:r>
      <w:r>
        <w:rPr>
          <w:szCs w:val="21"/>
        </w:rPr>
        <w:t>范围</w:t>
      </w:r>
      <w:r>
        <w:rPr>
          <w:rFonts w:hint="eastAsia"/>
          <w:szCs w:val="21"/>
        </w:rPr>
        <w:t>2：为评估人员提供工作所需的办公室；</w:t>
      </w:r>
    </w:p>
    <w:p>
      <w:pPr>
        <w:spacing w:line="360" w:lineRule="auto"/>
        <w:rPr>
          <w:rFonts w:hint="eastAsia"/>
          <w:szCs w:val="21"/>
        </w:rPr>
      </w:pPr>
      <w:r>
        <w:rPr>
          <w:rFonts w:hint="eastAsia"/>
          <w:szCs w:val="21"/>
        </w:rPr>
        <w:t>4.1.3 服务范围3：负责向投标人提供评价所需的文件和资料；</w:t>
      </w:r>
    </w:p>
    <w:p>
      <w:pPr>
        <w:spacing w:line="360" w:lineRule="auto"/>
        <w:rPr>
          <w:rFonts w:hint="eastAsia"/>
          <w:szCs w:val="21"/>
        </w:rPr>
      </w:pPr>
      <w:r>
        <w:rPr>
          <w:rFonts w:hint="eastAsia"/>
          <w:szCs w:val="21"/>
        </w:rPr>
        <w:t>4.1.4 服务范围4：招标人负责提出本服务相关的技术要求；</w:t>
      </w:r>
    </w:p>
    <w:p>
      <w:pPr>
        <w:spacing w:line="360" w:lineRule="auto"/>
        <w:rPr>
          <w:rFonts w:hint="eastAsia"/>
          <w:szCs w:val="21"/>
        </w:rPr>
      </w:pPr>
      <w:r>
        <w:rPr>
          <w:rFonts w:hint="eastAsia"/>
          <w:szCs w:val="21"/>
        </w:rPr>
        <w:t>4.1.5 服务范围5：招标人负责服务整体协调工作；</w:t>
      </w:r>
    </w:p>
    <w:p>
      <w:pPr>
        <w:spacing w:line="360" w:lineRule="auto"/>
        <w:rPr>
          <w:rFonts w:hint="eastAsia"/>
          <w:szCs w:val="21"/>
        </w:rPr>
      </w:pPr>
      <w:r>
        <w:rPr>
          <w:rFonts w:hint="eastAsia"/>
          <w:szCs w:val="21"/>
        </w:rPr>
        <w:t>4.1.6 服务范围6：招标人负责对投标人服务的检查、考核。</w:t>
      </w:r>
    </w:p>
    <w:p>
      <w:pPr>
        <w:pStyle w:val="27"/>
        <w:numPr>
          <w:ilvl w:val="0"/>
          <w:numId w:val="9"/>
        </w:numPr>
        <w:tabs>
          <w:tab w:val="left" w:pos="426"/>
        </w:tabs>
        <w:suppressAutoHyphens w:val="0"/>
        <w:spacing w:line="360" w:lineRule="auto"/>
        <w:outlineLvl w:val="0"/>
        <w:rPr>
          <w:rFonts w:hint="eastAsia" w:ascii="Times New Roman" w:hAnsi="Times New Roman"/>
          <w:b/>
          <w:bCs/>
          <w:color w:val="000000"/>
          <w:sz w:val="21"/>
          <w:szCs w:val="21"/>
        </w:rPr>
      </w:pPr>
      <w:bookmarkStart w:id="20" w:name="_Toc106353811"/>
      <w:bookmarkStart w:id="21" w:name="_Toc38896856"/>
      <w:r>
        <w:rPr>
          <w:rFonts w:hint="eastAsia" w:ascii="Times New Roman" w:hAnsi="Times New Roman"/>
          <w:b/>
          <w:sz w:val="21"/>
          <w:szCs w:val="21"/>
        </w:rPr>
        <w:t>投标人服务范围</w:t>
      </w:r>
      <w:bookmarkEnd w:id="20"/>
      <w:bookmarkEnd w:id="21"/>
    </w:p>
    <w:p>
      <w:pPr>
        <w:spacing w:line="360" w:lineRule="auto"/>
        <w:rPr>
          <w:szCs w:val="21"/>
        </w:rPr>
      </w:pPr>
      <w:r>
        <w:rPr>
          <w:rFonts w:hint="eastAsia" w:ascii="宋体" w:hAnsi="宋体"/>
          <w:szCs w:val="21"/>
        </w:rPr>
        <w:t>★</w:t>
      </w:r>
      <w:r>
        <w:rPr>
          <w:rFonts w:hint="eastAsia"/>
          <w:szCs w:val="21"/>
        </w:rPr>
        <w:t>4.2.1 服务</w:t>
      </w:r>
      <w:r>
        <w:rPr>
          <w:szCs w:val="21"/>
        </w:rPr>
        <w:t>范围</w:t>
      </w:r>
      <w:r>
        <w:rPr>
          <w:rFonts w:hint="eastAsia"/>
          <w:szCs w:val="21"/>
        </w:rPr>
        <w:t>1：按照现有国家法律法规标准</w:t>
      </w:r>
      <w:r>
        <w:rPr>
          <w:rFonts w:hint="eastAsia"/>
          <w:szCs w:val="21"/>
          <w:lang w:eastAsia="zh-CN"/>
        </w:rPr>
        <w:t>，</w:t>
      </w:r>
      <w:r>
        <w:rPr>
          <w:rFonts w:hint="eastAsia"/>
          <w:szCs w:val="21"/>
        </w:rPr>
        <w:t>开展</w:t>
      </w:r>
      <w:r>
        <w:rPr>
          <w:rFonts w:hint="eastAsia"/>
          <w:szCs w:val="21"/>
          <w:lang w:eastAsia="zh-CN"/>
        </w:rPr>
        <w:t>验收</w:t>
      </w:r>
      <w:r>
        <w:rPr>
          <w:rFonts w:hint="eastAsia"/>
          <w:szCs w:val="21"/>
        </w:rPr>
        <w:t>评价</w:t>
      </w:r>
      <w:r>
        <w:rPr>
          <w:rFonts w:hint="eastAsia"/>
          <w:szCs w:val="21"/>
          <w:lang w:val="en-US" w:eastAsia="zh-CN"/>
        </w:rPr>
        <w:t>工作</w:t>
      </w:r>
      <w:r>
        <w:rPr>
          <w:rFonts w:hint="eastAsia"/>
          <w:szCs w:val="21"/>
        </w:rPr>
        <w:t>，并出具符合现有国家法律法规标准的评价报告；评价报告报相关</w:t>
      </w:r>
      <w:r>
        <w:rPr>
          <w:rFonts w:hint="eastAsia"/>
          <w:szCs w:val="21"/>
          <w:lang w:val="en-US" w:eastAsia="zh-CN"/>
        </w:rPr>
        <w:t>政府</w:t>
      </w:r>
      <w:r>
        <w:rPr>
          <w:rFonts w:hint="eastAsia"/>
          <w:szCs w:val="21"/>
        </w:rPr>
        <w:t>部门进行审查，</w:t>
      </w:r>
      <w:r>
        <w:rPr>
          <w:rFonts w:hint="eastAsia"/>
          <w:szCs w:val="21"/>
          <w:lang w:val="en-US" w:eastAsia="zh-CN"/>
        </w:rPr>
        <w:t>结合审查意见对报告内容进行修改和完善，直至完成专家评审、政府审查和批复。</w:t>
      </w:r>
    </w:p>
    <w:p>
      <w:pPr>
        <w:spacing w:line="360" w:lineRule="auto"/>
        <w:rPr>
          <w:szCs w:val="21"/>
        </w:rPr>
      </w:pPr>
      <w:r>
        <w:rPr>
          <w:rFonts w:hint="eastAsia"/>
          <w:szCs w:val="21"/>
        </w:rPr>
        <w:t>4.2.</w:t>
      </w:r>
      <w:r>
        <w:rPr>
          <w:szCs w:val="21"/>
        </w:rPr>
        <w:t>2</w:t>
      </w:r>
      <w:r>
        <w:rPr>
          <w:rFonts w:hint="eastAsia"/>
          <w:szCs w:val="21"/>
        </w:rPr>
        <w:t xml:space="preserve"> 服务范围2：对招标人提供的资料遵守保密原则，防止泄密；严禁私自向第三方提供本公司资料，未经招标人允许，现场严禁拍照；</w:t>
      </w:r>
    </w:p>
    <w:p>
      <w:pPr>
        <w:spacing w:line="360" w:lineRule="auto"/>
        <w:rPr>
          <w:rFonts w:hint="eastAsia"/>
          <w:szCs w:val="21"/>
        </w:rPr>
      </w:pPr>
      <w:r>
        <w:rPr>
          <w:rFonts w:hint="eastAsia"/>
          <w:szCs w:val="21"/>
        </w:rPr>
        <w:t>4</w:t>
      </w:r>
      <w:r>
        <w:rPr>
          <w:szCs w:val="21"/>
        </w:rPr>
        <w:t>.2.</w:t>
      </w:r>
      <w:r>
        <w:rPr>
          <w:rFonts w:hint="eastAsia"/>
          <w:szCs w:val="21"/>
          <w:lang w:val="en-US" w:eastAsia="zh-CN"/>
        </w:rPr>
        <w:t>3</w:t>
      </w:r>
      <w:r>
        <w:rPr>
          <w:rFonts w:hint="eastAsia"/>
          <w:szCs w:val="21"/>
        </w:rPr>
        <w:t>提报报告表（备案稿）及附件、附图纸质版10套，电子版（含可编辑版、签字盖章扫描版）1份；其他相关资料文件应满足报审、报备以及甲方存档要求。</w:t>
      </w:r>
    </w:p>
    <w:bookmarkEnd w:id="19"/>
    <w:p>
      <w:pPr>
        <w:pStyle w:val="27"/>
        <w:numPr>
          <w:ilvl w:val="0"/>
          <w:numId w:val="4"/>
        </w:numPr>
        <w:tabs>
          <w:tab w:val="left" w:pos="426"/>
        </w:tabs>
        <w:suppressAutoHyphens w:val="0"/>
        <w:spacing w:line="360" w:lineRule="auto"/>
        <w:outlineLvl w:val="0"/>
        <w:rPr>
          <w:rFonts w:hint="eastAsia" w:ascii="Times New Roman" w:hAnsi="Times New Roman"/>
          <w:b/>
          <w:bCs/>
          <w:color w:val="000000"/>
          <w:sz w:val="21"/>
          <w:szCs w:val="21"/>
        </w:rPr>
      </w:pPr>
      <w:bookmarkStart w:id="22" w:name="_Toc38896857"/>
      <w:bookmarkStart w:id="23" w:name="_Toc106353812"/>
      <w:r>
        <w:rPr>
          <w:rFonts w:hint="eastAsia" w:ascii="Times New Roman" w:hAnsi="Times New Roman"/>
          <w:b/>
          <w:bCs/>
          <w:color w:val="000000"/>
          <w:sz w:val="21"/>
          <w:szCs w:val="21"/>
        </w:rPr>
        <w:t>交货期、工期及付款要求</w:t>
      </w:r>
      <w:bookmarkEnd w:id="22"/>
      <w:bookmarkEnd w:id="23"/>
    </w:p>
    <w:p>
      <w:pPr>
        <w:spacing w:line="360" w:lineRule="auto"/>
        <w:rPr>
          <w:rFonts w:hint="eastAsia"/>
          <w:szCs w:val="21"/>
        </w:rPr>
      </w:pPr>
      <w:r>
        <w:rPr>
          <w:rFonts w:hint="eastAsia"/>
          <w:szCs w:val="21"/>
          <w:lang w:val="zh-CN"/>
        </w:rPr>
        <w:t>5</w:t>
      </w:r>
      <w:r>
        <w:rPr>
          <w:szCs w:val="21"/>
          <w:lang w:val="zh-CN"/>
        </w:rPr>
        <w:t>.1</w:t>
      </w:r>
      <w:r>
        <w:rPr>
          <w:rFonts w:hint="eastAsia" w:ascii="宋体" w:hAnsi="宋体"/>
          <w:szCs w:val="21"/>
          <w:lang w:val="zh-CN"/>
        </w:rPr>
        <w:t>自签订合同之日</w:t>
      </w:r>
      <w:r>
        <w:rPr>
          <w:rFonts w:hint="eastAsia"/>
          <w:szCs w:val="21"/>
          <w:lang w:val="zh-CN"/>
        </w:rPr>
        <w:t>，启动编制工作；自合同签订之日起</w:t>
      </w:r>
      <w:r>
        <w:rPr>
          <w:rFonts w:hint="eastAsia"/>
          <w:szCs w:val="21"/>
        </w:rPr>
        <w:t>15个自然</w:t>
      </w:r>
      <w:r>
        <w:rPr>
          <w:rFonts w:hint="eastAsia"/>
          <w:szCs w:val="21"/>
          <w:lang w:val="zh-CN"/>
        </w:rPr>
        <w:t>日内完成并提交</w:t>
      </w:r>
      <w:r>
        <w:rPr>
          <w:rFonts w:hint="eastAsia" w:ascii="Times New Roman" w:hAnsi="Times New Roman" w:eastAsia="宋体" w:cs="Times New Roman"/>
          <w:b/>
          <w:bCs/>
          <w:szCs w:val="21"/>
          <w:lang w:val="zh-CN"/>
        </w:rPr>
        <w:t>年产30万吨绿色增值复合肥项目水土保持验收评价</w:t>
      </w:r>
      <w:r>
        <w:rPr>
          <w:rFonts w:hint="eastAsia"/>
          <w:b/>
          <w:bCs/>
          <w:color w:val="000000"/>
          <w:szCs w:val="21"/>
        </w:rPr>
        <w:t>报告表</w:t>
      </w:r>
      <w:r>
        <w:rPr>
          <w:rFonts w:hint="eastAsia"/>
          <w:szCs w:val="21"/>
          <w:lang w:val="zh-CN"/>
        </w:rPr>
        <w:t>（报审稿）；</w:t>
      </w:r>
      <w:r>
        <w:rPr>
          <w:rFonts w:hint="eastAsia"/>
          <w:b/>
          <w:bCs/>
          <w:color w:val="000000"/>
          <w:szCs w:val="21"/>
          <w:lang w:val="en-US" w:eastAsia="zh-CN"/>
        </w:rPr>
        <w:t>水土保持验收</w:t>
      </w:r>
      <w:r>
        <w:rPr>
          <w:rFonts w:hint="eastAsia"/>
          <w:b/>
          <w:bCs/>
          <w:color w:val="000000"/>
          <w:szCs w:val="21"/>
        </w:rPr>
        <w:t>评价报告表经政府部门</w:t>
      </w:r>
      <w:r>
        <w:rPr>
          <w:rFonts w:hint="eastAsia"/>
          <w:szCs w:val="21"/>
          <w:lang w:val="zh-CN"/>
        </w:rPr>
        <w:t>审查后，根据审查意见进行修订，并于5个工作日内完成</w:t>
      </w:r>
      <w:r>
        <w:rPr>
          <w:rFonts w:hint="eastAsia"/>
          <w:szCs w:val="21"/>
        </w:rPr>
        <w:t>报告修改；</w:t>
      </w:r>
    </w:p>
    <w:p>
      <w:pPr>
        <w:spacing w:line="360" w:lineRule="auto"/>
        <w:rPr>
          <w:szCs w:val="21"/>
          <w:lang w:val="zh-CN"/>
        </w:rPr>
      </w:pPr>
      <w:r>
        <w:rPr>
          <w:rFonts w:hint="eastAsia"/>
          <w:szCs w:val="21"/>
          <w:lang w:val="zh-CN"/>
        </w:rPr>
        <w:t>5</w:t>
      </w:r>
      <w:r>
        <w:rPr>
          <w:szCs w:val="21"/>
          <w:lang w:val="zh-CN"/>
        </w:rPr>
        <w:t>.2 招标人在鹤岗市</w:t>
      </w:r>
      <w:r>
        <w:rPr>
          <w:rFonts w:hint="eastAsia"/>
          <w:szCs w:val="21"/>
          <w:lang w:val="en-US" w:eastAsia="zh-CN"/>
        </w:rPr>
        <w:t>水务</w:t>
      </w:r>
      <w:r>
        <w:rPr>
          <w:szCs w:val="21"/>
          <w:lang w:val="zh-CN"/>
        </w:rPr>
        <w:t>局完成备案</w:t>
      </w:r>
      <w:r>
        <w:rPr>
          <w:rFonts w:hint="eastAsia"/>
          <w:szCs w:val="21"/>
          <w:lang w:val="en-US" w:eastAsia="zh-CN"/>
        </w:rPr>
        <w:t>及获得批复后</w:t>
      </w:r>
      <w:r>
        <w:rPr>
          <w:szCs w:val="21"/>
          <w:lang w:val="zh-CN"/>
        </w:rPr>
        <w:t>，一次性支付投标人全部合同金额。</w:t>
      </w:r>
    </w:p>
    <w:p>
      <w:pPr>
        <w:pStyle w:val="27"/>
        <w:numPr>
          <w:ilvl w:val="0"/>
          <w:numId w:val="4"/>
        </w:numPr>
        <w:tabs>
          <w:tab w:val="left" w:pos="426"/>
        </w:tabs>
        <w:suppressAutoHyphens w:val="0"/>
        <w:spacing w:line="360" w:lineRule="auto"/>
        <w:outlineLvl w:val="0"/>
        <w:rPr>
          <w:rFonts w:hint="eastAsia" w:ascii="Times New Roman" w:hAnsi="Times New Roman"/>
          <w:b/>
          <w:bCs/>
          <w:color w:val="000000"/>
          <w:sz w:val="21"/>
          <w:szCs w:val="21"/>
        </w:rPr>
      </w:pPr>
      <w:bookmarkStart w:id="24" w:name="_Toc106353813"/>
      <w:bookmarkStart w:id="25" w:name="_Toc38896858"/>
      <w:r>
        <w:rPr>
          <w:rFonts w:hint="eastAsia" w:ascii="Times New Roman" w:hAnsi="Times New Roman"/>
          <w:b/>
          <w:bCs/>
          <w:color w:val="000000"/>
          <w:sz w:val="21"/>
          <w:szCs w:val="21"/>
        </w:rPr>
        <w:t>检验和试验</w:t>
      </w:r>
      <w:bookmarkEnd w:id="24"/>
      <w:bookmarkEnd w:id="25"/>
    </w:p>
    <w:p>
      <w:pPr>
        <w:spacing w:line="360" w:lineRule="auto"/>
        <w:ind w:firstLine="420" w:firstLineChars="200"/>
        <w:rPr>
          <w:rFonts w:hint="eastAsia"/>
          <w:szCs w:val="21"/>
        </w:rPr>
      </w:pPr>
      <w:r>
        <w:rPr>
          <w:rFonts w:hint="eastAsia"/>
          <w:szCs w:val="21"/>
        </w:rPr>
        <w:t>不适用</w:t>
      </w:r>
    </w:p>
    <w:p>
      <w:pPr>
        <w:pStyle w:val="27"/>
        <w:numPr>
          <w:ilvl w:val="0"/>
          <w:numId w:val="4"/>
        </w:numPr>
        <w:tabs>
          <w:tab w:val="left" w:pos="426"/>
        </w:tabs>
        <w:suppressAutoHyphens w:val="0"/>
        <w:spacing w:line="360" w:lineRule="auto"/>
        <w:outlineLvl w:val="0"/>
        <w:rPr>
          <w:rFonts w:hint="eastAsia" w:ascii="Times New Roman" w:hAnsi="Times New Roman"/>
          <w:b/>
          <w:bCs/>
          <w:color w:val="000000"/>
          <w:sz w:val="21"/>
          <w:szCs w:val="21"/>
        </w:rPr>
      </w:pPr>
      <w:bookmarkStart w:id="26" w:name="_Toc380139610"/>
      <w:bookmarkStart w:id="27" w:name="_Toc38896859"/>
      <w:bookmarkStart w:id="28" w:name="_Toc381169831"/>
      <w:bookmarkStart w:id="29" w:name="_Toc106353814"/>
      <w:r>
        <w:rPr>
          <w:rFonts w:hint="eastAsia" w:ascii="Times New Roman" w:hAnsi="Times New Roman"/>
          <w:b/>
          <w:bCs/>
          <w:color w:val="000000"/>
          <w:sz w:val="21"/>
          <w:szCs w:val="21"/>
        </w:rPr>
        <w:t>售后服务</w:t>
      </w:r>
      <w:bookmarkEnd w:id="26"/>
      <w:bookmarkEnd w:id="27"/>
      <w:bookmarkEnd w:id="28"/>
      <w:bookmarkEnd w:id="29"/>
    </w:p>
    <w:p>
      <w:pPr>
        <w:spacing w:line="360" w:lineRule="auto"/>
        <w:ind w:firstLine="420" w:firstLineChars="200"/>
        <w:rPr>
          <w:szCs w:val="21"/>
        </w:rPr>
      </w:pPr>
      <w:r>
        <w:rPr>
          <w:rFonts w:hint="eastAsia"/>
          <w:szCs w:val="21"/>
        </w:rPr>
        <w:t>不适用</w:t>
      </w:r>
    </w:p>
    <w:p>
      <w:pPr>
        <w:pStyle w:val="27"/>
        <w:numPr>
          <w:ilvl w:val="0"/>
          <w:numId w:val="4"/>
        </w:numPr>
        <w:tabs>
          <w:tab w:val="left" w:pos="426"/>
        </w:tabs>
        <w:suppressAutoHyphens w:val="0"/>
        <w:spacing w:line="360" w:lineRule="auto"/>
        <w:outlineLvl w:val="0"/>
        <w:rPr>
          <w:rFonts w:hint="eastAsia" w:ascii="Times New Roman" w:hAnsi="Times New Roman"/>
          <w:b/>
          <w:bCs/>
          <w:color w:val="000000"/>
          <w:sz w:val="21"/>
          <w:szCs w:val="21"/>
        </w:rPr>
      </w:pPr>
      <w:bookmarkStart w:id="30" w:name="_Toc350325986"/>
      <w:bookmarkEnd w:id="30"/>
      <w:bookmarkStart w:id="31" w:name="_Toc350325981"/>
      <w:bookmarkEnd w:id="31"/>
      <w:bookmarkStart w:id="32" w:name="_Toc350329514"/>
      <w:bookmarkEnd w:id="32"/>
      <w:bookmarkStart w:id="33" w:name="_Toc350325980"/>
      <w:bookmarkEnd w:id="33"/>
      <w:bookmarkStart w:id="34" w:name="_Toc350329515"/>
      <w:bookmarkEnd w:id="34"/>
      <w:bookmarkStart w:id="35" w:name="_Toc350325984"/>
      <w:bookmarkEnd w:id="35"/>
      <w:bookmarkStart w:id="36" w:name="_Toc350325983"/>
      <w:bookmarkEnd w:id="36"/>
      <w:bookmarkStart w:id="37" w:name="_Toc350329513"/>
      <w:bookmarkEnd w:id="37"/>
      <w:bookmarkStart w:id="38" w:name="_Toc350329516"/>
      <w:bookmarkEnd w:id="38"/>
      <w:bookmarkStart w:id="39" w:name="_Toc350325978"/>
      <w:bookmarkEnd w:id="39"/>
      <w:bookmarkStart w:id="40" w:name="_Toc350325987"/>
      <w:bookmarkEnd w:id="40"/>
      <w:bookmarkStart w:id="41" w:name="_Toc350325979"/>
      <w:bookmarkEnd w:id="41"/>
      <w:bookmarkStart w:id="42" w:name="_Toc350325985"/>
      <w:bookmarkEnd w:id="42"/>
      <w:bookmarkStart w:id="43" w:name="_Toc350329512"/>
      <w:bookmarkEnd w:id="43"/>
      <w:bookmarkStart w:id="44" w:name="_Toc350325982"/>
      <w:bookmarkEnd w:id="44"/>
      <w:bookmarkStart w:id="45" w:name="_Toc350329517"/>
      <w:bookmarkEnd w:id="45"/>
      <w:bookmarkStart w:id="46" w:name="_Toc350329511"/>
      <w:bookmarkEnd w:id="46"/>
      <w:bookmarkStart w:id="47" w:name="_Toc350329518"/>
      <w:bookmarkEnd w:id="47"/>
      <w:bookmarkStart w:id="48" w:name="_Toc350329519"/>
      <w:bookmarkEnd w:id="48"/>
      <w:bookmarkStart w:id="49" w:name="_Toc350329510"/>
      <w:bookmarkEnd w:id="49"/>
      <w:bookmarkStart w:id="50" w:name="_Toc38896860"/>
      <w:bookmarkStart w:id="51" w:name="_Toc106353815"/>
      <w:r>
        <w:rPr>
          <w:rFonts w:hint="eastAsia" w:ascii="Times New Roman" w:hAnsi="Times New Roman"/>
          <w:b/>
          <w:bCs/>
          <w:color w:val="000000"/>
          <w:sz w:val="21"/>
          <w:szCs w:val="21"/>
        </w:rPr>
        <w:t>技术投标文件要求</w:t>
      </w:r>
      <w:bookmarkEnd w:id="50"/>
      <w:bookmarkEnd w:id="51"/>
    </w:p>
    <w:p>
      <w:pPr>
        <w:numPr>
          <w:ilvl w:val="0"/>
          <w:numId w:val="10"/>
        </w:numPr>
        <w:spacing w:line="360" w:lineRule="auto"/>
        <w:ind w:left="0" w:firstLine="0"/>
        <w:rPr>
          <w:szCs w:val="21"/>
        </w:rPr>
      </w:pPr>
      <w:bookmarkStart w:id="52" w:name="_Toc381706232"/>
      <w:bookmarkStart w:id="53" w:name="_Toc381706859"/>
      <w:bookmarkStart w:id="54" w:name="_Toc38896862"/>
      <w:bookmarkStart w:id="55" w:name="_Toc381706331"/>
      <w:r>
        <w:rPr>
          <w:rFonts w:hint="eastAsia"/>
          <w:szCs w:val="21"/>
        </w:rPr>
        <w:t>公司简介</w:t>
      </w:r>
    </w:p>
    <w:p>
      <w:pPr>
        <w:numPr>
          <w:ilvl w:val="0"/>
          <w:numId w:val="10"/>
        </w:numPr>
        <w:spacing w:line="360" w:lineRule="auto"/>
        <w:ind w:left="0" w:firstLine="0"/>
        <w:rPr>
          <w:rFonts w:hint="eastAsia"/>
          <w:szCs w:val="21"/>
        </w:rPr>
      </w:pPr>
      <w:r>
        <w:rPr>
          <w:rFonts w:hint="eastAsia"/>
          <w:szCs w:val="21"/>
        </w:rPr>
        <w:t>公司、</w:t>
      </w:r>
      <w:r>
        <w:rPr>
          <w:szCs w:val="21"/>
        </w:rPr>
        <w:t>人员</w:t>
      </w:r>
      <w:r>
        <w:rPr>
          <w:rFonts w:hint="eastAsia"/>
          <w:szCs w:val="21"/>
        </w:rPr>
        <w:t>资质及取证情况。</w:t>
      </w:r>
    </w:p>
    <w:p>
      <w:pPr>
        <w:numPr>
          <w:ilvl w:val="0"/>
          <w:numId w:val="10"/>
        </w:numPr>
        <w:spacing w:line="360" w:lineRule="auto"/>
        <w:ind w:left="0" w:firstLine="0"/>
        <w:rPr>
          <w:szCs w:val="21"/>
        </w:rPr>
      </w:pPr>
      <w:r>
        <w:rPr>
          <w:rFonts w:hint="eastAsia"/>
          <w:szCs w:val="21"/>
        </w:rPr>
        <w:t>近</w:t>
      </w:r>
      <w:r>
        <w:rPr>
          <w:szCs w:val="21"/>
        </w:rPr>
        <w:t>2</w:t>
      </w:r>
      <w:r>
        <w:rPr>
          <w:rFonts w:hint="eastAsia"/>
          <w:szCs w:val="21"/>
        </w:rPr>
        <w:t>年内同类或类似服务业绩。</w:t>
      </w:r>
    </w:p>
    <w:p>
      <w:pPr>
        <w:numPr>
          <w:ilvl w:val="0"/>
          <w:numId w:val="10"/>
        </w:numPr>
        <w:spacing w:line="360" w:lineRule="auto"/>
        <w:ind w:left="0" w:firstLine="0"/>
        <w:rPr>
          <w:szCs w:val="21"/>
        </w:rPr>
      </w:pPr>
      <w:r>
        <w:rPr>
          <w:rFonts w:hint="eastAsia"/>
          <w:szCs w:val="21"/>
        </w:rPr>
        <w:t>动员计划（附件</w:t>
      </w:r>
      <w:r>
        <w:rPr>
          <w:szCs w:val="21"/>
        </w:rPr>
        <w:t>1</w:t>
      </w:r>
      <w:r>
        <w:rPr>
          <w:rFonts w:hint="eastAsia"/>
          <w:szCs w:val="21"/>
        </w:rPr>
        <w:t>）</w:t>
      </w:r>
    </w:p>
    <w:p>
      <w:pPr>
        <w:numPr>
          <w:ilvl w:val="0"/>
          <w:numId w:val="10"/>
        </w:numPr>
        <w:spacing w:line="360" w:lineRule="auto"/>
        <w:ind w:left="0" w:firstLine="0"/>
        <w:rPr>
          <w:rFonts w:hint="eastAsia"/>
          <w:szCs w:val="21"/>
        </w:rPr>
      </w:pPr>
      <w:r>
        <w:rPr>
          <w:rFonts w:hint="eastAsia"/>
          <w:szCs w:val="21"/>
        </w:rPr>
        <w:t>服务范围及工</w:t>
      </w:r>
      <w:r>
        <w:rPr>
          <w:szCs w:val="21"/>
        </w:rPr>
        <w:t>期</w:t>
      </w:r>
      <w:r>
        <w:rPr>
          <w:rFonts w:hint="eastAsia"/>
          <w:szCs w:val="21"/>
        </w:rPr>
        <w:t>。</w:t>
      </w:r>
    </w:p>
    <w:p>
      <w:pPr>
        <w:numPr>
          <w:ilvl w:val="0"/>
          <w:numId w:val="10"/>
        </w:numPr>
        <w:spacing w:line="360" w:lineRule="auto"/>
        <w:ind w:left="0" w:firstLine="0"/>
        <w:rPr>
          <w:szCs w:val="21"/>
        </w:rPr>
      </w:pPr>
      <w:r>
        <w:rPr>
          <w:rFonts w:hint="eastAsia"/>
          <w:szCs w:val="21"/>
        </w:rPr>
        <w:t>详细的进度控制计划表及进度保证措施。</w:t>
      </w:r>
    </w:p>
    <w:p>
      <w:pPr>
        <w:numPr>
          <w:ilvl w:val="0"/>
          <w:numId w:val="10"/>
        </w:numPr>
        <w:spacing w:line="360" w:lineRule="auto"/>
        <w:ind w:left="0" w:firstLine="0"/>
        <w:rPr>
          <w:rFonts w:hint="eastAsia"/>
          <w:szCs w:val="21"/>
        </w:rPr>
      </w:pPr>
      <w:r>
        <w:rPr>
          <w:rFonts w:hint="eastAsia"/>
          <w:szCs w:val="21"/>
        </w:rPr>
        <w:t>服务及质量承诺。</w:t>
      </w:r>
    </w:p>
    <w:p>
      <w:pPr>
        <w:numPr>
          <w:ilvl w:val="0"/>
          <w:numId w:val="10"/>
        </w:numPr>
        <w:spacing w:line="360" w:lineRule="auto"/>
        <w:ind w:left="0" w:firstLine="0"/>
        <w:rPr>
          <w:rFonts w:hint="eastAsia"/>
          <w:szCs w:val="21"/>
        </w:rPr>
      </w:pPr>
      <w:r>
        <w:rPr>
          <w:rFonts w:hint="eastAsia"/>
          <w:szCs w:val="21"/>
        </w:rPr>
        <w:t>技术偏离等（</w:t>
      </w:r>
      <w:r>
        <w:rPr>
          <w:szCs w:val="21"/>
        </w:rPr>
        <w:t>附件2</w:t>
      </w:r>
      <w:r>
        <w:rPr>
          <w:rFonts w:hint="eastAsia"/>
          <w:szCs w:val="21"/>
        </w:rPr>
        <w:t>）。</w:t>
      </w:r>
    </w:p>
    <w:p>
      <w:pPr>
        <w:pStyle w:val="28"/>
        <w:rPr>
          <w:rFonts w:ascii="Times New Roman" w:hAnsi="Times New Roman"/>
        </w:rPr>
      </w:pPr>
    </w:p>
    <w:bookmarkEnd w:id="52"/>
    <w:bookmarkEnd w:id="53"/>
    <w:bookmarkEnd w:id="54"/>
    <w:bookmarkEnd w:id="55"/>
    <w:p>
      <w:pPr>
        <w:pStyle w:val="28"/>
        <w:rPr>
          <w:rFonts w:hint="eastAsia" w:ascii="Times New Roman" w:hAnsi="Times New Roman"/>
        </w:rPr>
      </w:pPr>
      <w:bookmarkStart w:id="56" w:name="_Toc106353816"/>
      <w:bookmarkStart w:id="57" w:name="_Toc44180049"/>
      <w:r>
        <w:rPr>
          <w:rFonts w:hint="eastAsia" w:ascii="Times New Roman" w:hAnsi="Times New Roman"/>
        </w:rPr>
        <w:t>附件</w:t>
      </w:r>
      <w:r>
        <w:rPr>
          <w:rFonts w:ascii="Times New Roman" w:hAnsi="Times New Roman"/>
        </w:rPr>
        <w:t>1</w:t>
      </w:r>
      <w:r>
        <w:rPr>
          <w:rFonts w:hint="eastAsia" w:ascii="Times New Roman" w:hAnsi="Times New Roman"/>
        </w:rPr>
        <w:t>动员计划</w:t>
      </w:r>
      <w:bookmarkEnd w:id="56"/>
      <w:bookmarkEnd w:id="57"/>
    </w:p>
    <w:p>
      <w:pPr>
        <w:spacing w:line="360" w:lineRule="auto"/>
        <w:jc w:val="center"/>
        <w:rPr>
          <w:rFonts w:hint="eastAsia"/>
        </w:rPr>
      </w:pPr>
      <w:r>
        <w:rPr>
          <w:rFonts w:hint="eastAsia"/>
        </w:rPr>
        <w:t>表</w:t>
      </w:r>
      <w:r>
        <w:t>1</w:t>
      </w:r>
      <w:r>
        <w:rPr>
          <w:rFonts w:hint="eastAsia"/>
        </w:rPr>
        <w:t>人力动员计划</w:t>
      </w:r>
    </w:p>
    <w:tbl>
      <w:tblPr>
        <w:tblStyle w:val="17"/>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ascii="Times New Roman" w:hAnsi="Times New Roman"/>
                <w:bCs/>
                <w:sz w:val="18"/>
                <w:szCs w:val="21"/>
              </w:rPr>
            </w:pPr>
            <w:r>
              <w:rPr>
                <w:rFonts w:hint="eastAsia" w:ascii="Times New Roman" w:hAnsi="Times New Roman"/>
                <w:bCs/>
                <w:sz w:val="18"/>
                <w:szCs w:val="21"/>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ascii="Times New Roman" w:hAnsi="Times New Roman"/>
                <w:bCs/>
                <w:sz w:val="18"/>
                <w:szCs w:val="21"/>
              </w:rPr>
            </w:pPr>
            <w:r>
              <w:rPr>
                <w:rFonts w:hint="eastAsia" w:ascii="Times New Roman" w:hAnsi="Times New Roman"/>
                <w:bCs/>
                <w:sz w:val="18"/>
                <w:szCs w:val="21"/>
              </w:rPr>
              <w:t>姓名</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hint="eastAsia" w:ascii="Times New Roman" w:hAnsi="Times New Roman"/>
                <w:bCs/>
                <w:sz w:val="18"/>
                <w:szCs w:val="21"/>
              </w:rPr>
            </w:pPr>
            <w:r>
              <w:rPr>
                <w:rFonts w:hint="eastAsia" w:ascii="Times New Roman" w:hAnsi="Times New Roman"/>
                <w:bCs/>
                <w:sz w:val="18"/>
                <w:szCs w:val="21"/>
              </w:rPr>
              <w:t>工种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ascii="Times New Roman" w:hAnsi="Times New Roman"/>
                <w:bCs/>
                <w:sz w:val="18"/>
                <w:szCs w:val="21"/>
              </w:rPr>
            </w:pPr>
            <w:r>
              <w:rPr>
                <w:rFonts w:hint="eastAsia" w:ascii="Times New Roman" w:hAnsi="Times New Roman"/>
                <w:bCs/>
                <w:sz w:val="18"/>
                <w:szCs w:val="21"/>
              </w:rPr>
              <w:t>技术资格</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ascii="Times New Roman" w:hAnsi="Times New Roman"/>
                <w:bCs/>
                <w:sz w:val="18"/>
                <w:szCs w:val="21"/>
              </w:rPr>
            </w:pPr>
            <w:r>
              <w:rPr>
                <w:rFonts w:hint="eastAsia" w:ascii="Times New Roman" w:hAnsi="Times New Roman"/>
                <w:bCs/>
                <w:sz w:val="18"/>
                <w:szCs w:val="21"/>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ascii="Times New Roman" w:hAnsi="Times New Roman"/>
                <w:bCs/>
                <w:sz w:val="18"/>
                <w:szCs w:val="21"/>
              </w:rPr>
            </w:pPr>
            <w:r>
              <w:rPr>
                <w:rFonts w:hint="eastAsia" w:ascii="Times New Roman" w:hAnsi="Times New Roman"/>
                <w:bCs/>
                <w:sz w:val="18"/>
                <w:szCs w:val="21"/>
              </w:rPr>
              <w:t>备注</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ascii="Times New Roman" w:hAnsi="Times New Roman"/>
                <w:sz w:val="18"/>
                <w:szCs w:val="21"/>
              </w:rPr>
            </w:pPr>
            <w:r>
              <w:rPr>
                <w:rFonts w:hint="eastAsia" w:ascii="Times New Roman" w:hAnsi="Times New Roman"/>
                <w:sz w:val="18"/>
                <w:szCs w:val="21"/>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ascii="Times New Roman" w:hAnsi="Times New Roman"/>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ascii="Times New Roman" w:hAnsi="Times New Roman"/>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kern w:val="0"/>
                <w:sz w:val="18"/>
                <w:szCs w:val="21"/>
              </w:rPr>
            </w:pP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hint="eastAsia" w:ascii="Times New Roman" w:hAnsi="Times New Roman"/>
                <w:sz w:val="18"/>
                <w:szCs w:val="21"/>
              </w:rPr>
            </w:pPr>
            <w:r>
              <w:rPr>
                <w:rFonts w:hint="eastAsia" w:ascii="Times New Roman" w:hAnsi="Times New Roman"/>
                <w:sz w:val="18"/>
                <w:szCs w:val="21"/>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hint="eastAsia" w:ascii="Times New Roman" w:hAnsi="Times New Roman"/>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hint="eastAsia" w:ascii="Times New Roman" w:hAnsi="Times New Roman"/>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rPr>
                <w:rFonts w:hint="eastAsia" w:ascii="Times New Roman" w:hAnsi="Times New Roman"/>
                <w:sz w:val="18"/>
                <w:szCs w:val="21"/>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hint="eastAsia" w:ascii="Times New Roman" w:hAnsi="Times New Roman"/>
                <w:sz w:val="18"/>
                <w:szCs w:val="21"/>
              </w:rPr>
            </w:pPr>
            <w:r>
              <w:rPr>
                <w:rFonts w:hint="eastAsia" w:ascii="Times New Roman" w:hAnsi="Times New Roman"/>
                <w:sz w:val="18"/>
                <w:szCs w:val="21"/>
              </w:rPr>
              <w:t>.</w:t>
            </w:r>
            <w:r>
              <w:rPr>
                <w:rFonts w:ascii="Times New Roman" w:hAnsi="Times New Roman"/>
                <w:sz w:val="18"/>
                <w:szCs w:val="21"/>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sz w:val="18"/>
                <w:szCs w:val="21"/>
              </w:rPr>
            </w:pPr>
            <w:r>
              <w:rPr>
                <w:rFonts w:hint="eastAsia"/>
                <w:sz w:val="18"/>
                <w:szCs w:val="21"/>
              </w:rPr>
              <w:t>.</w:t>
            </w:r>
            <w:r>
              <w:rPr>
                <w:sz w:val="18"/>
                <w:szCs w:val="21"/>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hint="eastAsia" w:ascii="Times New Roman" w:hAnsi="Times New Roman"/>
                <w:sz w:val="18"/>
                <w:szCs w:val="21"/>
              </w:rPr>
            </w:pPr>
            <w:r>
              <w:rPr>
                <w:rFonts w:ascii="Times New Roman" w:hAnsi="Times New Roman"/>
                <w:sz w:val="18"/>
                <w:szCs w:val="21"/>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sz w:val="18"/>
                <w:szCs w:val="21"/>
              </w:rPr>
            </w:pPr>
            <w:r>
              <w:rPr>
                <w:sz w:val="18"/>
                <w:szCs w:val="21"/>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hint="eastAsia" w:ascii="Times New Roman" w:hAnsi="Times New Roman"/>
                <w:sz w:val="18"/>
                <w:szCs w:val="21"/>
              </w:rPr>
            </w:pPr>
            <w:r>
              <w:rPr>
                <w:rFonts w:ascii="Times New Roman" w:hAnsi="Times New Roman"/>
                <w:sz w:val="18"/>
                <w:szCs w:val="21"/>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27"/>
              <w:tabs>
                <w:tab w:val="left" w:pos="426"/>
                <w:tab w:val="clear" w:pos="9000"/>
                <w:tab w:val="clear" w:pos="9360"/>
              </w:tabs>
              <w:suppressAutoHyphens w:val="0"/>
              <w:spacing w:line="360" w:lineRule="auto"/>
              <w:ind w:left="5250"/>
              <w:jc w:val="center"/>
              <w:rPr>
                <w:rFonts w:hint="eastAsia" w:ascii="Times New Roman" w:hAnsi="Times New Roman"/>
                <w:sz w:val="18"/>
                <w:szCs w:val="21"/>
              </w:rPr>
            </w:pPr>
            <w:r>
              <w:rPr>
                <w:rFonts w:ascii="Times New Roman" w:hAnsi="Times New Roman"/>
                <w:sz w:val="18"/>
                <w:szCs w:val="21"/>
              </w:rPr>
              <w:t>…</w:t>
            </w:r>
          </w:p>
        </w:tc>
      </w:tr>
    </w:tbl>
    <w:p>
      <w:pPr>
        <w:spacing w:line="360" w:lineRule="auto"/>
        <w:rPr>
          <w:rFonts w:hint="eastAsia"/>
          <w:szCs w:val="21"/>
        </w:rPr>
      </w:pPr>
    </w:p>
    <w:p>
      <w:pPr>
        <w:spacing w:line="360" w:lineRule="auto"/>
        <w:jc w:val="center"/>
        <w:rPr>
          <w:rFonts w:hint="eastAsia"/>
        </w:rPr>
      </w:pPr>
      <w:r>
        <w:rPr>
          <w:rFonts w:hint="eastAsia"/>
        </w:rPr>
        <w:t>表</w:t>
      </w:r>
      <w:r>
        <w:t>2</w:t>
      </w:r>
      <w:r>
        <w:rPr>
          <w:rFonts w:hint="eastAsia"/>
        </w:rPr>
        <w:t>工机具动员计划</w:t>
      </w:r>
    </w:p>
    <w:tbl>
      <w:tblPr>
        <w:tblStyle w:val="17"/>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bCs/>
                <w:kern w:val="0"/>
                <w:sz w:val="18"/>
                <w:szCs w:val="21"/>
              </w:rPr>
            </w:pPr>
            <w:r>
              <w:rPr>
                <w:rFonts w:hint="eastAsia"/>
                <w:bCs/>
                <w:kern w:val="0"/>
                <w:sz w:val="18"/>
                <w:szCs w:val="21"/>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bCs/>
                <w:kern w:val="0"/>
                <w:sz w:val="18"/>
                <w:szCs w:val="21"/>
              </w:rPr>
            </w:pPr>
            <w:r>
              <w:rPr>
                <w:rFonts w:hint="eastAsia"/>
                <w:bCs/>
                <w:kern w:val="0"/>
                <w:sz w:val="18"/>
                <w:szCs w:val="21"/>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bCs/>
                <w:kern w:val="0"/>
                <w:sz w:val="18"/>
                <w:szCs w:val="21"/>
              </w:rPr>
            </w:pPr>
            <w:r>
              <w:rPr>
                <w:rFonts w:hint="eastAsia"/>
                <w:bCs/>
                <w:kern w:val="0"/>
                <w:sz w:val="18"/>
                <w:szCs w:val="21"/>
              </w:rPr>
              <w:t>品牌</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bCs/>
                <w:kern w:val="0"/>
                <w:sz w:val="18"/>
                <w:szCs w:val="21"/>
              </w:rPr>
            </w:pPr>
            <w:r>
              <w:rPr>
                <w:rFonts w:hint="eastAsia"/>
                <w:bCs/>
                <w:kern w:val="0"/>
                <w:sz w:val="18"/>
                <w:szCs w:val="21"/>
              </w:rPr>
              <w:t>规格型号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bCs/>
                <w:kern w:val="0"/>
                <w:sz w:val="18"/>
                <w:szCs w:val="21"/>
              </w:rPr>
            </w:pPr>
            <w:r>
              <w:rPr>
                <w:rFonts w:hint="eastAsia"/>
                <w:bCs/>
                <w:kern w:val="0"/>
                <w:sz w:val="18"/>
                <w:szCs w:val="21"/>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bCs/>
                <w:kern w:val="0"/>
                <w:sz w:val="18"/>
                <w:szCs w:val="21"/>
              </w:rPr>
            </w:pPr>
            <w:r>
              <w:rPr>
                <w:rFonts w:hint="eastAsia"/>
                <w:bCs/>
                <w:kern w:val="0"/>
                <w:sz w:val="18"/>
                <w:szCs w:val="21"/>
              </w:rPr>
              <w:t>备注</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kern w:val="0"/>
                <w:sz w:val="18"/>
                <w:szCs w:val="21"/>
              </w:rPr>
            </w:pPr>
            <w:r>
              <w:rPr>
                <w:rFonts w:hint="eastAsia"/>
                <w:kern w:val="0"/>
                <w:sz w:val="18"/>
                <w:szCs w:val="21"/>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kern w:val="0"/>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kern w:val="0"/>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kern w:val="0"/>
                <w:sz w:val="18"/>
                <w:szCs w:val="21"/>
              </w:rPr>
            </w:pPr>
            <w:r>
              <w:rPr>
                <w:rFonts w:hint="eastAsia"/>
                <w:kern w:val="0"/>
                <w:sz w:val="18"/>
                <w:szCs w:val="21"/>
              </w:rPr>
              <w:t>单独逐项列明</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18"/>
                <w:szCs w:val="21"/>
              </w:rPr>
            </w:pPr>
            <w:r>
              <w:rPr>
                <w:rFonts w:hint="eastAsia"/>
                <w:kern w:val="0"/>
                <w:sz w:val="18"/>
                <w:szCs w:val="21"/>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kern w:val="0"/>
                <w:sz w:val="18"/>
                <w:szCs w:val="21"/>
              </w:rPr>
            </w:pP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18"/>
                <w:szCs w:val="21"/>
              </w:rPr>
            </w:pPr>
            <w:r>
              <w:rPr>
                <w:rFonts w:hint="eastAsia"/>
                <w:kern w:val="0"/>
                <w:sz w:val="18"/>
                <w:szCs w:val="21"/>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kern w:val="0"/>
                <w:sz w:val="18"/>
                <w:szCs w:val="21"/>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18"/>
                <w:szCs w:val="21"/>
              </w:rPr>
            </w:pPr>
            <w:r>
              <w:rPr>
                <w:rFonts w:hint="eastAsia"/>
                <w:kern w:val="0"/>
                <w:sz w:val="18"/>
                <w:szCs w:val="21"/>
              </w:rPr>
              <w:t>.</w:t>
            </w:r>
            <w:r>
              <w:rPr>
                <w:kern w:val="0"/>
                <w:sz w:val="18"/>
                <w:szCs w:val="21"/>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21"/>
              </w:rPr>
            </w:pPr>
            <w:r>
              <w:rPr>
                <w:rFonts w:hint="eastAsia"/>
                <w:sz w:val="18"/>
                <w:szCs w:val="21"/>
              </w:rPr>
              <w:t>.</w:t>
            </w:r>
            <w:r>
              <w:rPr>
                <w:sz w:val="18"/>
                <w:szCs w:val="21"/>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18"/>
                <w:szCs w:val="21"/>
              </w:rPr>
            </w:pPr>
            <w:r>
              <w:rPr>
                <w:kern w:val="0"/>
                <w:sz w:val="18"/>
                <w:szCs w:val="21"/>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18"/>
                <w:szCs w:val="21"/>
              </w:rPr>
            </w:pPr>
            <w:r>
              <w:rPr>
                <w:sz w:val="18"/>
                <w:szCs w:val="21"/>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18"/>
                <w:szCs w:val="21"/>
              </w:rPr>
            </w:pPr>
            <w:r>
              <w:rPr>
                <w:kern w:val="0"/>
                <w:sz w:val="18"/>
                <w:szCs w:val="21"/>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18"/>
                <w:szCs w:val="21"/>
              </w:rPr>
            </w:pPr>
            <w:r>
              <w:rPr>
                <w:kern w:val="0"/>
                <w:sz w:val="18"/>
                <w:szCs w:val="21"/>
              </w:rPr>
              <w:t>…</w:t>
            </w:r>
          </w:p>
        </w:tc>
      </w:tr>
    </w:tbl>
    <w:p>
      <w:pPr>
        <w:spacing w:line="360" w:lineRule="auto"/>
        <w:ind w:firstLine="424" w:firstLineChars="202"/>
        <w:rPr>
          <w:rFonts w:hint="eastAsia"/>
          <w:szCs w:val="21"/>
        </w:rPr>
      </w:pPr>
    </w:p>
    <w:p>
      <w:pPr>
        <w:pStyle w:val="28"/>
        <w:rPr>
          <w:rFonts w:hint="eastAsia" w:ascii="Times New Roman" w:hAnsi="Times New Roman"/>
        </w:rPr>
      </w:pPr>
      <w:bookmarkStart w:id="58" w:name="_Toc381706332"/>
      <w:bookmarkStart w:id="59" w:name="_Toc381706860"/>
      <w:bookmarkStart w:id="60" w:name="_Toc106353817"/>
      <w:bookmarkStart w:id="61" w:name="_Toc381706233"/>
      <w:bookmarkStart w:id="62" w:name="_Toc44180050"/>
      <w:bookmarkStart w:id="63" w:name="_Toc38896863"/>
      <w:bookmarkStart w:id="64" w:name="_Toc381169840"/>
      <w:r>
        <w:rPr>
          <w:rFonts w:hint="eastAsia" w:ascii="Times New Roman" w:hAnsi="Times New Roman"/>
        </w:rPr>
        <w:t>附件</w:t>
      </w:r>
      <w:r>
        <w:rPr>
          <w:rFonts w:ascii="Times New Roman" w:hAnsi="Times New Roman"/>
        </w:rPr>
        <w:t>2</w:t>
      </w:r>
      <w:r>
        <w:rPr>
          <w:rFonts w:hint="eastAsia" w:ascii="Times New Roman" w:hAnsi="Times New Roman"/>
        </w:rPr>
        <w:t xml:space="preserve"> 技术偏离表</w:t>
      </w:r>
      <w:bookmarkEnd w:id="58"/>
      <w:bookmarkEnd w:id="59"/>
      <w:bookmarkEnd w:id="60"/>
      <w:bookmarkEnd w:id="61"/>
      <w:bookmarkEnd w:id="62"/>
      <w:bookmarkEnd w:id="63"/>
      <w:bookmarkEnd w:id="64"/>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110"/>
        <w:gridCol w:w="3107"/>
        <w:gridCol w:w="997"/>
        <w:gridCol w:w="3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5" w:type="pct"/>
            <w:vMerge w:val="restart"/>
            <w:noWrap w:val="0"/>
            <w:vAlign w:val="center"/>
          </w:tcPr>
          <w:p>
            <w:pPr>
              <w:spacing w:line="480" w:lineRule="exact"/>
              <w:jc w:val="center"/>
              <w:rPr>
                <w:szCs w:val="21"/>
              </w:rPr>
            </w:pPr>
            <w:r>
              <w:rPr>
                <w:rFonts w:hint="eastAsia"/>
                <w:szCs w:val="21"/>
              </w:rPr>
              <w:t>序号</w:t>
            </w:r>
          </w:p>
        </w:tc>
        <w:tc>
          <w:tcPr>
            <w:tcW w:w="2135" w:type="pct"/>
            <w:gridSpan w:val="2"/>
            <w:noWrap w:val="0"/>
            <w:vAlign w:val="center"/>
          </w:tcPr>
          <w:p>
            <w:pPr>
              <w:spacing w:line="480" w:lineRule="exact"/>
              <w:jc w:val="center"/>
              <w:rPr>
                <w:szCs w:val="21"/>
              </w:rPr>
            </w:pPr>
            <w:r>
              <w:rPr>
                <w:rFonts w:hint="eastAsia"/>
                <w:szCs w:val="21"/>
              </w:rPr>
              <w:t>技术询价文件</w:t>
            </w:r>
          </w:p>
        </w:tc>
        <w:tc>
          <w:tcPr>
            <w:tcW w:w="2470" w:type="pct"/>
            <w:gridSpan w:val="2"/>
            <w:noWrap w:val="0"/>
            <w:vAlign w:val="center"/>
          </w:tcPr>
          <w:p>
            <w:pPr>
              <w:spacing w:line="480" w:lineRule="exact"/>
              <w:jc w:val="center"/>
              <w:rPr>
                <w:szCs w:val="21"/>
              </w:rPr>
            </w:pPr>
            <w:r>
              <w:rPr>
                <w:rFonts w:hint="eastAsia"/>
                <w:szCs w:val="21"/>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5" w:type="pct"/>
            <w:vMerge w:val="continue"/>
            <w:noWrap w:val="0"/>
            <w:vAlign w:val="center"/>
          </w:tcPr>
          <w:p>
            <w:pPr>
              <w:spacing w:line="480" w:lineRule="exact"/>
              <w:jc w:val="center"/>
              <w:rPr>
                <w:szCs w:val="21"/>
              </w:rPr>
            </w:pPr>
          </w:p>
        </w:tc>
        <w:tc>
          <w:tcPr>
            <w:tcW w:w="562" w:type="pct"/>
            <w:noWrap w:val="0"/>
            <w:vAlign w:val="center"/>
          </w:tcPr>
          <w:p>
            <w:pPr>
              <w:spacing w:line="480" w:lineRule="exact"/>
              <w:jc w:val="center"/>
              <w:rPr>
                <w:szCs w:val="21"/>
              </w:rPr>
            </w:pPr>
            <w:r>
              <w:rPr>
                <w:rFonts w:hint="eastAsia"/>
                <w:szCs w:val="21"/>
              </w:rPr>
              <w:t>条目</w:t>
            </w:r>
          </w:p>
        </w:tc>
        <w:tc>
          <w:tcPr>
            <w:tcW w:w="1573" w:type="pct"/>
            <w:noWrap w:val="0"/>
            <w:vAlign w:val="center"/>
          </w:tcPr>
          <w:p>
            <w:pPr>
              <w:spacing w:line="480" w:lineRule="exact"/>
              <w:jc w:val="center"/>
              <w:rPr>
                <w:szCs w:val="21"/>
              </w:rPr>
            </w:pPr>
            <w:r>
              <w:rPr>
                <w:rFonts w:hint="eastAsia"/>
                <w:szCs w:val="21"/>
              </w:rPr>
              <w:t>简要内容</w:t>
            </w:r>
          </w:p>
        </w:tc>
        <w:tc>
          <w:tcPr>
            <w:tcW w:w="505" w:type="pct"/>
            <w:noWrap w:val="0"/>
            <w:vAlign w:val="center"/>
          </w:tcPr>
          <w:p>
            <w:pPr>
              <w:spacing w:line="480" w:lineRule="exact"/>
              <w:jc w:val="center"/>
              <w:rPr>
                <w:szCs w:val="21"/>
              </w:rPr>
            </w:pPr>
            <w:r>
              <w:rPr>
                <w:rFonts w:hint="eastAsia"/>
                <w:szCs w:val="21"/>
              </w:rPr>
              <w:t>条目</w:t>
            </w:r>
          </w:p>
        </w:tc>
        <w:tc>
          <w:tcPr>
            <w:tcW w:w="1965" w:type="pct"/>
            <w:noWrap w:val="0"/>
            <w:vAlign w:val="center"/>
          </w:tcPr>
          <w:p>
            <w:pPr>
              <w:spacing w:line="480" w:lineRule="exact"/>
              <w:jc w:val="center"/>
              <w:rPr>
                <w:szCs w:val="21"/>
              </w:rPr>
            </w:pPr>
            <w:r>
              <w:rPr>
                <w:rFonts w:hint="eastAsia"/>
                <w:szCs w:val="21"/>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95" w:type="pct"/>
            <w:noWrap w:val="0"/>
            <w:vAlign w:val="center"/>
          </w:tcPr>
          <w:p>
            <w:pPr>
              <w:spacing w:line="480" w:lineRule="exact"/>
              <w:jc w:val="center"/>
              <w:rPr>
                <w:szCs w:val="21"/>
              </w:rPr>
            </w:pPr>
          </w:p>
        </w:tc>
        <w:tc>
          <w:tcPr>
            <w:tcW w:w="562" w:type="pct"/>
            <w:noWrap w:val="0"/>
            <w:vAlign w:val="center"/>
          </w:tcPr>
          <w:p>
            <w:pPr>
              <w:spacing w:line="480" w:lineRule="exact"/>
              <w:jc w:val="center"/>
              <w:rPr>
                <w:szCs w:val="21"/>
              </w:rPr>
            </w:pPr>
          </w:p>
        </w:tc>
        <w:tc>
          <w:tcPr>
            <w:tcW w:w="1573" w:type="pct"/>
            <w:noWrap w:val="0"/>
            <w:vAlign w:val="center"/>
          </w:tcPr>
          <w:p>
            <w:pPr>
              <w:spacing w:line="480" w:lineRule="exact"/>
              <w:jc w:val="center"/>
              <w:rPr>
                <w:szCs w:val="21"/>
              </w:rPr>
            </w:pPr>
          </w:p>
        </w:tc>
        <w:tc>
          <w:tcPr>
            <w:tcW w:w="505" w:type="pct"/>
            <w:noWrap w:val="0"/>
            <w:vAlign w:val="center"/>
          </w:tcPr>
          <w:p>
            <w:pPr>
              <w:spacing w:line="480" w:lineRule="exact"/>
              <w:jc w:val="center"/>
              <w:rPr>
                <w:szCs w:val="21"/>
              </w:rPr>
            </w:pPr>
          </w:p>
        </w:tc>
        <w:tc>
          <w:tcPr>
            <w:tcW w:w="1965" w:type="pct"/>
            <w:noWrap w:val="0"/>
            <w:vAlign w:val="center"/>
          </w:tcPr>
          <w:p>
            <w:pPr>
              <w:spacing w:line="4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top"/>
          </w:tcPr>
          <w:p>
            <w:pPr>
              <w:spacing w:line="480" w:lineRule="exact"/>
              <w:rPr>
                <w:szCs w:val="21"/>
              </w:rPr>
            </w:pPr>
          </w:p>
        </w:tc>
        <w:tc>
          <w:tcPr>
            <w:tcW w:w="562" w:type="pct"/>
            <w:noWrap w:val="0"/>
            <w:vAlign w:val="top"/>
          </w:tcPr>
          <w:p>
            <w:pPr>
              <w:spacing w:line="480" w:lineRule="exact"/>
              <w:rPr>
                <w:szCs w:val="21"/>
              </w:rPr>
            </w:pPr>
          </w:p>
        </w:tc>
        <w:tc>
          <w:tcPr>
            <w:tcW w:w="1573" w:type="pct"/>
            <w:noWrap w:val="0"/>
            <w:vAlign w:val="top"/>
          </w:tcPr>
          <w:p>
            <w:pPr>
              <w:spacing w:line="480" w:lineRule="exact"/>
              <w:rPr>
                <w:szCs w:val="21"/>
              </w:rPr>
            </w:pPr>
          </w:p>
        </w:tc>
        <w:tc>
          <w:tcPr>
            <w:tcW w:w="505" w:type="pct"/>
            <w:noWrap w:val="0"/>
            <w:vAlign w:val="top"/>
          </w:tcPr>
          <w:p>
            <w:pPr>
              <w:spacing w:line="480" w:lineRule="exact"/>
              <w:rPr>
                <w:szCs w:val="21"/>
              </w:rPr>
            </w:pPr>
          </w:p>
        </w:tc>
        <w:tc>
          <w:tcPr>
            <w:tcW w:w="1965" w:type="pct"/>
            <w:noWrap w:val="0"/>
            <w:vAlign w:val="top"/>
          </w:tcPr>
          <w:p>
            <w:pPr>
              <w:spacing w:line="48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top"/>
          </w:tcPr>
          <w:p>
            <w:pPr>
              <w:spacing w:line="480" w:lineRule="exact"/>
              <w:rPr>
                <w:szCs w:val="21"/>
              </w:rPr>
            </w:pPr>
          </w:p>
        </w:tc>
        <w:tc>
          <w:tcPr>
            <w:tcW w:w="562" w:type="pct"/>
            <w:noWrap w:val="0"/>
            <w:vAlign w:val="top"/>
          </w:tcPr>
          <w:p>
            <w:pPr>
              <w:spacing w:line="480" w:lineRule="exact"/>
              <w:rPr>
                <w:szCs w:val="21"/>
              </w:rPr>
            </w:pPr>
          </w:p>
        </w:tc>
        <w:tc>
          <w:tcPr>
            <w:tcW w:w="1573" w:type="pct"/>
            <w:noWrap w:val="0"/>
            <w:vAlign w:val="top"/>
          </w:tcPr>
          <w:p>
            <w:pPr>
              <w:spacing w:line="480" w:lineRule="exact"/>
              <w:rPr>
                <w:szCs w:val="21"/>
              </w:rPr>
            </w:pPr>
          </w:p>
        </w:tc>
        <w:tc>
          <w:tcPr>
            <w:tcW w:w="505" w:type="pct"/>
            <w:noWrap w:val="0"/>
            <w:vAlign w:val="top"/>
          </w:tcPr>
          <w:p>
            <w:pPr>
              <w:spacing w:line="480" w:lineRule="exact"/>
              <w:rPr>
                <w:szCs w:val="21"/>
              </w:rPr>
            </w:pPr>
          </w:p>
        </w:tc>
        <w:tc>
          <w:tcPr>
            <w:tcW w:w="1965" w:type="pct"/>
            <w:noWrap w:val="0"/>
            <w:vAlign w:val="top"/>
          </w:tcPr>
          <w:p>
            <w:pPr>
              <w:spacing w:line="480" w:lineRule="exact"/>
              <w:rPr>
                <w:szCs w:val="21"/>
              </w:rPr>
            </w:pPr>
          </w:p>
        </w:tc>
      </w:tr>
    </w:tbl>
    <w:p>
      <w:pPr>
        <w:spacing w:line="360" w:lineRule="auto"/>
      </w:pPr>
    </w:p>
    <w:p>
      <w:pPr>
        <w:widowControl/>
        <w:tabs>
          <w:tab w:val="left" w:pos="426"/>
          <w:tab w:val="left" w:pos="9000"/>
          <w:tab w:val="right" w:pos="9360"/>
        </w:tabs>
        <w:spacing w:line="360" w:lineRule="auto"/>
        <w:jc w:val="left"/>
        <w:outlineLvl w:val="0"/>
        <w:rPr>
          <w:rFonts w:hint="eastAsia"/>
          <w:color w:val="FF0000"/>
          <w:szCs w:val="21"/>
        </w:rPr>
      </w:pPr>
    </w:p>
    <w:p>
      <w:pPr>
        <w:pStyle w:val="28"/>
        <w:rPr>
          <w:rFonts w:hint="eastAsia" w:ascii="Times New Roman" w:hAnsi="Times New Roman"/>
        </w:rPr>
      </w:pPr>
    </w:p>
    <w:p>
      <w:pPr>
        <w:tabs>
          <w:tab w:val="left" w:pos="735"/>
          <w:tab w:val="left" w:pos="945"/>
        </w:tabs>
        <w:spacing w:line="360" w:lineRule="auto"/>
        <w:ind w:left="420"/>
        <w:jc w:val="center"/>
      </w:pPr>
    </w:p>
    <w:p>
      <w:pPr>
        <w:pStyle w:val="28"/>
        <w:rPr>
          <w:rFonts w:hint="eastAsia" w:ascii="Times New Roman" w:hAnsi="Times New Roman"/>
        </w:rPr>
      </w:pPr>
    </w:p>
    <w:bookmarkEnd w:id="2"/>
    <w:p>
      <w:pPr>
        <w:tabs>
          <w:tab w:val="left" w:pos="735"/>
          <w:tab w:val="left" w:pos="945"/>
        </w:tabs>
        <w:spacing w:line="360" w:lineRule="auto"/>
        <w:ind w:left="420"/>
        <w:jc w:val="center"/>
      </w:pPr>
    </w:p>
    <w:p>
      <w:pPr>
        <w:spacing w:line="360" w:lineRule="auto"/>
        <w:rPr>
          <w:rFonts w:hint="eastAsia" w:ascii="宋体" w:hAnsi="宋体" w:eastAsia="宋体"/>
          <w:lang w:eastAsia="zh-CN"/>
        </w:rPr>
      </w:pPr>
      <w:r>
        <w:br w:type="page"/>
      </w:r>
    </w:p>
    <w:p>
      <w:pPr>
        <w:rPr>
          <w:rFonts w:ascii="黑体" w:hAnsi="黑体" w:eastAsia="黑体"/>
          <w:sz w:val="24"/>
          <w:szCs w:val="24"/>
        </w:rPr>
      </w:pPr>
      <w:r>
        <w:rPr>
          <w:rFonts w:hint="eastAsia" w:ascii="黑体" w:hAnsi="黑体" w:eastAsia="黑体"/>
          <w:sz w:val="24"/>
          <w:szCs w:val="24"/>
        </w:rPr>
        <w:t>附件3：格式附件</w:t>
      </w:r>
    </w:p>
    <w:p>
      <w:pPr>
        <w:keepNext/>
        <w:keepLines/>
        <w:spacing w:before="100" w:line="400" w:lineRule="exact"/>
        <w:jc w:val="center"/>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法定代表人身份证明</w:t>
      </w:r>
    </w:p>
    <w:p>
      <w:pPr>
        <w:spacing w:line="440" w:lineRule="exact"/>
        <w:rPr>
          <w:rFonts w:ascii="Times New Roman" w:hAnsi="Times New Roman" w:eastAsia="宋体" w:cs="Times New Roman"/>
          <w:szCs w:val="24"/>
        </w:rPr>
      </w:pPr>
    </w:p>
    <w:p>
      <w:pPr>
        <w:spacing w:line="440" w:lineRule="exact"/>
        <w:rPr>
          <w:rFonts w:ascii="Times New Roman" w:hAnsi="Times New Roman" w:eastAsia="宋体" w:cs="Times New Roman"/>
          <w:szCs w:val="24"/>
        </w:rPr>
      </w:pPr>
    </w:p>
    <w:p>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投标人名称：</w:t>
      </w:r>
      <w:r>
        <w:rPr>
          <w:rFonts w:ascii="Times New Roman" w:hAnsi="Times New Roman" w:eastAsia="宋体" w:cs="Times New Roman"/>
          <w:szCs w:val="24"/>
          <w:u w:val="single"/>
        </w:rPr>
        <w:t xml:space="preserve">                            </w:t>
      </w:r>
      <w:r>
        <w:rPr>
          <w:rFonts w:ascii="Times New Roman" w:hAnsi="Times New Roman" w:eastAsia="宋体" w:cs="Times New Roman"/>
          <w:szCs w:val="24"/>
        </w:rPr>
        <w:t xml:space="preserve"> </w:t>
      </w:r>
    </w:p>
    <w:p>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单位性质：</w:t>
      </w:r>
      <w:r>
        <w:rPr>
          <w:rFonts w:ascii="Times New Roman" w:hAnsi="Times New Roman" w:eastAsia="宋体" w:cs="Times New Roman"/>
          <w:szCs w:val="24"/>
          <w:u w:val="single"/>
        </w:rPr>
        <w:t xml:space="preserve">                               </w:t>
      </w:r>
      <w:r>
        <w:rPr>
          <w:rFonts w:ascii="Times New Roman" w:hAnsi="Times New Roman" w:eastAsia="宋体" w:cs="Times New Roman"/>
          <w:szCs w:val="24"/>
        </w:rPr>
        <w:t xml:space="preserve"> </w:t>
      </w:r>
    </w:p>
    <w:p>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地址：</w:t>
      </w:r>
      <w:r>
        <w:rPr>
          <w:rFonts w:ascii="Times New Roman" w:hAnsi="Times New Roman" w:eastAsia="宋体" w:cs="Times New Roman"/>
          <w:szCs w:val="24"/>
          <w:u w:val="single"/>
        </w:rPr>
        <w:t xml:space="preserve">                                   </w:t>
      </w:r>
    </w:p>
    <w:p>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姓名：</w:t>
      </w:r>
      <w:r>
        <w:rPr>
          <w:rFonts w:ascii="Times New Roman" w:hAnsi="Times New Roman" w:eastAsia="宋体" w:cs="Times New Roman"/>
          <w:szCs w:val="24"/>
          <w:u w:val="single"/>
        </w:rPr>
        <w:t xml:space="preserve">        </w:t>
      </w:r>
      <w:r>
        <w:rPr>
          <w:rFonts w:ascii="Times New Roman" w:hAnsi="Times New Roman" w:eastAsia="宋体" w:cs="Times New Roman"/>
          <w:szCs w:val="24"/>
        </w:rPr>
        <w:t xml:space="preserve"> </w:t>
      </w:r>
      <w:r>
        <w:rPr>
          <w:rFonts w:hint="eastAsia" w:ascii="Times New Roman" w:hAnsi="Times New Roman" w:eastAsia="宋体" w:cs="Times New Roman"/>
          <w:szCs w:val="24"/>
        </w:rPr>
        <w:t>性别：</w:t>
      </w:r>
      <w:r>
        <w:rPr>
          <w:rFonts w:ascii="Times New Roman" w:hAnsi="Times New Roman" w:eastAsia="宋体" w:cs="Times New Roman"/>
          <w:szCs w:val="24"/>
          <w:u w:val="single"/>
        </w:rPr>
        <w:t xml:space="preserve">         </w:t>
      </w:r>
      <w:r>
        <w:rPr>
          <w:rFonts w:ascii="Times New Roman" w:hAnsi="Times New Roman" w:eastAsia="宋体" w:cs="Times New Roman"/>
          <w:szCs w:val="24"/>
        </w:rPr>
        <w:t xml:space="preserve"> </w:t>
      </w:r>
      <w:r>
        <w:rPr>
          <w:rFonts w:hint="eastAsia" w:ascii="Times New Roman" w:hAnsi="Times New Roman" w:eastAsia="宋体" w:cs="Times New Roman"/>
          <w:szCs w:val="24"/>
        </w:rPr>
        <w:t>年龄：</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职务：</w:t>
      </w:r>
      <w:r>
        <w:rPr>
          <w:rFonts w:ascii="Times New Roman" w:hAnsi="Times New Roman" w:eastAsia="宋体" w:cs="Times New Roman"/>
          <w:szCs w:val="24"/>
          <w:u w:val="single"/>
        </w:rPr>
        <w:t xml:space="preserve">        </w:t>
      </w:r>
    </w:p>
    <w:p>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系</w:t>
      </w:r>
      <w:r>
        <w:rPr>
          <w:rFonts w:ascii="Times New Roman" w:hAnsi="Times New Roman" w:eastAsia="宋体" w:cs="Times New Roman"/>
          <w:szCs w:val="24"/>
          <w:u w:val="single"/>
        </w:rPr>
        <w:t xml:space="preserve">                             </w:t>
      </w:r>
      <w:r>
        <w:rPr>
          <w:rFonts w:ascii="Times New Roman" w:hAnsi="Times New Roman" w:eastAsia="宋体" w:cs="Times New Roman"/>
          <w:szCs w:val="24"/>
        </w:rPr>
        <w:t xml:space="preserve"> </w:t>
      </w:r>
      <w:r>
        <w:rPr>
          <w:rFonts w:hint="eastAsia" w:ascii="Times New Roman" w:hAnsi="Times New Roman" w:eastAsia="宋体" w:cs="Times New Roman"/>
          <w:szCs w:val="24"/>
        </w:rPr>
        <w:t>（投标人名称）的法定代表人。</w:t>
      </w:r>
    </w:p>
    <w:p>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特此证明。</w:t>
      </w:r>
    </w:p>
    <w:p>
      <w:pPr>
        <w:spacing w:line="440" w:lineRule="exact"/>
        <w:rPr>
          <w:rFonts w:ascii="Times New Roman" w:hAnsi="Times New Roman" w:eastAsia="宋体" w:cs="Times New Roman"/>
          <w:szCs w:val="24"/>
        </w:rPr>
      </w:pPr>
    </w:p>
    <w:p>
      <w:pPr>
        <w:spacing w:line="440" w:lineRule="exact"/>
        <w:rPr>
          <w:rFonts w:ascii="Times New Roman" w:hAnsi="Times New Roman" w:eastAsia="宋体" w:cs="Times New Roman"/>
          <w:szCs w:val="24"/>
        </w:rPr>
      </w:pPr>
    </w:p>
    <w:p>
      <w:pPr>
        <w:spacing w:line="440" w:lineRule="exact"/>
        <w:rPr>
          <w:rFonts w:ascii="Times New Roman" w:hAnsi="Times New Roman" w:eastAsia="宋体" w:cs="Times New Roman"/>
          <w:szCs w:val="24"/>
        </w:rPr>
      </w:pPr>
      <w:r>
        <w:rPr>
          <w:rFonts w:ascii="Times New Roman" w:hAnsi="Times New Roman" w:eastAsia="宋体" w:cs="Times New Roman"/>
          <w:szCs w:val="24"/>
        </w:rPr>
        <w:t xml:space="preserve">                          </w:t>
      </w:r>
      <w:r>
        <w:rPr>
          <w:rFonts w:hint="eastAsia" w:ascii="Times New Roman" w:hAnsi="Times New Roman" w:eastAsia="宋体" w:cs="Times New Roman"/>
          <w:szCs w:val="24"/>
        </w:rPr>
        <w:t>投标人：</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（盖单位章）</w:t>
      </w:r>
    </w:p>
    <w:p>
      <w:pPr>
        <w:spacing w:line="440" w:lineRule="exact"/>
        <w:rPr>
          <w:rFonts w:ascii="Times New Roman" w:hAnsi="Times New Roman" w:eastAsia="宋体" w:cs="Times New Roman"/>
          <w:szCs w:val="24"/>
        </w:rPr>
      </w:pPr>
      <w:r>
        <w:rPr>
          <w:rFonts w:ascii="Times New Roman" w:hAnsi="Times New Roman" w:eastAsia="宋体" w:cs="Times New Roman"/>
          <w:szCs w:val="24"/>
        </w:rPr>
        <w:t xml:space="preserve">                                   </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年</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月</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日</w:t>
      </w:r>
      <w:r>
        <w:rPr>
          <w:rFonts w:ascii="Times New Roman" w:hAnsi="Times New Roman" w:eastAsia="宋体" w:cs="Times New Roman"/>
          <w:szCs w:val="24"/>
        </w:rPr>
        <w:t xml:space="preserve">           </w:t>
      </w:r>
    </w:p>
    <w:p>
      <w:pPr>
        <w:spacing w:line="440" w:lineRule="exact"/>
        <w:jc w:val="center"/>
        <w:rPr>
          <w:rFonts w:ascii="Times New Roman" w:hAnsi="Times New Roman" w:eastAsia="黑体" w:cs="Times New Roman"/>
          <w:szCs w:val="24"/>
        </w:rPr>
      </w:pPr>
    </w:p>
    <w:p>
      <w:pPr>
        <w:spacing w:line="440" w:lineRule="exact"/>
        <w:jc w:val="center"/>
        <w:rPr>
          <w:rFonts w:ascii="Times New Roman" w:hAnsi="Times New Roman" w:eastAsia="黑体" w:cs="Times New Roman"/>
          <w:szCs w:val="24"/>
        </w:rPr>
      </w:pPr>
    </w:p>
    <w:p>
      <w:pPr>
        <w:spacing w:line="440" w:lineRule="exact"/>
        <w:jc w:val="center"/>
        <w:rPr>
          <w:rFonts w:ascii="Times New Roman" w:hAnsi="Times New Roman" w:eastAsia="黑体" w:cs="Times New Roman"/>
          <w:szCs w:val="24"/>
        </w:rPr>
      </w:pPr>
    </w:p>
    <w:p>
      <w:pPr>
        <w:spacing w:line="440" w:lineRule="exact"/>
        <w:jc w:val="center"/>
        <w:rPr>
          <w:rFonts w:ascii="Times New Roman" w:hAnsi="Times New Roman" w:eastAsia="黑体" w:cs="Times New Roman"/>
          <w:szCs w:val="24"/>
        </w:rPr>
      </w:pPr>
    </w:p>
    <w:p>
      <w:pPr>
        <w:spacing w:line="440" w:lineRule="exact"/>
        <w:jc w:val="center"/>
        <w:rPr>
          <w:rFonts w:ascii="Times New Roman" w:hAnsi="Times New Roman" w:eastAsia="黑体" w:cs="Times New Roman"/>
          <w:szCs w:val="24"/>
        </w:rPr>
      </w:pPr>
    </w:p>
    <w:p>
      <w:pPr>
        <w:spacing w:line="440" w:lineRule="exact"/>
        <w:jc w:val="left"/>
        <w:rPr>
          <w:rFonts w:ascii="Times New Roman" w:hAnsi="Times New Roman" w:eastAsia="黑体" w:cs="Times New Roman"/>
          <w:szCs w:val="24"/>
        </w:rPr>
      </w:pPr>
      <w:r>
        <w:rPr>
          <w:rFonts w:hint="eastAsia" w:ascii="Times New Roman" w:hAnsi="Times New Roman" w:eastAsia="宋体" w:cs="Times New Roman"/>
          <w:szCs w:val="24"/>
        </w:rPr>
        <w:t>附法定代表人身份证复印件（正反面）。</w:t>
      </w:r>
      <w:r>
        <w:rPr>
          <w:rFonts w:ascii="Times New Roman" w:hAnsi="Times New Roman" w:eastAsia="黑体" w:cs="Times New Roman"/>
          <w:szCs w:val="24"/>
        </w:rPr>
        <w:br w:type="page"/>
      </w:r>
    </w:p>
    <w:p>
      <w:pPr>
        <w:keepNext/>
        <w:keepLines/>
        <w:spacing w:before="100" w:line="400" w:lineRule="exact"/>
        <w:jc w:val="center"/>
        <w:outlineLvl w:val="1"/>
        <w:rPr>
          <w:rFonts w:ascii="Times New Roman" w:hAnsi="Times New Roman" w:eastAsia="黑体" w:cs="Times New Roman"/>
          <w:sz w:val="28"/>
          <w:szCs w:val="28"/>
        </w:rPr>
      </w:pPr>
      <w:bookmarkStart w:id="65" w:name="_Toc144974861"/>
      <w:bookmarkStart w:id="66" w:name="_Toc152045792"/>
      <w:bookmarkStart w:id="67" w:name="_Toc421255687"/>
      <w:bookmarkStart w:id="68" w:name="_Toc152042581"/>
      <w:r>
        <w:rPr>
          <w:rFonts w:hint="eastAsia" w:ascii="Times New Roman" w:hAnsi="Times New Roman" w:eastAsia="黑体" w:cs="Times New Roman"/>
          <w:sz w:val="28"/>
          <w:szCs w:val="28"/>
        </w:rPr>
        <w:t>授权委托书</w:t>
      </w:r>
      <w:bookmarkEnd w:id="65"/>
      <w:bookmarkEnd w:id="66"/>
      <w:bookmarkEnd w:id="67"/>
      <w:bookmarkEnd w:id="68"/>
    </w:p>
    <w:p>
      <w:pPr>
        <w:spacing w:line="440" w:lineRule="exact"/>
        <w:rPr>
          <w:rFonts w:ascii="Times New Roman" w:hAnsi="Times New Roman" w:eastAsia="黑体" w:cs="Times New Roman"/>
          <w:szCs w:val="24"/>
        </w:rPr>
      </w:pPr>
    </w:p>
    <w:p>
      <w:pPr>
        <w:topLinePunct/>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本人</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（姓名）系</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（投标人名称）的法定代表人，现委托</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（姓名）为我方代理人。代理人根据授权，以我方名义签署、澄清、说明、补正、递交、撤回、修改</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（项目名称）投标文件、签订合同和处理有关事宜，其法律后果由我方承担。</w:t>
      </w:r>
    </w:p>
    <w:p>
      <w:pPr>
        <w:spacing w:line="440" w:lineRule="exact"/>
        <w:rPr>
          <w:rFonts w:ascii="Times New Roman" w:hAnsi="Times New Roman" w:eastAsia="宋体" w:cs="Times New Roman"/>
          <w:szCs w:val="24"/>
        </w:rPr>
      </w:pPr>
      <w:r>
        <w:rPr>
          <w:rFonts w:ascii="Times New Roman" w:hAnsi="Times New Roman" w:eastAsia="宋体" w:cs="Times New Roman"/>
          <w:szCs w:val="24"/>
        </w:rPr>
        <w:t xml:space="preserve">    </w:t>
      </w:r>
      <w:r>
        <w:rPr>
          <w:rFonts w:hint="eastAsia" w:ascii="Times New Roman" w:hAnsi="Times New Roman" w:eastAsia="宋体" w:cs="Times New Roman"/>
          <w:szCs w:val="24"/>
        </w:rPr>
        <w:t>委托期限：</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w:t>
      </w:r>
    </w:p>
    <w:p>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代理人无转委托权。</w:t>
      </w:r>
    </w:p>
    <w:p>
      <w:pPr>
        <w:spacing w:line="440" w:lineRule="exact"/>
        <w:rPr>
          <w:rFonts w:ascii="Times New Roman" w:hAnsi="Times New Roman" w:eastAsia="宋体" w:cs="Times New Roman"/>
          <w:szCs w:val="24"/>
        </w:rPr>
      </w:pPr>
    </w:p>
    <w:p>
      <w:pPr>
        <w:spacing w:line="440" w:lineRule="exact"/>
        <w:rPr>
          <w:rFonts w:ascii="Times New Roman" w:hAnsi="Times New Roman" w:eastAsia="宋体" w:cs="Times New Roman"/>
          <w:szCs w:val="24"/>
        </w:rPr>
      </w:pPr>
    </w:p>
    <w:p>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投标人：</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（盖单位章）</w:t>
      </w:r>
    </w:p>
    <w:p>
      <w:pPr>
        <w:spacing w:line="440" w:lineRule="exact"/>
        <w:rPr>
          <w:rFonts w:ascii="Times New Roman" w:hAnsi="Times New Roman" w:eastAsia="宋体" w:cs="Times New Roman"/>
          <w:szCs w:val="24"/>
        </w:rPr>
      </w:pPr>
    </w:p>
    <w:p>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法定代表人：</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（签字）</w:t>
      </w:r>
    </w:p>
    <w:p>
      <w:pPr>
        <w:spacing w:line="440" w:lineRule="exact"/>
        <w:rPr>
          <w:rFonts w:ascii="Times New Roman" w:hAnsi="Times New Roman" w:eastAsia="宋体" w:cs="Times New Roman"/>
          <w:szCs w:val="24"/>
        </w:rPr>
      </w:pPr>
    </w:p>
    <w:p>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身份证号码：</w:t>
      </w:r>
      <w:r>
        <w:rPr>
          <w:rFonts w:ascii="Times New Roman" w:hAnsi="Times New Roman" w:eastAsia="宋体" w:cs="Times New Roman"/>
          <w:szCs w:val="24"/>
          <w:u w:val="single"/>
        </w:rPr>
        <w:t xml:space="preserve">                                     </w:t>
      </w:r>
    </w:p>
    <w:p>
      <w:pPr>
        <w:spacing w:line="440" w:lineRule="exact"/>
        <w:rPr>
          <w:rFonts w:ascii="Times New Roman" w:hAnsi="Times New Roman" w:eastAsia="宋体" w:cs="Times New Roman"/>
          <w:szCs w:val="24"/>
        </w:rPr>
      </w:pPr>
    </w:p>
    <w:p>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委托代理人：</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（签字）</w:t>
      </w:r>
      <w:r>
        <w:rPr>
          <w:rFonts w:ascii="Times New Roman" w:hAnsi="Times New Roman" w:eastAsia="宋体" w:cs="Times New Roman"/>
          <w:szCs w:val="24"/>
        </w:rPr>
        <w:t xml:space="preserve"> </w:t>
      </w:r>
    </w:p>
    <w:p>
      <w:pPr>
        <w:spacing w:line="440" w:lineRule="exact"/>
        <w:rPr>
          <w:rFonts w:ascii="Times New Roman" w:hAnsi="Times New Roman" w:eastAsia="宋体" w:cs="Times New Roman"/>
          <w:szCs w:val="24"/>
        </w:rPr>
      </w:pPr>
    </w:p>
    <w:p>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身份证号码：</w:t>
      </w:r>
      <w:r>
        <w:rPr>
          <w:rFonts w:ascii="Times New Roman" w:hAnsi="Times New Roman" w:eastAsia="宋体" w:cs="Times New Roman"/>
          <w:szCs w:val="24"/>
          <w:u w:val="single"/>
        </w:rPr>
        <w:t xml:space="preserve">                                      </w:t>
      </w:r>
    </w:p>
    <w:p>
      <w:pPr>
        <w:spacing w:line="440" w:lineRule="exact"/>
        <w:rPr>
          <w:rFonts w:ascii="Times New Roman" w:hAnsi="Times New Roman" w:eastAsia="宋体" w:cs="Times New Roman"/>
          <w:szCs w:val="24"/>
        </w:rPr>
      </w:pPr>
    </w:p>
    <w:p>
      <w:pPr>
        <w:spacing w:line="440" w:lineRule="exact"/>
        <w:rPr>
          <w:rFonts w:ascii="Times New Roman" w:hAnsi="Times New Roman" w:eastAsia="宋体" w:cs="Times New Roman"/>
          <w:szCs w:val="24"/>
        </w:rPr>
      </w:pPr>
    </w:p>
    <w:p>
      <w:pPr>
        <w:spacing w:line="440" w:lineRule="exact"/>
        <w:ind w:firstLine="2310" w:firstLineChars="1100"/>
        <w:rPr>
          <w:rFonts w:ascii="Times New Roman" w:hAnsi="Times New Roman" w:eastAsia="黑体" w:cs="Times New Roman"/>
          <w:szCs w:val="24"/>
        </w:rPr>
      </w:pP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年</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月</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rPr>
        <w:t>日</w:t>
      </w:r>
    </w:p>
    <w:p>
      <w:pPr>
        <w:spacing w:line="400" w:lineRule="exact"/>
        <w:rPr>
          <w:rFonts w:ascii="Times New Roman" w:hAnsi="Times New Roman" w:eastAsia="黑体" w:cs="Times New Roman"/>
          <w:szCs w:val="24"/>
        </w:rPr>
      </w:pPr>
    </w:p>
    <w:p>
      <w:pPr>
        <w:spacing w:line="400" w:lineRule="exact"/>
        <w:rPr>
          <w:rFonts w:ascii="Times New Roman" w:hAnsi="Times New Roman" w:eastAsia="黑体" w:cs="Times New Roman"/>
          <w:szCs w:val="24"/>
        </w:rPr>
      </w:pPr>
    </w:p>
    <w:p>
      <w:pPr>
        <w:jc w:val="center"/>
        <w:rPr>
          <w:rFonts w:ascii="Times New Roman" w:hAnsi="Times New Roman" w:eastAsia="宋体" w:cs="Times New Roman"/>
          <w:szCs w:val="24"/>
        </w:rPr>
      </w:pPr>
      <w:r>
        <w:rPr>
          <w:rFonts w:hint="eastAsia" w:ascii="Times New Roman" w:hAnsi="Times New Roman" w:eastAsia="宋体" w:cs="Times New Roman"/>
          <w:szCs w:val="24"/>
        </w:rPr>
        <w:t>附代理人身份证复印件（正反面）。</w:t>
      </w:r>
    </w:p>
    <w:p>
      <w:pPr>
        <w:jc w:val="center"/>
        <w:rPr>
          <w:rFonts w:ascii="Times New Roman" w:hAnsi="Times New Roman" w:eastAsia="宋体" w:cs="Times New Roman"/>
          <w:szCs w:val="24"/>
        </w:rPr>
      </w:pPr>
      <w:r>
        <w:rPr>
          <w:rFonts w:ascii="Times New Roman" w:hAnsi="Times New Roman" w:eastAsia="宋体" w:cs="Times New Roman"/>
          <w:szCs w:val="24"/>
        </w:rPr>
        <w:br w:type="page"/>
      </w:r>
    </w:p>
    <w:p>
      <w:pPr>
        <w:snapToGrid w:val="0"/>
        <w:spacing w:line="480" w:lineRule="auto"/>
        <w:jc w:val="center"/>
        <w:rPr>
          <w:rFonts w:ascii="Times New Roman" w:hAnsi="Times New Roman" w:eastAsia="宋体" w:cs="Times New Roman"/>
          <w:w w:val="90"/>
          <w:szCs w:val="24"/>
        </w:rPr>
      </w:pPr>
      <w:r>
        <w:rPr>
          <w:rFonts w:hint="eastAsia" w:ascii="黑体" w:hAnsi="宋体" w:eastAsia="黑体" w:cs="Times New Roman"/>
          <w:sz w:val="32"/>
          <w:szCs w:val="24"/>
        </w:rPr>
        <w:t>报 价 书</w:t>
      </w:r>
    </w:p>
    <w:p>
      <w:pPr>
        <w:snapToGrid w:val="0"/>
        <w:spacing w:line="600" w:lineRule="exact"/>
        <w:ind w:firstLine="420" w:firstLineChars="200"/>
        <w:rPr>
          <w:rFonts w:ascii="宋体" w:hAnsi="宋体" w:eastAsia="宋体" w:cs="Times New Roman"/>
          <w:szCs w:val="21"/>
        </w:rPr>
      </w:pPr>
      <w:r>
        <w:rPr>
          <w:rFonts w:hint="eastAsia" w:ascii="宋体" w:hAnsi="宋体" w:eastAsia="宋体" w:cs="Times New Roman"/>
          <w:szCs w:val="21"/>
        </w:rPr>
        <w:t>根据已收到的中海石油化学股份有限公司采办</w:t>
      </w:r>
      <w:r>
        <w:rPr>
          <w:rFonts w:ascii="宋体" w:hAnsi="宋体" w:eastAsia="宋体" w:cs="Times New Roman"/>
          <w:szCs w:val="21"/>
        </w:rPr>
        <w:t>共享中心</w:t>
      </w:r>
      <w:r>
        <w:rPr>
          <w:rFonts w:hint="eastAsia" w:ascii="宋体" w:hAnsi="宋体" w:eastAsia="宋体" w:cs="Times New Roman"/>
          <w:szCs w:val="21"/>
        </w:rPr>
        <w:t>华鹤派驻组关于</w:t>
      </w:r>
      <w:r>
        <w:rPr>
          <w:rFonts w:hint="eastAsia" w:ascii="宋体" w:hAnsi="宋体" w:eastAsia="宋体" w:cs="Times New Roman"/>
          <w:szCs w:val="21"/>
          <w:u w:val="single"/>
        </w:rPr>
        <w:t>年产30万吨绿色增值复合肥项目水土保持验收评价服务（重新招标）</w:t>
      </w:r>
      <w:r>
        <w:rPr>
          <w:rFonts w:hint="eastAsia" w:ascii="宋体" w:hAnsi="宋体" w:eastAsia="宋体" w:cs="Times New Roman"/>
          <w:szCs w:val="21"/>
        </w:rPr>
        <w:t>项目的询价文件(项目编号：HXCF-24</w:t>
      </w:r>
      <w:r>
        <w:rPr>
          <w:rFonts w:hint="eastAsia" w:ascii="宋体" w:hAnsi="宋体" w:eastAsia="宋体" w:cs="Times New Roman"/>
          <w:szCs w:val="21"/>
          <w:lang w:val="en-US" w:eastAsia="zh-CN"/>
        </w:rPr>
        <w:t>1068</w:t>
      </w:r>
      <w:r>
        <w:rPr>
          <w:rFonts w:hint="eastAsia" w:ascii="宋体" w:hAnsi="宋体" w:eastAsia="宋体" w:cs="Times New Roman"/>
          <w:color w:val="000000"/>
          <w:szCs w:val="21"/>
        </w:rPr>
        <w:t>)</w:t>
      </w:r>
      <w:r>
        <w:rPr>
          <w:rFonts w:hint="eastAsia" w:ascii="宋体" w:hAnsi="宋体" w:eastAsia="宋体" w:cs="Times New Roman"/>
          <w:szCs w:val="21"/>
        </w:rPr>
        <w:t>，</w:t>
      </w:r>
      <w:r>
        <w:rPr>
          <w:rFonts w:ascii="宋体" w:hAnsi="宋体" w:eastAsia="宋体" w:cs="Times New Roman"/>
          <w:szCs w:val="21"/>
        </w:rPr>
        <w:t>我方已仔细研究了</w:t>
      </w:r>
      <w:r>
        <w:rPr>
          <w:rFonts w:hint="eastAsia" w:ascii="宋体" w:hAnsi="宋体" w:eastAsia="宋体" w:cs="Times New Roman"/>
          <w:szCs w:val="21"/>
        </w:rPr>
        <w:t>询价</w:t>
      </w:r>
      <w:r>
        <w:rPr>
          <w:rFonts w:ascii="宋体" w:hAnsi="宋体" w:eastAsia="宋体" w:cs="Times New Roman"/>
          <w:szCs w:val="21"/>
        </w:rPr>
        <w:t>文件的全部内容并</w:t>
      </w:r>
      <w:r>
        <w:rPr>
          <w:rFonts w:hint="eastAsia" w:ascii="宋体" w:hAnsi="宋体" w:eastAsia="宋体" w:cs="Times New Roman"/>
          <w:szCs w:val="21"/>
        </w:rPr>
        <w:t>调查</w:t>
      </w:r>
      <w:r>
        <w:rPr>
          <w:rFonts w:ascii="宋体" w:hAnsi="宋体" w:eastAsia="宋体" w:cs="Times New Roman"/>
          <w:szCs w:val="21"/>
        </w:rPr>
        <w:t>了</w:t>
      </w:r>
      <w:r>
        <w:rPr>
          <w:rFonts w:hint="eastAsia" w:ascii="宋体" w:hAnsi="宋体" w:eastAsia="宋体" w:cs="Times New Roman"/>
          <w:szCs w:val="21"/>
        </w:rPr>
        <w:t>解</w:t>
      </w:r>
      <w:r>
        <w:rPr>
          <w:rFonts w:hint="eastAsia" w:ascii="宋体" w:hAnsi="宋体" w:eastAsia="宋体" w:cs="Times New Roman"/>
          <w:szCs w:val="21"/>
          <w:u w:val="single"/>
        </w:rPr>
        <w:t>年产30万吨绿色增值复合肥项目水土保持验收评价服务（重新招标）</w:t>
      </w:r>
      <w:r>
        <w:rPr>
          <w:rFonts w:hint="eastAsia" w:ascii="宋体" w:hAnsi="宋体" w:eastAsia="宋体" w:cs="Times New Roman"/>
          <w:szCs w:val="21"/>
        </w:rPr>
        <w:t>项目工作范围</w:t>
      </w:r>
      <w:r>
        <w:rPr>
          <w:rFonts w:ascii="宋体" w:hAnsi="宋体" w:eastAsia="宋体" w:cs="Times New Roman"/>
          <w:szCs w:val="21"/>
        </w:rPr>
        <w:t>，愿意以</w:t>
      </w:r>
      <w:r>
        <w:rPr>
          <w:rFonts w:hint="eastAsia" w:ascii="宋体" w:hAnsi="宋体" w:eastAsia="宋体" w:cs="Times New Roman"/>
          <w:szCs w:val="21"/>
        </w:rPr>
        <w:t>人民币</w:t>
      </w:r>
      <w:r>
        <w:rPr>
          <w:rFonts w:hint="eastAsia" w:ascii="宋体" w:hAnsi="宋体" w:eastAsia="宋体" w:cs="Times New Roman"/>
          <w:szCs w:val="21"/>
          <w:u w:val="single"/>
        </w:rPr>
        <w:t xml:space="preserve">         元</w:t>
      </w:r>
      <w:r>
        <w:rPr>
          <w:rFonts w:ascii="宋体" w:hAnsi="宋体" w:eastAsia="宋体" w:cs="Times New Roman"/>
          <w:szCs w:val="21"/>
        </w:rPr>
        <w:t>的投标总报价</w:t>
      </w:r>
      <w:r>
        <w:rPr>
          <w:rFonts w:hint="eastAsia" w:ascii="宋体" w:hAnsi="宋体" w:eastAsia="宋体" w:cs="Times New Roman"/>
          <w:szCs w:val="21"/>
        </w:rPr>
        <w:t>，税率</w:t>
      </w:r>
      <w:r>
        <w:rPr>
          <w:rFonts w:hint="eastAsia" w:ascii="宋体" w:hAnsi="宋体" w:eastAsia="宋体" w:cs="Times New Roman"/>
          <w:szCs w:val="21"/>
          <w:u w:val="single"/>
        </w:rPr>
        <w:t xml:space="preserve">        </w:t>
      </w:r>
      <w:r>
        <w:rPr>
          <w:rFonts w:hint="eastAsia" w:ascii="宋体" w:hAnsi="宋体" w:eastAsia="宋体" w:cs="Times New Roman"/>
          <w:szCs w:val="21"/>
        </w:rPr>
        <w:t>并</w:t>
      </w:r>
      <w:r>
        <w:rPr>
          <w:rFonts w:ascii="宋体" w:hAnsi="宋体" w:eastAsia="宋体" w:cs="Times New Roman"/>
          <w:szCs w:val="21"/>
        </w:rPr>
        <w:t>按上述</w:t>
      </w:r>
      <w:r>
        <w:rPr>
          <w:rFonts w:hint="eastAsia" w:ascii="宋体" w:hAnsi="宋体" w:eastAsia="宋体" w:cs="Times New Roman"/>
          <w:szCs w:val="21"/>
        </w:rPr>
        <w:t>询价</w:t>
      </w:r>
      <w:r>
        <w:rPr>
          <w:rFonts w:ascii="宋体" w:hAnsi="宋体" w:eastAsia="宋体" w:cs="Times New Roman"/>
          <w:szCs w:val="21"/>
        </w:rPr>
        <w:t>文件规定的条件</w:t>
      </w:r>
      <w:r>
        <w:rPr>
          <w:rFonts w:hint="eastAsia" w:ascii="宋体" w:hAnsi="宋体" w:eastAsia="宋体" w:cs="Times New Roman"/>
          <w:szCs w:val="21"/>
        </w:rPr>
        <w:t>及相关要求</w:t>
      </w:r>
      <w:r>
        <w:rPr>
          <w:rFonts w:ascii="宋体" w:hAnsi="宋体" w:eastAsia="宋体" w:cs="Times New Roman"/>
          <w:szCs w:val="21"/>
        </w:rPr>
        <w:t>承担相关的责任</w:t>
      </w:r>
      <w:r>
        <w:rPr>
          <w:rFonts w:hint="eastAsia" w:ascii="宋体" w:hAnsi="宋体" w:eastAsia="宋体" w:cs="Times New Roman"/>
          <w:szCs w:val="21"/>
        </w:rPr>
        <w:t>。</w:t>
      </w:r>
    </w:p>
    <w:p>
      <w:pPr>
        <w:snapToGrid w:val="0"/>
        <w:spacing w:line="600" w:lineRule="exact"/>
        <w:ind w:firstLine="420" w:firstLineChars="200"/>
        <w:rPr>
          <w:rFonts w:ascii="宋体" w:hAnsi="宋体" w:eastAsia="宋体" w:cs="Times New Roman"/>
          <w:szCs w:val="21"/>
        </w:rPr>
      </w:pPr>
      <w:r>
        <w:rPr>
          <w:rFonts w:hint="eastAsia" w:ascii="宋体" w:hAnsi="宋体" w:eastAsia="宋体" w:cs="Times New Roman"/>
          <w:szCs w:val="21"/>
        </w:rPr>
        <w:t>附：投标分项报价表</w:t>
      </w:r>
    </w:p>
    <w:p>
      <w:pPr>
        <w:snapToGrid w:val="0"/>
        <w:spacing w:line="60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  </w:t>
      </w:r>
    </w:p>
    <w:p>
      <w:pPr>
        <w:jc w:val="center"/>
        <w:rPr>
          <w:rFonts w:ascii="黑体" w:hAnsi="宋体" w:eastAsia="黑体" w:cs="Times New Roman"/>
          <w:sz w:val="32"/>
          <w:szCs w:val="24"/>
        </w:rPr>
      </w:pPr>
    </w:p>
    <w:p>
      <w:pPr>
        <w:jc w:val="center"/>
        <w:rPr>
          <w:rFonts w:ascii="黑体" w:hAnsi="宋体" w:eastAsia="黑体" w:cs="Times New Roman"/>
          <w:sz w:val="32"/>
          <w:szCs w:val="24"/>
        </w:rPr>
      </w:pPr>
    </w:p>
    <w:p>
      <w:pPr>
        <w:jc w:val="center"/>
        <w:rPr>
          <w:rFonts w:ascii="黑体" w:hAnsi="宋体" w:eastAsia="黑体" w:cs="Times New Roman"/>
          <w:sz w:val="32"/>
          <w:szCs w:val="24"/>
        </w:rPr>
      </w:pPr>
    </w:p>
    <w:p>
      <w:pPr>
        <w:jc w:val="center"/>
        <w:rPr>
          <w:rFonts w:ascii="黑体" w:hAnsi="宋体" w:eastAsia="黑体" w:cs="Times New Roman"/>
          <w:sz w:val="32"/>
          <w:szCs w:val="24"/>
        </w:rPr>
      </w:pPr>
    </w:p>
    <w:p>
      <w:pPr>
        <w:jc w:val="center"/>
        <w:rPr>
          <w:rFonts w:ascii="黑体" w:hAnsi="宋体" w:eastAsia="黑体" w:cs="Times New Roman"/>
          <w:sz w:val="32"/>
          <w:szCs w:val="24"/>
        </w:rPr>
      </w:pPr>
    </w:p>
    <w:p>
      <w:pPr>
        <w:jc w:val="center"/>
        <w:rPr>
          <w:rFonts w:ascii="黑体" w:hAnsi="宋体" w:eastAsia="黑体" w:cs="Times New Roman"/>
          <w:sz w:val="32"/>
          <w:szCs w:val="24"/>
        </w:rPr>
      </w:pPr>
    </w:p>
    <w:p>
      <w:pPr>
        <w:jc w:val="center"/>
        <w:rPr>
          <w:rFonts w:ascii="黑体" w:hAnsi="宋体" w:eastAsia="黑体" w:cs="Times New Roman"/>
          <w:sz w:val="32"/>
          <w:szCs w:val="24"/>
        </w:rPr>
      </w:pPr>
    </w:p>
    <w:p>
      <w:pPr>
        <w:jc w:val="center"/>
        <w:rPr>
          <w:rFonts w:ascii="黑体" w:hAnsi="宋体" w:eastAsia="黑体" w:cs="Times New Roman"/>
          <w:sz w:val="32"/>
          <w:szCs w:val="24"/>
        </w:rPr>
      </w:pPr>
    </w:p>
    <w:p>
      <w:pPr>
        <w:jc w:val="center"/>
        <w:rPr>
          <w:rFonts w:ascii="黑体" w:hAnsi="宋体" w:eastAsia="黑体" w:cs="Times New Roman"/>
          <w:sz w:val="32"/>
          <w:szCs w:val="24"/>
        </w:rPr>
      </w:pPr>
    </w:p>
    <w:p>
      <w:pPr>
        <w:ind w:firstLine="425" w:firstLineChars="152"/>
        <w:jc w:val="center"/>
        <w:rPr>
          <w:rFonts w:ascii="Times New Roman" w:hAnsi="宋体" w:eastAsia="宋体" w:cs="Times New Roman"/>
          <w:sz w:val="28"/>
          <w:szCs w:val="24"/>
        </w:rPr>
      </w:pPr>
      <w:r>
        <w:rPr>
          <w:rFonts w:hint="eastAsia" w:ascii="Times New Roman" w:hAnsi="宋体" w:eastAsia="宋体" w:cs="Times New Roman"/>
          <w:sz w:val="28"/>
          <w:szCs w:val="24"/>
        </w:rPr>
        <w:t xml:space="preserve">                           投标人：（加盖公章）</w:t>
      </w:r>
    </w:p>
    <w:p>
      <w:pPr>
        <w:ind w:firstLine="425" w:firstLineChars="152"/>
        <w:jc w:val="center"/>
        <w:rPr>
          <w:rFonts w:ascii="Times New Roman" w:hAnsi="宋体" w:eastAsia="宋体" w:cs="Times New Roman"/>
          <w:sz w:val="28"/>
          <w:szCs w:val="24"/>
        </w:rPr>
      </w:pPr>
    </w:p>
    <w:p>
      <w:pPr>
        <w:jc w:val="center"/>
        <w:rPr>
          <w:rFonts w:ascii="黑体" w:hAnsi="宋体" w:eastAsia="黑体" w:cs="Times New Roman"/>
          <w:sz w:val="32"/>
          <w:szCs w:val="24"/>
        </w:rPr>
      </w:pPr>
      <w:r>
        <w:rPr>
          <w:rFonts w:hint="eastAsia" w:ascii="Times New Roman" w:hAnsi="宋体" w:eastAsia="宋体" w:cs="Times New Roman"/>
          <w:sz w:val="28"/>
          <w:szCs w:val="24"/>
        </w:rPr>
        <w:t xml:space="preserve">                     授权代表：</w:t>
      </w:r>
    </w:p>
    <w:p>
      <w:pPr>
        <w:jc w:val="center"/>
        <w:rPr>
          <w:rFonts w:ascii="黑体" w:hAnsi="宋体" w:eastAsia="黑体" w:cs="Times New Roman"/>
          <w:sz w:val="32"/>
          <w:szCs w:val="24"/>
        </w:rPr>
      </w:pPr>
    </w:p>
    <w:p>
      <w:pPr>
        <w:jc w:val="center"/>
        <w:rPr>
          <w:rFonts w:ascii="Times New Roman" w:hAnsi="Times New Roman" w:eastAsia="宋体" w:cs="Times New Roman"/>
          <w:b/>
          <w:bCs/>
          <w:szCs w:val="24"/>
        </w:rPr>
        <w:sectPr>
          <w:headerReference r:id="rId6" w:type="first"/>
          <w:headerReference r:id="rId5" w:type="default"/>
          <w:footerReference r:id="rId7" w:type="default"/>
          <w:footerReference r:id="rId8" w:type="even"/>
          <w:footnotePr>
            <w:numRestart w:val="eachPage"/>
          </w:footnotePr>
          <w:pgSz w:w="11909" w:h="16834"/>
          <w:pgMar w:top="873" w:right="1002" w:bottom="851" w:left="1247" w:header="0" w:footer="567" w:gutter="0"/>
          <w:cols w:space="720" w:num="1"/>
          <w:formProt w:val="0"/>
        </w:sectPr>
      </w:pPr>
    </w:p>
    <w:p>
      <w:pPr>
        <w:snapToGrid w:val="0"/>
        <w:spacing w:line="480" w:lineRule="auto"/>
        <w:jc w:val="center"/>
        <w:rPr>
          <w:rFonts w:asciiTheme="minorEastAsia" w:hAnsiTheme="minorEastAsia"/>
          <w:sz w:val="24"/>
          <w:szCs w:val="24"/>
        </w:rPr>
      </w:pPr>
      <w:r>
        <w:rPr>
          <w:rFonts w:hint="eastAsia" w:ascii="黑体" w:hAnsi="宋体" w:eastAsia="黑体" w:cs="Times New Roman"/>
          <w:sz w:val="32"/>
          <w:szCs w:val="24"/>
        </w:rPr>
        <w:t>分项报价表</w:t>
      </w:r>
    </w:p>
    <w:p>
      <w:pPr>
        <w:pStyle w:val="3"/>
        <w:rPr>
          <w:rFonts w:hint="eastAsia" w:eastAsia="宋体"/>
          <w:lang w:eastAsia="zh-CN"/>
        </w:rPr>
      </w:pPr>
    </w:p>
    <w:tbl>
      <w:tblPr>
        <w:tblStyle w:val="17"/>
        <w:tblW w:w="13800" w:type="dxa"/>
        <w:tblInd w:w="93" w:type="dxa"/>
        <w:tblLayout w:type="fixed"/>
        <w:tblCellMar>
          <w:top w:w="0" w:type="dxa"/>
          <w:left w:w="108" w:type="dxa"/>
          <w:bottom w:w="0" w:type="dxa"/>
          <w:right w:w="108" w:type="dxa"/>
        </w:tblCellMar>
      </w:tblPr>
      <w:tblGrid>
        <w:gridCol w:w="748"/>
        <w:gridCol w:w="1575"/>
        <w:gridCol w:w="1065"/>
        <w:gridCol w:w="705"/>
        <w:gridCol w:w="690"/>
        <w:gridCol w:w="1335"/>
        <w:gridCol w:w="720"/>
        <w:gridCol w:w="555"/>
        <w:gridCol w:w="255"/>
        <w:gridCol w:w="1035"/>
        <w:gridCol w:w="1364"/>
        <w:gridCol w:w="1033"/>
        <w:gridCol w:w="2720"/>
      </w:tblGrid>
      <w:tr>
        <w:tblPrEx>
          <w:tblCellMar>
            <w:top w:w="0" w:type="dxa"/>
            <w:left w:w="108" w:type="dxa"/>
            <w:bottom w:w="0" w:type="dxa"/>
            <w:right w:w="108" w:type="dxa"/>
          </w:tblCellMar>
        </w:tblPrEx>
        <w:trPr>
          <w:trHeight w:val="595" w:hRule="atLeast"/>
        </w:trPr>
        <w:tc>
          <w:tcPr>
            <w:tcW w:w="13800" w:type="dxa"/>
            <w:gridSpan w:val="1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b/>
                <w:bCs/>
                <w:sz w:val="24"/>
              </w:rPr>
            </w:pPr>
            <w:r>
              <w:rPr>
                <w:rFonts w:hint="eastAsia" w:ascii="宋体" w:hAnsi="宋体" w:cs="宋体"/>
                <w:b/>
                <w:bCs/>
                <w:kern w:val="0"/>
                <w:sz w:val="24"/>
                <w:lang w:bidi="ar"/>
              </w:rPr>
              <w:t>分项价格表</w:t>
            </w:r>
          </w:p>
        </w:tc>
      </w:tr>
      <w:tr>
        <w:tblPrEx>
          <w:tblCellMar>
            <w:top w:w="0" w:type="dxa"/>
            <w:left w:w="108" w:type="dxa"/>
            <w:bottom w:w="0" w:type="dxa"/>
            <w:right w:w="108" w:type="dxa"/>
          </w:tblCellMar>
        </w:tblPrEx>
        <w:trPr>
          <w:trHeight w:val="511" w:hRule="atLeast"/>
        </w:trPr>
        <w:tc>
          <w:tcPr>
            <w:tcW w:w="13800" w:type="dxa"/>
            <w:gridSpan w:val="13"/>
            <w:tcBorders>
              <w:top w:val="single" w:color="auto" w:sz="4" w:space="0"/>
              <w:left w:val="single" w:color="auto" w:sz="4" w:space="0"/>
              <w:bottom w:val="single" w:color="auto" w:sz="4" w:space="0"/>
              <w:right w:val="single" w:color="000000" w:sz="4" w:space="0"/>
            </w:tcBorders>
            <w:shd w:val="clear" w:color="FFFFFF" w:fill="FFFFFF"/>
            <w:vAlign w:val="bottom"/>
          </w:tcPr>
          <w:p>
            <w:pPr>
              <w:widowControl/>
              <w:jc w:val="left"/>
              <w:textAlignment w:val="bottom"/>
              <w:rPr>
                <w:rFonts w:ascii="宋体" w:hAnsi="宋体" w:cs="宋体"/>
                <w:sz w:val="20"/>
                <w:szCs w:val="20"/>
              </w:rPr>
            </w:pPr>
            <w:r>
              <w:rPr>
                <w:rFonts w:hint="eastAsia" w:ascii="宋体" w:hAnsi="宋体" w:cs="宋体"/>
                <w:kern w:val="0"/>
                <w:sz w:val="20"/>
                <w:szCs w:val="20"/>
                <w:lang w:bidi="ar"/>
              </w:rPr>
              <w:t>项目名称：年产30万吨绿色增值复合肥项目水土保持验收评价服务（重新招标）（项目编号</w:t>
            </w:r>
            <w:r>
              <w:rPr>
                <w:rFonts w:hint="eastAsia" w:ascii="宋体" w:hAnsi="宋体"/>
                <w:szCs w:val="21"/>
              </w:rPr>
              <w:t>HXCF-24</w:t>
            </w:r>
            <w:r>
              <w:rPr>
                <w:rFonts w:hint="eastAsia" w:ascii="宋体" w:hAnsi="宋体"/>
                <w:szCs w:val="21"/>
                <w:lang w:val="en-US" w:eastAsia="zh-CN"/>
              </w:rPr>
              <w:t>1068</w:t>
            </w:r>
            <w:r>
              <w:rPr>
                <w:rFonts w:hint="eastAsia" w:ascii="宋体" w:hAnsi="宋体" w:cs="宋体"/>
                <w:kern w:val="0"/>
                <w:sz w:val="20"/>
                <w:szCs w:val="20"/>
                <w:lang w:bidi="ar"/>
              </w:rPr>
              <w:t>）</w:t>
            </w:r>
          </w:p>
        </w:tc>
      </w:tr>
      <w:tr>
        <w:tblPrEx>
          <w:tblCellMar>
            <w:top w:w="0" w:type="dxa"/>
            <w:left w:w="108" w:type="dxa"/>
            <w:bottom w:w="0" w:type="dxa"/>
            <w:right w:w="108" w:type="dxa"/>
          </w:tblCellMar>
        </w:tblPrEx>
        <w:trPr>
          <w:trHeight w:val="585" w:hRule="atLeast"/>
        </w:trPr>
        <w:tc>
          <w:tcPr>
            <w:tcW w:w="748" w:type="dxa"/>
            <w:vMerge w:val="restart"/>
            <w:tcBorders>
              <w:top w:val="nil"/>
              <w:left w:val="single" w:color="000000" w:sz="8" w:space="0"/>
              <w:right w:val="single" w:color="000000" w:sz="4" w:space="0"/>
            </w:tcBorders>
            <w:shd w:val="clear" w:color="FFFFFF" w:fill="FFFFFF"/>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序号</w:t>
            </w:r>
          </w:p>
        </w:tc>
        <w:tc>
          <w:tcPr>
            <w:tcW w:w="2640" w:type="dxa"/>
            <w:gridSpan w:val="2"/>
            <w:vMerge w:val="restart"/>
            <w:tcBorders>
              <w:top w:val="nil"/>
              <w:left w:val="single" w:color="000000" w:sz="4" w:space="0"/>
              <w:right w:val="single" w:color="000000" w:sz="4" w:space="0"/>
            </w:tcBorders>
            <w:shd w:val="clear" w:color="FFFFFF" w:fill="FFFFFF"/>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服务内容</w:t>
            </w:r>
          </w:p>
        </w:tc>
        <w:tc>
          <w:tcPr>
            <w:tcW w:w="705"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单位</w:t>
            </w:r>
          </w:p>
        </w:tc>
        <w:tc>
          <w:tcPr>
            <w:tcW w:w="69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数量</w:t>
            </w:r>
          </w:p>
        </w:tc>
        <w:tc>
          <w:tcPr>
            <w:tcW w:w="5264" w:type="dxa"/>
            <w:gridSpan w:val="6"/>
            <w:tcBorders>
              <w:top w:val="single" w:color="auto"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金额（元）</w:t>
            </w:r>
          </w:p>
        </w:tc>
        <w:tc>
          <w:tcPr>
            <w:tcW w:w="1033" w:type="dxa"/>
            <w:vMerge w:val="restart"/>
            <w:tcBorders>
              <w:top w:val="nil"/>
              <w:left w:val="single" w:color="auto" w:sz="4" w:space="0"/>
              <w:right w:val="single" w:color="auto" w:sz="4" w:space="0"/>
            </w:tcBorders>
            <w:shd w:val="clear" w:color="auto" w:fill="auto"/>
            <w:noWrap/>
            <w:vAlign w:val="center"/>
          </w:tcPr>
          <w:p>
            <w:pPr>
              <w:jc w:val="center"/>
              <w:rPr>
                <w:rFonts w:hint="eastAsia" w:ascii="??" w:hAnsi="??" w:cs="??"/>
                <w:color w:val="000000"/>
                <w:sz w:val="20"/>
                <w:szCs w:val="20"/>
              </w:rPr>
            </w:pPr>
            <w:r>
              <w:rPr>
                <w:rFonts w:hint="eastAsia" w:ascii="??" w:hAnsi="??" w:cs="??"/>
                <w:color w:val="000000"/>
                <w:sz w:val="20"/>
                <w:szCs w:val="20"/>
              </w:rPr>
              <w:t>税率</w:t>
            </w:r>
          </w:p>
        </w:tc>
        <w:tc>
          <w:tcPr>
            <w:tcW w:w="2720" w:type="dxa"/>
            <w:vMerge w:val="restart"/>
            <w:tcBorders>
              <w:top w:val="nil"/>
              <w:left w:val="single" w:color="auto" w:sz="4" w:space="0"/>
              <w:right w:val="single" w:color="auto" w:sz="4" w:space="0"/>
            </w:tcBorders>
            <w:shd w:val="clear" w:color="auto" w:fill="auto"/>
            <w:noWrap/>
            <w:vAlign w:val="center"/>
          </w:tcPr>
          <w:p>
            <w:pPr>
              <w:widowControl/>
              <w:jc w:val="center"/>
              <w:textAlignment w:val="center"/>
              <w:rPr>
                <w:rFonts w:ascii="??" w:hAnsi="??" w:eastAsia="??" w:cs="??"/>
                <w:color w:val="000000"/>
                <w:kern w:val="0"/>
                <w:sz w:val="20"/>
                <w:szCs w:val="20"/>
                <w:lang w:bidi="ar"/>
              </w:rPr>
            </w:pPr>
            <w:r>
              <w:rPr>
                <w:rFonts w:ascii="??" w:hAnsi="??" w:eastAsia="??" w:cs="??"/>
                <w:color w:val="000000"/>
                <w:kern w:val="0"/>
                <w:sz w:val="20"/>
                <w:szCs w:val="20"/>
                <w:lang w:bidi="ar"/>
              </w:rPr>
              <w:t>备注</w:t>
            </w:r>
          </w:p>
        </w:tc>
      </w:tr>
      <w:tr>
        <w:tblPrEx>
          <w:tblCellMar>
            <w:top w:w="0" w:type="dxa"/>
            <w:left w:w="108" w:type="dxa"/>
            <w:bottom w:w="0" w:type="dxa"/>
            <w:right w:w="108" w:type="dxa"/>
          </w:tblCellMar>
        </w:tblPrEx>
        <w:trPr>
          <w:trHeight w:val="995" w:hRule="atLeast"/>
        </w:trPr>
        <w:tc>
          <w:tcPr>
            <w:tcW w:w="748" w:type="dxa"/>
            <w:vMerge w:val="continue"/>
            <w:tcBorders>
              <w:left w:val="single" w:color="000000" w:sz="8" w:space="0"/>
              <w:bottom w:val="single" w:color="auto" w:sz="4" w:space="0"/>
              <w:right w:val="single" w:color="000000" w:sz="4" w:space="0"/>
            </w:tcBorders>
            <w:shd w:val="clear" w:color="FFFFFF" w:fill="FFFFFF"/>
            <w:vAlign w:val="center"/>
          </w:tcPr>
          <w:p>
            <w:pPr>
              <w:jc w:val="center"/>
              <w:rPr>
                <w:rFonts w:ascii="宋体" w:hAnsi="宋体" w:cs="宋体"/>
                <w:sz w:val="20"/>
                <w:szCs w:val="20"/>
              </w:rPr>
            </w:pPr>
          </w:p>
        </w:tc>
        <w:tc>
          <w:tcPr>
            <w:tcW w:w="2640" w:type="dxa"/>
            <w:gridSpan w:val="2"/>
            <w:vMerge w:val="continue"/>
            <w:tcBorders>
              <w:left w:val="single" w:color="000000" w:sz="4" w:space="0"/>
              <w:bottom w:val="single" w:color="auto" w:sz="4" w:space="0"/>
              <w:right w:val="single" w:color="000000" w:sz="4" w:space="0"/>
            </w:tcBorders>
            <w:shd w:val="clear" w:color="FFFFFF" w:fill="FFFFFF"/>
            <w:vAlign w:val="center"/>
          </w:tcPr>
          <w:p>
            <w:pPr>
              <w:jc w:val="center"/>
              <w:rPr>
                <w:rFonts w:ascii="宋体" w:hAnsi="宋体" w:cs="宋体"/>
                <w:sz w:val="20"/>
                <w:szCs w:val="20"/>
              </w:rPr>
            </w:pPr>
          </w:p>
        </w:tc>
        <w:tc>
          <w:tcPr>
            <w:tcW w:w="705" w:type="dxa"/>
            <w:vMerge w:val="continue"/>
            <w:tcBorders>
              <w:top w:val="nil"/>
              <w:left w:val="single" w:color="000000" w:sz="4" w:space="0"/>
              <w:bottom w:val="single" w:color="auto" w:sz="4" w:space="0"/>
              <w:right w:val="single" w:color="000000" w:sz="4" w:space="0"/>
            </w:tcBorders>
            <w:shd w:val="clear" w:color="FFFFFF" w:fill="FFFFFF"/>
            <w:vAlign w:val="center"/>
          </w:tcPr>
          <w:p>
            <w:pPr>
              <w:jc w:val="center"/>
              <w:rPr>
                <w:rFonts w:ascii="宋体" w:hAnsi="宋体" w:cs="宋体"/>
                <w:sz w:val="20"/>
                <w:szCs w:val="20"/>
              </w:rPr>
            </w:pPr>
          </w:p>
        </w:tc>
        <w:tc>
          <w:tcPr>
            <w:tcW w:w="690" w:type="dxa"/>
            <w:vMerge w:val="continue"/>
            <w:tcBorders>
              <w:top w:val="nil"/>
              <w:left w:val="single" w:color="000000" w:sz="4" w:space="0"/>
              <w:bottom w:val="single" w:color="auto" w:sz="4" w:space="0"/>
              <w:right w:val="single" w:color="000000" w:sz="4" w:space="0"/>
            </w:tcBorders>
            <w:shd w:val="clear" w:color="FFFFFF" w:fill="FFFFFF"/>
            <w:vAlign w:val="center"/>
          </w:tcPr>
          <w:p>
            <w:pPr>
              <w:jc w:val="center"/>
              <w:rPr>
                <w:rFonts w:ascii="宋体" w:hAnsi="宋体" w:cs="宋体"/>
                <w:sz w:val="20"/>
                <w:szCs w:val="20"/>
              </w:rPr>
            </w:pPr>
          </w:p>
        </w:tc>
        <w:tc>
          <w:tcPr>
            <w:tcW w:w="1335" w:type="dxa"/>
            <w:tcBorders>
              <w:top w:val="nil"/>
              <w:left w:val="nil"/>
              <w:bottom w:val="single" w:color="auto" w:sz="4" w:space="0"/>
              <w:right w:val="single" w:color="000000" w:sz="4" w:space="0"/>
            </w:tcBorders>
            <w:shd w:val="clear" w:color="FFFFFF" w:fill="FFFFFF"/>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单价</w:t>
            </w:r>
          </w:p>
          <w:p>
            <w:pPr>
              <w:widowControl/>
              <w:jc w:val="center"/>
              <w:textAlignment w:val="center"/>
              <w:rPr>
                <w:rFonts w:ascii="宋体" w:hAnsi="宋体" w:cs="宋体"/>
                <w:sz w:val="20"/>
                <w:szCs w:val="20"/>
              </w:rPr>
            </w:pPr>
            <w:r>
              <w:rPr>
                <w:rFonts w:hint="eastAsia" w:ascii="宋体" w:hAnsi="宋体" w:cs="宋体"/>
                <w:kern w:val="0"/>
                <w:sz w:val="20"/>
                <w:szCs w:val="20"/>
                <w:lang w:bidi="ar"/>
              </w:rPr>
              <w:t>（不含税）</w:t>
            </w:r>
          </w:p>
        </w:tc>
        <w:tc>
          <w:tcPr>
            <w:tcW w:w="1275" w:type="dxa"/>
            <w:gridSpan w:val="2"/>
            <w:tcBorders>
              <w:top w:val="nil"/>
              <w:left w:val="nil"/>
              <w:bottom w:val="single" w:color="auto" w:sz="4" w:space="0"/>
              <w:right w:val="single" w:color="000000" w:sz="4" w:space="0"/>
            </w:tcBorders>
            <w:shd w:val="clear" w:color="FFFFFF" w:fill="FFFFFF"/>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单价</w:t>
            </w:r>
          </w:p>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（含税）</w:t>
            </w:r>
          </w:p>
        </w:tc>
        <w:tc>
          <w:tcPr>
            <w:tcW w:w="1290" w:type="dxa"/>
            <w:gridSpan w:val="2"/>
            <w:tcBorders>
              <w:top w:val="nil"/>
              <w:left w:val="nil"/>
              <w:bottom w:val="single" w:color="auto" w:sz="4" w:space="0"/>
              <w:right w:val="single" w:color="000000" w:sz="4" w:space="0"/>
            </w:tcBorders>
            <w:shd w:val="clear" w:color="FFFFFF" w:fill="FFFFFF"/>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合价</w:t>
            </w:r>
          </w:p>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w:t>
            </w:r>
            <w:r>
              <w:rPr>
                <w:rFonts w:hint="eastAsia" w:ascii="宋体" w:hAnsi="宋体" w:cs="宋体"/>
                <w:kern w:val="0"/>
                <w:sz w:val="20"/>
                <w:szCs w:val="20"/>
                <w:lang w:val="en-US" w:eastAsia="zh-CN" w:bidi="ar"/>
              </w:rPr>
              <w:t>不</w:t>
            </w:r>
            <w:r>
              <w:rPr>
                <w:rFonts w:hint="eastAsia" w:ascii="宋体" w:hAnsi="宋体" w:cs="宋体"/>
                <w:kern w:val="0"/>
                <w:sz w:val="20"/>
                <w:szCs w:val="20"/>
                <w:lang w:bidi="ar"/>
              </w:rPr>
              <w:t>含税）</w:t>
            </w:r>
          </w:p>
        </w:tc>
        <w:tc>
          <w:tcPr>
            <w:tcW w:w="1364" w:type="dxa"/>
            <w:tcBorders>
              <w:top w:val="single" w:color="000000" w:sz="4" w:space="0"/>
              <w:left w:val="nil"/>
              <w:bottom w:val="single" w:color="auto" w:sz="4" w:space="0"/>
              <w:right w:val="single" w:color="000000" w:sz="4" w:space="0"/>
            </w:tcBorders>
            <w:shd w:val="clear" w:color="FFFFFF" w:fill="FFFFFF"/>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合价</w:t>
            </w:r>
          </w:p>
          <w:p>
            <w:pPr>
              <w:widowControl/>
              <w:jc w:val="center"/>
              <w:textAlignment w:val="center"/>
              <w:rPr>
                <w:rFonts w:ascii="宋体" w:hAnsi="宋体" w:cs="宋体"/>
                <w:sz w:val="20"/>
                <w:szCs w:val="20"/>
              </w:rPr>
            </w:pPr>
            <w:r>
              <w:rPr>
                <w:rFonts w:hint="eastAsia" w:ascii="宋体" w:hAnsi="宋体" w:cs="宋体"/>
                <w:kern w:val="0"/>
                <w:sz w:val="20"/>
                <w:szCs w:val="20"/>
                <w:lang w:bidi="ar"/>
              </w:rPr>
              <w:t>（含税）</w:t>
            </w:r>
          </w:p>
        </w:tc>
        <w:tc>
          <w:tcPr>
            <w:tcW w:w="1033"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hint="eastAsia" w:ascii="??" w:hAnsi="??" w:cs="??"/>
                <w:color w:val="000000"/>
                <w:sz w:val="20"/>
                <w:szCs w:val="20"/>
              </w:rPr>
            </w:pPr>
          </w:p>
        </w:tc>
        <w:tc>
          <w:tcPr>
            <w:tcW w:w="2720"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ascii="??" w:hAnsi="??" w:eastAsia="??" w:cs="??"/>
                <w:color w:val="000000"/>
                <w:sz w:val="20"/>
                <w:szCs w:val="20"/>
              </w:rPr>
            </w:pPr>
          </w:p>
        </w:tc>
      </w:tr>
      <w:tr>
        <w:tblPrEx>
          <w:tblCellMar>
            <w:top w:w="0" w:type="dxa"/>
            <w:left w:w="108" w:type="dxa"/>
            <w:bottom w:w="0" w:type="dxa"/>
            <w:right w:w="108" w:type="dxa"/>
          </w:tblCellMar>
        </w:tblPrEx>
        <w:trPr>
          <w:trHeight w:val="544" w:hRule="atLeast"/>
        </w:trPr>
        <w:tc>
          <w:tcPr>
            <w:tcW w:w="748"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2640" w:type="dxa"/>
            <w:gridSpan w:val="2"/>
            <w:tcBorders>
              <w:top w:val="single" w:color="auto" w:sz="4" w:space="0"/>
              <w:left w:val="single" w:color="auto" w:sz="4" w:space="0"/>
              <w:bottom w:val="single" w:color="auto" w:sz="4" w:space="0"/>
              <w:right w:val="single" w:color="000000" w:sz="4" w:space="0"/>
            </w:tcBorders>
            <w:shd w:val="clear" w:color="FFFFFF" w:fill="FFFFFF"/>
            <w:vAlign w:val="center"/>
          </w:tcPr>
          <w:p>
            <w:pPr>
              <w:widowControl/>
              <w:spacing w:line="240" w:lineRule="exact"/>
              <w:jc w:val="left"/>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kern w:val="0"/>
                <w:sz w:val="20"/>
                <w:szCs w:val="20"/>
                <w:lang w:bidi="ar"/>
              </w:rPr>
              <w:t>年产30万吨绿色增值复合肥项目水土保持验收评价服务</w:t>
            </w:r>
          </w:p>
        </w:tc>
        <w:tc>
          <w:tcPr>
            <w:tcW w:w="705" w:type="dxa"/>
            <w:tcBorders>
              <w:top w:val="nil"/>
              <w:left w:val="nil"/>
              <w:bottom w:val="single" w:color="000000" w:sz="4" w:space="0"/>
              <w:right w:val="single" w:color="000000" w:sz="4" w:space="0"/>
            </w:tcBorders>
            <w:shd w:val="clear" w:color="FFFFFF" w:fill="FFFFFF"/>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项</w:t>
            </w:r>
          </w:p>
        </w:tc>
        <w:tc>
          <w:tcPr>
            <w:tcW w:w="690" w:type="dxa"/>
            <w:tcBorders>
              <w:top w:val="nil"/>
              <w:left w:val="nil"/>
              <w:bottom w:val="single" w:color="000000" w:sz="4" w:space="0"/>
              <w:right w:val="single" w:color="000000" w:sz="4" w:space="0"/>
            </w:tcBorders>
            <w:shd w:val="clear" w:color="FFFFFF" w:fill="FFFFFF"/>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335" w:type="dxa"/>
            <w:tcBorders>
              <w:top w:val="nil"/>
              <w:left w:val="nil"/>
              <w:bottom w:val="single" w:color="000000" w:sz="4" w:space="0"/>
              <w:right w:val="single" w:color="000000" w:sz="4" w:space="0"/>
            </w:tcBorders>
            <w:shd w:val="clear" w:color="FFFFFF" w:fill="FFFFFF"/>
            <w:vAlign w:val="center"/>
          </w:tcPr>
          <w:p>
            <w:pPr>
              <w:widowControl/>
              <w:spacing w:line="240" w:lineRule="exact"/>
              <w:jc w:val="center"/>
              <w:textAlignment w:val="center"/>
              <w:rPr>
                <w:rFonts w:ascii="宋体" w:hAnsi="宋体" w:cs="宋体"/>
                <w:sz w:val="20"/>
                <w:szCs w:val="20"/>
              </w:rPr>
            </w:pPr>
          </w:p>
        </w:tc>
        <w:tc>
          <w:tcPr>
            <w:tcW w:w="1275" w:type="dxa"/>
            <w:gridSpan w:val="2"/>
            <w:tcBorders>
              <w:top w:val="nil"/>
              <w:left w:val="nil"/>
              <w:bottom w:val="single" w:color="000000" w:sz="4" w:space="0"/>
              <w:right w:val="single" w:color="000000" w:sz="4" w:space="0"/>
            </w:tcBorders>
            <w:shd w:val="clear" w:color="FFFFFF" w:fill="FFFFFF"/>
            <w:vAlign w:val="center"/>
          </w:tcPr>
          <w:p>
            <w:pPr>
              <w:widowControl/>
              <w:spacing w:line="240" w:lineRule="exact"/>
              <w:jc w:val="center"/>
              <w:textAlignment w:val="center"/>
              <w:rPr>
                <w:rFonts w:ascii="宋体" w:hAnsi="宋体" w:cs="宋体"/>
                <w:sz w:val="20"/>
                <w:szCs w:val="20"/>
              </w:rPr>
            </w:pPr>
          </w:p>
        </w:tc>
        <w:tc>
          <w:tcPr>
            <w:tcW w:w="1290" w:type="dxa"/>
            <w:gridSpan w:val="2"/>
            <w:tcBorders>
              <w:top w:val="nil"/>
              <w:left w:val="nil"/>
              <w:bottom w:val="single" w:color="000000" w:sz="4" w:space="0"/>
              <w:right w:val="single" w:color="000000" w:sz="4" w:space="0"/>
            </w:tcBorders>
            <w:shd w:val="clear" w:color="FFFFFF" w:fill="FFFFFF"/>
            <w:vAlign w:val="center"/>
          </w:tcPr>
          <w:p>
            <w:pPr>
              <w:widowControl/>
              <w:spacing w:line="240" w:lineRule="exact"/>
              <w:jc w:val="center"/>
              <w:textAlignment w:val="center"/>
              <w:rPr>
                <w:rFonts w:ascii="宋体" w:hAnsi="宋体" w:cs="宋体"/>
                <w:sz w:val="20"/>
                <w:szCs w:val="20"/>
              </w:rPr>
            </w:pPr>
          </w:p>
        </w:tc>
        <w:tc>
          <w:tcPr>
            <w:tcW w:w="1364" w:type="dxa"/>
            <w:tcBorders>
              <w:top w:val="single" w:color="000000" w:sz="4" w:space="0"/>
              <w:left w:val="nil"/>
              <w:bottom w:val="single" w:color="000000" w:sz="4" w:space="0"/>
              <w:right w:val="single" w:color="000000" w:sz="4" w:space="0"/>
            </w:tcBorders>
            <w:shd w:val="clear" w:color="FFFFFF" w:fill="FFFFFF"/>
            <w:vAlign w:val="center"/>
          </w:tcPr>
          <w:p>
            <w:pPr>
              <w:widowControl/>
              <w:spacing w:line="240" w:lineRule="exact"/>
              <w:jc w:val="center"/>
              <w:textAlignment w:val="center"/>
              <w:rPr>
                <w:rFonts w:ascii="宋体" w:hAnsi="宋体" w:cs="宋体"/>
                <w:sz w:val="20"/>
                <w:szCs w:val="20"/>
              </w:rPr>
            </w:pPr>
          </w:p>
        </w:tc>
        <w:tc>
          <w:tcPr>
            <w:tcW w:w="1033" w:type="dxa"/>
            <w:tcBorders>
              <w:left w:val="nil"/>
              <w:bottom w:val="single" w:color="auto" w:sz="4" w:space="0"/>
              <w:right w:val="single" w:color="auto" w:sz="4" w:space="0"/>
            </w:tcBorders>
            <w:shd w:val="clear" w:color="auto" w:fill="auto"/>
            <w:noWrap/>
            <w:vAlign w:val="bottom"/>
          </w:tcPr>
          <w:p>
            <w:pPr>
              <w:widowControl/>
              <w:spacing w:line="240" w:lineRule="exact"/>
              <w:jc w:val="left"/>
              <w:textAlignment w:val="bottom"/>
              <w:rPr>
                <w:rFonts w:ascii="??" w:hAnsi="??" w:eastAsia="??" w:cs="??"/>
                <w:color w:val="000000"/>
                <w:kern w:val="0"/>
                <w:sz w:val="20"/>
                <w:szCs w:val="20"/>
                <w:lang w:bidi="ar"/>
              </w:rPr>
            </w:pPr>
          </w:p>
        </w:tc>
        <w:tc>
          <w:tcPr>
            <w:tcW w:w="272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exact"/>
              <w:jc w:val="left"/>
              <w:textAlignment w:val="bottom"/>
              <w:rPr>
                <w:rFonts w:hint="eastAsia" w:ascii="??" w:hAnsi="??" w:cs="??" w:eastAsiaTheme="minorEastAsia"/>
                <w:color w:val="000000"/>
                <w:kern w:val="0"/>
                <w:sz w:val="20"/>
                <w:szCs w:val="20"/>
                <w:highlight w:val="yellow"/>
                <w:lang w:bidi="ar"/>
              </w:rPr>
            </w:pPr>
          </w:p>
        </w:tc>
      </w:tr>
      <w:tr>
        <w:tblPrEx>
          <w:tblCellMar>
            <w:top w:w="0" w:type="dxa"/>
            <w:left w:w="108" w:type="dxa"/>
            <w:bottom w:w="0" w:type="dxa"/>
            <w:right w:w="108" w:type="dxa"/>
          </w:tblCellMar>
        </w:tblPrEx>
        <w:trPr>
          <w:trHeight w:val="772" w:hRule="atLeast"/>
        </w:trPr>
        <w:tc>
          <w:tcPr>
            <w:tcW w:w="23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合计金额（不含税小写）</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kern w:val="0"/>
                <w:sz w:val="20"/>
                <w:szCs w:val="20"/>
                <w:lang w:bidi="ar"/>
              </w:rPr>
            </w:pPr>
          </w:p>
        </w:tc>
        <w:tc>
          <w:tcPr>
            <w:tcW w:w="72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税率</w:t>
            </w:r>
          </w:p>
        </w:tc>
        <w:tc>
          <w:tcPr>
            <w:tcW w:w="810" w:type="dxa"/>
            <w:gridSpan w:val="2"/>
            <w:vMerge w:val="restart"/>
            <w:tcBorders>
              <w:top w:val="single" w:color="auto" w:sz="4" w:space="0"/>
              <w:left w:val="nil"/>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p>
        </w:tc>
        <w:tc>
          <w:tcPr>
            <w:tcW w:w="239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合计金额（含税小写）</w:t>
            </w:r>
          </w:p>
        </w:tc>
        <w:tc>
          <w:tcPr>
            <w:tcW w:w="375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textAlignment w:val="center"/>
              <w:rPr>
                <w:rFonts w:ascii="??" w:hAnsi="??" w:eastAsia="??" w:cs="??"/>
                <w:color w:val="000000"/>
                <w:sz w:val="13"/>
                <w:szCs w:val="13"/>
              </w:rPr>
            </w:pPr>
          </w:p>
        </w:tc>
      </w:tr>
      <w:tr>
        <w:tblPrEx>
          <w:tblCellMar>
            <w:top w:w="0" w:type="dxa"/>
            <w:left w:w="108" w:type="dxa"/>
            <w:bottom w:w="0" w:type="dxa"/>
            <w:right w:w="108" w:type="dxa"/>
          </w:tblCellMar>
        </w:tblPrEx>
        <w:trPr>
          <w:trHeight w:val="772" w:hRule="atLeast"/>
        </w:trPr>
        <w:tc>
          <w:tcPr>
            <w:tcW w:w="23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合计金额（不含税大写）</w:t>
            </w:r>
          </w:p>
        </w:tc>
        <w:tc>
          <w:tcPr>
            <w:tcW w:w="379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kern w:val="0"/>
                <w:sz w:val="20"/>
                <w:szCs w:val="20"/>
                <w:lang w:bidi="ar"/>
              </w:rPr>
            </w:pPr>
          </w:p>
        </w:tc>
        <w:tc>
          <w:tcPr>
            <w:tcW w:w="720"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kern w:val="0"/>
                <w:sz w:val="20"/>
                <w:szCs w:val="20"/>
                <w:lang w:bidi="ar"/>
              </w:rPr>
            </w:pPr>
          </w:p>
        </w:tc>
        <w:tc>
          <w:tcPr>
            <w:tcW w:w="810" w:type="dxa"/>
            <w:gridSpan w:val="2"/>
            <w:vMerge w:val="continue"/>
            <w:tcBorders>
              <w:left w:val="nil"/>
              <w:bottom w:val="single" w:color="auto" w:sz="4" w:space="0"/>
              <w:right w:val="single" w:color="auto" w:sz="4" w:space="0"/>
            </w:tcBorders>
            <w:shd w:val="clear" w:color="auto" w:fill="auto"/>
            <w:vAlign w:val="center"/>
          </w:tcPr>
          <w:p>
            <w:pPr>
              <w:widowControl/>
              <w:spacing w:line="240" w:lineRule="exact"/>
              <w:jc w:val="center"/>
              <w:textAlignment w:val="center"/>
              <w:rPr>
                <w:rFonts w:ascii="宋体" w:hAnsi="宋体" w:cs="宋体"/>
                <w:color w:val="000000"/>
                <w:sz w:val="20"/>
                <w:szCs w:val="20"/>
              </w:rPr>
            </w:pPr>
          </w:p>
        </w:tc>
        <w:tc>
          <w:tcPr>
            <w:tcW w:w="2399" w:type="dxa"/>
            <w:gridSpan w:val="2"/>
            <w:tcBorders>
              <w:top w:val="nil"/>
              <w:left w:val="nil"/>
              <w:bottom w:val="single" w:color="auto"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合计金额（含税大写）</w:t>
            </w:r>
          </w:p>
        </w:tc>
        <w:tc>
          <w:tcPr>
            <w:tcW w:w="3753" w:type="dxa"/>
            <w:gridSpan w:val="2"/>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 w:hAnsi="??" w:eastAsia="??" w:cs="??"/>
                <w:color w:val="000000"/>
                <w:sz w:val="13"/>
                <w:szCs w:val="13"/>
              </w:rPr>
            </w:pPr>
          </w:p>
        </w:tc>
      </w:tr>
      <w:tr>
        <w:tblPrEx>
          <w:tblCellMar>
            <w:top w:w="0" w:type="dxa"/>
            <w:left w:w="108" w:type="dxa"/>
            <w:bottom w:w="0" w:type="dxa"/>
            <w:right w:w="108" w:type="dxa"/>
          </w:tblCellMar>
        </w:tblPrEx>
        <w:trPr>
          <w:trHeight w:val="1480" w:hRule="atLeast"/>
        </w:trPr>
        <w:tc>
          <w:tcPr>
            <w:tcW w:w="13800" w:type="dxa"/>
            <w:gridSpan w:val="13"/>
            <w:tcBorders>
              <w:top w:val="nil"/>
              <w:left w:val="nil"/>
              <w:bottom w:val="nil"/>
              <w:right w:val="nil"/>
            </w:tcBorders>
            <w:shd w:val="clear" w:color="auto" w:fill="auto"/>
            <w:vAlign w:val="center"/>
          </w:tcPr>
          <w:p>
            <w:pPr>
              <w:widowControl/>
              <w:jc w:val="left"/>
              <w:textAlignment w:val="bottom"/>
              <w:rPr>
                <w:rFonts w:hint="eastAsia" w:ascii="宋体" w:hAnsi="宋体" w:cs="宋体"/>
                <w:kern w:val="0"/>
                <w:sz w:val="20"/>
                <w:szCs w:val="20"/>
                <w:lang w:bidi="ar"/>
              </w:rPr>
            </w:pPr>
            <w:r>
              <w:rPr>
                <w:rFonts w:hint="eastAsia" w:ascii="宋体" w:hAnsi="宋体" w:cs="宋体"/>
                <w:kern w:val="0"/>
                <w:sz w:val="20"/>
                <w:szCs w:val="20"/>
                <w:lang w:val="en-US" w:eastAsia="zh-CN" w:bidi="ar"/>
              </w:rPr>
              <w:t>1、</w:t>
            </w:r>
            <w:r>
              <w:rPr>
                <w:rFonts w:hint="eastAsia" w:ascii="宋体" w:hAnsi="宋体" w:cs="宋体"/>
                <w:kern w:val="0"/>
                <w:sz w:val="20"/>
                <w:szCs w:val="20"/>
                <w:lang w:bidi="ar"/>
              </w:rPr>
              <w:t>以上总价含人工费、直接费、社保费、人身意外保险费、税费、管理费、人员服务费、交通费、工具费、咨询费等完成本次</w:t>
            </w:r>
            <w:r>
              <w:rPr>
                <w:rFonts w:hint="eastAsia" w:ascii="宋体" w:hAnsi="宋体" w:cs="宋体"/>
                <w:kern w:val="0"/>
                <w:sz w:val="20"/>
                <w:szCs w:val="20"/>
                <w:lang w:val="en-US" w:eastAsia="zh-CN" w:bidi="ar"/>
              </w:rPr>
              <w:t>服务</w:t>
            </w:r>
            <w:r>
              <w:rPr>
                <w:rFonts w:hint="eastAsia" w:ascii="宋体" w:hAnsi="宋体" w:cs="宋体"/>
                <w:kern w:val="0"/>
                <w:sz w:val="20"/>
                <w:szCs w:val="20"/>
                <w:lang w:bidi="ar"/>
              </w:rPr>
              <w:t>一切可能发生的费用</w:t>
            </w:r>
          </w:p>
          <w:p>
            <w:pPr>
              <w:widowControl/>
              <w:jc w:val="left"/>
              <w:textAlignment w:val="bottom"/>
              <w:rPr>
                <w:rFonts w:hint="eastAsia" w:ascii="宋体" w:hAnsi="宋体" w:cs="宋体"/>
                <w:kern w:val="0"/>
                <w:sz w:val="20"/>
                <w:szCs w:val="20"/>
                <w:lang w:bidi="ar"/>
              </w:rPr>
            </w:pPr>
            <w:r>
              <w:rPr>
                <w:rFonts w:hint="eastAsia" w:ascii="宋体" w:hAnsi="宋体" w:cs="宋体"/>
                <w:kern w:val="0"/>
                <w:sz w:val="20"/>
                <w:szCs w:val="20"/>
                <w:lang w:val="en-US" w:eastAsia="zh-CN" w:bidi="ar"/>
              </w:rPr>
              <w:t>2、</w:t>
            </w:r>
            <w:r>
              <w:rPr>
                <w:rFonts w:hint="eastAsia" w:ascii="宋体" w:hAnsi="宋体" w:cs="宋体"/>
                <w:kern w:val="0"/>
                <w:sz w:val="20"/>
                <w:szCs w:val="20"/>
                <w:lang w:bidi="ar"/>
              </w:rPr>
              <w:t>本项目合同模式为固定总价合同，合同不含税总价为固定不变总价，税率按国家现行税率进行实时调整</w:t>
            </w:r>
          </w:p>
          <w:p>
            <w:pPr>
              <w:widowControl/>
              <w:jc w:val="left"/>
              <w:textAlignment w:val="bottom"/>
              <w:rPr>
                <w:rFonts w:ascii="??" w:hAnsi="??" w:eastAsia="??" w:cs="??"/>
                <w:color w:val="000000"/>
                <w:kern w:val="0"/>
                <w:sz w:val="20"/>
                <w:szCs w:val="20"/>
                <w:lang w:bidi="ar"/>
              </w:rPr>
            </w:pPr>
            <w:r>
              <w:rPr>
                <w:rFonts w:hint="eastAsia" w:ascii="宋体" w:hAnsi="宋体" w:cs="宋体"/>
                <w:kern w:val="0"/>
                <w:sz w:val="20"/>
                <w:szCs w:val="20"/>
                <w:lang w:val="en-US" w:eastAsia="zh-CN" w:bidi="ar"/>
              </w:rPr>
              <w:t>3、</w:t>
            </w:r>
            <w:r>
              <w:rPr>
                <w:rFonts w:hint="eastAsia" w:ascii="宋体" w:hAnsi="宋体" w:cs="宋体"/>
                <w:kern w:val="0"/>
                <w:sz w:val="20"/>
                <w:szCs w:val="20"/>
                <w:lang w:bidi="ar"/>
              </w:rPr>
              <w:t>如报价中有明细项请另附表</w:t>
            </w:r>
          </w:p>
        </w:tc>
      </w:tr>
    </w:tbl>
    <w:p>
      <w:pPr>
        <w:pStyle w:val="2"/>
        <w:rPr>
          <w:rFonts w:hint="eastAsia" w:eastAsia="宋体"/>
          <w:lang w:eastAsia="zh-CN"/>
        </w:rPr>
      </w:pPr>
    </w:p>
    <w:p>
      <w:pPr>
        <w:pStyle w:val="2"/>
        <w:rPr>
          <w:rFonts w:hint="eastAsia"/>
          <w:lang w:eastAsia="zh-CN"/>
        </w:rPr>
        <w:sectPr>
          <w:pgSz w:w="16838" w:h="11906" w:orient="landscape"/>
          <w:pgMar w:top="1800" w:right="1440" w:bottom="1800" w:left="1440" w:header="851" w:footer="992" w:gutter="0"/>
          <w:cols w:space="425" w:num="1"/>
          <w:docGrid w:type="lines" w:linePitch="312" w:charSpace="0"/>
        </w:sectPr>
      </w:pPr>
    </w:p>
    <w:p>
      <w:pPr>
        <w:spacing w:before="240" w:after="240" w:line="360" w:lineRule="auto"/>
        <w:jc w:val="left"/>
        <w:outlineLvl w:val="0"/>
        <w:rPr>
          <w:rFonts w:ascii="黑体" w:hAnsi="黑体" w:eastAsia="黑体" w:cs="黑体"/>
          <w:sz w:val="24"/>
          <w:szCs w:val="24"/>
        </w:rPr>
      </w:pPr>
      <w:r>
        <w:rPr>
          <w:rFonts w:hint="eastAsia" w:ascii="黑体" w:hAnsi="黑体" w:eastAsia="黑体" w:cs="黑体"/>
          <w:sz w:val="24"/>
          <w:szCs w:val="24"/>
        </w:rPr>
        <w:t>附件</w:t>
      </w:r>
      <w:r>
        <w:rPr>
          <w:rFonts w:hint="eastAsia" w:ascii="黑体" w:hAnsi="黑体" w:eastAsia="黑体" w:cs="黑体"/>
          <w:sz w:val="24"/>
          <w:szCs w:val="24"/>
          <w:lang w:val="en-US" w:eastAsia="zh-CN"/>
        </w:rPr>
        <w:t>4</w:t>
      </w:r>
      <w:r>
        <w:rPr>
          <w:rFonts w:hint="eastAsia" w:ascii="黑体" w:hAnsi="黑体" w:eastAsia="黑体" w:cs="黑体"/>
          <w:sz w:val="24"/>
          <w:szCs w:val="24"/>
        </w:rPr>
        <w:t>：投标人不参与串通投标、弄虚作假承诺书</w:t>
      </w:r>
    </w:p>
    <w:p>
      <w:pPr>
        <w:widowControl/>
        <w:spacing w:before="156" w:beforeLines="50" w:after="156" w:afterLines="50" w:line="480" w:lineRule="auto"/>
        <w:jc w:val="center"/>
        <w:rPr>
          <w:rFonts w:ascii="黑体" w:hAnsi="黑体" w:eastAsia="黑体" w:cs="Times New Roman"/>
          <w:sz w:val="44"/>
          <w:szCs w:val="44"/>
        </w:rPr>
      </w:pPr>
      <w:r>
        <w:rPr>
          <w:rFonts w:hint="eastAsia" w:ascii="黑体" w:hAnsi="黑体" w:eastAsia="黑体" w:cs="Times New Roman"/>
          <w:sz w:val="44"/>
          <w:szCs w:val="44"/>
        </w:rPr>
        <w:t>投标人不参与串通投标、弄虚作假承诺书</w:t>
      </w:r>
    </w:p>
    <w:p>
      <w:pPr>
        <w:widowControl/>
        <w:ind w:left="2559" w:leftChars="152" w:hanging="2240" w:hangingChars="7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采办项目名称:</w:t>
      </w:r>
      <w:r>
        <w:rPr>
          <w:rFonts w:hint="eastAsia"/>
        </w:rPr>
        <w:t xml:space="preserve"> </w:t>
      </w:r>
      <w:r>
        <w:rPr>
          <w:rFonts w:hint="eastAsia" w:ascii="仿宋_GB2312" w:hAnsi="仿宋_GB2312" w:eastAsia="仿宋_GB2312" w:cs="仿宋_GB2312"/>
          <w:sz w:val="32"/>
          <w:szCs w:val="32"/>
        </w:rPr>
        <w:t xml:space="preserve">年产30万吨绿色增值复合肥项目水土保持验收评价服务    </w:t>
      </w:r>
    </w:p>
    <w:p>
      <w:pPr>
        <w:widowControl/>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采办项目编号：HXCF-24</w:t>
      </w:r>
      <w:r>
        <w:rPr>
          <w:rFonts w:hint="eastAsia" w:ascii="仿宋_GB2312" w:hAnsi="仿宋_GB2312" w:eastAsia="仿宋_GB2312" w:cs="仿宋_GB2312"/>
          <w:sz w:val="32"/>
          <w:szCs w:val="32"/>
          <w:lang w:val="en-US" w:eastAsia="zh-CN"/>
        </w:rPr>
        <w:t>1068</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本人作为经授权的投标人代表，清楚知晓我单位本项目投标活动，对以下事项作出承诺：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一、我单位和我本人遵循公开、公平、公正、诚实守信的原则,依法依规参与本项目竞标。</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二、我单位和我本人在本项目中依法依规参与招标投标活动,未参与串通投标,不在投标活动中弄虚作假。</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三、我单位和我本人清楚知晓《中华人民共和国招标投标法实施条例》第三十九条“禁止投标人相互串通投标。有下列情形之一的,属于投标人相互串通投标：</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(一)投标人之间协商投标报价等投标文件的实质性内容；</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(二)投标人之间约定中标人；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(三)投标人之间约定部分投标人放弃投标或者中标；</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(四)属于同一集团、协会、商会等组织成员的投标人按照该组织要求协同投标；</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(五)投标人之间为谋取中标或者排斥特定投标人而采取的其他联合行动”的规定。</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四、我单位和我本人清楚知晓《中华人民共和国招标投标法实施条例》第四十条“有下列情形之一的,视为投标人相互串通投标：</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(一)不同投标人的投标文件由同一单位或者个人编制；</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(二)不同投标人委托同一单位或者个人办理投标事宜；</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(三)不同投标人的投标文件载明的项目管理成员为同一人；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(四)不同投标人的投标文件异常一致或者投标报价呈规律性差异；</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(五)不同投标人的投标文件相互混装；</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(六)不同投标人的投标保证金从同一单位或者个人的账户转出”的规定。</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五、我单位和我本人清楚知晓《中华人民共和国招标投标法实施条例》第四十一条“禁止招标人与投标人串通投标。有下列情形之一的,属于招标人与投标人串通投标：</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(一)招标人在开标前开启投标文件并将有关信息泄露给其他投标人；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(二)招标人直接或者间接向投标人泄露标底、评标委员会成员等信息；</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(三)招标人明示或者暗示投标人压低或者抬高投标报价；</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(四)招标人授意投标人撤换、修改投标文件；</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(五)招标人明示或者暗示投标人为特定投标人中标提供方便；</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(六)招标人与投标人为谋求特定投标人中标而采取的其他串通行为”的规定。</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我单位和我本人清楚知晓《中华人民共和国招标投标法实施条例》第四十二条“使用通过受让或者租借等方式获取的资格、资质证明投标的，属于招标投标法第三十三规定的以他人名义投标。投标人有下列情形之一的，属于招标投标法第三十三规定的以其他方式弄虚作假的行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(一)使用伪造、变造的许可证件；</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(二)提供虚假的财务状况或者业绩；</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(三)提供虚假的项目负责人或者主要技术人员简历、劳</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动关系证明；</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 提供虚假的信用状况；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 其他弄虚作假的行为”的规定。</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我单位和我个人清楚并知晓《中华人民共和国刑法》第二百八十条“伪造、变造、买卖国家机关公文、证件、印章罪；盗窃、抢夺、毁灭国家机关公文、证件、印章罪；伪造公司、企业、事业单位、人民团体印章罪；伪造、变造、</w:t>
      </w:r>
      <w:r>
        <w:rPr>
          <w:rFonts w:ascii="仿宋_GB2312" w:hAnsi="仿宋_GB2312" w:eastAsia="仿宋_GB2312" w:cs="仿宋_GB2312"/>
          <w:sz w:val="32"/>
          <w:szCs w:val="32"/>
        </w:rPr>
        <w:t>买卖</w:t>
      </w:r>
      <w:r>
        <w:rPr>
          <w:rFonts w:hint="eastAsia" w:ascii="仿宋_GB2312" w:hAnsi="仿宋_GB2312" w:eastAsia="仿宋_GB2312" w:cs="仿宋_GB2312"/>
          <w:sz w:val="32"/>
          <w:szCs w:val="32"/>
        </w:rPr>
        <w:t>身份证件罪”的规定。</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我单位如被查实在本项目招标投标活动中存在串通投标、弄虚作假的,递交投标文件行为作为实施串通投标违法行为的关键环节，本人自愿承担直接责任人员法律责任,接受相应刑事、纪律和行政处罚以及失信惩戒。</w:t>
      </w: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投标人(印章)</w:t>
      </w: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投标人授权代表(签字)∶</w:t>
      </w:r>
    </w:p>
    <w:p>
      <w:pPr>
        <w:widowControl/>
        <w:jc w:val="left"/>
        <w:rPr>
          <w:rFonts w:ascii="黑体" w:hAnsi="黑体" w:eastAsia="黑体" w:cs="Times New Roman"/>
          <w:sz w:val="10"/>
          <w:szCs w:val="24"/>
        </w:rPr>
      </w:pPr>
    </w:p>
    <w:p>
      <w:pPr>
        <w:widowControl/>
        <w:jc w:val="left"/>
        <w:rPr>
          <w:rFonts w:ascii="黑体" w:hAnsi="黑体" w:eastAsia="黑体" w:cs="Times New Roman"/>
          <w:sz w:val="10"/>
          <w:szCs w:val="24"/>
        </w:rPr>
      </w:pPr>
    </w:p>
    <w:p>
      <w:pPr>
        <w:widowControl/>
        <w:jc w:val="left"/>
        <w:rPr>
          <w:rFonts w:ascii="黑体" w:hAnsi="黑体" w:eastAsia="黑体" w:cs="Times New Roman"/>
          <w:sz w:val="10"/>
          <w:szCs w:val="24"/>
        </w:rPr>
      </w:pPr>
    </w:p>
    <w:p>
      <w:pPr>
        <w:widowControl/>
        <w:jc w:val="left"/>
        <w:rPr>
          <w:rFonts w:ascii="黑体" w:hAnsi="黑体" w:eastAsia="黑体" w:cs="Times New Roman"/>
          <w:sz w:val="10"/>
          <w:szCs w:val="24"/>
        </w:rPr>
      </w:pPr>
    </w:p>
    <w:p>
      <w:pPr>
        <w:widowControl/>
        <w:jc w:val="left"/>
        <w:rPr>
          <w:rFonts w:ascii="黑体" w:hAnsi="黑体" w:eastAsia="黑体" w:cs="Times New Roman"/>
          <w:sz w:val="10"/>
          <w:szCs w:val="24"/>
        </w:rPr>
      </w:pPr>
    </w:p>
    <w:p>
      <w:pPr>
        <w:widowControl/>
        <w:jc w:val="left"/>
        <w:rPr>
          <w:rFonts w:ascii="黑体" w:hAnsi="黑体" w:eastAsia="黑体" w:cs="Times New Roman"/>
          <w:sz w:val="10"/>
          <w:szCs w:val="24"/>
        </w:rPr>
      </w:pPr>
    </w:p>
    <w:p>
      <w:pPr>
        <w:widowControl/>
        <w:ind w:left="5746" w:leftChars="2584" w:hanging="320" w:hangingChars="100"/>
        <w:jc w:val="left"/>
        <w:rPr>
          <w:rFonts w:ascii="等线" w:hAnsi="等线" w:eastAsia="宋体" w:cs="Times New Roman"/>
          <w:szCs w:val="20"/>
        </w:rPr>
      </w:pPr>
      <w:r>
        <w:rPr>
          <w:rFonts w:ascii="等线" w:hAnsi="等线" w:eastAsia="宋体" w:cs="Times New Roman"/>
          <w:sz w:val="32"/>
          <w:szCs w:val="20"/>
        </w:rPr>
        <mc:AlternateContent>
          <mc:Choice Requires="wps">
            <w:drawing>
              <wp:anchor distT="0" distB="0" distL="114300" distR="114300" simplePos="0" relativeHeight="251661312" behindDoc="0" locked="0" layoutInCell="1" allowOverlap="1">
                <wp:simplePos x="0" y="0"/>
                <wp:positionH relativeFrom="column">
                  <wp:posOffset>3030220</wp:posOffset>
                </wp:positionH>
                <wp:positionV relativeFrom="paragraph">
                  <wp:posOffset>281940</wp:posOffset>
                </wp:positionV>
                <wp:extent cx="384810" cy="0"/>
                <wp:effectExtent l="0" t="0" r="0" b="0"/>
                <wp:wrapNone/>
                <wp:docPr id="14" name="直接连接符 14"/>
                <wp:cNvGraphicFramePr/>
                <a:graphic xmlns:a="http://schemas.openxmlformats.org/drawingml/2006/main">
                  <a:graphicData uri="http://schemas.microsoft.com/office/word/2010/wordprocessingShape">
                    <wps:wsp>
                      <wps:cNvCnPr/>
                      <wps:spPr>
                        <a:xfrm flipH="1">
                          <a:off x="0" y="0"/>
                          <a:ext cx="3848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x;margin-left:238.6pt;margin-top:22.2pt;height:0pt;width:30.3pt;z-index:251661312;mso-width-relative:page;mso-height-relative:page;" filled="f" stroked="t" coordsize="21600,21600" o:gfxdata="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fizbNcAAAAJAQAADwAAAAAAAAABACAAAAAiAAAAZHJzL2Rvd25yZXYu&#10;eG1sUEsBAhQAFAAAAAgAh07iQG6pM378AQAA3gMAAA4AAAAAAAAAAQAgAAAAJgEAAGRycy9lMm9E&#10;b2MueG1sUEsFBgAAAAAGAAYAWQEAAJQFAAAAAA==&#10;">
                <v:fill on="f" focussize="0,0"/>
                <v:stroke weight="0.5pt" color="#000000" miterlimit="8" joinstyle="miter"/>
                <v:imagedata o:title=""/>
                <o:lock v:ext="edit" aspectratio="f"/>
              </v:line>
            </w:pict>
          </mc:Fallback>
        </mc:AlternateContent>
      </w:r>
      <w:r>
        <w:rPr>
          <w:rFonts w:ascii="等线" w:hAnsi="等线" w:eastAsia="宋体" w:cs="Times New Roman"/>
          <w:sz w:val="32"/>
          <w:szCs w:val="20"/>
        </w:rPr>
        <mc:AlternateContent>
          <mc:Choice Requires="wps">
            <w:drawing>
              <wp:anchor distT="0" distB="0" distL="114300" distR="114300" simplePos="0" relativeHeight="251660288" behindDoc="0" locked="0" layoutInCell="1" allowOverlap="1">
                <wp:simplePos x="0" y="0"/>
                <wp:positionH relativeFrom="column">
                  <wp:posOffset>4250055</wp:posOffset>
                </wp:positionH>
                <wp:positionV relativeFrom="paragraph">
                  <wp:posOffset>292735</wp:posOffset>
                </wp:positionV>
                <wp:extent cx="384810" cy="0"/>
                <wp:effectExtent l="0" t="0" r="0" b="0"/>
                <wp:wrapNone/>
                <wp:docPr id="13" name="直接连接符 13"/>
                <wp:cNvGraphicFramePr/>
                <a:graphic xmlns:a="http://schemas.openxmlformats.org/drawingml/2006/main">
                  <a:graphicData uri="http://schemas.microsoft.com/office/word/2010/wordprocessingShape">
                    <wps:wsp>
                      <wps:cNvCnPr/>
                      <wps:spPr>
                        <a:xfrm flipH="1">
                          <a:off x="0" y="0"/>
                          <a:ext cx="3848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x;margin-left:334.65pt;margin-top:23.05pt;height:0pt;width:30.3pt;z-index:251660288;mso-width-relative:page;mso-height-relative:page;" filled="f" stroked="t" coordsize="21600,21600" o:gfxdata="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fXHx21wAAAAkBAAAPAAAAAAAAAAEAIAAAACIAAABkcnMvZG93bnJldi54&#10;bWxQSwECFAAUAAAACACHTuJAT1blJfsBAADeAwAADgAAAAAAAAABACAAAAAmAQAAZHJzL2Uyb0Rv&#10;Yy54bWxQSwUGAAAAAAYABgBZAQAAkwUAAAAA&#10;">
                <v:fill on="f" focussize="0,0"/>
                <v:stroke weight="0.5pt" color="#000000" miterlimit="8" joinstyle="miter"/>
                <v:imagedata o:title=""/>
                <o:lock v:ext="edit" aspectratio="f"/>
              </v:line>
            </w:pict>
          </mc:Fallback>
        </mc:AlternateContent>
      </w:r>
      <w:r>
        <w:rPr>
          <w:rFonts w:ascii="等线" w:hAnsi="等线" w:eastAsia="宋体" w:cs="Times New Roman"/>
          <w:sz w:val="32"/>
          <w:szCs w:val="20"/>
        </w:rPr>
        <mc:AlternateContent>
          <mc:Choice Requires="wps">
            <w:drawing>
              <wp:anchor distT="0" distB="0" distL="114300" distR="114300" simplePos="0" relativeHeight="251659264" behindDoc="0" locked="0" layoutInCell="1" allowOverlap="1">
                <wp:simplePos x="0" y="0"/>
                <wp:positionH relativeFrom="column">
                  <wp:posOffset>3629660</wp:posOffset>
                </wp:positionH>
                <wp:positionV relativeFrom="paragraph">
                  <wp:posOffset>292735</wp:posOffset>
                </wp:positionV>
                <wp:extent cx="384810" cy="0"/>
                <wp:effectExtent l="0" t="0" r="0" b="0"/>
                <wp:wrapNone/>
                <wp:docPr id="12" name="直接连接符 12"/>
                <wp:cNvGraphicFramePr/>
                <a:graphic xmlns:a="http://schemas.openxmlformats.org/drawingml/2006/main">
                  <a:graphicData uri="http://schemas.microsoft.com/office/word/2010/wordprocessingShape">
                    <wps:wsp>
                      <wps:cNvCnPr/>
                      <wps:spPr>
                        <a:xfrm flipH="1">
                          <a:off x="0" y="0"/>
                          <a:ext cx="3848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x;margin-left:285.8pt;margin-top:23.05pt;height:0pt;width:30.3pt;z-index:251659264;mso-width-relative:page;mso-height-relative:page;" filled="f" stroked="t" coordsize="21600,21600" o:gfxdata="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EfFAN1wAAAAkBAAAPAAAAAAAAAAEAIAAAACIAAABkcnMvZG93bnJldi54&#10;bWxQSwECFAAUAAAACACHTuJA76iyfvsBAADeAwAADgAAAAAAAAABACAAAAAmAQAAZHJzL2Uyb0Rv&#10;Yy54bWxQSwUGAAAAAAYABgBZAQAAkwU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sz w:val="32"/>
          <w:szCs w:val="24"/>
        </w:rPr>
        <w:t>年    月    日</w:t>
      </w:r>
    </w:p>
    <w:p>
      <w:pPr>
        <w:spacing w:line="360" w:lineRule="auto"/>
        <w:jc w:val="center"/>
        <w:rPr>
          <w:rFonts w:asciiTheme="minorEastAsia" w:hAnsiTheme="minorEastAsia"/>
          <w:sz w:val="24"/>
          <w:szCs w:val="24"/>
        </w:rPr>
      </w:pPr>
    </w:p>
    <w:p/>
    <w:p>
      <w:pPr>
        <w:pStyle w:val="8"/>
        <w:ind w:left="0" w:leftChars="0" w:firstLine="0" w:firstLineChars="0"/>
        <w:sectPr>
          <w:pgSz w:w="11906" w:h="16838"/>
          <w:pgMar w:top="1440" w:right="1800" w:bottom="1440" w:left="1800" w:header="851" w:footer="992" w:gutter="0"/>
          <w:cols w:space="425" w:num="1"/>
          <w:docGrid w:type="lines" w:linePitch="312" w:charSpace="0"/>
        </w:sectPr>
      </w:pPr>
    </w:p>
    <w:tbl>
      <w:tblPr>
        <w:tblStyle w:val="17"/>
        <w:tblW w:w="13922" w:type="dxa"/>
        <w:jc w:val="center"/>
        <w:tblLayout w:type="fixed"/>
        <w:tblCellMar>
          <w:top w:w="0" w:type="dxa"/>
          <w:left w:w="30" w:type="dxa"/>
          <w:bottom w:w="0" w:type="dxa"/>
          <w:right w:w="30" w:type="dxa"/>
        </w:tblCellMar>
      </w:tblPr>
      <w:tblGrid>
        <w:gridCol w:w="2526"/>
        <w:gridCol w:w="2891"/>
        <w:gridCol w:w="3827"/>
        <w:gridCol w:w="2410"/>
        <w:gridCol w:w="2268"/>
      </w:tblGrid>
      <w:tr>
        <w:tblPrEx>
          <w:tblCellMar>
            <w:top w:w="0" w:type="dxa"/>
            <w:left w:w="30" w:type="dxa"/>
            <w:bottom w:w="0" w:type="dxa"/>
            <w:right w:w="30" w:type="dxa"/>
          </w:tblCellMar>
        </w:tblPrEx>
        <w:trPr>
          <w:cantSplit/>
          <w:trHeight w:val="172" w:hRule="atLeast"/>
          <w:jc w:val="center"/>
        </w:trPr>
        <w:tc>
          <w:tcPr>
            <w:tcW w:w="13922" w:type="dxa"/>
            <w:gridSpan w:val="5"/>
          </w:tcPr>
          <w:p>
            <w:pPr>
              <w:spacing w:line="360" w:lineRule="auto"/>
              <w:jc w:val="center"/>
              <w:rPr>
                <w:rFonts w:ascii="黑体" w:hAnsi="宋体" w:eastAsia="黑体"/>
                <w:sz w:val="32"/>
                <w:szCs w:val="40"/>
              </w:rPr>
            </w:pPr>
            <w:r>
              <w:rPr>
                <w:rFonts w:hint="eastAsia" w:ascii="黑体" w:hAnsi="宋体" w:eastAsia="黑体"/>
                <w:sz w:val="32"/>
                <w:szCs w:val="40"/>
              </w:rPr>
              <w:t>条 款 偏 离 表</w:t>
            </w:r>
          </w:p>
        </w:tc>
      </w:tr>
      <w:tr>
        <w:tblPrEx>
          <w:tblCellMar>
            <w:top w:w="0" w:type="dxa"/>
            <w:left w:w="30" w:type="dxa"/>
            <w:bottom w:w="0" w:type="dxa"/>
            <w:right w:w="30" w:type="dxa"/>
          </w:tblCellMar>
        </w:tblPrEx>
        <w:trPr>
          <w:cantSplit/>
          <w:trHeight w:val="124" w:hRule="atLeast"/>
          <w:jc w:val="center"/>
        </w:trPr>
        <w:tc>
          <w:tcPr>
            <w:tcW w:w="9244" w:type="dxa"/>
            <w:gridSpan w:val="3"/>
            <w:tcBorders>
              <w:top w:val="single" w:color="auto" w:sz="4" w:space="0"/>
              <w:left w:val="single" w:color="auto" w:sz="6" w:space="0"/>
              <w:bottom w:val="single" w:color="auto" w:sz="6" w:space="0"/>
              <w:right w:val="single" w:color="000000" w:sz="2" w:space="0"/>
            </w:tcBorders>
          </w:tcPr>
          <w:p>
            <w:pPr>
              <w:spacing w:line="360" w:lineRule="auto"/>
              <w:jc w:val="center"/>
              <w:rPr>
                <w:rFonts w:hAnsi="宋体" w:cs="Arial"/>
                <w:sz w:val="28"/>
              </w:rPr>
            </w:pPr>
            <w:r>
              <w:rPr>
                <w:rFonts w:hint="eastAsia" w:hAnsi="宋体" w:cs="Arial"/>
                <w:sz w:val="28"/>
              </w:rPr>
              <w:t>投标人对询价文件的修改或删除描述</w:t>
            </w:r>
          </w:p>
        </w:tc>
        <w:tc>
          <w:tcPr>
            <w:tcW w:w="2410" w:type="dxa"/>
            <w:vMerge w:val="restart"/>
            <w:tcBorders>
              <w:top w:val="single" w:color="auto" w:sz="4" w:space="0"/>
              <w:left w:val="single" w:color="auto" w:sz="6" w:space="0"/>
              <w:right w:val="single" w:color="auto" w:sz="6" w:space="0"/>
            </w:tcBorders>
          </w:tcPr>
          <w:p>
            <w:pPr>
              <w:spacing w:line="360" w:lineRule="auto"/>
              <w:rPr>
                <w:rFonts w:hAnsi="宋体" w:cs="Arial"/>
                <w:sz w:val="28"/>
              </w:rPr>
            </w:pPr>
          </w:p>
          <w:p>
            <w:pPr>
              <w:spacing w:line="360" w:lineRule="auto"/>
              <w:jc w:val="center"/>
              <w:rPr>
                <w:rFonts w:hAnsi="宋体" w:cs="Arial"/>
                <w:sz w:val="28"/>
              </w:rPr>
            </w:pPr>
            <w:r>
              <w:rPr>
                <w:rFonts w:hint="eastAsia" w:hAnsi="宋体" w:cs="Arial"/>
                <w:sz w:val="28"/>
              </w:rPr>
              <w:t>修改理由</w:t>
            </w:r>
          </w:p>
        </w:tc>
        <w:tc>
          <w:tcPr>
            <w:tcW w:w="2268" w:type="dxa"/>
            <w:vMerge w:val="restart"/>
            <w:tcBorders>
              <w:top w:val="single" w:color="auto" w:sz="4" w:space="0"/>
              <w:left w:val="single" w:color="auto" w:sz="6" w:space="0"/>
              <w:right w:val="single" w:color="auto" w:sz="6" w:space="0"/>
            </w:tcBorders>
          </w:tcPr>
          <w:p>
            <w:pPr>
              <w:spacing w:line="360" w:lineRule="auto"/>
              <w:rPr>
                <w:rFonts w:hAnsi="宋体" w:cs="Arial"/>
                <w:sz w:val="28"/>
              </w:rPr>
            </w:pPr>
            <w:r>
              <w:rPr>
                <w:rFonts w:hint="eastAsia" w:hAnsi="宋体" w:cs="Arial"/>
                <w:sz w:val="28"/>
              </w:rPr>
              <w:t>修改或删除对</w:t>
            </w:r>
          </w:p>
          <w:p>
            <w:pPr>
              <w:spacing w:line="360" w:lineRule="auto"/>
              <w:rPr>
                <w:rFonts w:hAnsi="宋体" w:cs="Arial"/>
                <w:sz w:val="28"/>
              </w:rPr>
            </w:pPr>
            <w:r>
              <w:rPr>
                <w:rFonts w:hint="eastAsia" w:hAnsi="宋体" w:cs="Arial"/>
                <w:sz w:val="28"/>
              </w:rPr>
              <w:t>合同价格、质量</w:t>
            </w:r>
          </w:p>
          <w:p>
            <w:pPr>
              <w:spacing w:line="360" w:lineRule="auto"/>
              <w:rPr>
                <w:rFonts w:hAnsi="宋体" w:cs="Arial"/>
                <w:sz w:val="28"/>
              </w:rPr>
            </w:pPr>
            <w:r>
              <w:rPr>
                <w:rFonts w:hint="eastAsia" w:hAnsi="宋体" w:cs="Arial"/>
                <w:sz w:val="28"/>
              </w:rPr>
              <w:t>及进度的影响</w:t>
            </w:r>
          </w:p>
        </w:tc>
      </w:tr>
      <w:tr>
        <w:tblPrEx>
          <w:tblCellMar>
            <w:top w:w="0" w:type="dxa"/>
            <w:left w:w="30" w:type="dxa"/>
            <w:bottom w:w="0" w:type="dxa"/>
            <w:right w:w="30" w:type="dxa"/>
          </w:tblCellMar>
        </w:tblPrEx>
        <w:trPr>
          <w:cantSplit/>
          <w:trHeight w:val="80" w:hRule="atLeast"/>
          <w:jc w:val="center"/>
        </w:trPr>
        <w:tc>
          <w:tcPr>
            <w:tcW w:w="2526" w:type="dxa"/>
            <w:tcBorders>
              <w:top w:val="single" w:color="auto" w:sz="6" w:space="0"/>
              <w:left w:val="single" w:color="auto" w:sz="6" w:space="0"/>
              <w:bottom w:val="single" w:color="auto" w:sz="4" w:space="0"/>
              <w:right w:val="single" w:color="auto" w:sz="6" w:space="0"/>
            </w:tcBorders>
          </w:tcPr>
          <w:p>
            <w:pPr>
              <w:spacing w:line="360" w:lineRule="auto"/>
              <w:jc w:val="center"/>
              <w:rPr>
                <w:rFonts w:hAnsi="宋体" w:cs="Arial"/>
                <w:sz w:val="28"/>
              </w:rPr>
            </w:pPr>
          </w:p>
          <w:p>
            <w:pPr>
              <w:spacing w:line="360" w:lineRule="auto"/>
              <w:jc w:val="center"/>
              <w:rPr>
                <w:rFonts w:hAnsi="宋体" w:cs="Arial"/>
                <w:sz w:val="28"/>
              </w:rPr>
            </w:pPr>
            <w:r>
              <w:rPr>
                <w:rFonts w:hint="eastAsia" w:hAnsi="宋体" w:cs="Arial"/>
                <w:sz w:val="28"/>
              </w:rPr>
              <w:t>文件及条款名</w:t>
            </w:r>
          </w:p>
        </w:tc>
        <w:tc>
          <w:tcPr>
            <w:tcW w:w="2891" w:type="dxa"/>
            <w:tcBorders>
              <w:top w:val="single" w:color="auto" w:sz="6" w:space="0"/>
              <w:left w:val="single" w:color="auto" w:sz="6" w:space="0"/>
              <w:bottom w:val="single" w:color="000000" w:sz="2" w:space="0"/>
              <w:right w:val="single" w:color="auto" w:sz="6" w:space="0"/>
            </w:tcBorders>
          </w:tcPr>
          <w:p>
            <w:pPr>
              <w:spacing w:line="360" w:lineRule="auto"/>
              <w:jc w:val="center"/>
              <w:rPr>
                <w:rFonts w:hAnsi="宋体" w:cs="Arial"/>
                <w:sz w:val="28"/>
              </w:rPr>
            </w:pPr>
          </w:p>
          <w:p>
            <w:pPr>
              <w:spacing w:line="360" w:lineRule="auto"/>
              <w:jc w:val="center"/>
              <w:rPr>
                <w:rFonts w:hAnsi="宋体" w:cs="Arial"/>
                <w:sz w:val="28"/>
              </w:rPr>
            </w:pPr>
            <w:r>
              <w:rPr>
                <w:rFonts w:hint="eastAsia" w:hAnsi="宋体" w:cs="Arial"/>
                <w:sz w:val="28"/>
              </w:rPr>
              <w:t>原文摘要</w:t>
            </w:r>
          </w:p>
        </w:tc>
        <w:tc>
          <w:tcPr>
            <w:tcW w:w="3827" w:type="dxa"/>
            <w:tcBorders>
              <w:top w:val="single" w:color="auto" w:sz="6" w:space="0"/>
              <w:left w:val="single" w:color="auto" w:sz="6" w:space="0"/>
              <w:bottom w:val="single" w:color="000000" w:sz="2" w:space="0"/>
              <w:right w:val="single" w:color="auto" w:sz="6" w:space="0"/>
            </w:tcBorders>
          </w:tcPr>
          <w:p>
            <w:pPr>
              <w:spacing w:line="360" w:lineRule="auto"/>
              <w:jc w:val="center"/>
              <w:rPr>
                <w:rFonts w:hAnsi="宋体" w:cs="Arial"/>
                <w:sz w:val="28"/>
              </w:rPr>
            </w:pPr>
          </w:p>
          <w:p>
            <w:pPr>
              <w:spacing w:line="360" w:lineRule="auto"/>
              <w:jc w:val="center"/>
              <w:rPr>
                <w:rFonts w:hAnsi="宋体" w:cs="Arial"/>
                <w:sz w:val="28"/>
              </w:rPr>
            </w:pPr>
            <w:r>
              <w:rPr>
                <w:rFonts w:hint="eastAsia" w:hAnsi="宋体" w:cs="Arial"/>
                <w:sz w:val="28"/>
              </w:rPr>
              <w:t>修改或删除意见</w:t>
            </w:r>
          </w:p>
        </w:tc>
        <w:tc>
          <w:tcPr>
            <w:tcW w:w="2410" w:type="dxa"/>
            <w:vMerge w:val="continue"/>
            <w:tcBorders>
              <w:left w:val="single" w:color="auto" w:sz="6" w:space="0"/>
              <w:bottom w:val="single" w:color="000000" w:sz="2" w:space="0"/>
              <w:right w:val="single" w:color="auto" w:sz="6" w:space="0"/>
            </w:tcBorders>
          </w:tcPr>
          <w:p>
            <w:pPr>
              <w:spacing w:line="360" w:lineRule="auto"/>
              <w:rPr>
                <w:rFonts w:hAnsi="宋体" w:cs="Arial"/>
                <w:sz w:val="28"/>
              </w:rPr>
            </w:pPr>
          </w:p>
        </w:tc>
        <w:tc>
          <w:tcPr>
            <w:tcW w:w="2268" w:type="dxa"/>
            <w:vMerge w:val="continue"/>
            <w:tcBorders>
              <w:left w:val="single" w:color="auto" w:sz="6" w:space="0"/>
              <w:bottom w:val="single" w:color="000000" w:sz="2" w:space="0"/>
              <w:right w:val="single" w:color="auto" w:sz="6" w:space="0"/>
            </w:tcBorders>
          </w:tcPr>
          <w:p>
            <w:pPr>
              <w:spacing w:line="360" w:lineRule="auto"/>
              <w:rPr>
                <w:rFonts w:hAnsi="宋体" w:cs="Arial"/>
                <w:sz w:val="28"/>
              </w:rPr>
            </w:pPr>
          </w:p>
        </w:tc>
      </w:tr>
      <w:tr>
        <w:tblPrEx>
          <w:tblCellMar>
            <w:top w:w="0" w:type="dxa"/>
            <w:left w:w="30" w:type="dxa"/>
            <w:bottom w:w="0" w:type="dxa"/>
            <w:right w:w="30" w:type="dxa"/>
          </w:tblCellMar>
        </w:tblPrEx>
        <w:trPr>
          <w:trHeight w:val="2298" w:hRule="atLeast"/>
          <w:jc w:val="center"/>
        </w:trPr>
        <w:tc>
          <w:tcPr>
            <w:tcW w:w="2526" w:type="dxa"/>
            <w:tcBorders>
              <w:top w:val="single" w:color="auto" w:sz="4" w:space="0"/>
              <w:left w:val="single" w:color="auto" w:sz="4" w:space="0"/>
              <w:bottom w:val="single" w:color="auto" w:sz="6" w:space="0"/>
              <w:right w:val="single" w:color="auto" w:sz="4" w:space="0"/>
            </w:tcBorders>
          </w:tcPr>
          <w:p>
            <w:pPr>
              <w:spacing w:line="360" w:lineRule="auto"/>
              <w:jc w:val="center"/>
              <w:rPr>
                <w:rFonts w:hAnsi="宋体" w:cs="Arial"/>
                <w:sz w:val="28"/>
              </w:rPr>
            </w:pPr>
          </w:p>
          <w:p>
            <w:pPr>
              <w:spacing w:line="360" w:lineRule="auto"/>
              <w:jc w:val="center"/>
              <w:rPr>
                <w:rFonts w:hAnsi="宋体" w:cs="Arial"/>
                <w:sz w:val="28"/>
              </w:rPr>
            </w:pPr>
          </w:p>
          <w:p>
            <w:pPr>
              <w:spacing w:line="360" w:lineRule="auto"/>
              <w:jc w:val="center"/>
              <w:rPr>
                <w:rFonts w:hAnsi="宋体" w:cs="Arial"/>
                <w:sz w:val="28"/>
              </w:rPr>
            </w:pPr>
          </w:p>
          <w:p>
            <w:pPr>
              <w:spacing w:line="360" w:lineRule="auto"/>
              <w:jc w:val="center"/>
              <w:rPr>
                <w:rFonts w:hAnsi="宋体" w:cs="Arial"/>
                <w:sz w:val="28"/>
              </w:rPr>
            </w:pPr>
          </w:p>
          <w:p>
            <w:pPr>
              <w:spacing w:line="360" w:lineRule="auto"/>
              <w:jc w:val="center"/>
              <w:rPr>
                <w:rFonts w:hAnsi="宋体" w:cs="Arial"/>
                <w:sz w:val="28"/>
              </w:rPr>
            </w:pPr>
          </w:p>
        </w:tc>
        <w:tc>
          <w:tcPr>
            <w:tcW w:w="2891" w:type="dxa"/>
            <w:tcBorders>
              <w:top w:val="single" w:color="000000" w:sz="2" w:space="0"/>
              <w:left w:val="single" w:color="auto" w:sz="4" w:space="0"/>
              <w:bottom w:val="single" w:color="auto" w:sz="6" w:space="0"/>
              <w:right w:val="single" w:color="auto" w:sz="6" w:space="0"/>
            </w:tcBorders>
          </w:tcPr>
          <w:p>
            <w:pPr>
              <w:spacing w:line="360" w:lineRule="auto"/>
              <w:jc w:val="center"/>
              <w:rPr>
                <w:rFonts w:hAnsi="宋体" w:cs="Arial"/>
                <w:sz w:val="28"/>
              </w:rPr>
            </w:pPr>
          </w:p>
          <w:p>
            <w:pPr>
              <w:spacing w:line="360" w:lineRule="auto"/>
              <w:jc w:val="center"/>
              <w:rPr>
                <w:rFonts w:hAnsi="宋体" w:cs="Arial"/>
                <w:sz w:val="28"/>
              </w:rPr>
            </w:pPr>
          </w:p>
        </w:tc>
        <w:tc>
          <w:tcPr>
            <w:tcW w:w="3827" w:type="dxa"/>
            <w:tcBorders>
              <w:top w:val="single" w:color="000000" w:sz="2" w:space="0"/>
              <w:left w:val="single" w:color="auto" w:sz="6" w:space="0"/>
              <w:bottom w:val="single" w:color="auto" w:sz="6" w:space="0"/>
              <w:right w:val="single" w:color="auto" w:sz="6" w:space="0"/>
            </w:tcBorders>
          </w:tcPr>
          <w:p>
            <w:pPr>
              <w:spacing w:line="360" w:lineRule="auto"/>
              <w:jc w:val="center"/>
              <w:rPr>
                <w:rFonts w:hAnsi="宋体" w:cs="Arial"/>
                <w:sz w:val="28"/>
              </w:rPr>
            </w:pPr>
          </w:p>
        </w:tc>
        <w:tc>
          <w:tcPr>
            <w:tcW w:w="2410" w:type="dxa"/>
            <w:tcBorders>
              <w:top w:val="single" w:color="000000" w:sz="2" w:space="0"/>
              <w:left w:val="single" w:color="auto" w:sz="6" w:space="0"/>
              <w:bottom w:val="single" w:color="auto" w:sz="6" w:space="0"/>
              <w:right w:val="single" w:color="auto" w:sz="6" w:space="0"/>
            </w:tcBorders>
          </w:tcPr>
          <w:p>
            <w:pPr>
              <w:spacing w:line="360" w:lineRule="auto"/>
              <w:jc w:val="center"/>
              <w:rPr>
                <w:rFonts w:hAnsi="宋体" w:cs="Arial"/>
                <w:sz w:val="28"/>
              </w:rPr>
            </w:pPr>
          </w:p>
        </w:tc>
        <w:tc>
          <w:tcPr>
            <w:tcW w:w="2268" w:type="dxa"/>
            <w:tcBorders>
              <w:top w:val="single" w:color="000000" w:sz="2" w:space="0"/>
              <w:left w:val="single" w:color="auto" w:sz="6" w:space="0"/>
              <w:bottom w:val="single" w:color="auto" w:sz="6" w:space="0"/>
              <w:right w:val="single" w:color="auto" w:sz="6" w:space="0"/>
            </w:tcBorders>
          </w:tcPr>
          <w:p>
            <w:pPr>
              <w:spacing w:line="360" w:lineRule="auto"/>
              <w:jc w:val="center"/>
              <w:rPr>
                <w:rFonts w:hAnsi="宋体" w:cs="Arial"/>
                <w:sz w:val="28"/>
              </w:rPr>
            </w:pPr>
          </w:p>
        </w:tc>
      </w:tr>
    </w:tbl>
    <w:p>
      <w:pPr>
        <w:rPr>
          <w:rFonts w:ascii="宋体" w:hAnsi="宋体"/>
          <w:bCs/>
          <w:szCs w:val="21"/>
        </w:rPr>
      </w:pPr>
      <w:r>
        <w:rPr>
          <w:rFonts w:hint="eastAsia" w:ascii="楷体" w:eastAsia="楷体"/>
          <w:bCs/>
          <w:szCs w:val="21"/>
        </w:rPr>
        <w:t>说明：</w:t>
      </w:r>
      <w:r>
        <w:rPr>
          <w:rFonts w:hint="eastAsia" w:ascii="宋体" w:hAnsi="宋体"/>
          <w:bCs/>
          <w:szCs w:val="21"/>
        </w:rPr>
        <w:t>1、投标人对询价文件的条款和条件如果有异议（包括技术要求），须填写此条款偏离表，</w:t>
      </w:r>
      <w:r>
        <w:rPr>
          <w:rFonts w:hint="eastAsia" w:ascii="宋体" w:hAnsi="宋体"/>
          <w:b/>
          <w:szCs w:val="21"/>
        </w:rPr>
        <w:t>此表应与投标技术方案一同投标</w:t>
      </w:r>
      <w:r>
        <w:rPr>
          <w:rFonts w:hint="eastAsia" w:ascii="宋体" w:hAnsi="宋体"/>
          <w:bCs/>
          <w:szCs w:val="21"/>
        </w:rPr>
        <w:t>。</w:t>
      </w:r>
    </w:p>
    <w:p>
      <w:pPr>
        <w:ind w:firstLine="630" w:firstLineChars="300"/>
        <w:rPr>
          <w:rFonts w:ascii="宋体" w:hAnsi="宋体"/>
          <w:bCs/>
          <w:szCs w:val="21"/>
        </w:rPr>
      </w:pPr>
      <w:r>
        <w:rPr>
          <w:rFonts w:hint="eastAsia" w:ascii="宋体" w:hAnsi="宋体"/>
          <w:bCs/>
          <w:szCs w:val="21"/>
        </w:rPr>
        <w:t>2、投标人由于条款重大偏离导致非全面响应招标文件</w:t>
      </w:r>
      <w:r>
        <w:rPr>
          <w:rFonts w:ascii="宋体" w:hAnsi="宋体"/>
          <w:bCs/>
          <w:szCs w:val="21"/>
        </w:rPr>
        <w:t xml:space="preserve">, </w:t>
      </w:r>
      <w:r>
        <w:rPr>
          <w:rFonts w:hint="eastAsia" w:ascii="宋体" w:hAnsi="宋体"/>
          <w:bCs/>
          <w:szCs w:val="21"/>
        </w:rPr>
        <w:t>投标人因此自行承担导致的投标被拒绝的后果。</w:t>
      </w:r>
    </w:p>
    <w:p>
      <w:pPr>
        <w:ind w:firstLine="630" w:firstLineChars="300"/>
      </w:pPr>
      <w:r>
        <w:rPr>
          <w:rFonts w:hint="eastAsia" w:ascii="宋体" w:hAnsi="宋体"/>
          <w:bCs/>
          <w:szCs w:val="21"/>
        </w:rPr>
        <w:t>3、以上条款若无偏离，请在每个方框内填写无；如果有偏离，请按照顺序，填写偏离原因</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3"/>
      <w:ind w:right="360"/>
    </w:pPr>
  </w:p>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rFonts w:hint="eastAsia"/>
      </w:rPr>
      <w:t>中海石油化学股份有限公司                                            XXXX项目技术询价文件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rPr>
      <w:t xml:space="preserve">中海石油华鹤煤化有限公司              </w:t>
    </w:r>
    <w:r>
      <w:t xml:space="preserve">   </w:t>
    </w:r>
    <w:r>
      <w:rPr>
        <w:rFonts w:hint="eastAsia"/>
      </w:rPr>
      <w:t xml:space="preserve">       </w:t>
    </w:r>
    <w:r>
      <w:t xml:space="preserve">  </w:t>
    </w:r>
    <w:r>
      <w:rPr>
        <w:rFonts w:hint="eastAsia"/>
      </w:rPr>
      <w:t xml:space="preserve">                         </w:t>
    </w:r>
  </w:p>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中海石油化学股份有限公司                                            XXXX项目技术询价文件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0D038"/>
    <w:multiLevelType w:val="multilevel"/>
    <w:tmpl w:val="93A0D038"/>
    <w:lvl w:ilvl="0" w:tentative="0">
      <w:start w:val="1"/>
      <w:numFmt w:val="decimal"/>
      <w:pStyle w:val="40"/>
      <w:suff w:val="space"/>
      <w:lvlText w:val="3.1.%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4C1CFF"/>
    <w:multiLevelType w:val="multilevel"/>
    <w:tmpl w:val="164C1CFF"/>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4F7852"/>
    <w:multiLevelType w:val="multilevel"/>
    <w:tmpl w:val="174F7852"/>
    <w:lvl w:ilvl="0" w:tentative="0">
      <w:start w:val="1"/>
      <w:numFmt w:val="decimal"/>
      <w:lvlText w:val="8.%1"/>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76A4C48"/>
    <w:multiLevelType w:val="multilevel"/>
    <w:tmpl w:val="276A4C48"/>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D31C39"/>
    <w:multiLevelType w:val="multilevel"/>
    <w:tmpl w:val="39D31C3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D511682"/>
    <w:multiLevelType w:val="multilevel"/>
    <w:tmpl w:val="3D511682"/>
    <w:lvl w:ilvl="0" w:tentative="0">
      <w:start w:val="1"/>
      <w:numFmt w:val="decimal"/>
      <w:pStyle w:val="39"/>
      <w:lvlText w:val="%1 "/>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CF04C4E"/>
    <w:multiLevelType w:val="multilevel"/>
    <w:tmpl w:val="4CF04C4E"/>
    <w:lvl w:ilvl="0" w:tentative="0">
      <w:start w:val="1"/>
      <w:numFmt w:val="decimalEnclosedCircle"/>
      <w:pStyle w:val="32"/>
      <w:lvlText w:val="%1"/>
      <w:lvlJc w:val="left"/>
      <w:pPr>
        <w:tabs>
          <w:tab w:val="left" w:pos="2160"/>
        </w:tabs>
        <w:ind w:left="216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558B0CCD"/>
    <w:multiLevelType w:val="multilevel"/>
    <w:tmpl w:val="558B0CCD"/>
    <w:lvl w:ilvl="0" w:tentative="0">
      <w:start w:val="1"/>
      <w:numFmt w:val="decimal"/>
      <w:lvlText w:val="4.%1"/>
      <w:lvlJc w:val="left"/>
      <w:pPr>
        <w:ind w:left="420" w:hanging="420"/>
      </w:pPr>
      <w:rPr>
        <w:rFonts w:hint="eastAsia" w:ascii="宋体" w:hAnsi="宋体" w:eastAsia="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57D3FBC"/>
    <w:multiLevelType w:val="multilevel"/>
    <w:tmpl w:val="657D3FBC"/>
    <w:lvl w:ilvl="0" w:tentative="0">
      <w:start w:val="1"/>
      <w:numFmt w:val="upperLetter"/>
      <w:pStyle w:val="37"/>
      <w:suff w:val="nothing"/>
      <w:lvlText w:val="附　录　%1"/>
      <w:lvlJc w:val="left"/>
      <w:pPr>
        <w:ind w:left="3570" w:firstLine="0"/>
      </w:pPr>
      <w:rPr>
        <w:rFonts w:hint="eastAsia" w:ascii="黑体" w:hAnsi="Times New Roman" w:eastAsia="黑体"/>
        <w:b w:val="0"/>
        <w:i w:val="0"/>
        <w:sz w:val="24"/>
        <w:szCs w:val="24"/>
      </w:rPr>
    </w:lvl>
    <w:lvl w:ilvl="1" w:tentative="0">
      <w:start w:val="1"/>
      <w:numFmt w:val="decimal"/>
      <w:suff w:val="nothing"/>
      <w:lvlText w:val="%1.%2　"/>
      <w:lvlJc w:val="left"/>
      <w:pPr>
        <w:ind w:left="357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3570" w:firstLine="0"/>
      </w:pPr>
      <w:rPr>
        <w:rFonts w:hint="eastAsia" w:ascii="黑体" w:hAnsi="Times New Roman" w:eastAsia="黑体"/>
        <w:b w:val="0"/>
        <w:i w:val="0"/>
        <w:sz w:val="21"/>
      </w:rPr>
    </w:lvl>
    <w:lvl w:ilvl="3" w:tentative="0">
      <w:start w:val="1"/>
      <w:numFmt w:val="decimal"/>
      <w:suff w:val="nothing"/>
      <w:lvlText w:val="%1.%2.%3.%4　"/>
      <w:lvlJc w:val="left"/>
      <w:pPr>
        <w:ind w:left="3570" w:firstLine="0"/>
      </w:pPr>
      <w:rPr>
        <w:rFonts w:hint="eastAsia" w:ascii="黑体" w:hAnsi="Times New Roman" w:eastAsia="黑体"/>
        <w:b w:val="0"/>
        <w:i w:val="0"/>
        <w:sz w:val="21"/>
      </w:rPr>
    </w:lvl>
    <w:lvl w:ilvl="4" w:tentative="0">
      <w:start w:val="1"/>
      <w:numFmt w:val="decimal"/>
      <w:suff w:val="nothing"/>
      <w:lvlText w:val="%1.%2.%3.%4.%5　"/>
      <w:lvlJc w:val="left"/>
      <w:pPr>
        <w:ind w:left="3570" w:firstLine="0"/>
      </w:pPr>
      <w:rPr>
        <w:rFonts w:hint="eastAsia" w:ascii="黑体" w:hAnsi="Times New Roman" w:eastAsia="黑体"/>
        <w:b w:val="0"/>
        <w:i w:val="0"/>
        <w:sz w:val="21"/>
      </w:rPr>
    </w:lvl>
    <w:lvl w:ilvl="5" w:tentative="0">
      <w:start w:val="1"/>
      <w:numFmt w:val="decimal"/>
      <w:suff w:val="nothing"/>
      <w:lvlText w:val="%1.%2.%3.%4.%5.%6　"/>
      <w:lvlJc w:val="left"/>
      <w:pPr>
        <w:ind w:left="3570" w:firstLine="0"/>
      </w:pPr>
      <w:rPr>
        <w:rFonts w:hint="eastAsia" w:ascii="黑体" w:hAnsi="Times New Roman" w:eastAsia="黑体"/>
        <w:b w:val="0"/>
        <w:i w:val="0"/>
        <w:sz w:val="21"/>
      </w:rPr>
    </w:lvl>
    <w:lvl w:ilvl="6" w:tentative="0">
      <w:start w:val="1"/>
      <w:numFmt w:val="decimal"/>
      <w:suff w:val="nothing"/>
      <w:lvlText w:val="%1.%2.%3.%4.%5.%6.%7　"/>
      <w:lvlJc w:val="left"/>
      <w:pPr>
        <w:ind w:left="3570" w:firstLine="0"/>
      </w:pPr>
      <w:rPr>
        <w:rFonts w:hint="eastAsia" w:ascii="黑体" w:hAnsi="Times New Roman" w:eastAsia="黑体"/>
        <w:b w:val="0"/>
        <w:i w:val="0"/>
        <w:sz w:val="21"/>
      </w:rPr>
    </w:lvl>
    <w:lvl w:ilvl="7" w:tentative="0">
      <w:start w:val="1"/>
      <w:numFmt w:val="decimal"/>
      <w:lvlText w:val="%1.%2.%3.%4.%5.%6.%7.%8"/>
      <w:lvlJc w:val="left"/>
      <w:pPr>
        <w:tabs>
          <w:tab w:val="left" w:pos="7964"/>
        </w:tabs>
        <w:ind w:left="7964" w:hanging="1418"/>
      </w:pPr>
      <w:rPr>
        <w:rFonts w:hint="eastAsia"/>
      </w:rPr>
    </w:lvl>
    <w:lvl w:ilvl="8" w:tentative="0">
      <w:start w:val="1"/>
      <w:numFmt w:val="decimal"/>
      <w:lvlText w:val="%1.%2.%3.%4.%5.%6.%7.%8.%9"/>
      <w:lvlJc w:val="left"/>
      <w:pPr>
        <w:tabs>
          <w:tab w:val="left" w:pos="8672"/>
        </w:tabs>
        <w:ind w:left="8672" w:hanging="1700"/>
      </w:pPr>
      <w:rPr>
        <w:rFonts w:hint="eastAsia"/>
      </w:rPr>
    </w:lvl>
  </w:abstractNum>
  <w:abstractNum w:abstractNumId="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33"/>
      <w:suff w:val="nothing"/>
      <w:lvlText w:val="%1%2　"/>
      <w:lvlJc w:val="left"/>
      <w:pPr>
        <w:ind w:left="0" w:firstLine="0"/>
      </w:pPr>
      <w:rPr>
        <w:rFonts w:hint="eastAsia" w:ascii="黑体" w:hAnsi="Times New Roman" w:eastAsia="黑体"/>
        <w:b/>
        <w:i w:val="0"/>
        <w:sz w:val="24"/>
        <w:szCs w:val="24"/>
      </w:rPr>
    </w:lvl>
    <w:lvl w:ilvl="2" w:tentative="0">
      <w:start w:val="1"/>
      <w:numFmt w:val="decimal"/>
      <w:pStyle w:val="35"/>
      <w:suff w:val="nothing"/>
      <w:lvlText w:val="%1%2.%3　"/>
      <w:lvlJc w:val="left"/>
      <w:pPr>
        <w:ind w:left="0" w:firstLine="0"/>
      </w:pPr>
      <w:rPr>
        <w:rFonts w:hint="eastAsia" w:ascii="黑体" w:hAnsi="Times New Roman" w:eastAsia="黑体"/>
        <w:b w:val="0"/>
        <w:i w:val="0"/>
        <w:sz w:val="24"/>
        <w:szCs w:val="24"/>
      </w:rPr>
    </w:lvl>
    <w:lvl w:ilvl="3" w:tentative="0">
      <w:start w:val="1"/>
      <w:numFmt w:val="decimal"/>
      <w:pStyle w:val="36"/>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9"/>
  </w:num>
  <w:num w:numId="3">
    <w:abstractNumId w:val="8"/>
  </w:num>
  <w:num w:numId="4">
    <w:abstractNumId w:val="5"/>
  </w:num>
  <w:num w:numId="5">
    <w:abstractNumId w:val="0"/>
  </w:num>
  <w:num w:numId="6">
    <w:abstractNumId w:val="4"/>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04A8B"/>
    <w:rsid w:val="001318A4"/>
    <w:rsid w:val="01F178BE"/>
    <w:rsid w:val="035B4911"/>
    <w:rsid w:val="036E4DAF"/>
    <w:rsid w:val="042751F8"/>
    <w:rsid w:val="05EC7E9C"/>
    <w:rsid w:val="06B47C0D"/>
    <w:rsid w:val="06E21F7E"/>
    <w:rsid w:val="06F9396F"/>
    <w:rsid w:val="06FF6B97"/>
    <w:rsid w:val="07167106"/>
    <w:rsid w:val="07EB560A"/>
    <w:rsid w:val="09035F05"/>
    <w:rsid w:val="092108C3"/>
    <w:rsid w:val="098F05CD"/>
    <w:rsid w:val="09C452E1"/>
    <w:rsid w:val="0A27573A"/>
    <w:rsid w:val="0A6C0264"/>
    <w:rsid w:val="0BB8519C"/>
    <w:rsid w:val="0CB642E9"/>
    <w:rsid w:val="0D873699"/>
    <w:rsid w:val="0E26482D"/>
    <w:rsid w:val="0E404398"/>
    <w:rsid w:val="0EE04D7C"/>
    <w:rsid w:val="0EFB4523"/>
    <w:rsid w:val="0F270FC0"/>
    <w:rsid w:val="0F356458"/>
    <w:rsid w:val="10CA7EC9"/>
    <w:rsid w:val="11D5443A"/>
    <w:rsid w:val="12CF491E"/>
    <w:rsid w:val="12FB03A0"/>
    <w:rsid w:val="132248F2"/>
    <w:rsid w:val="13962C91"/>
    <w:rsid w:val="13C3447C"/>
    <w:rsid w:val="143E21E6"/>
    <w:rsid w:val="14501AE1"/>
    <w:rsid w:val="14697EAF"/>
    <w:rsid w:val="1593695D"/>
    <w:rsid w:val="16265E64"/>
    <w:rsid w:val="16937AD7"/>
    <w:rsid w:val="1735490E"/>
    <w:rsid w:val="179A2DCE"/>
    <w:rsid w:val="18727B39"/>
    <w:rsid w:val="1AC409D9"/>
    <w:rsid w:val="1B2C5C22"/>
    <w:rsid w:val="1B3979A6"/>
    <w:rsid w:val="1C553AFF"/>
    <w:rsid w:val="1C8D7DE8"/>
    <w:rsid w:val="1D0E163B"/>
    <w:rsid w:val="1D10255D"/>
    <w:rsid w:val="1D3754F2"/>
    <w:rsid w:val="1E06211B"/>
    <w:rsid w:val="1F535FF1"/>
    <w:rsid w:val="1F8203C2"/>
    <w:rsid w:val="1FD93CCC"/>
    <w:rsid w:val="20641862"/>
    <w:rsid w:val="20875DD7"/>
    <w:rsid w:val="21DC7C19"/>
    <w:rsid w:val="22146267"/>
    <w:rsid w:val="22A243CB"/>
    <w:rsid w:val="2356689B"/>
    <w:rsid w:val="23B74027"/>
    <w:rsid w:val="2446347C"/>
    <w:rsid w:val="247A75FB"/>
    <w:rsid w:val="25006BE5"/>
    <w:rsid w:val="26FD3A84"/>
    <w:rsid w:val="27302D8B"/>
    <w:rsid w:val="277B7521"/>
    <w:rsid w:val="285F1FB4"/>
    <w:rsid w:val="28963BA5"/>
    <w:rsid w:val="28B714C3"/>
    <w:rsid w:val="290441D9"/>
    <w:rsid w:val="29156672"/>
    <w:rsid w:val="2B8830CC"/>
    <w:rsid w:val="2CD10A17"/>
    <w:rsid w:val="2CEB1A87"/>
    <w:rsid w:val="2F7549E3"/>
    <w:rsid w:val="30006650"/>
    <w:rsid w:val="303B33AE"/>
    <w:rsid w:val="320F4F8F"/>
    <w:rsid w:val="321D5E5A"/>
    <w:rsid w:val="32496BD1"/>
    <w:rsid w:val="32E723C0"/>
    <w:rsid w:val="332D4F22"/>
    <w:rsid w:val="33C46F74"/>
    <w:rsid w:val="35343415"/>
    <w:rsid w:val="356E45E1"/>
    <w:rsid w:val="35D74217"/>
    <w:rsid w:val="37371BA6"/>
    <w:rsid w:val="37371C8D"/>
    <w:rsid w:val="37C11D92"/>
    <w:rsid w:val="388F5553"/>
    <w:rsid w:val="38B524B7"/>
    <w:rsid w:val="3A2D6F43"/>
    <w:rsid w:val="3A912821"/>
    <w:rsid w:val="3B684A83"/>
    <w:rsid w:val="3C0579A8"/>
    <w:rsid w:val="3C8B38E1"/>
    <w:rsid w:val="3E36391C"/>
    <w:rsid w:val="3ECB5495"/>
    <w:rsid w:val="40063DA2"/>
    <w:rsid w:val="40D24565"/>
    <w:rsid w:val="42290219"/>
    <w:rsid w:val="42E02493"/>
    <w:rsid w:val="43170D3C"/>
    <w:rsid w:val="43FF6199"/>
    <w:rsid w:val="45B11EE5"/>
    <w:rsid w:val="45B617E8"/>
    <w:rsid w:val="45BA6F71"/>
    <w:rsid w:val="46504A8B"/>
    <w:rsid w:val="4726763D"/>
    <w:rsid w:val="47CB6B5C"/>
    <w:rsid w:val="48D40488"/>
    <w:rsid w:val="49516B58"/>
    <w:rsid w:val="49BC2984"/>
    <w:rsid w:val="49ED31FB"/>
    <w:rsid w:val="4A986D1F"/>
    <w:rsid w:val="4B0B14D1"/>
    <w:rsid w:val="4B1F7AA3"/>
    <w:rsid w:val="4CA61C30"/>
    <w:rsid w:val="4DC43B24"/>
    <w:rsid w:val="4EEF13A5"/>
    <w:rsid w:val="4F4C352B"/>
    <w:rsid w:val="51193B9B"/>
    <w:rsid w:val="513324DA"/>
    <w:rsid w:val="51EE5375"/>
    <w:rsid w:val="52554417"/>
    <w:rsid w:val="52594527"/>
    <w:rsid w:val="52AF3E2F"/>
    <w:rsid w:val="52CE32A2"/>
    <w:rsid w:val="53294C00"/>
    <w:rsid w:val="537C2611"/>
    <w:rsid w:val="540578CB"/>
    <w:rsid w:val="54C702A9"/>
    <w:rsid w:val="54D25EB5"/>
    <w:rsid w:val="557E7653"/>
    <w:rsid w:val="55AF7E22"/>
    <w:rsid w:val="570851A3"/>
    <w:rsid w:val="570D12B4"/>
    <w:rsid w:val="571409EE"/>
    <w:rsid w:val="57651628"/>
    <w:rsid w:val="578C04DC"/>
    <w:rsid w:val="5A4B333B"/>
    <w:rsid w:val="5A6A3D63"/>
    <w:rsid w:val="5AEB7423"/>
    <w:rsid w:val="5B41088A"/>
    <w:rsid w:val="5B58794A"/>
    <w:rsid w:val="5B88343B"/>
    <w:rsid w:val="5CEA3F7C"/>
    <w:rsid w:val="5DA6410E"/>
    <w:rsid w:val="5DEC4759"/>
    <w:rsid w:val="5E37399D"/>
    <w:rsid w:val="5E6C3504"/>
    <w:rsid w:val="60FA6EBD"/>
    <w:rsid w:val="61A4713D"/>
    <w:rsid w:val="61F45C4B"/>
    <w:rsid w:val="65287BB9"/>
    <w:rsid w:val="65A83860"/>
    <w:rsid w:val="66080B7F"/>
    <w:rsid w:val="68A128B9"/>
    <w:rsid w:val="69FB3DEF"/>
    <w:rsid w:val="6A0311FB"/>
    <w:rsid w:val="6A6E11DA"/>
    <w:rsid w:val="6C7248BF"/>
    <w:rsid w:val="6C773D55"/>
    <w:rsid w:val="6CC81739"/>
    <w:rsid w:val="6D4A1D37"/>
    <w:rsid w:val="6F0914AB"/>
    <w:rsid w:val="6F665CAB"/>
    <w:rsid w:val="710D1634"/>
    <w:rsid w:val="7110138E"/>
    <w:rsid w:val="72064C34"/>
    <w:rsid w:val="744246C9"/>
    <w:rsid w:val="74697872"/>
    <w:rsid w:val="7506350D"/>
    <w:rsid w:val="7640418E"/>
    <w:rsid w:val="7744390B"/>
    <w:rsid w:val="781E0AD8"/>
    <w:rsid w:val="789F07F6"/>
    <w:rsid w:val="7A41014F"/>
    <w:rsid w:val="7AA3026F"/>
    <w:rsid w:val="7B2E56DD"/>
    <w:rsid w:val="7B4322E5"/>
    <w:rsid w:val="7C520C06"/>
    <w:rsid w:val="7C7236B9"/>
    <w:rsid w:val="7EF511DA"/>
    <w:rsid w:val="7F12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4"/>
    <w:basedOn w:val="1"/>
    <w:next w:val="1"/>
    <w:qFormat/>
    <w:uiPriority w:val="1"/>
    <w:pPr>
      <w:spacing w:before="14"/>
      <w:ind w:left="494"/>
      <w:outlineLvl w:val="3"/>
    </w:pPr>
    <w:rPr>
      <w:rFonts w:ascii="宋体" w:hAnsi="宋体" w:eastAsia="宋体"/>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默认段落字体 Para Char"/>
    <w:basedOn w:val="3"/>
    <w:next w:val="3"/>
    <w:qFormat/>
    <w:uiPriority w:val="0"/>
    <w:pPr>
      <w:widowControl w:val="0"/>
      <w:spacing w:before="80" w:after="80" w:line="360" w:lineRule="auto"/>
      <w:jc w:val="both"/>
    </w:pPr>
    <w:rPr>
      <w:rFonts w:ascii="Calibri" w:hAnsi="Calibri" w:cs="Times New Roman"/>
      <w:kern w:val="2"/>
      <w:szCs w:val="20"/>
    </w:rPr>
  </w:style>
  <w:style w:type="paragraph" w:customStyle="1" w:styleId="3">
    <w:name w:val="Normal_1"/>
    <w:next w:val="2"/>
    <w:qFormat/>
    <w:uiPriority w:val="0"/>
    <w:rPr>
      <w:rFonts w:ascii="Times New Roman" w:hAnsi="Times New Roman" w:eastAsia="Times New Roman" w:cs="Times New Roman"/>
      <w:sz w:val="24"/>
      <w:szCs w:val="24"/>
      <w:lang w:val="en-US" w:eastAsia="zh-CN" w:bidi="ar-SA"/>
    </w:rPr>
  </w:style>
  <w:style w:type="paragraph" w:styleId="6">
    <w:name w:val="Normal Indent"/>
    <w:basedOn w:val="1"/>
    <w:qFormat/>
    <w:uiPriority w:val="0"/>
    <w:pPr>
      <w:ind w:firstLine="420"/>
    </w:pPr>
    <w:rPr>
      <w:szCs w:val="20"/>
    </w:rPr>
  </w:style>
  <w:style w:type="paragraph" w:styleId="7">
    <w:name w:val="annotation text"/>
    <w:basedOn w:val="1"/>
    <w:unhideWhenUsed/>
    <w:qFormat/>
    <w:uiPriority w:val="99"/>
    <w:pPr>
      <w:jc w:val="left"/>
    </w:pPr>
  </w:style>
  <w:style w:type="paragraph" w:styleId="8">
    <w:name w:val="Body Text"/>
    <w:basedOn w:val="1"/>
    <w:next w:val="1"/>
    <w:qFormat/>
    <w:uiPriority w:val="1"/>
    <w:pPr>
      <w:spacing w:before="36"/>
      <w:ind w:left="780"/>
      <w:jc w:val="left"/>
    </w:pPr>
    <w:rPr>
      <w:rFonts w:ascii="宋体" w:hAnsi="宋体" w:eastAsia="宋体"/>
      <w:kern w:val="0"/>
      <w:szCs w:val="21"/>
      <w:lang w:eastAsia="en-US"/>
    </w:rPr>
  </w:style>
  <w:style w:type="paragraph" w:styleId="9">
    <w:name w:val="Body Text Indent"/>
    <w:basedOn w:val="1"/>
    <w:next w:val="10"/>
    <w:unhideWhenUsed/>
    <w:qFormat/>
    <w:uiPriority w:val="0"/>
    <w:pPr>
      <w:spacing w:after="120"/>
      <w:ind w:left="420" w:leftChars="200"/>
    </w:pPr>
  </w:style>
  <w:style w:type="paragraph" w:customStyle="1" w:styleId="10">
    <w:name w:val="样式 正文文本缩进 + 左  0 字符"/>
    <w:basedOn w:val="1"/>
    <w:next w:val="11"/>
    <w:qFormat/>
    <w:uiPriority w:val="99"/>
    <w:pPr>
      <w:spacing w:line="360" w:lineRule="auto"/>
      <w:ind w:firstLine="250" w:firstLineChars="250"/>
    </w:pPr>
    <w:rPr>
      <w:rFonts w:cs="宋体"/>
      <w:kern w:val="0"/>
      <w:szCs w:val="20"/>
    </w:rPr>
  </w:style>
  <w:style w:type="paragraph" w:styleId="11">
    <w:name w:val="Balloon Text"/>
    <w:basedOn w:val="1"/>
    <w:qFormat/>
    <w:uiPriority w:val="0"/>
    <w:rPr>
      <w:sz w:val="18"/>
      <w:szCs w:val="18"/>
    </w:rPr>
  </w:style>
  <w:style w:type="paragraph" w:styleId="12">
    <w:name w:val="toc 3"/>
    <w:basedOn w:val="1"/>
    <w:next w:val="1"/>
    <w:qFormat/>
    <w:uiPriority w:val="39"/>
    <w:pPr>
      <w:ind w:left="420"/>
      <w:jc w:val="left"/>
    </w:pPr>
    <w:rPr>
      <w:rFonts w:ascii="Calibri" w:hAnsi="Calibri" w:cs="Calibri"/>
      <w:i/>
      <w:iCs/>
      <w:sz w:val="20"/>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637"/>
      </w:tabs>
      <w:spacing w:before="120" w:after="120" w:line="360" w:lineRule="auto"/>
      <w:jc w:val="left"/>
    </w:pPr>
    <w:rPr>
      <w:rFonts w:ascii="Calibri" w:hAnsi="Calibri" w:cs="Calibri"/>
      <w:b/>
      <w:bCs/>
      <w:caps/>
      <w:sz w:val="20"/>
      <w:szCs w:val="20"/>
    </w:rPr>
  </w:style>
  <w:style w:type="paragraph" w:styleId="16">
    <w:name w:val="Body Text 2"/>
    <w:basedOn w:val="1"/>
    <w:qFormat/>
    <w:uiPriority w:val="0"/>
    <w:pPr>
      <w:spacing w:line="360" w:lineRule="auto"/>
    </w:pPr>
    <w:rPr>
      <w:sz w:val="28"/>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rFonts w:ascii="Times New Roman" w:hAnsi="Times New Roman" w:eastAsia="宋体" w:cs="Times New Roman"/>
      <w:b/>
      <w:bCs/>
    </w:rPr>
  </w:style>
  <w:style w:type="character" w:styleId="21">
    <w:name w:val="page number"/>
    <w:basedOn w:val="19"/>
    <w:qFormat/>
    <w:uiPriority w:val="0"/>
  </w:style>
  <w:style w:type="character" w:styleId="22">
    <w:name w:val="Hyperlink"/>
    <w:basedOn w:val="19"/>
    <w:qFormat/>
    <w:uiPriority w:val="99"/>
    <w:rPr>
      <w:color w:val="0000FF"/>
      <w:u w:val="single"/>
    </w:rPr>
  </w:style>
  <w:style w:type="paragraph" w:customStyle="1" w:styleId="23">
    <w:name w:val="Table Paragraph"/>
    <w:basedOn w:val="1"/>
    <w:qFormat/>
    <w:uiPriority w:val="0"/>
    <w:pPr>
      <w:jc w:val="left"/>
    </w:pPr>
    <w:rPr>
      <w:kern w:val="0"/>
      <w:sz w:val="22"/>
      <w:lang w:eastAsia="en-US"/>
    </w:rPr>
  </w:style>
  <w:style w:type="character" w:customStyle="1" w:styleId="24">
    <w:name w:val="fontstyle01"/>
    <w:qFormat/>
    <w:uiPriority w:val="0"/>
    <w:rPr>
      <w:rFonts w:hint="eastAsia" w:ascii="宋体" w:hAnsi="宋体" w:eastAsia="宋体"/>
      <w:color w:val="000000"/>
      <w:sz w:val="24"/>
      <w:szCs w:val="24"/>
    </w:rPr>
  </w:style>
  <w:style w:type="table" w:customStyle="1" w:styleId="25">
    <w:name w:val="网格型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List Paragraph"/>
    <w:basedOn w:val="1"/>
    <w:qFormat/>
    <w:uiPriority w:val="34"/>
    <w:pPr>
      <w:widowControl/>
      <w:ind w:firstLine="420"/>
    </w:pPr>
    <w:rPr>
      <w:rFonts w:ascii="Calibri" w:hAnsi="Calibri" w:eastAsia="宋体" w:cs="Calibri"/>
      <w:kern w:val="0"/>
      <w:szCs w:val="21"/>
    </w:rPr>
  </w:style>
  <w:style w:type="paragraph" w:customStyle="1" w:styleId="27">
    <w:name w:val="toa"/>
    <w:basedOn w:val="1"/>
    <w:qFormat/>
    <w:uiPriority w:val="0"/>
    <w:pPr>
      <w:widowControl/>
      <w:tabs>
        <w:tab w:val="left" w:pos="9000"/>
        <w:tab w:val="right" w:pos="9360"/>
      </w:tabs>
      <w:suppressAutoHyphens/>
      <w:jc w:val="left"/>
    </w:pPr>
    <w:rPr>
      <w:rFonts w:ascii="Arial" w:hAnsi="Arial"/>
      <w:kern w:val="0"/>
      <w:sz w:val="24"/>
      <w:szCs w:val="20"/>
    </w:rPr>
  </w:style>
  <w:style w:type="paragraph" w:customStyle="1" w:styleId="28">
    <w:name w:val="样式1"/>
    <w:basedOn w:val="27"/>
    <w:qFormat/>
    <w:uiPriority w:val="0"/>
    <w:pPr>
      <w:tabs>
        <w:tab w:val="left" w:pos="426"/>
      </w:tabs>
      <w:suppressAutoHyphens w:val="0"/>
      <w:spacing w:line="360" w:lineRule="auto"/>
      <w:outlineLvl w:val="0"/>
    </w:pPr>
    <w:rPr>
      <w:rFonts w:ascii="宋体" w:hAnsi="宋体"/>
      <w:b/>
      <w:bCs/>
      <w:color w:val="000000"/>
      <w:sz w:val="21"/>
      <w:szCs w:val="21"/>
    </w:rPr>
  </w:style>
  <w:style w:type="paragraph" w:customStyle="1" w:styleId="29">
    <w:name w:val="段"/>
    <w:link w:val="3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0"/>
    <w:basedOn w:val="1"/>
    <w:qFormat/>
    <w:uiPriority w:val="0"/>
    <w:pPr>
      <w:widowControl/>
    </w:pPr>
    <w:rPr>
      <w:kern w:val="0"/>
      <w:szCs w:val="21"/>
    </w:rPr>
  </w:style>
  <w:style w:type="paragraph" w:customStyle="1" w:styleId="32">
    <w:name w:val="列项◆（三级）"/>
    <w:qFormat/>
    <w:uiPriority w:val="0"/>
    <w:pPr>
      <w:numPr>
        <w:ilvl w:val="0"/>
        <w:numId w:val="1"/>
      </w:numPr>
      <w:tabs>
        <w:tab w:val="left" w:pos="960"/>
      </w:tabs>
    </w:pPr>
    <w:rPr>
      <w:rFonts w:ascii="宋体" w:hAnsi="Times New Roman" w:eastAsia="宋体" w:cs="Times New Roman"/>
      <w:sz w:val="21"/>
      <w:lang w:val="en-US" w:eastAsia="zh-CN" w:bidi="ar-SA"/>
    </w:rPr>
  </w:style>
  <w:style w:type="paragraph" w:customStyle="1" w:styleId="33">
    <w:name w:val="章标题"/>
    <w:next w:val="29"/>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3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5">
    <w:name w:val="一级条标题"/>
    <w:basedOn w:val="33"/>
    <w:next w:val="29"/>
    <w:qFormat/>
    <w:uiPriority w:val="0"/>
    <w:pPr>
      <w:numPr>
        <w:ilvl w:val="2"/>
        <w:numId w:val="2"/>
      </w:numPr>
      <w:spacing w:beforeLines="0" w:afterLines="0"/>
      <w:outlineLvl w:val="2"/>
    </w:pPr>
  </w:style>
  <w:style w:type="paragraph" w:customStyle="1" w:styleId="36">
    <w:name w:val="二级条标题"/>
    <w:basedOn w:val="35"/>
    <w:next w:val="29"/>
    <w:qFormat/>
    <w:uiPriority w:val="0"/>
    <w:pPr>
      <w:numPr>
        <w:ilvl w:val="3"/>
        <w:numId w:val="2"/>
      </w:numPr>
      <w:outlineLvl w:val="3"/>
    </w:pPr>
  </w:style>
  <w:style w:type="paragraph" w:customStyle="1" w:styleId="37">
    <w:name w:val="附录标识"/>
    <w:basedOn w:val="34"/>
    <w:qFormat/>
    <w:uiPriority w:val="0"/>
    <w:pPr>
      <w:numPr>
        <w:ilvl w:val="0"/>
        <w:numId w:val="3"/>
      </w:numPr>
      <w:tabs>
        <w:tab w:val="left" w:pos="6405"/>
      </w:tabs>
      <w:spacing w:after="200"/>
    </w:pPr>
    <w:rPr>
      <w:sz w:val="21"/>
    </w:rPr>
  </w:style>
  <w:style w:type="character" w:customStyle="1" w:styleId="38">
    <w:name w:val="段 Char"/>
    <w:link w:val="29"/>
    <w:qFormat/>
    <w:uiPriority w:val="0"/>
    <w:rPr>
      <w:rFonts w:ascii="宋体" w:hAnsi="Times New Roman" w:eastAsia="宋体" w:cs="Times New Roman"/>
      <w:sz w:val="21"/>
      <w:lang w:val="en-US" w:eastAsia="zh-CN" w:bidi="ar-SA"/>
    </w:rPr>
  </w:style>
  <w:style w:type="paragraph" w:customStyle="1" w:styleId="39">
    <w:name w:val="1级标题技术文件"/>
    <w:basedOn w:val="1"/>
    <w:qFormat/>
    <w:uiPriority w:val="0"/>
    <w:pPr>
      <w:widowControl/>
      <w:numPr>
        <w:ilvl w:val="0"/>
        <w:numId w:val="4"/>
      </w:numPr>
      <w:tabs>
        <w:tab w:val="left" w:pos="426"/>
        <w:tab w:val="left" w:pos="9000"/>
        <w:tab w:val="right" w:pos="9360"/>
      </w:tabs>
      <w:suppressAutoHyphens w:val="0"/>
      <w:spacing w:line="360" w:lineRule="auto"/>
      <w:ind w:left="420" w:hanging="420"/>
      <w:jc w:val="left"/>
      <w:outlineLvl w:val="0"/>
    </w:pPr>
    <w:rPr>
      <w:rFonts w:hint="eastAsia" w:ascii="宋体" w:hAnsi="宋体" w:eastAsia="宋体"/>
      <w:b/>
      <w:bCs/>
      <w:color w:val="000000"/>
      <w:kern w:val="0"/>
      <w:szCs w:val="21"/>
    </w:rPr>
  </w:style>
  <w:style w:type="paragraph" w:customStyle="1" w:styleId="40">
    <w:name w:val="3级标题技术文件"/>
    <w:basedOn w:val="1"/>
    <w:qFormat/>
    <w:uiPriority w:val="0"/>
    <w:pPr>
      <w:numPr>
        <w:ilvl w:val="0"/>
        <w:numId w:val="5"/>
      </w:numPr>
      <w:autoSpaceDE w:val="0"/>
      <w:autoSpaceDN w:val="0"/>
      <w:spacing w:line="360" w:lineRule="auto"/>
      <w:ind w:left="420" w:hanging="420"/>
    </w:pPr>
    <w:rPr>
      <w:rFonts w:hint="eastAsia" w:ascii="宋体" w:hAnsi="宋体" w:eastAsia="宋体" w:cs="Times New Roman"/>
      <w:szCs w:val="21"/>
    </w:rPr>
  </w:style>
  <w:style w:type="paragraph" w:customStyle="1" w:styleId="41">
    <w:name w:val="中文正文、"/>
    <w:basedOn w:val="1"/>
    <w:qFormat/>
    <w:uiPriority w:val="0"/>
    <w:pPr>
      <w:autoSpaceDE w:val="0"/>
      <w:autoSpaceDN w:val="0"/>
      <w:spacing w:line="360" w:lineRule="auto"/>
      <w:ind w:firstLine="420" w:firstLineChars="200"/>
      <w:jc w:val="left"/>
    </w:pPr>
    <w:rPr>
      <w:rFonts w:ascii="Times New Roman" w:hAnsi="Times New Roman"/>
      <w:color w:val="auto"/>
      <w:sz w:val="21"/>
      <w:szCs w:val="21"/>
    </w:rPr>
  </w:style>
  <w:style w:type="table" w:customStyle="1" w:styleId="42">
    <w:name w:val="Table Normal"/>
    <w:unhideWhenUsed/>
    <w:qFormat/>
    <w:uiPriority w:val="2"/>
    <w:pPr>
      <w:widowControl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2023-01-31T01:59:00Z</dcterms:created>
  <dc:creator>孔令伟</dc:creator>
  <cp:lastModifiedBy>孔令伟</cp:lastModifiedBy>
  <dcterms:modified xsi:type="dcterms:W3CDTF">2024-08-16T11:40:00Z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336FB9ABD32848EBA2DA22A7E19DDFC6</vt:lpwstr>
  </property>
</Properties>
</file>