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w:t>
      </w:r>
      <w:r>
        <w:rPr>
          <w:rFonts w:hint="eastAsia" w:asciiTheme="minorEastAsia" w:hAnsiTheme="minorEastAsia" w:eastAsiaTheme="minorEastAsia"/>
          <w:color w:val="auto"/>
          <w:spacing w:val="-3"/>
          <w:sz w:val="24"/>
          <w:szCs w:val="24"/>
          <w:highlight w:val="none"/>
          <w:u w:val="single"/>
        </w:rPr>
        <w:t>柴油输送泵采购</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采购编号：</w:t>
      </w:r>
      <w:r>
        <w:rPr>
          <w:rFonts w:hint="eastAsia" w:asciiTheme="minorEastAsia" w:hAnsiTheme="minorEastAsia" w:eastAsiaTheme="minorEastAsia"/>
          <w:color w:val="auto"/>
          <w:spacing w:val="-3"/>
          <w:sz w:val="24"/>
          <w:szCs w:val="24"/>
          <w:highlight w:val="none"/>
          <w:u w:val="single"/>
        </w:rPr>
        <w:t>GKXJ-2024-ZB-3342</w:t>
      </w:r>
    </w:p>
    <w:p>
      <w:pPr>
        <w:pStyle w:val="3"/>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0" w:firstLineChars="0"/>
        <w:jc w:val="center"/>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中海油能源发展采办共享中心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12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04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auto"/>
          <w:spacing w:val="-3"/>
          <w:sz w:val="21"/>
          <w:szCs w:val="21"/>
          <w:highlight w:val="none"/>
          <w:u w:val="single"/>
          <w:lang w:val="en-US" w:eastAsia="zh-CN"/>
        </w:rPr>
        <w:t>柴油输送泵采购</w:t>
      </w:r>
      <w:r>
        <w:rPr>
          <w:rFonts w:hint="eastAsia" w:asciiTheme="minorEastAsia" w:hAnsiTheme="minorEastAsia"/>
          <w:color w:val="auto"/>
          <w:spacing w:val="-3"/>
          <w:sz w:val="21"/>
          <w:szCs w:val="21"/>
          <w:highlight w:val="none"/>
          <w:u w:val="single"/>
          <w:lang w:val="en-US" w:eastAsia="zh-CN"/>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w:t>
      </w:r>
      <w:r>
        <w:rPr>
          <w:rFonts w:hint="eastAsia" w:asciiTheme="minorEastAsia" w:hAnsiTheme="minorEastAsia"/>
          <w:color w:val="auto"/>
          <w:sz w:val="21"/>
          <w:szCs w:val="21"/>
          <w:highlight w:val="none"/>
        </w:rPr>
        <w:t>.公告时间：自</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04</w:t>
      </w:r>
      <w:r>
        <w:rPr>
          <w:rFonts w:hint="eastAsia" w:asciiTheme="minorEastAsia" w:hAnsiTheme="minorEastAsia"/>
          <w:color w:val="auto"/>
          <w:sz w:val="21"/>
          <w:szCs w:val="21"/>
          <w:highlight w:val="none"/>
          <w:u w:val="single"/>
        </w:rPr>
        <w:t>日</w:t>
      </w:r>
      <w:r>
        <w:rPr>
          <w:rFonts w:hint="eastAsia" w:asciiTheme="minorEastAsia" w:hAnsiTheme="minorEastAsia"/>
          <w:color w:val="auto"/>
          <w:sz w:val="21"/>
          <w:szCs w:val="21"/>
          <w:highlight w:val="none"/>
        </w:rPr>
        <w:t>起至</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20</w:t>
      </w:r>
      <w:r>
        <w:rPr>
          <w:rFonts w:hint="eastAsia" w:asciiTheme="minorEastAsia" w:hAnsiTheme="minorEastAsia"/>
          <w:color w:val="auto"/>
          <w:sz w:val="21"/>
          <w:szCs w:val="21"/>
          <w:highlight w:val="none"/>
          <w:u w:val="single"/>
        </w:rPr>
        <w:t>日</w:t>
      </w:r>
      <w:r>
        <w:rPr>
          <w:rFonts w:hint="eastAsia" w:asciiTheme="minorEastAsia" w:hAnsiTheme="minorEastAsia"/>
          <w:color w:val="auto"/>
          <w:sz w:val="21"/>
          <w:szCs w:val="21"/>
          <w:highlight w:val="none"/>
        </w:rPr>
        <w:t>止。</w:t>
      </w:r>
    </w:p>
    <w:p>
      <w:pPr>
        <w:spacing w:line="360" w:lineRule="auto"/>
        <w:ind w:firstLine="630" w:firstLineChars="300"/>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lang w:eastAsia="zh-CN"/>
        </w:rPr>
        <w:t>采购人</w:t>
      </w:r>
      <w:r>
        <w:rPr>
          <w:rFonts w:asciiTheme="minorEastAsia" w:hAnsiTheme="minorEastAsia"/>
          <w:color w:val="auto"/>
          <w:sz w:val="21"/>
          <w:szCs w:val="21"/>
          <w:highlight w:val="none"/>
        </w:rPr>
        <w:t>于</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04</w:t>
      </w:r>
      <w:r>
        <w:rPr>
          <w:rFonts w:hint="eastAsia" w:asciiTheme="minorEastAsia" w:hAnsiTheme="minorEastAsia"/>
          <w:color w:val="auto"/>
          <w:sz w:val="21"/>
          <w:szCs w:val="21"/>
          <w:highlight w:val="none"/>
          <w:u w:val="single"/>
        </w:rPr>
        <w:t>日</w:t>
      </w:r>
      <w:r>
        <w:rPr>
          <w:rFonts w:asciiTheme="minorEastAsia" w:hAnsiTheme="minorEastAsia"/>
          <w:color w:val="auto"/>
          <w:sz w:val="21"/>
          <w:szCs w:val="21"/>
          <w:highlight w:val="none"/>
        </w:rPr>
        <w:t>（北京时间</w:t>
      </w:r>
      <w:r>
        <w:rPr>
          <w:rFonts w:hint="eastAsia" w:asciiTheme="minorEastAsia" w:hAnsiTheme="minorEastAsia"/>
          <w:color w:val="auto"/>
          <w:sz w:val="21"/>
          <w:szCs w:val="21"/>
          <w:highlight w:val="none"/>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4.递交响应文件的截止时间及地点：递交</w:t>
      </w:r>
      <w:r>
        <w:rPr>
          <w:rFonts w:hint="eastAsia" w:asciiTheme="minorEastAsia" w:hAnsiTheme="minorEastAsia"/>
          <w:color w:val="auto"/>
          <w:sz w:val="21"/>
          <w:szCs w:val="21"/>
          <w:highlight w:val="none"/>
        </w:rPr>
        <w:t>报价</w:t>
      </w:r>
      <w:r>
        <w:rPr>
          <w:rFonts w:asciiTheme="minorEastAsia" w:hAnsiTheme="minorEastAsia"/>
          <w:color w:val="auto"/>
          <w:sz w:val="21"/>
          <w:szCs w:val="21"/>
          <w:highlight w:val="none"/>
        </w:rPr>
        <w:t>文件的截止时间为</w:t>
      </w:r>
      <w:r>
        <w:rPr>
          <w:rFonts w:hint="eastAsia" w:asciiTheme="minorEastAsia" w:hAnsiTheme="minorEastAsia"/>
          <w:color w:val="auto"/>
          <w:sz w:val="21"/>
          <w:szCs w:val="21"/>
          <w:highlight w:val="none"/>
          <w:u w:val="single"/>
          <w:lang w:val="en-US" w:eastAsia="zh-CN"/>
        </w:rPr>
        <w:t>2024</w:t>
      </w:r>
      <w:r>
        <w:rPr>
          <w:rFonts w:hint="eastAsia" w:asciiTheme="minorEastAsia" w:hAnsiTheme="minorEastAsia"/>
          <w:color w:val="auto"/>
          <w:sz w:val="21"/>
          <w:szCs w:val="21"/>
          <w:highlight w:val="none"/>
          <w:u w:val="single"/>
        </w:rPr>
        <w:t>年</w:t>
      </w:r>
      <w:r>
        <w:rPr>
          <w:rFonts w:hint="eastAsia" w:asciiTheme="minorEastAsia" w:hAnsiTheme="minorEastAsia"/>
          <w:color w:val="auto"/>
          <w:sz w:val="21"/>
          <w:szCs w:val="21"/>
          <w:highlight w:val="none"/>
          <w:u w:val="single"/>
          <w:lang w:val="en-US" w:eastAsia="zh-CN"/>
        </w:rPr>
        <w:t>12</w:t>
      </w:r>
      <w:r>
        <w:rPr>
          <w:rFonts w:hint="eastAsia" w:asciiTheme="minorEastAsia" w:hAnsiTheme="minorEastAsia"/>
          <w:color w:val="auto"/>
          <w:sz w:val="21"/>
          <w:szCs w:val="21"/>
          <w:highlight w:val="none"/>
          <w:u w:val="single"/>
        </w:rPr>
        <w:t>月</w:t>
      </w:r>
      <w:r>
        <w:rPr>
          <w:rFonts w:hint="eastAsia" w:asciiTheme="minorEastAsia" w:hAnsiTheme="minorEastAsia"/>
          <w:color w:val="auto"/>
          <w:sz w:val="21"/>
          <w:szCs w:val="21"/>
          <w:highlight w:val="none"/>
          <w:u w:val="single"/>
          <w:lang w:val="en-US" w:eastAsia="zh-CN"/>
        </w:rPr>
        <w:t>20</w:t>
      </w:r>
      <w:r>
        <w:rPr>
          <w:rFonts w:hint="eastAsia" w:asciiTheme="minorEastAsia" w:hAnsiTheme="minorEastAsia"/>
          <w:color w:val="auto"/>
          <w:sz w:val="21"/>
          <w:szCs w:val="21"/>
          <w:highlight w:val="none"/>
          <w:u w:val="single"/>
        </w:rPr>
        <w:t>日</w:t>
      </w:r>
      <w:r>
        <w:rPr>
          <w:rFonts w:hint="eastAsia" w:asciiTheme="minorEastAsia" w:hAnsiTheme="minorEastAsia"/>
          <w:color w:val="auto"/>
          <w:sz w:val="21"/>
          <w:szCs w:val="21"/>
          <w:highlight w:val="none"/>
          <w:u w:val="single"/>
          <w:lang w:val="en-US" w:eastAsia="zh-CN"/>
        </w:rPr>
        <w:t>09</w:t>
      </w:r>
      <w:r>
        <w:rPr>
          <w:rFonts w:asciiTheme="minorEastAsia" w:hAnsiTheme="minorEastAsia"/>
          <w:color w:val="auto"/>
          <w:sz w:val="21"/>
          <w:szCs w:val="21"/>
          <w:highlight w:val="none"/>
          <w:u w:val="single"/>
        </w:rPr>
        <w:t>时</w:t>
      </w:r>
      <w:r>
        <w:rPr>
          <w:rFonts w:asciiTheme="minorEastAsia" w:hAnsiTheme="minorEastAsia"/>
          <w:color w:val="auto"/>
          <w:sz w:val="21"/>
          <w:szCs w:val="21"/>
          <w:highlight w:val="none"/>
        </w:rPr>
        <w:t>，</w:t>
      </w:r>
      <w:r>
        <w:rPr>
          <w:rFonts w:hint="eastAsia" w:asciiTheme="minorEastAsia" w:hAnsiTheme="minorEastAsia"/>
          <w:color w:val="auto"/>
          <w:sz w:val="21"/>
          <w:szCs w:val="21"/>
          <w:highlight w:val="none"/>
        </w:rPr>
        <w:t>请在规定报价截止时间前通过系统报价及挂接</w:t>
      </w:r>
      <w:r>
        <w:rPr>
          <w:rFonts w:hint="eastAsia" w:asciiTheme="minorEastAsia" w:hAnsiTheme="minorEastAsia"/>
          <w:color w:val="auto"/>
          <w:sz w:val="21"/>
          <w:szCs w:val="21"/>
          <w:highlight w:val="none"/>
          <w:lang w:val="en-US" w:eastAsia="zh-CN"/>
        </w:rPr>
        <w:t>价格明细文件</w:t>
      </w:r>
      <w:r>
        <w:rPr>
          <w:rFonts w:hint="eastAsia" w:asciiTheme="minorEastAsia" w:hAnsiTheme="minorEastAsia"/>
          <w:color w:val="auto"/>
          <w:sz w:val="21"/>
          <w:szCs w:val="21"/>
          <w:highlight w:val="none"/>
        </w:rPr>
        <w:t>。</w:t>
      </w:r>
      <w:bookmarkStart w:id="84" w:name="_GoBack"/>
      <w:bookmarkEnd w:id="84"/>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5"/>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3"/>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3"/>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3"/>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陈洁</w:t>
      </w:r>
    </w:p>
    <w:p>
      <w:pPr>
        <w:pStyle w:val="3"/>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021-22833350</w:t>
      </w:r>
    </w:p>
    <w:p>
      <w:pPr>
        <w:pStyle w:val="3"/>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chenjie@cnooc.com.cn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588" w:type="pct"/>
        <w:jc w:val="center"/>
        <w:tblLayout w:type="autofit"/>
        <w:tblCellMar>
          <w:top w:w="0" w:type="dxa"/>
          <w:left w:w="0" w:type="dxa"/>
          <w:bottom w:w="0" w:type="dxa"/>
          <w:right w:w="0" w:type="dxa"/>
        </w:tblCellMar>
      </w:tblPr>
      <w:tblGrid>
        <w:gridCol w:w="615"/>
        <w:gridCol w:w="534"/>
        <w:gridCol w:w="2289"/>
        <w:gridCol w:w="5856"/>
      </w:tblGrid>
      <w:tr>
        <w:tblPrEx>
          <w:tblCellMar>
            <w:top w:w="0" w:type="dxa"/>
            <w:left w:w="0" w:type="dxa"/>
            <w:bottom w:w="0" w:type="dxa"/>
            <w:right w:w="0" w:type="dxa"/>
          </w:tblCellMar>
        </w:tblPrEx>
        <w:trPr>
          <w:trHeight w:val="454" w:hRule="atLeast"/>
          <w:jc w:val="center"/>
        </w:trPr>
        <w:tc>
          <w:tcPr>
            <w:tcW w:w="618" w:type="pct"/>
            <w:gridSpan w:val="2"/>
            <w:tcBorders>
              <w:top w:val="single" w:color="000000" w:sz="4" w:space="0"/>
              <w:left w:val="single" w:color="000000" w:sz="4" w:space="0"/>
              <w:bottom w:val="single" w:color="000000" w:sz="4" w:space="0"/>
              <w:right w:val="single" w:color="000000" w:sz="4" w:space="0"/>
            </w:tcBorders>
            <w:vAlign w:val="center"/>
          </w:tcPr>
          <w:p>
            <w:pPr>
              <w:pStyle w:val="2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rPr>
          <w:trHeight w:val="454" w:hRule="atLeast"/>
          <w:jc w:val="center"/>
        </w:trPr>
        <w:tc>
          <w:tcPr>
            <w:tcW w:w="331" w:type="pct"/>
            <w:vMerge w:val="restart"/>
            <w:tcBorders>
              <w:top w:val="nil"/>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25"/>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2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1" w:type="pct"/>
            <w:tcBorders>
              <w:top w:val="single" w:color="000000" w:sz="4" w:space="0"/>
              <w:left w:val="nil"/>
              <w:bottom w:val="nil"/>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2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1" w:type="pct"/>
            <w:tcBorders>
              <w:top w:val="single" w:color="000000" w:sz="4" w:space="0"/>
              <w:left w:val="nil"/>
              <w:bottom w:val="single" w:color="000000" w:sz="4" w:space="0"/>
              <w:right w:val="single" w:color="000000" w:sz="4"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2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40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r>
      <w:tr>
        <w:trPr>
          <w:trHeight w:val="90"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证文件：</w:t>
            </w:r>
            <w:r>
              <w:rPr>
                <w:rFonts w:hint="eastAsia" w:ascii="仿宋" w:hAnsi="仿宋" w:eastAsia="仿宋" w:cs="仿宋"/>
                <w:color w:val="FF0000"/>
                <w:kern w:val="0"/>
                <w:sz w:val="21"/>
                <w:szCs w:val="21"/>
                <w:highlight w:val="none"/>
                <w:lang w:val="en-US" w:eastAsia="zh-CN" w:bidi="ar-SA"/>
              </w:rPr>
              <w:t>有效期内符合GB/T19001、ISO9001或APIQ1的质量管理体系证书、环境管理体系认证证书，职业健康与安全管理体系认证证书。</w:t>
            </w:r>
          </w:p>
          <w:p>
            <w:pPr>
              <w:pStyle w:val="25"/>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391"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auto"/>
                <w:sz w:val="21"/>
                <w:szCs w:val="21"/>
                <w:highlight w:val="none"/>
                <w:lang w:eastAsia="zh-CN"/>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资质证书</w:t>
            </w:r>
          </w:p>
        </w:tc>
        <w:tc>
          <w:tcPr>
            <w:tcW w:w="3150" w:type="pct"/>
            <w:tcBorders>
              <w:top w:val="single" w:color="000000" w:sz="4" w:space="0"/>
              <w:left w:val="nil"/>
              <w:bottom w:val="single" w:color="auto" w:sz="4" w:space="0"/>
              <w:right w:val="single" w:color="000000" w:sz="4" w:space="0"/>
            </w:tcBorders>
            <w:vAlign w:val="center"/>
          </w:tcPr>
          <w:p>
            <w:pPr>
              <w:pStyle w:val="12"/>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53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000000" w:sz="6" w:space="0"/>
              <w:bottom w:val="single" w:color="000000" w:sz="4" w:space="0"/>
              <w:right w:val="single" w:color="000000" w:sz="4" w:space="0"/>
            </w:tcBorders>
            <w:vAlign w:val="center"/>
          </w:tcPr>
          <w:p>
            <w:pPr>
              <w:pStyle w:val="25"/>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bottom w:val="single" w:color="000000" w:sz="4" w:space="0"/>
              <w:right w:val="single" w:color="000000" w:sz="4" w:space="0"/>
            </w:tcBorders>
            <w:vAlign w:val="center"/>
          </w:tcPr>
          <w:p>
            <w:pPr>
              <w:pStyle w:val="25"/>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5"/>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2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638"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right w:val="single" w:color="000000" w:sz="4" w:space="0"/>
            </w:tcBorders>
            <w:vAlign w:val="center"/>
          </w:tcPr>
          <w:p>
            <w:pPr>
              <w:pStyle w:val="3"/>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50" w:type="pct"/>
            <w:tcBorders>
              <w:top w:val="single" w:color="000000" w:sz="4" w:space="0"/>
              <w:left w:val="nil"/>
              <w:bottom w:val="single" w:color="000000" w:sz="4" w:space="0"/>
              <w:right w:val="single" w:color="000000" w:sz="4" w:space="0"/>
            </w:tcBorders>
            <w:vAlign w:val="center"/>
          </w:tcPr>
          <w:p>
            <w:pPr>
              <w:pStyle w:val="25"/>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1.供应商可参照附件要求提供《制造商承诺书》，提供证明材料，保证提供证明材料真实有效;</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color w:val="FF0000"/>
                <w:sz w:val="21"/>
                <w:szCs w:val="21"/>
                <w:highlight w:val="none"/>
                <w:lang w:eastAsia="zh-CN"/>
              </w:rPr>
              <w:t>务必明确选择类型，并提供制造商承诺书及支持文件。</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default"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2.</w:t>
            </w:r>
            <w:r>
              <w:rPr>
                <w:rFonts w:hint="eastAsia" w:ascii="仿宋" w:hAnsi="仿宋" w:eastAsia="仿宋" w:cs="仿宋"/>
                <w:b w:val="0"/>
                <w:bCs w:val="0"/>
                <w:color w:val="FF0000"/>
                <w:kern w:val="0"/>
                <w:sz w:val="21"/>
                <w:szCs w:val="21"/>
                <w:highlight w:val="none"/>
                <w:lang w:val="en-US" w:eastAsia="zh-CN" w:bidi="ar-SA"/>
              </w:rPr>
              <w:t>提供有效期内的中华人民共和国特种设备制造许可证-压力管道元件（必须是投标人的证书，不接受代理产品证书），且具有覆盖本次招标范围的管件、法兰型式试验证书。</w:t>
            </w:r>
          </w:p>
        </w:tc>
      </w:tr>
      <w:tr>
        <w:tblPrEx>
          <w:tblCellMar>
            <w:top w:w="0" w:type="dxa"/>
            <w:left w:w="0" w:type="dxa"/>
            <w:bottom w:w="0" w:type="dxa"/>
            <w:right w:w="0" w:type="dxa"/>
          </w:tblCellMar>
        </w:tblPrEx>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right w:val="single" w:color="000000" w:sz="4" w:space="0"/>
            </w:tcBorders>
            <w:vAlign w:val="center"/>
          </w:tcPr>
          <w:p>
            <w:pPr>
              <w:pStyle w:val="3"/>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vAlign w:val="center"/>
          </w:tcPr>
          <w:p>
            <w:pPr>
              <w:tabs>
                <w:tab w:val="left" w:pos="770"/>
              </w:tabs>
              <w:ind w:right="134" w:firstLine="0" w:firstLineChars="0"/>
              <w:jc w:val="left"/>
              <w:rPr>
                <w:rFonts w:hint="eastAsia"/>
                <w:color w:val="auto"/>
                <w:highlight w:val="none"/>
                <w:lang w:eastAsia="zh-CN"/>
              </w:rPr>
            </w:pPr>
            <w:r>
              <w:rPr>
                <w:rFonts w:hint="eastAsia" w:ascii="仿宋" w:hAnsi="仿宋" w:eastAsia="仿宋" w:cs="仿宋"/>
                <w:color w:val="auto"/>
                <w:sz w:val="21"/>
                <w:szCs w:val="21"/>
                <w:highlight w:val="none"/>
                <w:lang w:val="en-US" w:eastAsia="zh-CN"/>
              </w:rPr>
              <w:t>/</w:t>
            </w:r>
          </w:p>
        </w:tc>
      </w:tr>
      <w:tr>
        <w:tblPrEx>
          <w:tblCellMar>
            <w:top w:w="0" w:type="dxa"/>
            <w:left w:w="0" w:type="dxa"/>
            <w:bottom w:w="0" w:type="dxa"/>
            <w:right w:w="0" w:type="dxa"/>
          </w:tblCellMar>
        </w:tblPrEx>
        <w:trPr>
          <w:trHeight w:val="90"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2021年1月1日至应答截止日（以合同签署时间为准），应答人应具有至少</w:t>
            </w:r>
            <w:r>
              <w:rPr>
                <w:rFonts w:hint="eastAsia" w:ascii="仿宋" w:hAnsi="仿宋" w:eastAsia="仿宋" w:cs="仿宋"/>
                <w:color w:val="FF0000"/>
                <w:kern w:val="2"/>
                <w:sz w:val="21"/>
                <w:szCs w:val="21"/>
                <w:highlight w:val="none"/>
                <w:lang w:val="en-US" w:eastAsia="zh-CN" w:bidi="ar-SA"/>
              </w:rPr>
              <w:t>有2个类似离心泵产品在海洋环境（海上平台/FPSO，近海岸的油气处理终端，海洋码头）条件下成功运行两年及以上合同业绩。</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keepNext w:val="0"/>
              <w:keepLines w:val="0"/>
              <w:pageBreakBefore w:val="0"/>
              <w:widowControl/>
              <w:kinsoku/>
              <w:wordWrap/>
              <w:overflowPunct/>
              <w:topLinePunct w:val="0"/>
              <w:autoSpaceDE/>
              <w:autoSpaceDN/>
              <w:bidi w:val="0"/>
              <w:adjustRightInd/>
              <w:snapToGrid/>
              <w:spacing w:line="240" w:lineRule="auto"/>
              <w:ind w:right="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应答人所提交的业绩证明文件必须至少体现以下内容：合同签署时间、合同签署页（应有双方盖章）、货物名称及到货验收材料。</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000000"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0" w:type="pct"/>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付款方式：银行电汇。</w:t>
            </w:r>
          </w:p>
          <w:p>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2、付款周期要求：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22" w:rightChars="0" w:firstLine="409" w:firstLineChars="195"/>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1）卖方在合同规定的期限内将货物运至交货地点，经买方验收合格后，卖方开具全额增值税专用发票，买方在收到发票后四十五（45）日内，支付合同总价的80%。</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22" w:rightChars="0" w:firstLine="420" w:firstLineChars="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2）设备在海上平台安装调试完毕，经买方签署调试报告后或货物验收合格后90日内（以先到为准），买方依据卖方提供的收据，在45日内支付合同总价的15%。</w:t>
            </w:r>
          </w:p>
          <w:p>
            <w:pPr>
              <w:pStyle w:val="12"/>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3）剩余合同总额的5%作为质保金，在质保期满后（设备调试报告签署之日起12个月），无质量问题，买方依据卖方提供的收据，在45日内将剩余合同金额支付给卖方。</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1" w:type="pct"/>
            <w:tcBorders>
              <w:top w:val="single" w:color="auto"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0" w:type="pct"/>
            <w:tcBorders>
              <w:top w:val="single" w:color="auto"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详见附件</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000000" w:sz="4" w:space="0"/>
              <w:left w:val="single" w:color="000000" w:sz="6" w:space="0"/>
              <w:bottom w:val="single" w:color="000000" w:sz="4" w:space="0"/>
              <w:right w:val="single" w:color="000000" w:sz="4" w:space="0"/>
            </w:tcBorders>
            <w:vAlign w:val="center"/>
          </w:tcPr>
          <w:p>
            <w:pPr>
              <w:pStyle w:val="25"/>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2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1.一般商务指标偏离超过1项（不含1项），则评议不合格。</w:t>
            </w:r>
          </w:p>
          <w:p>
            <w:pPr>
              <w:pStyle w:val="2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5"/>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000000" w:sz="4" w:space="0"/>
              <w:left w:val="single" w:color="000000" w:sz="6" w:space="0"/>
              <w:bottom w:val="single" w:color="auto" w:sz="4" w:space="0"/>
              <w:right w:val="single" w:color="000000"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50"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508"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1" w:type="pct"/>
            <w:tcBorders>
              <w:top w:val="single" w:color="auto" w:sz="4" w:space="0"/>
              <w:left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widowControl/>
              <w:ind w:left="105" w:leftChars="50"/>
              <w:jc w:val="left"/>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14:textFill>
                  <w14:solidFill>
                    <w14:schemeClr w14:val="tx1"/>
                  </w14:solidFill>
                </w14:textFill>
              </w:rPr>
              <w:t>详见“</w:t>
            </w:r>
            <w:r>
              <w:rPr>
                <w:rFonts w:hint="eastAsia" w:ascii="仿宋" w:hAnsi="仿宋" w:eastAsia="仿宋" w:cs="仿宋"/>
                <w:b w:val="0"/>
                <w:bCs w:val="0"/>
                <w:color w:val="000000" w:themeColor="text1"/>
                <w:kern w:val="0"/>
                <w:sz w:val="21"/>
                <w:szCs w:val="21"/>
                <w:highlight w:val="none"/>
                <w14:textFill>
                  <w14:solidFill>
                    <w14:schemeClr w14:val="tx1"/>
                  </w14:solidFill>
                </w14:textFill>
              </w:rPr>
              <w:t>附件2</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14:textFill>
                  <w14:solidFill>
                    <w14:schemeClr w14:val="tx1"/>
                  </w14:solidFill>
                </w14:textFill>
              </w:rPr>
              <w:t>采</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购</w:t>
            </w:r>
            <w:r>
              <w:rPr>
                <w:rFonts w:hint="eastAsia" w:ascii="仿宋" w:hAnsi="仿宋" w:eastAsia="仿宋" w:cs="仿宋"/>
                <w:b w:val="0"/>
                <w:bCs w:val="0"/>
                <w:color w:val="000000" w:themeColor="text1"/>
                <w:kern w:val="0"/>
                <w:sz w:val="21"/>
                <w:szCs w:val="21"/>
                <w:highlight w:val="none"/>
                <w14:textFill>
                  <w14:solidFill>
                    <w14:schemeClr w14:val="tx1"/>
                  </w14:solidFill>
                </w14:textFill>
              </w:rPr>
              <w:t>内容及技术要求</w:t>
            </w:r>
            <w:r>
              <w:rPr>
                <w:rFonts w:hint="eastAsia" w:ascii="仿宋" w:hAnsi="仿宋" w:eastAsia="仿宋" w:cs="仿宋"/>
                <w:bCs w:val="0"/>
                <w:color w:val="000000" w:themeColor="text1"/>
                <w:kern w:val="0"/>
                <w:sz w:val="21"/>
                <w:szCs w:val="21"/>
                <w:highlight w:val="none"/>
                <w:lang w:val="en-US" w:eastAsia="zh-CN"/>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★技术要求-1</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3"/>
              <w:spacing w:line="257" w:lineRule="auto"/>
              <w:ind w:left="0" w:leftChars="0" w:right="122" w:firstLine="0" w:firstLineChars="0"/>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1.</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泵类型、参数（包括泵容量和扬程）应符合数据表的要求</w:t>
            </w:r>
          </w:p>
          <w:p>
            <w:pPr>
              <w:pStyle w:val="3"/>
              <w:spacing w:line="257" w:lineRule="auto"/>
              <w:ind w:left="0" w:leftChars="0" w:right="122" w:firstLine="0" w:firstLineChars="0"/>
              <w:rPr>
                <w:rFonts w:hint="default"/>
                <w:lang w:val="en-US" w:eastAsia="zh-CN"/>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2.需按照本采购技术要求书以及请购单、数据表、P&amp;ID等设计文件中的描述要求，提交详细的供应范围清单。包括每个组件、主要部件、系统、仪表、管道、电气等的名称/位号、数量，并注明可选项目</w:t>
            </w:r>
          </w:p>
        </w:tc>
      </w:tr>
      <w:tr>
        <w:tblPrEx>
          <w:tblCellMar>
            <w:top w:w="0" w:type="dxa"/>
            <w:left w:w="0" w:type="dxa"/>
            <w:bottom w:w="0" w:type="dxa"/>
            <w:right w:w="0" w:type="dxa"/>
          </w:tblCellMar>
        </w:tblPrEx>
        <w:trPr>
          <w:trHeight w:val="3867"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★技术要求-2</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3"/>
              <w:spacing w:line="257" w:lineRule="auto"/>
              <w:ind w:left="0" w:leftChars="0" w:right="122" w:firstLine="0" w:firstLineChars="0"/>
              <w:rPr>
                <w:rFonts w:hint="default" w:ascii="仿宋" w:hAnsi="仿宋" w:eastAsia="仿宋" w:cs="仿宋"/>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3.防爆要求：防爆电气仪表设备应提供防爆产品认证，中国防爆产品CCC认证及船检证，还应满足最新防爆要求。</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厂家提供泵的电机、橇内所有接线箱、电缆填料函</w:t>
            </w: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等</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应满足防爆等级ExdIIBT4的要求</w:t>
            </w: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。单独的防爆件，须提供其单独的船检证书</w:t>
            </w:r>
            <w:r>
              <w:rPr>
                <w:rFonts w:hint="eastAsia" w:ascii="仿宋" w:hAnsi="仿宋" w:eastAsia="仿宋" w:cs="仿宋"/>
                <w:bCs w:val="0"/>
                <w:color w:val="000000" w:themeColor="text1"/>
                <w:kern w:val="0"/>
                <w:sz w:val="21"/>
                <w:szCs w:val="21"/>
                <w:highlight w:val="none"/>
                <w:lang w:val="en-GB" w:eastAsia="zh-CN" w:bidi="ar-SA"/>
                <w14:textFill>
                  <w14:solidFill>
                    <w14:schemeClr w14:val="tx1"/>
                  </w14:solidFill>
                </w14:textFill>
              </w:rPr>
              <w:t>。</w:t>
            </w: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若未通过天化院公司的现场防爆检查，未通过项需无偿提供人工和材料进行整改。</w:t>
            </w:r>
          </w:p>
          <w:p>
            <w:pPr>
              <w:pStyle w:val="26"/>
              <w:numPr>
                <w:ilvl w:val="0"/>
                <w:numId w:val="0"/>
              </w:numP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4.交货时提供设备的整体船检证书及其他必要的证书（例如防爆部件的防爆合格证、CCC认证、船检证书）等。船检认证机构可为中国海洋石油作业安全办公室（COOOSO）认可的以下任何一家CCS、DNV、ABS、BV。如第三方船检证书为CCS，则需取得CCS船级社的海上固定设施产品检验证书（非船用产品证书），船检证书上需标注按照“国家经贸委《海上固定平台安全规则》 2000”标准进行取证并具有图纸批准号。</w:t>
            </w:r>
          </w:p>
        </w:tc>
      </w:tr>
      <w:tr>
        <w:tblPrEx>
          <w:tblCellMar>
            <w:top w:w="0" w:type="dxa"/>
            <w:left w:w="0" w:type="dxa"/>
            <w:bottom w:w="0" w:type="dxa"/>
            <w:right w:w="0" w:type="dxa"/>
          </w:tblCellMar>
        </w:tblPrEx>
        <w:trPr>
          <w:trHeight w:val="440"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right w:val="single" w:color="auto" w:sz="4" w:space="0"/>
            </w:tcBorders>
            <w:vAlign w:val="center"/>
          </w:tcPr>
          <w:p>
            <w:pPr>
              <w:widowControl/>
              <w:ind w:right="11"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★交货地址</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7"/>
              <w:ind w:left="0" w:leftChars="0" w:firstLine="0" w:firstLineChars="0"/>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bidi="ar-SA"/>
                <w14:textFill>
                  <w14:solidFill>
                    <w14:schemeClr w14:val="tx1"/>
                  </w14:solidFill>
                </w14:textFill>
              </w:rPr>
              <w:t>天津滨海新区内塘沽区渤海石油路688号设施中心三号码头料场</w:t>
            </w:r>
          </w:p>
        </w:tc>
      </w:tr>
      <w:tr>
        <w:tblPrEx>
          <w:tblCellMar>
            <w:top w:w="0" w:type="dxa"/>
            <w:left w:w="0" w:type="dxa"/>
            <w:bottom w:w="0" w:type="dxa"/>
            <w:right w:w="0" w:type="dxa"/>
          </w:tblCellMar>
        </w:tblPrEx>
        <w:trPr>
          <w:trHeight w:val="99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26"/>
              <w:rPr>
                <w:rFonts w:hint="default"/>
                <w:lang w:val="en-US"/>
              </w:rPr>
            </w:pPr>
            <w:r>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t>设备质保期</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为海上签署调试报告</w:t>
            </w:r>
            <w:r>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t>之日起12个月</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或陆地到货验收合格之日起18个月</w:t>
            </w:r>
            <w:r>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t>，在质保期内所有产生质量问题的设备或相关附件厂家应免费进行更换或到现场进行维修。</w:t>
            </w:r>
          </w:p>
        </w:tc>
      </w:tr>
      <w:tr>
        <w:tblPrEx>
          <w:tblCellMar>
            <w:top w:w="0" w:type="dxa"/>
            <w:left w:w="0" w:type="dxa"/>
            <w:bottom w:w="0" w:type="dxa"/>
            <w:right w:w="0" w:type="dxa"/>
          </w:tblCellMar>
        </w:tblPrEx>
        <w:trPr>
          <w:trHeight w:val="1179"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技术文件响应要求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4"/>
              <w:pageBreakBefore w:val="0"/>
              <w:kinsoku/>
              <w:wordWrap/>
              <w:overflowPunct/>
              <w:topLinePunct w:val="0"/>
              <w:autoSpaceDE/>
              <w:autoSpaceDN/>
              <w:bidi w:val="0"/>
              <w:adjustRightInd/>
              <w:snapToGrid/>
              <w:spacing w:before="0" w:after="0" w:line="240" w:lineRule="auto"/>
              <w:ind w:firstLine="0"/>
              <w:textAlignment w:val="auto"/>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厂家的技术标书中，需详细介绍内容如下：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公司概况。包括公司员工情况，软、硬件设备介绍。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 w:hAnsi="仿宋" w:eastAsia="仿宋" w:cs="仿宋"/>
                <w:b w:val="0"/>
                <w:bCs w:val="0"/>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主要产品、执行标准和服务对象。包括公司生产产品介绍，涉及的相关行业及对应标准规范</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3"/>
              <w:spacing w:before="0" w:line="240" w:lineRule="auto"/>
              <w:ind w:left="0" w:leftChars="0" w:right="122" w:rightChars="0"/>
              <w:rPr>
                <w:rFonts w:hint="default"/>
                <w:lang w:val="en-US"/>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2025年6月30日前完成交货</w:t>
            </w:r>
          </w:p>
        </w:tc>
      </w:tr>
      <w:tr>
        <w:tblPrEx>
          <w:tblCellMar>
            <w:top w:w="0" w:type="dxa"/>
            <w:left w:w="0" w:type="dxa"/>
            <w:bottom w:w="0" w:type="dxa"/>
            <w:right w:w="0" w:type="dxa"/>
          </w:tblCellMar>
        </w:tblPrEx>
        <w:trPr>
          <w:trHeight w:val="1141"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25"/>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w:t>
            </w:r>
            <w:r>
              <w:rPr>
                <w:rFonts w:hint="eastAsia" w:ascii="仿宋" w:hAnsi="仿宋" w:eastAsia="仿宋" w:cs="仿宋"/>
                <w:color w:val="000000" w:themeColor="text1"/>
                <w:sz w:val="21"/>
                <w:szCs w:val="21"/>
                <w:highlight w:val="none"/>
                <w:lang w:val="en-US" w:eastAsia="zh-CN"/>
                <w14:textFill>
                  <w14:solidFill>
                    <w14:schemeClr w14:val="tx1"/>
                  </w14:solidFill>
                </w14:textFill>
              </w:rPr>
              <w:t>（不含1项）</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5"/>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1"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25"/>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5"/>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8"/>
              <w:ind w:right="11" w:firstLine="42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w:t>
            </w:r>
          </w:p>
        </w:tc>
      </w:tr>
    </w:tbl>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一、</w:t>
      </w:r>
      <w:r>
        <w:rPr>
          <w:rFonts w:hint="eastAsia" w:asciiTheme="minorEastAsia" w:hAnsiTheme="minorEastAsia" w:eastAsiaTheme="minorEastAsia" w:cstheme="minorEastAsia"/>
          <w:sz w:val="21"/>
          <w:szCs w:val="21"/>
        </w:rPr>
        <w:t>项目概况及总体要求</w:t>
      </w:r>
    </w:p>
    <w:p>
      <w:pPr>
        <w:pStyle w:val="3"/>
        <w:pageBreakBefore w:val="0"/>
        <w:widowControl w:val="0"/>
        <w:kinsoku/>
        <w:wordWrap/>
        <w:overflowPunct/>
        <w:topLinePunct w:val="0"/>
        <w:bidi w:val="0"/>
        <w:snapToGrid/>
        <w:spacing w:before="0"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bookmarkStart w:id="0" w:name="_Toc13249325"/>
      <w:bookmarkStart w:id="1" w:name="_Toc13248928"/>
      <w:r>
        <w:rPr>
          <w:rFonts w:hint="eastAsia" w:asciiTheme="minorEastAsia" w:hAnsiTheme="minorEastAsia" w:eastAsiaTheme="minorEastAsia" w:cstheme="minorEastAsia"/>
          <w:sz w:val="21"/>
          <w:szCs w:val="21"/>
          <w:lang w:val="en-US" w:eastAsia="zh-CN"/>
        </w:rPr>
        <w:t>通用项目，符合海上平台等设计要求。</w:t>
      </w:r>
    </w:p>
    <w:p>
      <w:pPr>
        <w:pStyle w:val="3"/>
        <w:pageBreakBefore w:val="0"/>
        <w:widowControl w:val="0"/>
        <w:kinsoku/>
        <w:wordWrap/>
        <w:overflowPunct/>
        <w:topLinePunct w:val="0"/>
        <w:bidi w:val="0"/>
        <w:snapToGrid/>
        <w:spacing w:before="0" w:line="360" w:lineRule="auto"/>
        <w:ind w:left="42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生产厂家应负责泵</w:t>
      </w:r>
      <w:r>
        <w:rPr>
          <w:rFonts w:hint="eastAsia" w:asciiTheme="minorEastAsia" w:hAnsiTheme="minorEastAsia" w:eastAsiaTheme="minorEastAsia" w:cstheme="minorEastAsia"/>
          <w:sz w:val="21"/>
          <w:szCs w:val="21"/>
          <w:lang w:val="pt-BR" w:eastAsia="zh-CN"/>
        </w:rPr>
        <w:t>的设计、</w:t>
      </w:r>
      <w:r>
        <w:rPr>
          <w:rFonts w:hint="eastAsia" w:asciiTheme="minorEastAsia" w:hAnsiTheme="minorEastAsia" w:eastAsiaTheme="minorEastAsia" w:cstheme="minorEastAsia"/>
          <w:sz w:val="21"/>
          <w:szCs w:val="21"/>
          <w:lang w:val="en-US" w:eastAsia="zh-CN"/>
        </w:rPr>
        <w:t>图纸送审报批、</w:t>
      </w:r>
      <w:r>
        <w:rPr>
          <w:rFonts w:hint="eastAsia" w:asciiTheme="minorEastAsia" w:hAnsiTheme="minorEastAsia" w:eastAsiaTheme="minorEastAsia" w:cstheme="minorEastAsia"/>
          <w:sz w:val="21"/>
          <w:szCs w:val="21"/>
          <w:lang w:val="pt-BR" w:eastAsia="zh-CN"/>
        </w:rPr>
        <w:t>材料、制造、供应、</w:t>
      </w:r>
      <w:r>
        <w:rPr>
          <w:rFonts w:hint="eastAsia" w:asciiTheme="minorEastAsia" w:hAnsiTheme="minorEastAsia" w:eastAsiaTheme="minorEastAsia" w:cstheme="minorEastAsia"/>
          <w:sz w:val="21"/>
          <w:szCs w:val="21"/>
          <w:lang w:val="en-US" w:eastAsia="zh-CN"/>
        </w:rPr>
        <w:t>成撬、</w:t>
      </w:r>
      <w:r>
        <w:rPr>
          <w:rFonts w:hint="eastAsia" w:asciiTheme="minorEastAsia" w:hAnsiTheme="minorEastAsia" w:eastAsiaTheme="minorEastAsia" w:cstheme="minorEastAsia"/>
          <w:sz w:val="21"/>
          <w:szCs w:val="21"/>
          <w:lang w:val="pt-BR" w:eastAsia="zh-CN"/>
        </w:rPr>
        <w:t>检验、测试和装运准备的技术要求。</w:t>
      </w: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二、需求一览表</w:t>
      </w:r>
      <w:bookmarkEnd w:id="0"/>
      <w:bookmarkEnd w:id="1"/>
    </w:p>
    <w:p>
      <w:pPr>
        <w:pStyle w:val="27"/>
        <w:pageBreakBefore w:val="0"/>
        <w:widowControl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应包括但不限于以下内容：</w:t>
      </w:r>
    </w:p>
    <w:tbl>
      <w:tblPr>
        <w:tblStyle w:val="21"/>
        <w:tblW w:w="907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2"/>
        <w:gridCol w:w="1133"/>
        <w:gridCol w:w="2417"/>
        <w:gridCol w:w="765"/>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36"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序号</w:t>
            </w:r>
          </w:p>
        </w:tc>
        <w:tc>
          <w:tcPr>
            <w:tcW w:w="2195" w:type="dxa"/>
            <w:gridSpan w:val="2"/>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名称</w:t>
            </w:r>
          </w:p>
        </w:tc>
        <w:tc>
          <w:tcPr>
            <w:tcW w:w="2417"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参数及要求</w:t>
            </w:r>
          </w:p>
        </w:tc>
        <w:tc>
          <w:tcPr>
            <w:tcW w:w="765"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数量</w:t>
            </w:r>
          </w:p>
        </w:tc>
        <w:tc>
          <w:tcPr>
            <w:tcW w:w="3059" w:type="dxa"/>
            <w:vAlign w:val="center"/>
          </w:tcPr>
          <w:p>
            <w:pPr>
              <w:pStyle w:val="5"/>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textAlignment w:val="auto"/>
              <w:rPr>
                <w:rFonts w:hint="eastAsia" w:asciiTheme="minorEastAsia" w:hAnsiTheme="minorEastAsia" w:eastAsiaTheme="minorEastAsia" w:cstheme="minorEastAsia"/>
                <w:color w:val="auto"/>
                <w:spacing w:val="0"/>
                <w:sz w:val="21"/>
                <w:szCs w:val="21"/>
                <w:lang w:val="en-US" w:eastAsia="zh-CN" w:bidi="ar-SA"/>
              </w:rPr>
            </w:pPr>
            <w:r>
              <w:rPr>
                <w:rFonts w:hint="eastAsia" w:asciiTheme="minorEastAsia" w:hAnsiTheme="minorEastAsia" w:eastAsiaTheme="minorEastAsia" w:cstheme="minorEastAsia"/>
                <w:color w:val="auto"/>
                <w:spacing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w:t>
            </w:r>
          </w:p>
        </w:tc>
        <w:tc>
          <w:tcPr>
            <w:tcW w:w="2195" w:type="dxa"/>
            <w:gridSpan w:val="2"/>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设备及附件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765"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3059" w:type="dxa"/>
            <w:vAlign w:val="center"/>
          </w:tcPr>
          <w:p>
            <w:pPr>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w:t>
            </w:r>
          </w:p>
        </w:tc>
        <w:tc>
          <w:tcPr>
            <w:tcW w:w="1062" w:type="dxa"/>
            <w:vAlign w:val="center"/>
          </w:tcPr>
          <w:p>
            <w:pPr>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84817625</w:t>
            </w:r>
          </w:p>
        </w:tc>
        <w:tc>
          <w:tcPr>
            <w:tcW w:w="1133"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柴油输送泵</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柴油输送泵\15m3/h</w:t>
            </w:r>
          </w:p>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\0.6MPa\7.5KW\API676\EXdIIBT4</w:t>
            </w:r>
          </w:p>
        </w:tc>
        <w:tc>
          <w:tcPr>
            <w:tcW w:w="765"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3059" w:type="dxa"/>
            <w:vAlign w:val="center"/>
          </w:tcPr>
          <w:p>
            <w:pPr>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WHPH-P-3201A/B</w:t>
            </w:r>
          </w:p>
          <w:p>
            <w:pPr>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齿轮泵，成撬。厂</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家人员出海，安装调试服务。取船检证、防爆证书等等。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bookmarkStart w:id="2" w:name="_Toc13249326"/>
            <w:bookmarkStart w:id="3" w:name="_Toc13248929"/>
            <w:r>
              <w:rPr>
                <w:rFonts w:hint="eastAsia" w:asciiTheme="minorEastAsia" w:hAnsiTheme="minorEastAsia" w:eastAsiaTheme="minorEastAsia" w:cstheme="minorEastAsia"/>
                <w:b w:val="0"/>
                <w:bCs w:val="0"/>
                <w:color w:val="auto"/>
                <w:sz w:val="21"/>
                <w:szCs w:val="21"/>
                <w:lang w:val="en-US" w:eastAsia="zh-CN"/>
              </w:rPr>
              <w:t>二</w:t>
            </w:r>
          </w:p>
        </w:tc>
        <w:tc>
          <w:tcPr>
            <w:tcW w:w="2195" w:type="dxa"/>
            <w:gridSpan w:val="2"/>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备品备件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765"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3059" w:type="dxa"/>
            <w:vAlign w:val="center"/>
          </w:tcPr>
          <w:p>
            <w:pPr>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投标方应提供详细供货清单</w:t>
            </w:r>
            <w:r>
              <w:rPr>
                <w:rFonts w:hint="eastAsia" w:asciiTheme="minorEastAsia" w:hAnsiTheme="minorEastAsia" w:eastAsiaTheme="minorEastAsia" w:cstheme="minorEastAsia"/>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启动调试备件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059" w:type="dxa"/>
            <w:vAlign w:val="center"/>
          </w:tcPr>
          <w:p>
            <w:pPr>
              <w:pStyle w:val="47"/>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每台泵</w:t>
            </w:r>
            <w:r>
              <w:rPr>
                <w:rFonts w:hint="eastAsia" w:asciiTheme="minorEastAsia" w:hAnsiTheme="minorEastAsia" w:eastAsiaTheme="minorEastAsia" w:cstheme="minorEastAsia"/>
                <w:color w:val="auto"/>
                <w:sz w:val="21"/>
                <w:szCs w:val="21"/>
                <w:highlight w:val="none"/>
                <w:lang w:val="en-US" w:eastAsia="zh-CN"/>
              </w:rPr>
              <w:t>撬</w:t>
            </w:r>
            <w:r>
              <w:rPr>
                <w:rFonts w:hint="eastAsia" w:asciiTheme="minorEastAsia" w:hAnsiTheme="minorEastAsia" w:eastAsiaTheme="minorEastAsia" w:cstheme="minorEastAsia"/>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一年操作备件</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每台泵</w:t>
            </w:r>
            <w:r>
              <w:rPr>
                <w:rFonts w:hint="eastAsia" w:asciiTheme="minorEastAsia" w:hAnsiTheme="minorEastAsia" w:eastAsiaTheme="minorEastAsia" w:cstheme="minorEastAsia"/>
                <w:color w:val="auto"/>
                <w:sz w:val="21"/>
                <w:szCs w:val="21"/>
                <w:highlight w:val="none"/>
                <w:lang w:val="en-US" w:eastAsia="zh-CN"/>
              </w:rPr>
              <w:t>撬</w:t>
            </w:r>
            <w:r>
              <w:rPr>
                <w:rFonts w:hint="eastAsia" w:asciiTheme="minorEastAsia" w:hAnsiTheme="minorEastAsia" w:eastAsiaTheme="minorEastAsia" w:cstheme="minorEastAsia"/>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安装及维修专用工具</w:t>
            </w:r>
          </w:p>
        </w:tc>
        <w:tc>
          <w:tcPr>
            <w:tcW w:w="2417" w:type="dxa"/>
            <w:vAlign w:val="center"/>
          </w:tcPr>
          <w:p>
            <w:pPr>
              <w:pStyle w:val="3"/>
              <w:keepNext w:val="0"/>
              <w:keepLines w:val="0"/>
              <w:pageBreakBefore w:val="0"/>
              <w:widowControl w:val="0"/>
              <w:kinsoku/>
              <w:wordWrap/>
              <w:overflowPunct/>
              <w:autoSpaceDE/>
              <w:autoSpaceDN/>
              <w:bidi w:val="0"/>
              <w:adjustRightInd w:val="0"/>
              <w:snapToGrid w:val="0"/>
              <w:spacing w:before="0"/>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每个平台1套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pStyle w:val="47"/>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三</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产品设计</w:t>
            </w:r>
          </w:p>
        </w:tc>
        <w:tc>
          <w:tcPr>
            <w:tcW w:w="2417" w:type="dxa"/>
            <w:vAlign w:val="center"/>
          </w:tcPr>
          <w:p>
            <w:pPr>
              <w:pStyle w:val="47"/>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四</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第三方</w:t>
            </w:r>
            <w:r>
              <w:rPr>
                <w:rFonts w:hint="eastAsia" w:asciiTheme="minorEastAsia" w:hAnsiTheme="minorEastAsia" w:eastAsiaTheme="minorEastAsia" w:cstheme="minorEastAsia"/>
                <w:color w:val="auto"/>
                <w:sz w:val="21"/>
                <w:szCs w:val="21"/>
              </w:rPr>
              <w:t>取证</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整体船检证书。</w:t>
            </w:r>
            <w:r>
              <w:rPr>
                <w:rFonts w:hint="eastAsia" w:asciiTheme="minorEastAsia" w:hAnsiTheme="minorEastAsia" w:eastAsiaTheme="minorEastAsia" w:cstheme="minorEastAsia"/>
                <w:color w:val="auto"/>
                <w:sz w:val="21"/>
                <w:szCs w:val="21"/>
                <w:lang w:val="en-US" w:eastAsia="zh-CN"/>
              </w:rPr>
              <w:t>电气设备的防爆合格证、CCC认证、船检证书（撬内防爆设备单独取船检证）。</w:t>
            </w:r>
          </w:p>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其</w:t>
            </w:r>
            <w:r>
              <w:rPr>
                <w:rFonts w:hint="eastAsia" w:asciiTheme="minorEastAsia" w:hAnsiTheme="minorEastAsia" w:eastAsiaTheme="minorEastAsia" w:cstheme="minorEastAsia"/>
                <w:color w:val="auto"/>
                <w:sz w:val="21"/>
                <w:szCs w:val="21"/>
                <w:lang w:eastAsia="zh-CN"/>
              </w:rPr>
              <w:t>他必要的证书、</w:t>
            </w:r>
            <w:r>
              <w:rPr>
                <w:rFonts w:hint="eastAsia" w:asciiTheme="minorEastAsia" w:hAnsiTheme="minorEastAsia" w:eastAsiaTheme="minorEastAsia" w:cstheme="minorEastAsia"/>
                <w:color w:val="auto"/>
                <w:sz w:val="21"/>
                <w:szCs w:val="21"/>
                <w:lang w:val="en-US" w:eastAsia="zh-CN"/>
              </w:rPr>
              <w:t>文件</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lang w:val="en-US" w:eastAsia="zh-CN"/>
              </w:rPr>
              <w:t>详见下文“四 技术要求”）</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认证机构可为中国海洋石油作业安全办公室（COOOSO）认可的以下任何一家CCS、DNV、ABS、BV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五</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运输</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产品运输至招标方指定地点（天津滨海新区内塘沽区渤海石油路688号设施中心三号码头料场）</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交货期：202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eastAsia="zh-CN"/>
              </w:rPr>
              <w:t>日</w:t>
            </w:r>
            <w:r>
              <w:rPr>
                <w:rFonts w:hint="eastAsia" w:asciiTheme="minorEastAsia" w:hAnsiTheme="minorEastAsia" w:eastAsiaTheme="minorEastAsia" w:cstheme="minorEastAsia"/>
                <w:color w:val="auto"/>
                <w:sz w:val="21"/>
                <w:szCs w:val="21"/>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六</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售后服务</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厂家人员</w:t>
            </w:r>
            <w:r>
              <w:rPr>
                <w:rFonts w:hint="eastAsia" w:asciiTheme="minorEastAsia" w:hAnsiTheme="minorEastAsia" w:eastAsiaTheme="minorEastAsia" w:cstheme="minorEastAsia"/>
                <w:color w:val="auto"/>
                <w:sz w:val="21"/>
                <w:szCs w:val="21"/>
                <w:lang w:val="en-US" w:eastAsia="zh-CN"/>
              </w:rPr>
              <w:t>出海，</w:t>
            </w:r>
            <w:r>
              <w:rPr>
                <w:rFonts w:hint="eastAsia" w:asciiTheme="minorEastAsia" w:hAnsiTheme="minorEastAsia" w:eastAsiaTheme="minorEastAsia" w:cstheme="minorEastAsia"/>
                <w:color w:val="auto"/>
                <w:sz w:val="21"/>
                <w:szCs w:val="21"/>
                <w:lang w:eastAsia="zh-CN"/>
              </w:rPr>
              <w:t>海上现场安装调试服务。</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6" w:type="dxa"/>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七</w:t>
            </w:r>
          </w:p>
        </w:tc>
        <w:tc>
          <w:tcPr>
            <w:tcW w:w="2195" w:type="dxa"/>
            <w:gridSpan w:val="2"/>
            <w:vAlign w:val="center"/>
          </w:tcPr>
          <w:p>
            <w:pPr>
              <w:keepNext w:val="0"/>
              <w:keepLines w:val="0"/>
              <w:pageBreakBefore w:val="0"/>
              <w:widowControl w:val="0"/>
              <w:kinsoku/>
              <w:wordWrap/>
              <w:overflowPunct/>
              <w:topLinePunct/>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完工文件</w:t>
            </w:r>
          </w:p>
        </w:tc>
        <w:tc>
          <w:tcPr>
            <w:tcW w:w="2417"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eastAsia="zh-CN"/>
              </w:rPr>
              <w:t>包含加工设计文件、建造完工文件等</w:t>
            </w:r>
          </w:p>
        </w:tc>
        <w:tc>
          <w:tcPr>
            <w:tcW w:w="765" w:type="dxa"/>
            <w:vAlign w:val="center"/>
          </w:tcPr>
          <w:p>
            <w:pPr>
              <w:keepNext w:val="0"/>
              <w:keepLines w:val="0"/>
              <w:pageBreakBefore w:val="0"/>
              <w:widowControl w:val="0"/>
              <w:kinsoku/>
              <w:wordWrap/>
              <w:overflowPunct/>
              <w:topLine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套</w:t>
            </w:r>
          </w:p>
        </w:tc>
        <w:tc>
          <w:tcPr>
            <w:tcW w:w="3059" w:type="dxa"/>
            <w:vAlign w:val="center"/>
          </w:tcPr>
          <w:p>
            <w:pPr>
              <w:pStyle w:val="47"/>
              <w:keepNext w:val="0"/>
              <w:keepLines w:val="0"/>
              <w:pageBreakBefore w:val="0"/>
              <w:widowControl w:val="0"/>
              <w:kinsoku/>
              <w:wordWrap/>
              <w:overflowPunct/>
              <w:autoSpaceDE/>
              <w:autoSpaceDN/>
              <w:bidi w:val="0"/>
              <w:adjustRightInd w:val="0"/>
              <w:snapToGrid w:val="0"/>
              <w:jc w:val="left"/>
              <w:textAlignment w:val="auto"/>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1套电子版、6套纸板（1正5副）</w:t>
            </w:r>
          </w:p>
        </w:tc>
      </w:tr>
    </w:tbl>
    <w:p>
      <w:pPr>
        <w:pStyle w:val="3"/>
        <w:pageBreakBefore w:val="0"/>
        <w:widowControl w:val="0"/>
        <w:kinsoku/>
        <w:wordWrap/>
        <w:overflowPunct/>
        <w:topLinePunct w:val="0"/>
        <w:autoSpaceDE/>
        <w:autoSpaceDN/>
        <w:bidi w:val="0"/>
        <w:adjustRightInd w:val="0"/>
        <w:snapToGrid w:val="0"/>
        <w:spacing w:before="0" w:line="360" w:lineRule="auto"/>
        <w:ind w:left="221" w:right="125" w:firstLine="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注：1、成撬第三方取证机构若为中国船级社，应提供海上固定设施产品检验证书。</w:t>
      </w: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三、设计/使用条件</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设计要求：</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使用寿命25年</w:t>
      </w:r>
      <w:r>
        <w:rPr>
          <w:rFonts w:hint="eastAsia" w:asciiTheme="minorEastAsia" w:hAnsiTheme="minorEastAsia" w:eastAsiaTheme="minorEastAsia" w:cstheme="minorEastAsia"/>
          <w:sz w:val="21"/>
          <w:szCs w:val="21"/>
          <w:lang w:val="en-US" w:eastAsia="zh-CN"/>
        </w:rPr>
        <w:t>。</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到货地点</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天津滨海新区内塘沽区渤海石油路688号设施中心三号码头料场</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作业环境要求</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气温：-17.2℃-36℃；</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相对湿度：24%-100%；</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风速(3秒阵风):36.1m/s(回复期100年)；</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海洋高盐雾环境</w:t>
      </w:r>
    </w:p>
    <w:p>
      <w:pPr>
        <w:pStyle w:val="3"/>
        <w:pageBreakBefore w:val="0"/>
        <w:widowControl w:val="0"/>
        <w:kinsoku/>
        <w:wordWrap/>
        <w:overflowPunct/>
        <w:topLinePunct w:val="0"/>
        <w:autoSpaceDE/>
        <w:autoSpaceDN/>
        <w:bidi w:val="0"/>
        <w:spacing w:before="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其他详尽要求详见组标文件包</w:t>
      </w:r>
    </w:p>
    <w:p>
      <w:pPr>
        <w:pStyle w:val="5"/>
        <w:pageBreakBefore w:val="0"/>
        <w:widowControl w:val="0"/>
        <w:numPr>
          <w:ilvl w:val="0"/>
          <w:numId w:val="3"/>
        </w:numPr>
        <w:kinsoku/>
        <w:wordWrap/>
        <w:overflowPunct/>
        <w:topLinePunct w:val="0"/>
        <w:autoSpaceDE/>
        <w:autoSpaceDN/>
        <w:bidi w:val="0"/>
        <w:spacing w:before="0" w:beforeLines="0" w:after="0" w:afterLines="0"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设备满足以下标准并按合同签订之日的最新版本执行</w:t>
      </w:r>
    </w:p>
    <w:tbl>
      <w:tblPr>
        <w:tblStyle w:val="20"/>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标准代号</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标准书名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 xml:space="preserve">API </w:t>
            </w:r>
            <w:r>
              <w:rPr>
                <w:rFonts w:hint="eastAsia" w:asciiTheme="minorEastAsia" w:hAnsiTheme="minorEastAsia" w:eastAsiaTheme="minorEastAsia" w:cstheme="minorEastAsia"/>
                <w:sz w:val="21"/>
                <w:szCs w:val="21"/>
                <w:highlight w:val="none"/>
                <w:lang w:val="en-US" w:eastAsia="zh-CN"/>
              </w:rPr>
              <w:t>676</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回转式容积泵</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API682</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《机械密封冲洗系统》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JB/T8097</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《泵的振动测定与评价方法》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JB/T8098</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《泵的噪声与测定评价方法》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ASME B16.5</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《管法兰及法兰附件》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ASME B31.3</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《工艺管道规范》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GB755-2008</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《旋转电机定额和性能》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GB/T1993-1993</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GB4942.1-2006</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《旋转电机整体结构的防护等级（IP代码）》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GB10068.1-2</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《旋转电机振动测量方法及限值》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GB10068.1-3</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《旋转电机噪音测量方法及限值》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3836.1-2000</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《爆炸性环境用防爆电气设备通用要求》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3836.2-2000</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《爆炸性气体环境用电气设备第2 部分：隔爆型“d”》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IEC</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国际电气技术委员会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IEEE</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电气和电子工程师学会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NFPA 70</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全国电气代码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SETC</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国家经贸委国家经济贸易委员会,PRC–海上固定平台安全规则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ISO</w:t>
            </w:r>
          </w:p>
        </w:tc>
        <w:tc>
          <w:tcPr>
            <w:tcW w:w="55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国际标准化组织- ISO9001</w:t>
            </w:r>
          </w:p>
        </w:tc>
      </w:tr>
    </w:tbl>
    <w:p>
      <w:pPr>
        <w:rPr>
          <w:rFonts w:hint="default"/>
          <w:lang w:val="en-US" w:eastAsia="zh-CN"/>
        </w:rPr>
      </w:pPr>
    </w:p>
    <w:p>
      <w:pPr>
        <w:pStyle w:val="4"/>
        <w:pageBreakBefore w:val="0"/>
        <w:widowControl w:val="0"/>
        <w:kinsoku/>
        <w:wordWrap/>
        <w:overflowPunct/>
        <w:topLinePunct w:val="0"/>
        <w:bidi w:val="0"/>
        <w:snapToGrid/>
        <w:spacing w:before="0" w:after="0"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四、技术要求</w:t>
      </w:r>
    </w:p>
    <w:p>
      <w:pPr>
        <w:pStyle w:val="3"/>
        <w:pageBreakBefore w:val="0"/>
        <w:kinsoku/>
        <w:wordWrap/>
        <w:overflowPunct/>
        <w:topLinePunct w:val="0"/>
        <w:autoSpaceDE/>
        <w:autoSpaceDN/>
        <w:bidi w:val="0"/>
        <w:snapToGrid/>
        <w:spacing w:before="0" w:line="360" w:lineRule="auto"/>
        <w:ind w:left="0" w:leftChars="0" w:right="122"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技术参数、</w:t>
      </w:r>
      <w:r>
        <w:rPr>
          <w:rFonts w:hint="eastAsia" w:asciiTheme="minorEastAsia" w:hAnsiTheme="minorEastAsia" w:eastAsiaTheme="minorEastAsia" w:cstheme="minorEastAsia"/>
          <w:b/>
          <w:bCs/>
          <w:sz w:val="21"/>
          <w:szCs w:val="21"/>
          <w:lang w:val="en-US" w:eastAsia="zh-CN"/>
        </w:rPr>
        <w:t>标准规范、泵组成内容和范围等，</w:t>
      </w:r>
      <w:r>
        <w:rPr>
          <w:rFonts w:hint="eastAsia" w:asciiTheme="minorEastAsia" w:hAnsiTheme="minorEastAsia" w:eastAsiaTheme="minorEastAsia" w:cstheme="minorEastAsia"/>
          <w:b/>
          <w:bCs/>
          <w:sz w:val="21"/>
          <w:szCs w:val="21"/>
          <w:lang w:eastAsia="zh-CN"/>
        </w:rPr>
        <w:t>详见</w:t>
      </w:r>
      <w:r>
        <w:rPr>
          <w:rFonts w:hint="eastAsia" w:asciiTheme="minorEastAsia" w:hAnsiTheme="minorEastAsia" w:eastAsiaTheme="minorEastAsia" w:cstheme="minorEastAsia"/>
          <w:b/>
          <w:bCs/>
          <w:sz w:val="21"/>
          <w:szCs w:val="21"/>
          <w:lang w:val="en-US" w:eastAsia="zh-CN"/>
        </w:rPr>
        <w:t>组标文件包</w:t>
      </w:r>
      <w:r>
        <w:rPr>
          <w:rFonts w:hint="eastAsia" w:asciiTheme="minorEastAsia" w:hAnsiTheme="minorEastAsia" w:eastAsiaTheme="minorEastAsia" w:cstheme="minorEastAsia"/>
          <w:b/>
          <w:bCs/>
          <w:sz w:val="21"/>
          <w:szCs w:val="21"/>
          <w:lang w:eastAsia="zh-CN"/>
        </w:rPr>
        <w:t>。</w:t>
      </w:r>
    </w:p>
    <w:p>
      <w:pPr>
        <w:pageBreakBefore w:val="0"/>
        <w:numPr>
          <w:ilvl w:val="0"/>
          <w:numId w:val="0"/>
        </w:numPr>
        <w:kinsoku/>
        <w:wordWrap/>
        <w:overflowPunct/>
        <w:topLinePunct w:val="0"/>
        <w:autoSpaceDE/>
        <w:autoSpaceDN/>
        <w:bidi w:val="0"/>
        <w:adjustRightInd w:val="0"/>
        <w:snapToGrid/>
        <w:spacing w:line="360" w:lineRule="auto"/>
        <w:ind w:leftChars="0"/>
        <w:textAlignment w:val="baseline"/>
        <w:rPr>
          <w:rFonts w:hint="eastAsia" w:asciiTheme="minorEastAsia" w:hAnsiTheme="minorEastAsia" w:eastAsiaTheme="minorEastAsia" w:cstheme="minorEastAsia"/>
          <w:b/>
          <w:bCs/>
          <w:sz w:val="21"/>
          <w:szCs w:val="21"/>
          <w:lang w:val="en-GB" w:eastAsia="zh-CN"/>
        </w:rPr>
      </w:pPr>
      <w:r>
        <w:rPr>
          <w:rFonts w:hint="eastAsia" w:asciiTheme="minorEastAsia" w:hAnsiTheme="minorEastAsia" w:eastAsiaTheme="minorEastAsia" w:cstheme="minorEastAsia"/>
          <w:b/>
          <w:bCs/>
          <w:sz w:val="21"/>
          <w:szCs w:val="21"/>
          <w:lang w:val="en-GB" w:eastAsia="zh-CN"/>
        </w:rPr>
        <w:t>请购单中的“2.2供货范围”中，提出的相关要求，重点提示：</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泵总成（包括所有辅助管道、配件和阀门、润滑油系统等的机械密封）。每套应包括但不限于以下内容：泵组件、适用于区域分类的电动机、辅助配件不带火花保护装置的联轴器，适用于运行电机和服务要求（黄铜或同等材料，不允许使用铝）、带指示灯和电缆压盖的按钮盒、公共底座（带接地凸台、吊耳和滴水盘）、绝缘和电伴热（包括加热电缆，电源接线盒等，并提供计算报告，材料清单，图纸等）、所有必要的互连管道仪器和阀门。</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US" w:eastAsia="zh-CN"/>
        </w:rPr>
        <w:t>所有买方连接的所有ASME B16.5对接法兰和（200%）相关垫圈、螺栓、螺母和垫圈，</w:t>
      </w:r>
      <w:r>
        <w:rPr>
          <w:rFonts w:hint="eastAsia" w:asciiTheme="minorEastAsia" w:hAnsiTheme="minorEastAsia" w:eastAsiaTheme="minorEastAsia" w:cstheme="minorEastAsia"/>
          <w:sz w:val="21"/>
          <w:szCs w:val="21"/>
          <w:lang w:val="en-GB" w:eastAsia="zh-CN"/>
        </w:rPr>
        <w:t>20%的</w:t>
      </w:r>
      <w:r>
        <w:rPr>
          <w:rFonts w:hint="eastAsia" w:asciiTheme="minorEastAsia" w:hAnsiTheme="minorEastAsia" w:eastAsiaTheme="minorEastAsia" w:cstheme="minorEastAsia"/>
          <w:sz w:val="21"/>
          <w:szCs w:val="21"/>
          <w:lang w:val="en-US" w:eastAsia="zh-CN"/>
        </w:rPr>
        <w:t>密封垫备</w:t>
      </w:r>
      <w:r>
        <w:rPr>
          <w:rFonts w:hint="eastAsia" w:asciiTheme="minorEastAsia" w:hAnsiTheme="minorEastAsia" w:eastAsiaTheme="minorEastAsia" w:cstheme="minorEastAsia"/>
          <w:sz w:val="21"/>
          <w:szCs w:val="21"/>
          <w:lang w:val="en-GB" w:eastAsia="zh-CN"/>
        </w:rPr>
        <w:t>用(不少于一</w:t>
      </w:r>
      <w:r>
        <w:rPr>
          <w:rFonts w:hint="eastAsia" w:asciiTheme="minorEastAsia" w:hAnsiTheme="minorEastAsia" w:eastAsiaTheme="minorEastAsia" w:cstheme="minorEastAsia"/>
          <w:sz w:val="21"/>
          <w:szCs w:val="21"/>
          <w:lang w:val="en-US" w:eastAsia="zh-CN"/>
        </w:rPr>
        <w:t>组</w:t>
      </w:r>
      <w:r>
        <w:rPr>
          <w:rFonts w:hint="eastAsia" w:asciiTheme="minorEastAsia" w:hAnsiTheme="minorEastAsia" w:eastAsiaTheme="minorEastAsia" w:cstheme="minorEastAsia"/>
          <w:sz w:val="21"/>
          <w:szCs w:val="21"/>
          <w:lang w:val="en-GB" w:eastAsia="zh-CN"/>
        </w:rPr>
        <w:t>)。所有</w:t>
      </w:r>
      <w:r>
        <w:rPr>
          <w:rFonts w:hint="eastAsia" w:asciiTheme="minorEastAsia" w:hAnsiTheme="minorEastAsia" w:eastAsiaTheme="minorEastAsia" w:cstheme="minorEastAsia"/>
          <w:sz w:val="21"/>
          <w:szCs w:val="21"/>
          <w:lang w:val="en-US" w:eastAsia="zh-CN"/>
        </w:rPr>
        <w:t>泵</w:t>
      </w:r>
      <w:r>
        <w:rPr>
          <w:rFonts w:hint="eastAsia" w:asciiTheme="minorEastAsia" w:hAnsiTheme="minorEastAsia" w:eastAsiaTheme="minorEastAsia" w:cstheme="minorEastAsia"/>
          <w:sz w:val="21"/>
          <w:szCs w:val="21"/>
          <w:lang w:val="en-GB" w:eastAsia="zh-CN"/>
        </w:rPr>
        <w:t>外连接的电缆</w:t>
      </w:r>
      <w:r>
        <w:rPr>
          <w:rFonts w:hint="eastAsia" w:asciiTheme="minorEastAsia" w:hAnsiTheme="minorEastAsia" w:eastAsiaTheme="minorEastAsia" w:cstheme="minorEastAsia"/>
          <w:sz w:val="21"/>
          <w:szCs w:val="21"/>
          <w:lang w:val="en-US" w:eastAsia="zh-CN"/>
        </w:rPr>
        <w:t>接头，</w:t>
      </w:r>
      <w:r>
        <w:rPr>
          <w:rFonts w:hint="eastAsia" w:asciiTheme="minorEastAsia" w:hAnsiTheme="minorEastAsia" w:eastAsiaTheme="minorEastAsia" w:cstheme="minorEastAsia"/>
          <w:sz w:val="21"/>
          <w:szCs w:val="21"/>
          <w:lang w:val="en-GB" w:eastAsia="zh-CN"/>
        </w:rPr>
        <w:t>泵内所有必要的连接电线。</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US" w:eastAsia="zh-CN"/>
        </w:rPr>
        <w:t>所有必要的启动和试运行备件，试运行期间使用的所有耗材的首次填充量（指定名称、等级或类型以及所需数量等），如润滑油、密封油等，应单独提供。</w:t>
      </w:r>
      <w:r>
        <w:rPr>
          <w:rFonts w:hint="eastAsia" w:asciiTheme="minorEastAsia" w:hAnsiTheme="minorEastAsia" w:eastAsiaTheme="minorEastAsia" w:cstheme="minorEastAsia"/>
          <w:sz w:val="21"/>
          <w:szCs w:val="21"/>
          <w:lang w:val="en-GB" w:eastAsia="zh-CN"/>
        </w:rPr>
        <w:t>所有必要的维护和操作</w:t>
      </w:r>
      <w:r>
        <w:rPr>
          <w:rFonts w:hint="eastAsia" w:asciiTheme="minorEastAsia" w:hAnsiTheme="minorEastAsia" w:eastAsiaTheme="minorEastAsia" w:cstheme="minorEastAsia"/>
          <w:sz w:val="21"/>
          <w:szCs w:val="21"/>
          <w:lang w:val="en-US" w:eastAsia="zh-CN"/>
        </w:rPr>
        <w:t>所需的</w:t>
      </w:r>
      <w:r>
        <w:rPr>
          <w:rFonts w:hint="eastAsia" w:asciiTheme="minorEastAsia" w:hAnsiTheme="minorEastAsia" w:eastAsiaTheme="minorEastAsia" w:cstheme="minorEastAsia"/>
          <w:sz w:val="21"/>
          <w:szCs w:val="21"/>
          <w:lang w:val="en-GB" w:eastAsia="zh-CN"/>
        </w:rPr>
        <w:t>专用工具</w:t>
      </w:r>
      <w:r>
        <w:rPr>
          <w:rFonts w:hint="eastAsia" w:asciiTheme="minorEastAsia" w:hAnsiTheme="minorEastAsia" w:eastAsiaTheme="minorEastAsia" w:cstheme="minorEastAsia"/>
          <w:sz w:val="21"/>
          <w:szCs w:val="21"/>
          <w:lang w:val="en-US" w:eastAsia="zh-CN"/>
        </w:rPr>
        <w:t>和一年运行备件</w:t>
      </w:r>
      <w:r>
        <w:rPr>
          <w:rFonts w:hint="eastAsia" w:asciiTheme="minorEastAsia" w:hAnsiTheme="minorEastAsia" w:eastAsiaTheme="minorEastAsia" w:cstheme="minorEastAsia"/>
          <w:sz w:val="21"/>
          <w:szCs w:val="21"/>
          <w:lang w:val="en-GB" w:eastAsia="zh-CN"/>
        </w:rPr>
        <w:t>。</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US" w:eastAsia="zh-CN"/>
        </w:rPr>
        <w:t>防爆设备</w:t>
      </w:r>
      <w:r>
        <w:rPr>
          <w:rFonts w:hint="eastAsia" w:asciiTheme="minorEastAsia" w:hAnsiTheme="minorEastAsia" w:eastAsiaTheme="minorEastAsia" w:cstheme="minorEastAsia"/>
          <w:sz w:val="21"/>
          <w:szCs w:val="21"/>
          <w:lang w:val="en-GB" w:eastAsia="zh-CN"/>
        </w:rPr>
        <w:t>的CCC认证符合CNCA-C23-01:2019。</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电机应符合GB18613-2020的2级或2级以上</w:t>
      </w:r>
      <w:r>
        <w:rPr>
          <w:rFonts w:hint="eastAsia" w:asciiTheme="minorEastAsia" w:hAnsiTheme="minorEastAsia" w:eastAsiaTheme="minorEastAsia" w:cstheme="minorEastAsia"/>
          <w:sz w:val="21"/>
          <w:szCs w:val="21"/>
          <w:lang w:val="en-US" w:eastAsia="zh-CN"/>
        </w:rPr>
        <w:t>能效</w:t>
      </w:r>
      <w:r>
        <w:rPr>
          <w:rFonts w:hint="eastAsia" w:asciiTheme="minorEastAsia" w:hAnsiTheme="minorEastAsia" w:eastAsiaTheme="minorEastAsia" w:cstheme="minorEastAsia"/>
          <w:sz w:val="21"/>
          <w:szCs w:val="21"/>
          <w:lang w:val="en-GB" w:eastAsia="zh-CN"/>
        </w:rPr>
        <w:t>。</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售后服务包括安装指导和现场调试。</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3D 模型</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GB" w:eastAsia="zh-CN"/>
        </w:rPr>
      </w:pPr>
      <w:r>
        <w:rPr>
          <w:rFonts w:hint="eastAsia" w:asciiTheme="minorEastAsia" w:hAnsiTheme="minorEastAsia" w:eastAsiaTheme="minorEastAsia" w:cstheme="minorEastAsia"/>
          <w:sz w:val="21"/>
          <w:szCs w:val="21"/>
          <w:lang w:val="en-GB" w:eastAsia="zh-CN"/>
        </w:rPr>
        <w:t>本申请表所要求的所有文件，详细说明、数据表、性能曲线、操作和维护手册、安装要求、检验和测试报告、仪器校准证书、认证机构批准的证书等。</w:t>
      </w:r>
    </w:p>
    <w:p>
      <w:pPr>
        <w:pStyle w:val="3"/>
        <w:pageBreakBefore w:val="0"/>
        <w:numPr>
          <w:ilvl w:val="0"/>
          <w:numId w:val="4"/>
        </w:numPr>
        <w:kinsoku/>
        <w:wordWrap/>
        <w:overflowPunct/>
        <w:topLinePunct w:val="0"/>
        <w:autoSpaceDE/>
        <w:autoSpaceDN/>
        <w:bidi w:val="0"/>
        <w:snapToGrid/>
        <w:spacing w:before="0" w:line="360" w:lineRule="auto"/>
        <w:ind w:left="420" w:leftChars="0" w:hanging="42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泵撬吊装，如涉及工装需求，应由厂家提供。</w:t>
      </w:r>
    </w:p>
    <w:p>
      <w:pPr>
        <w:pStyle w:val="5"/>
        <w:pageBreakBefore w:val="0"/>
        <w:numPr>
          <w:ilvl w:val="0"/>
          <w:numId w:val="5"/>
        </w:numPr>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总体要求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通用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（1）卖方确认满足组标文件包的要求，按照文件要求开展设计和供货。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（2）每批报批文件须包含对应批次的目录（包括版次、文件号、文件名称）。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（3）卖方确认送审文件升版后，与上一版次有修改的地方用云雾线标注，对没有标注而引起的问题由厂家负责。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（4）卖方确认提供包括设备整橇图纸在内的可编辑版 CAD 文件。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（5）卖方提供调试备件、一年备件及清单。单台设备一年操作备件至少包括：机械密封2套、联轴器膜片1套、驱动端轴承1套、非驱动端轴承1套及其他必要易损件等。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（6）选型设计，需满足泵橇整体吊装要求，并提供吊耳第三方检验证书。</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机械专业：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泵的额定能力，进出口压力，功率等（对照数据表各具体要求充分满足要求）。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泵壳及轴、口环等过流元件的材质（要附合数据表要求）。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泵的吸入真空高度（NPSH）小于数据表要求值（至少1米）。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单台泵撬的受限尺寸、重量详见组标文件包。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 xml:space="preserve">齿轮泵泵体结构特点满足API676《回转式容积泵》要求：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（6）轴向密封结构特点满足如下要求：</w:t>
      </w:r>
    </w:p>
    <w:p>
      <w:pPr>
        <w:pStyle w:val="3"/>
        <w:pageBreakBefore w:val="0"/>
        <w:kinsoku/>
        <w:wordWrap/>
        <w:overflowPunct/>
        <w:topLinePunct w:val="0"/>
        <w:autoSpaceDE/>
        <w:autoSpaceDN/>
        <w:bidi w:val="0"/>
        <w:snapToGrid/>
        <w:spacing w:before="0" w:line="360" w:lineRule="auto"/>
        <w:ind w:left="220" w:leftChars="0" w:right="122" w:firstLine="407" w:firstLineChars="19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机械密封：采用集装式、单端面、平衡型、弹簧机械密封，冲洗方案采用Plan31（API682），机械密封冲洗冷却管路材质为316L。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（7）轴承结构特点满足如下要求：</w:t>
      </w:r>
    </w:p>
    <w:p>
      <w:pPr>
        <w:pStyle w:val="3"/>
        <w:pageBreakBefore w:val="0"/>
        <w:kinsoku/>
        <w:wordWrap/>
        <w:overflowPunct/>
        <w:topLinePunct w:val="0"/>
        <w:autoSpaceDE/>
        <w:autoSpaceDN/>
        <w:bidi w:val="0"/>
        <w:snapToGrid/>
        <w:spacing w:before="0" w:line="360" w:lineRule="auto"/>
        <w:ind w:left="220" w:leftChars="0" w:right="122" w:firstLine="407" w:firstLineChars="19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在泵的非驱动端，采用双列圆锥滚子推力轴承来承担残余轴向力；</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（8）铭牌材质为SS316L。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泵撬公用底座满足招标文件要求，附带积液盘、法兰式排污口、表面铺花纹板、吊耳、接地端子、调平螺栓及连接紧固件等，紧固件采用热渗锌处理，提供底座强度计算书；泵撬公用底座吊耳需要取第三方检验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（10）厂家提供联轴器，带中间节柔性金属膜片，护罩用无火花材料（黄铜或同等材料，不允许使用铝）制造。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（11）泵体排放需要配置排放堵头。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（12）厂家提供撬内电伴热计算书、料单、回路图及布置图等，不用提供材料，现场施工方负责海上平台安装。</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配管专业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（1）厂家提供管口表，标明各对外接口法兰的磅级，材质，连接形式，参照标准等信息，并将各对外接口的三向定位尺寸标注完整。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（2）厂家提供对外连接配对法兰、螺栓垫片及进出口变径。</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（3）厂家选用的各种类型阀门，应符合ANSI B16.34 API6D、API602、BS5352、</w:t>
      </w:r>
      <w:r>
        <w:rPr>
          <w:rFonts w:hint="eastAsia" w:asciiTheme="minorEastAsia" w:hAnsiTheme="minorEastAsia" w:eastAsiaTheme="minorEastAsia" w:cstheme="minorEastAsia"/>
          <w:sz w:val="21"/>
          <w:szCs w:val="21"/>
          <w:lang w:eastAsia="zh-CN"/>
        </w:rPr>
        <w:t>BS1873和API594、 API 6A等相</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lang w:eastAsia="zh-CN"/>
        </w:rPr>
        <w:t>应标准。</w:t>
      </w:r>
    </w:p>
    <w:p>
      <w:pPr>
        <w:pStyle w:val="3"/>
        <w:pageBreakBefore w:val="0"/>
        <w:kinsoku/>
        <w:wordWrap/>
        <w:overflowPunct/>
        <w:topLinePunct w:val="0"/>
        <w:autoSpaceDE/>
        <w:autoSpaceDN/>
        <w:bidi w:val="0"/>
        <w:snapToGrid/>
        <w:spacing w:before="0" w:line="360" w:lineRule="auto"/>
        <w:ind w:left="399" w:leftChars="190" w:right="122"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API 6D   石油和天然气工业管线输送系统管线阀门</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602  公称尺寸小于和等于DN100的钢制闸阀_截止阀和止回阀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608  法兰、螺纹和焊连接的金属球阀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609  双法兰式对夹式和凸耳式蝶阀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API 594  法兰式、凸耳式、对夹式和对焊止回阀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ASME B16.34   法兰,螺纹和焊接端连接的阀门</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BS 1873 石油、石化及相关工业用法兰端和对焊端钢制截止阀和截止止回阀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BS 1868 石油、石化及相关工业用法兰端和对焊端钢制止回阀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ISO 17292 石油、石化及相关工业用金属球阀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ISO 15761 石油及天然气工业用DN100及更小的钢闸阀、球阀和止回阀</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MSS-SP-80青铜闸阀、截止阀、角阀和止回阀</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电气专业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（1）电机防护等级不低于IP56，满足Ｆ级绝缘，Ｂ级温升要求，带空间加热器（&gt;5kw电机）。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（2）电机内部具有防冷凝加热器，电压等级为220V，功率按电机要求匹配。伴热系统应符合《电伴热系统工程规范》的要求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（3）电机主电缆接线采用接线端子或接线柱。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（4）泵和电机的选型应符合 Q/HS 13008-2010《海上油气田工程设计节能技术规</w:t>
      </w:r>
      <w:r>
        <w:rPr>
          <w:rFonts w:hint="eastAsia" w:asciiTheme="minorEastAsia" w:hAnsiTheme="minorEastAsia" w:eastAsiaTheme="minorEastAsia" w:cstheme="minorEastAsia"/>
          <w:color w:val="auto"/>
          <w:sz w:val="21"/>
          <w:szCs w:val="21"/>
          <w:lang w:eastAsia="zh-CN"/>
        </w:rPr>
        <w:t>范》的相关要求。</w:t>
      </w:r>
      <w:r>
        <w:rPr>
          <w:rFonts w:hint="eastAsia" w:asciiTheme="minorEastAsia" w:hAnsiTheme="minorEastAsia" w:eastAsiaTheme="minorEastAsia" w:cstheme="minorEastAsia"/>
          <w:bCs/>
          <w:color w:val="auto"/>
          <w:kern w:val="0"/>
          <w:sz w:val="21"/>
          <w:szCs w:val="21"/>
        </w:rPr>
        <w:t>电机能效等级不低于《GB18613-20</w:t>
      </w:r>
      <w:r>
        <w:rPr>
          <w:rFonts w:hint="eastAsia" w:asciiTheme="minorEastAsia" w:hAnsiTheme="minorEastAsia" w:eastAsiaTheme="minorEastAsia" w:cstheme="minorEastAsia"/>
          <w:bCs/>
          <w:color w:val="auto"/>
          <w:kern w:val="0"/>
          <w:sz w:val="21"/>
          <w:szCs w:val="21"/>
          <w:lang w:val="en-US" w:eastAsia="zh-CN"/>
        </w:rPr>
        <w:t>20</w:t>
      </w:r>
      <w:r>
        <w:rPr>
          <w:rFonts w:hint="eastAsia" w:asciiTheme="minorEastAsia" w:hAnsiTheme="minorEastAsia" w:eastAsiaTheme="minorEastAsia" w:cstheme="minorEastAsia"/>
          <w:bCs/>
          <w:color w:val="auto"/>
          <w:kern w:val="0"/>
          <w:sz w:val="21"/>
          <w:szCs w:val="21"/>
        </w:rPr>
        <w:t>中小型三相异步电动机能效限定值及能效等级》中的2级能效。</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（5）泵有防爆要求，厂家提供泵的电机及撬内所有接线箱、电缆填料函、应满足防爆等级ExdIIBT4的要求，防护等级IP56，提供防爆证书、船检证书（安办强制要求）。单独的防爆件，须提供其单独的船检证书。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（7）泵和电机的选型应符合Q/HS 13008-2010《海上油气田工程设计节能技术规范》、GB 18613-2020《中小型三相异步电动机能效限定值及能效等级》和 Q/HS 13008-2010《海上油气田工程设计节能技术规范》的相关要求。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仪表专业（气动隔膜泵不涉及）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（1）提供箱体所有外部电缆连接填料函（并提供2个预留填料函孔，采用防爆金属堵头进行封堵）。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（2）厂家确认每一台仪表按照设计文件PID图虚线框里面要求的仪表进行供货。本地控制面板上的所有监控信号都应该是数字的</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（3）厂家提供泵撬内仪表的第三方标定证书，有效期至少为交货后半年。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（4）现场控制盘应采用厚度为≥3.0mm的316SS材质制作。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注：各个专业技术要求，须与设计方技术文件同步执行，最终以图纸报审，修改后的定版文件为准。</w:t>
      </w:r>
    </w:p>
    <w:p>
      <w:pPr>
        <w:pStyle w:val="5"/>
        <w:pageBreakBefore w:val="0"/>
        <w:numPr>
          <w:ilvl w:val="0"/>
          <w:numId w:val="5"/>
        </w:numPr>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关键技术要求</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 泵类型、参数（包括泵容量和扬程）应符合数据表的要求。</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US" w:eastAsia="zh-CN"/>
        </w:rPr>
      </w:pPr>
      <w:r>
        <w:rPr>
          <w:rFonts w:hint="eastAsia" w:asciiTheme="minorEastAsia" w:hAnsiTheme="minorEastAsia" w:eastAsiaTheme="minorEastAsia" w:cstheme="minorEastAsia"/>
          <w:caps/>
          <w:sz w:val="21"/>
          <w:szCs w:val="21"/>
          <w:lang w:val="en-GB" w:eastAsia="zh-CN"/>
        </w:rPr>
        <w:t xml:space="preserve">★ </w:t>
      </w:r>
      <w:r>
        <w:rPr>
          <w:rFonts w:hint="eastAsia" w:asciiTheme="minorEastAsia" w:hAnsiTheme="minorEastAsia" w:eastAsiaTheme="minorEastAsia" w:cstheme="minorEastAsia"/>
          <w:caps/>
          <w:sz w:val="21"/>
          <w:szCs w:val="21"/>
          <w:lang w:val="en-US" w:eastAsia="zh-CN"/>
        </w:rPr>
        <w:t>供货范围：需按照本采购技术要求书以及请购单、数据表、P&amp;ID等设计文件中的描述要求，提交详细的供应范围清单。包括每个组件、主要部件、系统、仪表、管道、电气等的名称/位号、数量，并注明可选项目。</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★防爆要求：防爆电气仪表设备应提供防爆产品认证，中国防爆产品CCC认证及船检证，还应满足最新防爆要求。</w:t>
      </w:r>
      <w:r>
        <w:rPr>
          <w:rFonts w:hint="eastAsia" w:asciiTheme="minorEastAsia" w:hAnsiTheme="minorEastAsia" w:eastAsiaTheme="minorEastAsia" w:cstheme="minorEastAsia"/>
          <w:b w:val="0"/>
          <w:bCs w:val="0"/>
          <w:caps/>
          <w:color w:val="auto"/>
          <w:sz w:val="21"/>
          <w:szCs w:val="21"/>
          <w:lang w:val="en-GB" w:eastAsia="zh-CN"/>
        </w:rPr>
        <w:t>厂家提供泵的电机、橇内所有接线箱、电缆填料函</w:t>
      </w:r>
      <w:r>
        <w:rPr>
          <w:rFonts w:hint="eastAsia" w:asciiTheme="minorEastAsia" w:hAnsiTheme="minorEastAsia" w:eastAsiaTheme="minorEastAsia" w:cstheme="minorEastAsia"/>
          <w:b w:val="0"/>
          <w:bCs w:val="0"/>
          <w:caps/>
          <w:color w:val="auto"/>
          <w:sz w:val="21"/>
          <w:szCs w:val="21"/>
          <w:lang w:val="en-US" w:eastAsia="zh-CN"/>
        </w:rPr>
        <w:t>等</w:t>
      </w:r>
      <w:r>
        <w:rPr>
          <w:rFonts w:hint="eastAsia" w:asciiTheme="minorEastAsia" w:hAnsiTheme="minorEastAsia" w:eastAsiaTheme="minorEastAsia" w:cstheme="minorEastAsia"/>
          <w:b w:val="0"/>
          <w:bCs w:val="0"/>
          <w:caps/>
          <w:color w:val="auto"/>
          <w:sz w:val="21"/>
          <w:szCs w:val="21"/>
          <w:lang w:val="en-GB" w:eastAsia="zh-CN"/>
        </w:rPr>
        <w:t>应满足防爆等级ExdIIBT4的要求</w:t>
      </w:r>
      <w:r>
        <w:rPr>
          <w:rFonts w:hint="eastAsia" w:asciiTheme="minorEastAsia" w:hAnsiTheme="minorEastAsia" w:eastAsiaTheme="minorEastAsia" w:cstheme="minorEastAsia"/>
          <w:b w:val="0"/>
          <w:bCs w:val="0"/>
          <w:caps/>
          <w:color w:val="auto"/>
          <w:sz w:val="21"/>
          <w:szCs w:val="21"/>
          <w:lang w:val="en-US" w:eastAsia="zh-CN"/>
        </w:rPr>
        <w:t>。单独的防爆件，须提供其单独的船检证书</w:t>
      </w:r>
      <w:r>
        <w:rPr>
          <w:rFonts w:hint="eastAsia" w:asciiTheme="minorEastAsia" w:hAnsiTheme="minorEastAsia" w:eastAsiaTheme="minorEastAsia" w:cstheme="minorEastAsia"/>
          <w:b w:val="0"/>
          <w:bCs w:val="0"/>
          <w:caps/>
          <w:color w:val="auto"/>
          <w:sz w:val="21"/>
          <w:szCs w:val="21"/>
          <w:lang w:val="en-GB" w:eastAsia="zh-CN"/>
        </w:rPr>
        <w:t>。</w:t>
      </w:r>
      <w:r>
        <w:rPr>
          <w:rFonts w:hint="eastAsia" w:asciiTheme="minorEastAsia" w:hAnsiTheme="minorEastAsia" w:eastAsiaTheme="minorEastAsia" w:cstheme="minorEastAsia"/>
          <w:b w:val="0"/>
          <w:bCs w:val="0"/>
          <w:color w:val="auto"/>
          <w:sz w:val="21"/>
          <w:szCs w:val="21"/>
          <w:highlight w:val="none"/>
          <w:lang w:val="en-US" w:eastAsia="zh-CN"/>
        </w:rPr>
        <w:t>若未通过天化院公司的现场防爆检查，未通过项需无偿提供人工和材料进行整改。</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kern w:val="0"/>
          <w:sz w:val="21"/>
          <w:szCs w:val="21"/>
          <w:lang w:val="en-US" w:eastAsia="zh-CN" w:bidi="ar-SA"/>
        </w:rPr>
        <w:t>交货时提供设备的整体船检证书及其他必要的证书（例如防爆部件的防爆合格证、CCC认证、船检证书）等。船检认证机构可为中国海洋石油作业安全办公室（COOOSO）认可的以下任何一家CCS、DNV、ABS、BV。如第三方船检证书为CCS，则需取得CCS船级社的海上固定设施产品检验证书（非船用产品证书），船检证书上需标注按照“国家经贸委《海上固定平台安全规则》 2000”标准进行取证并具有图纸批准号。</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US" w:eastAsia="zh-CN"/>
        </w:rPr>
      </w:pPr>
      <w:r>
        <w:rPr>
          <w:rFonts w:hint="eastAsia" w:asciiTheme="minorEastAsia" w:hAnsiTheme="minorEastAsia" w:eastAsiaTheme="minorEastAsia" w:cstheme="minorEastAsia"/>
          <w:caps/>
          <w:sz w:val="21"/>
          <w:szCs w:val="21"/>
          <w:lang w:val="en-GB" w:eastAsia="zh-CN"/>
        </w:rPr>
        <w:t>★</w:t>
      </w:r>
      <w:r>
        <w:rPr>
          <w:rFonts w:hint="eastAsia" w:asciiTheme="minorEastAsia" w:hAnsiTheme="minorEastAsia" w:eastAsiaTheme="minorEastAsia" w:cstheme="minorEastAsia"/>
          <w:caps/>
          <w:sz w:val="21"/>
          <w:szCs w:val="21"/>
          <w:lang w:val="en-US" w:eastAsia="zh-CN"/>
        </w:rPr>
        <w:t xml:space="preserve">本文“四 </w:t>
      </w:r>
      <w:r>
        <w:rPr>
          <w:rFonts w:hint="eastAsia" w:asciiTheme="minorEastAsia" w:hAnsiTheme="minorEastAsia" w:eastAsiaTheme="minorEastAsia" w:cstheme="minorEastAsia"/>
          <w:caps/>
          <w:sz w:val="21"/>
          <w:szCs w:val="21"/>
          <w:lang w:val="en-GB" w:eastAsia="zh-CN"/>
        </w:rPr>
        <w:t>技术要求“</w:t>
      </w:r>
      <w:r>
        <w:rPr>
          <w:rFonts w:hint="eastAsia" w:asciiTheme="minorEastAsia" w:hAnsiTheme="minorEastAsia" w:eastAsiaTheme="minorEastAsia" w:cstheme="minorEastAsia"/>
          <w:caps/>
          <w:sz w:val="21"/>
          <w:szCs w:val="21"/>
          <w:lang w:val="en-US" w:eastAsia="zh-CN"/>
        </w:rPr>
        <w:t>中的相关要求。</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aps/>
          <w:sz w:val="21"/>
          <w:szCs w:val="21"/>
          <w:lang w:val="en-GB" w:eastAsia="zh-CN"/>
        </w:rPr>
        <w:t>★</w:t>
      </w:r>
      <w:r>
        <w:rPr>
          <w:rFonts w:hint="eastAsia" w:asciiTheme="minorEastAsia" w:hAnsiTheme="minorEastAsia" w:eastAsiaTheme="minorEastAsia" w:cstheme="minorEastAsia"/>
          <w:sz w:val="21"/>
          <w:szCs w:val="21"/>
          <w:lang w:eastAsia="zh-CN"/>
        </w:rPr>
        <w:t>供货设备必须为制造商的标准或成熟产品；需提供2项已完成的离心泵</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lang w:eastAsia="zh-CN"/>
        </w:rPr>
        <w:t>采购类似项目业绩（在海洋平台，终端应用2年）合同业绩。</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检测和试验</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明确产品检测或试验要求，可明确相应的检测标准和试验方法，优先考虑采用公认的或已颁布的标准检验方法：</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生产过程检验按照批复的ITP计划，需要甲方在制作节点现场见证。</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检验按</w:t>
      </w:r>
      <w:r>
        <w:rPr>
          <w:rFonts w:hint="eastAsia" w:asciiTheme="minorEastAsia" w:hAnsiTheme="minorEastAsia" w:eastAsiaTheme="minorEastAsia" w:cstheme="minorEastAsia"/>
          <w:caps/>
          <w:sz w:val="21"/>
          <w:szCs w:val="21"/>
          <w:lang w:val="en-US" w:eastAsia="zh-CN"/>
        </w:rPr>
        <w:t>泵类型，分别依据</w:t>
      </w:r>
      <w:r>
        <w:rPr>
          <w:rFonts w:hint="eastAsia" w:asciiTheme="minorEastAsia" w:hAnsiTheme="minorEastAsia" w:eastAsiaTheme="minorEastAsia" w:cstheme="minorEastAsia"/>
          <w:caps/>
          <w:sz w:val="21"/>
          <w:szCs w:val="21"/>
          <w:lang w:val="en-GB" w:eastAsia="zh-CN"/>
        </w:rPr>
        <w:t>API6</w:t>
      </w:r>
      <w:r>
        <w:rPr>
          <w:rFonts w:hint="eastAsia" w:asciiTheme="minorEastAsia" w:hAnsiTheme="minorEastAsia" w:eastAsiaTheme="minorEastAsia" w:cstheme="minorEastAsia"/>
          <w:caps/>
          <w:sz w:val="21"/>
          <w:szCs w:val="21"/>
          <w:lang w:val="en-US" w:eastAsia="zh-CN"/>
        </w:rPr>
        <w:t>76</w:t>
      </w:r>
      <w:r>
        <w:rPr>
          <w:rFonts w:hint="eastAsia" w:asciiTheme="minorEastAsia" w:hAnsiTheme="minorEastAsia" w:eastAsiaTheme="minorEastAsia" w:cstheme="minorEastAsia"/>
          <w:caps/>
          <w:sz w:val="21"/>
          <w:szCs w:val="21"/>
          <w:lang w:val="en-GB" w:eastAsia="zh-CN"/>
        </w:rPr>
        <w:t>规范进行。</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要求有产品合格证。</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aps/>
          <w:sz w:val="21"/>
          <w:szCs w:val="21"/>
          <w:lang w:val="en-GB" w:eastAsia="zh-CN"/>
        </w:rPr>
      </w:pPr>
      <w:r>
        <w:rPr>
          <w:rFonts w:hint="eastAsia" w:asciiTheme="minorEastAsia" w:hAnsiTheme="minorEastAsia" w:eastAsiaTheme="minorEastAsia" w:cstheme="minorEastAsia"/>
          <w:caps/>
          <w:sz w:val="21"/>
          <w:szCs w:val="21"/>
          <w:lang w:val="en-GB" w:eastAsia="zh-CN"/>
        </w:rPr>
        <w:t>要求有第三方检验，有</w:t>
      </w:r>
      <w:r>
        <w:rPr>
          <w:rFonts w:hint="eastAsia" w:asciiTheme="minorEastAsia" w:hAnsiTheme="minorEastAsia" w:eastAsiaTheme="minorEastAsia" w:cstheme="minorEastAsia"/>
          <w:caps/>
          <w:sz w:val="21"/>
          <w:szCs w:val="21"/>
          <w:lang w:val="en-US" w:eastAsia="zh-CN"/>
        </w:rPr>
        <w:t>泵撬的</w:t>
      </w:r>
      <w:r>
        <w:rPr>
          <w:rFonts w:hint="eastAsia" w:asciiTheme="minorEastAsia" w:hAnsiTheme="minorEastAsia" w:eastAsiaTheme="minorEastAsia" w:cstheme="minorEastAsia"/>
          <w:caps/>
          <w:sz w:val="21"/>
          <w:szCs w:val="21"/>
          <w:lang w:val="en-GB" w:eastAsia="zh-CN"/>
        </w:rPr>
        <w:t>船检证</w:t>
      </w:r>
      <w:r>
        <w:rPr>
          <w:rFonts w:hint="eastAsia" w:asciiTheme="minorEastAsia" w:hAnsiTheme="minorEastAsia" w:eastAsiaTheme="minorEastAsia" w:cstheme="minorEastAsia"/>
          <w:caps/>
          <w:sz w:val="21"/>
          <w:szCs w:val="21"/>
          <w:lang w:val="en-US" w:eastAsia="zh-CN"/>
        </w:rPr>
        <w:t>等等</w:t>
      </w:r>
      <w:r>
        <w:rPr>
          <w:rFonts w:hint="eastAsia" w:asciiTheme="minorEastAsia" w:hAnsiTheme="minorEastAsia" w:eastAsiaTheme="minorEastAsia" w:cstheme="minorEastAsia"/>
          <w:caps/>
          <w:sz w:val="21"/>
          <w:szCs w:val="21"/>
          <w:lang w:val="en-GB" w:eastAsia="zh-CN"/>
        </w:rPr>
        <w:t>。</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包装和运输</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包装</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所有设备包装均需要采取必要的防雨、防尘、防碰保护措施。</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运输</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设备厂家负责所有设备的运输工作，</w:t>
      </w:r>
      <w:r>
        <w:rPr>
          <w:rFonts w:hint="eastAsia" w:asciiTheme="minorEastAsia" w:hAnsiTheme="minorEastAsia" w:eastAsiaTheme="minorEastAsia" w:cstheme="minorEastAsia"/>
          <w:sz w:val="21"/>
          <w:szCs w:val="21"/>
          <w:lang w:val="en-US" w:eastAsia="zh-CN"/>
        </w:rPr>
        <w:t>安全送达</w:t>
      </w:r>
      <w:r>
        <w:rPr>
          <w:rFonts w:hint="eastAsia" w:asciiTheme="minorEastAsia" w:hAnsiTheme="minorEastAsia" w:eastAsiaTheme="minorEastAsia" w:cstheme="minorEastAsia"/>
          <w:sz w:val="21"/>
          <w:szCs w:val="21"/>
          <w:lang w:eastAsia="zh-CN"/>
        </w:rPr>
        <w:t>。</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技术文件</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包括但不限于如下内容：厂家资质证书、质量体系认证证书和环境体系认证证书、同类型产品相关业绩、详细技术方案、供货清单（包含备品备件清单）、技术参数响应/偏离表等。</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厂家需承诺，公司为生产制造商，投标产品的生产制造需具备制造必须的资质、厂房、设备、人力等资源。并提供证明材料：</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生产/销售资质证书（如安全生产许可证、特种设备生产/制造许可证、经营许可证等）：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三体系管理认证证书（质量管理体系认证，环境管理体系认证，职业健康安全管理体系认证）：</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厂房、库房证明（需提供房产证明或租赁证明、实物照片等）：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与标的物相关的生产设备证明（需提供设备购买证明或租赁证明、实物照片等）：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生产工艺（需提供工艺介绍和供流程图）：</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检测仪器证明（需提供仪器购买证明或租赁证明、实物照片等）：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组装或加工设备证明（需提供设备购买证明或租赁证明、实物照片等）：</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相关知识产权或专利。</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厂家的技术标书中，需详细介绍内容如下：</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公司概况。包括公司员工情况，软、硬件设备介绍。</w:t>
      </w:r>
    </w:p>
    <w:p>
      <w:pPr>
        <w:keepNext w:val="0"/>
        <w:keepLines w:val="0"/>
        <w:pageBreakBefore w:val="0"/>
        <w:widowControl/>
        <w:numPr>
          <w:ilvl w:val="0"/>
          <w:numId w:val="2"/>
        </w:numPr>
        <w:suppressLineNumbers w:val="0"/>
        <w:kinsoku/>
        <w:wordWrap/>
        <w:overflowPunct/>
        <w:topLinePunct w:val="0"/>
        <w:autoSpaceDE/>
        <w:autoSpaceDN/>
        <w:bidi w:val="0"/>
        <w:snapToGrid/>
        <w:spacing w:line="360" w:lineRule="auto"/>
        <w:ind w:left="420" w:leftChars="0" w:hanging="42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lang w:val="en-US" w:eastAsia="zh-CN"/>
        </w:rPr>
        <w:t>主要产品、执行标准和服务对象。包括公司生产产品介绍，涉及的相关行业及对应标准规范</w:t>
      </w:r>
    </w:p>
    <w:p>
      <w:pPr>
        <w:pStyle w:val="5"/>
        <w:pageBreakBefore w:val="0"/>
        <w:kinsoku/>
        <w:wordWrap/>
        <w:overflowPunct/>
        <w:topLinePunct w:val="0"/>
        <w:autoSpaceDE/>
        <w:autoSpaceDN/>
        <w:bidi w:val="0"/>
        <w:snapToGrid/>
        <w:spacing w:before="0" w:beforeLines="0" w:after="0" w:afterLines="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完工文件</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eastAsia="zh-CN"/>
        </w:rPr>
        <w:t>包括但不限于如下内容：第三方船</w:t>
      </w:r>
      <w:r>
        <w:rPr>
          <w:rFonts w:hint="eastAsia" w:asciiTheme="minorEastAsia" w:hAnsiTheme="minorEastAsia" w:eastAsiaTheme="minorEastAsia" w:cstheme="minorEastAsia"/>
          <w:color w:val="auto"/>
          <w:sz w:val="21"/>
          <w:szCs w:val="21"/>
          <w:lang w:eastAsia="zh-CN"/>
        </w:rPr>
        <w:t>检证、</w:t>
      </w:r>
      <w:r>
        <w:rPr>
          <w:rFonts w:hint="eastAsia" w:asciiTheme="minorEastAsia" w:hAnsiTheme="minorEastAsia" w:eastAsiaTheme="minorEastAsia" w:cstheme="minorEastAsia"/>
          <w:color w:val="auto"/>
          <w:sz w:val="21"/>
          <w:szCs w:val="21"/>
          <w:lang w:val="en-US" w:eastAsia="zh-CN"/>
        </w:rPr>
        <w:t>防爆证书（防爆部件的防爆合格证、船检证等）、电机二级能效证书（如有电机）、</w:t>
      </w:r>
      <w:r>
        <w:rPr>
          <w:rFonts w:hint="eastAsia" w:asciiTheme="minorEastAsia" w:hAnsiTheme="minorEastAsia" w:eastAsiaTheme="minorEastAsia" w:cstheme="minorEastAsia"/>
          <w:color w:val="auto"/>
          <w:sz w:val="21"/>
          <w:szCs w:val="21"/>
          <w:lang w:eastAsia="zh-CN"/>
        </w:rPr>
        <w:t>合格证、说明书、维护保养手册、设计图纸、出厂检验报告、设备生产质量控制过程文件等。</w:t>
      </w:r>
    </w:p>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技术服务</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设备厂家提供人员出海安装调试技术支持服务，服务人员能现场独立完成设备单机调试工作，并配合联合调试；服务人员具备出海相关资质，年龄不超过55周岁。</w:t>
      </w:r>
    </w:p>
    <w:p>
      <w:pPr>
        <w:pStyle w:val="3"/>
        <w:pageBreakBefore w:val="0"/>
        <w:kinsoku/>
        <w:wordWrap/>
        <w:overflowPunct/>
        <w:topLinePunct w:val="0"/>
        <w:autoSpaceDE/>
        <w:autoSpaceDN/>
        <w:bidi w:val="0"/>
        <w:snapToGrid/>
        <w:spacing w:before="0" w:line="360" w:lineRule="auto"/>
        <w:ind w:left="220" w:right="122"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设备厂家提供出海安装调试技术服务包含但不限于如下内容：设备就位安装指导、联轴器对中安装调试、设备单机调试、系统联调技术支持。</w:t>
      </w:r>
    </w:p>
    <w:bookmarkEnd w:id="2"/>
    <w:bookmarkEnd w:id="3"/>
    <w:p>
      <w:pPr>
        <w:pStyle w:val="4"/>
        <w:pageBreakBefore w:val="0"/>
        <w:kinsoku/>
        <w:wordWrap/>
        <w:overflowPunct/>
        <w:topLinePunct w:val="0"/>
        <w:autoSpaceDE/>
        <w:autoSpaceDN/>
        <w:bidi w:val="0"/>
        <w:snapToGrid/>
        <w:spacing w:before="0" w:after="0" w:line="360" w:lineRule="auto"/>
        <w:ind w:firstLine="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质量保证</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highlight w:val="none"/>
          <w:lang w:eastAsia="zh-CN"/>
        </w:rPr>
        <w:t>设备质保期</w:t>
      </w:r>
      <w:r>
        <w:rPr>
          <w:rFonts w:hint="eastAsia" w:asciiTheme="minorEastAsia" w:hAnsiTheme="minorEastAsia" w:eastAsiaTheme="minorEastAsia" w:cstheme="minorEastAsia"/>
          <w:sz w:val="21"/>
          <w:szCs w:val="21"/>
          <w:highlight w:val="none"/>
          <w:lang w:val="en-US" w:eastAsia="zh-CN"/>
        </w:rPr>
        <w:t>为海上签署调试报告</w:t>
      </w:r>
      <w:r>
        <w:rPr>
          <w:rFonts w:hint="eastAsia" w:asciiTheme="minorEastAsia" w:hAnsiTheme="minorEastAsia" w:eastAsiaTheme="minorEastAsia" w:cstheme="minorEastAsia"/>
          <w:sz w:val="21"/>
          <w:szCs w:val="21"/>
          <w:highlight w:val="none"/>
          <w:lang w:eastAsia="zh-CN"/>
        </w:rPr>
        <w:t>之日起12个月</w:t>
      </w:r>
      <w:r>
        <w:rPr>
          <w:rFonts w:hint="eastAsia" w:asciiTheme="minorEastAsia" w:hAnsiTheme="minorEastAsia" w:eastAsiaTheme="minorEastAsia" w:cstheme="minorEastAsia"/>
          <w:sz w:val="21"/>
          <w:szCs w:val="21"/>
          <w:highlight w:val="none"/>
          <w:lang w:val="en-US" w:eastAsia="zh-CN"/>
        </w:rPr>
        <w:t>或陆地到货验收合格之日起18个月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lang w:eastAsia="zh-CN"/>
        </w:rPr>
        <w:t>在质保期内所有产生质量问题的设备或相关附件厂家应免费进行更换或到现场进行维修。</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到货验收不合格，无条件退货。</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付款节点：</w:t>
      </w:r>
    </w:p>
    <w:p>
      <w:pPr>
        <w:pStyle w:val="3"/>
        <w:pageBreakBefore w:val="0"/>
        <w:numPr>
          <w:ilvl w:val="0"/>
          <w:numId w:val="0"/>
        </w:numPr>
        <w:kinsoku/>
        <w:wordWrap/>
        <w:overflowPunct/>
        <w:topLinePunct w:val="0"/>
        <w:autoSpaceDE/>
        <w:autoSpaceDN/>
        <w:bidi w:val="0"/>
        <w:snapToGrid/>
        <w:spacing w:before="0" w:line="360" w:lineRule="auto"/>
        <w:ind w:left="200" w:leftChars="0" w:right="122" w:rightChars="0" w:firstLine="210" w:firstLineChars="1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卖方在合同规定的期限内将货物运至交货地点，经买方验收合格后，卖方开具全额增值税专用发票，买方在收到发票后四十五（45）日内，支付合同总价的80%。</w:t>
      </w:r>
    </w:p>
    <w:p>
      <w:pPr>
        <w:pStyle w:val="3"/>
        <w:pageBreakBefore w:val="0"/>
        <w:numPr>
          <w:ilvl w:val="0"/>
          <w:numId w:val="0"/>
        </w:numPr>
        <w:kinsoku/>
        <w:wordWrap/>
        <w:overflowPunct/>
        <w:topLinePunct w:val="0"/>
        <w:autoSpaceDE/>
        <w:autoSpaceDN/>
        <w:bidi w:val="0"/>
        <w:snapToGrid/>
        <w:spacing w:before="0" w:line="360" w:lineRule="auto"/>
        <w:ind w:left="200" w:leftChars="0" w:right="122" w:rightChars="0"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设备在海上平台安装调试完毕，经买方签署调试报告后或货物验收合格后90日内（以先到为准），买方依据卖方提供的收据，在45日内支付合同总价的15%。</w:t>
      </w:r>
    </w:p>
    <w:p>
      <w:pPr>
        <w:pStyle w:val="3"/>
        <w:pageBreakBefore w:val="0"/>
        <w:numPr>
          <w:ilvl w:val="0"/>
          <w:numId w:val="0"/>
        </w:numPr>
        <w:kinsoku/>
        <w:wordWrap/>
        <w:overflowPunct/>
        <w:topLinePunct w:val="0"/>
        <w:autoSpaceDE/>
        <w:autoSpaceDN/>
        <w:bidi w:val="0"/>
        <w:snapToGrid/>
        <w:spacing w:before="0" w:line="360" w:lineRule="auto"/>
        <w:ind w:left="200" w:leftChars="0" w:right="122" w:rightChars="0"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剩余合同总额的5%作为质保金，在质保期满后（设备调试报告签署之日起12个月），无质量问题，买方依据卖方提供的收据，在45日内将剩余合同金额支付给卖方。</w:t>
      </w:r>
    </w:p>
    <w:p>
      <w:pPr>
        <w:pStyle w:val="3"/>
        <w:pageBreakBefore w:val="0"/>
        <w:numPr>
          <w:ilvl w:val="0"/>
          <w:numId w:val="6"/>
        </w:numPr>
        <w:kinsoku/>
        <w:wordWrap/>
        <w:overflowPunct/>
        <w:topLinePunct w:val="0"/>
        <w:autoSpaceDE/>
        <w:autoSpaceDN/>
        <w:bidi w:val="0"/>
        <w:snapToGrid/>
        <w:spacing w:before="0" w:line="360" w:lineRule="auto"/>
        <w:ind w:right="122"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违约责任：</w:t>
      </w:r>
    </w:p>
    <w:p>
      <w:pPr>
        <w:pStyle w:val="3"/>
        <w:pageBreakBefore w:val="0"/>
        <w:kinsoku/>
        <w:wordWrap/>
        <w:overflowPunct/>
        <w:topLinePunct w:val="0"/>
        <w:autoSpaceDE/>
        <w:autoSpaceDN/>
        <w:bidi w:val="0"/>
        <w:snapToGrid/>
        <w:spacing w:before="0"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卖方未按照合同规定的交货日期交货，每延期一日，卖方应按照延期交货合同设备对应合同价款0.5%的比例，向买方支付违约金（违约金上限为合同价款的10%）。如合同设备延期交付超过50日，除要求卖方支付延期交货违约金外，买方有权解除本合同，并有权要求卖方赔偿买方因此遭受的全部损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lang w:val="en-US" w:eastAsia="zh-CN"/>
        </w:rPr>
        <w:t>如卖方未能在接到买方邮件或联络函通知后（买方至少提前一周通知），安排服务人员前往指定出海码头出海，服务人员每延期出海一日（出海日期以邮件或联络函通知为准），卖方应向买方支付合同总价的0.5%作为延期违约金（最高不超过合同总价的10%）。如延期超过7日，除要求卖方支付违约金外，买方有权要求卖方赔偿买方在此期间因调试延误产生的人员怠工、工期延误等全部损失。</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
      <w:pPr>
        <w:spacing w:before="72" w:beforeLines="30" w:after="72" w:afterLines="30"/>
        <w:jc w:val="center"/>
        <w:rPr>
          <w:rFonts w:hAnsi="宋体"/>
          <w:b/>
          <w:bCs/>
          <w:sz w:val="36"/>
          <w:szCs w:val="36"/>
          <w:highlight w:val="none"/>
        </w:rPr>
      </w:pPr>
      <w:r>
        <w:rPr>
          <w:rFonts w:hint="eastAsia" w:hAnsi="宋体"/>
          <w:b/>
          <w:bCs/>
          <w:sz w:val="36"/>
          <w:szCs w:val="36"/>
          <w:highlight w:val="none"/>
          <w:lang w:val="en-US" w:eastAsia="zh-CN"/>
        </w:rPr>
        <w:t>********</w:t>
      </w:r>
      <w:r>
        <w:rPr>
          <w:rFonts w:hint="eastAsia" w:hAnsi="宋体"/>
          <w:b/>
          <w:bCs/>
          <w:sz w:val="36"/>
          <w:szCs w:val="36"/>
          <w:highlight w:val="none"/>
        </w:rPr>
        <w:t>买卖合同</w:t>
      </w:r>
    </w:p>
    <w:p>
      <w:pPr>
        <w:spacing w:after="100" w:afterAutospacing="1"/>
        <w:jc w:val="center"/>
        <w:rPr>
          <w:rFonts w:hint="default" w:hAnsi="宋体"/>
          <w:bCs/>
          <w:szCs w:val="21"/>
          <w:highlight w:val="none"/>
          <w:u w:val="single"/>
          <w:lang w:val="en-US"/>
        </w:rPr>
      </w:pPr>
      <w:r>
        <w:rPr>
          <w:rFonts w:hint="eastAsia" w:hAnsi="宋体"/>
          <w:bCs/>
          <w:sz w:val="24"/>
          <w:highlight w:val="none"/>
        </w:rPr>
        <w:t xml:space="preserve">                                 </w:t>
      </w:r>
      <w:r>
        <w:rPr>
          <w:rFonts w:hint="eastAsia" w:hAnsi="宋体"/>
          <w:bCs/>
          <w:szCs w:val="21"/>
          <w:highlight w:val="none"/>
        </w:rPr>
        <w:t>合同编号：</w:t>
      </w:r>
      <w:r>
        <w:rPr>
          <w:rFonts w:hint="eastAsia" w:hAnsi="宋体"/>
          <w:bCs/>
          <w:szCs w:val="21"/>
          <w:highlight w:val="none"/>
          <w:u w:val="single"/>
          <w:lang w:val="en-US" w:eastAsia="zh-CN"/>
        </w:rPr>
        <w:t>*************</w:t>
      </w:r>
      <w:r>
        <w:rPr>
          <w:szCs w:val="21"/>
          <w:highlight w:val="none"/>
          <w:u w:val="single"/>
        </w:rPr>
        <w:t xml:space="preserve"> </w:t>
      </w:r>
    </w:p>
    <w:p>
      <w:pPr>
        <w:pStyle w:val="14"/>
        <w:spacing w:before="72" w:beforeLines="30" w:after="72" w:afterLines="30"/>
        <w:rPr>
          <w:sz w:val="24"/>
          <w:highlight w:val="none"/>
        </w:rPr>
      </w:pPr>
      <w:r>
        <w:rPr>
          <w:rFonts w:hint="eastAsia"/>
          <w:sz w:val="24"/>
          <w:highlight w:val="none"/>
        </w:rPr>
        <w:t>本货物买卖合同（以下称“合同”或“本合同”）由以下双方于【</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sz w:val="24"/>
          <w:highlight w:val="none"/>
        </w:rPr>
        <w:t>】在【</w:t>
      </w:r>
      <w:r>
        <w:rPr>
          <w:rFonts w:hint="eastAsia"/>
          <w:sz w:val="24"/>
          <w:highlight w:val="none"/>
          <w:lang w:val="en-US" w:eastAsia="zh-CN"/>
        </w:rPr>
        <w:t xml:space="preserve">  </w:t>
      </w:r>
      <w:r>
        <w:rPr>
          <w:rFonts w:hint="eastAsia"/>
          <w:sz w:val="24"/>
          <w:highlight w:val="none"/>
        </w:rPr>
        <w:t>】签署。</w:t>
      </w:r>
    </w:p>
    <w:p>
      <w:pPr>
        <w:tabs>
          <w:tab w:val="left" w:pos="3060"/>
        </w:tabs>
        <w:spacing w:before="72" w:beforeLines="30" w:after="72" w:afterLines="30" w:line="360" w:lineRule="auto"/>
        <w:ind w:firstLine="426" w:firstLineChars="177"/>
        <w:rPr>
          <w:b/>
          <w:sz w:val="24"/>
          <w:highlight w:val="none"/>
        </w:rPr>
      </w:pPr>
      <w:r>
        <w:rPr>
          <w:rFonts w:hint="eastAsia"/>
          <w:b/>
          <w:sz w:val="24"/>
          <w:highlight w:val="none"/>
        </w:rPr>
        <w:t>买</w:t>
      </w:r>
      <w:r>
        <w:rPr>
          <w:b/>
          <w:sz w:val="24"/>
          <w:highlight w:val="none"/>
        </w:rPr>
        <w:t xml:space="preserve">  </w:t>
      </w:r>
      <w:r>
        <w:rPr>
          <w:rFonts w:hint="eastAsia"/>
          <w:b/>
          <w:sz w:val="24"/>
          <w:highlight w:val="none"/>
        </w:rPr>
        <w:t xml:space="preserve">方：  </w:t>
      </w:r>
      <w:r>
        <w:rPr>
          <w:rFonts w:hint="eastAsia"/>
          <w:b w:val="0"/>
          <w:bCs/>
          <w:sz w:val="24"/>
          <w:highlight w:val="none"/>
          <w:u w:val="single"/>
          <w:lang w:val="en-US" w:eastAsia="zh-CN"/>
        </w:rPr>
        <w:t xml:space="preserve">              </w:t>
      </w:r>
      <w:r>
        <w:rPr>
          <w:rFonts w:hint="eastAsia"/>
          <w:b/>
          <w:sz w:val="24"/>
          <w:highlight w:val="none"/>
        </w:rPr>
        <w:t xml:space="preserve"> </w:t>
      </w:r>
    </w:p>
    <w:p>
      <w:pPr>
        <w:tabs>
          <w:tab w:val="left" w:pos="3060"/>
        </w:tabs>
        <w:spacing w:before="72" w:beforeLines="30" w:after="72" w:afterLines="30" w:line="360" w:lineRule="auto"/>
        <w:ind w:firstLine="426" w:firstLineChars="177"/>
        <w:rPr>
          <w:rFonts w:hint="default"/>
          <w:color w:val="auto"/>
          <w:sz w:val="24"/>
          <w:highlight w:val="none"/>
          <w:lang w:val="en-US"/>
        </w:rPr>
      </w:pPr>
      <w:r>
        <w:rPr>
          <w:rFonts w:hint="eastAsia"/>
          <w:b/>
          <w:color w:val="auto"/>
          <w:sz w:val="24"/>
          <w:highlight w:val="none"/>
        </w:rPr>
        <w:t>卖</w:t>
      </w:r>
      <w:r>
        <w:rPr>
          <w:b/>
          <w:color w:val="auto"/>
          <w:sz w:val="24"/>
          <w:highlight w:val="none"/>
        </w:rPr>
        <w:t xml:space="preserve">  </w:t>
      </w:r>
      <w:r>
        <w:rPr>
          <w:rFonts w:hint="eastAsia"/>
          <w:b/>
          <w:color w:val="auto"/>
          <w:sz w:val="24"/>
          <w:highlight w:val="none"/>
        </w:rPr>
        <w:t>方：</w:t>
      </w:r>
      <w:bookmarkStart w:id="4" w:name="OLE_LINK1"/>
      <w:bookmarkStart w:id="5" w:name="OLE_LINK2"/>
      <w:r>
        <w:rPr>
          <w:rFonts w:hint="eastAsia"/>
          <w:b/>
          <w:color w:val="auto"/>
          <w:sz w:val="24"/>
          <w:highlight w:val="none"/>
          <w:lang w:val="en-US" w:eastAsia="zh-CN"/>
        </w:rPr>
        <w:t xml:space="preserve"> </w:t>
      </w:r>
      <w:r>
        <w:rPr>
          <w:rFonts w:hint="eastAsia"/>
          <w:color w:val="auto"/>
          <w:sz w:val="24"/>
          <w:highlight w:val="none"/>
          <w:u w:val="single"/>
          <w:lang w:val="en-US" w:eastAsia="zh-CN"/>
        </w:rPr>
        <w:t xml:space="preserve"> </w:t>
      </w:r>
      <w:bookmarkEnd w:id="4"/>
      <w:bookmarkEnd w:id="5"/>
      <w:r>
        <w:rPr>
          <w:rFonts w:hint="eastAsia" w:ascii="宋体" w:hAnsi="宋体" w:cs="宋体"/>
          <w:color w:val="auto"/>
          <w:kern w:val="0"/>
          <w:sz w:val="24"/>
          <w:highlight w:val="none"/>
          <w:u w:val="single"/>
          <w:lang w:val="en-US" w:eastAsia="zh-CN"/>
        </w:rPr>
        <w:t xml:space="preserve">             </w:t>
      </w:r>
    </w:p>
    <w:p>
      <w:pPr>
        <w:pStyle w:val="14"/>
        <w:spacing w:before="72" w:beforeLines="30" w:after="72" w:afterLines="30"/>
        <w:ind w:left="0" w:leftChars="0" w:firstLine="480" w:firstLineChars="20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u w:val="single"/>
          <w:lang w:val="en-US" w:eastAsia="zh-CN"/>
        </w:rPr>
        <w:t>*********</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pPr>
        <w:pStyle w:val="17"/>
        <w:numPr>
          <w:ilvl w:val="0"/>
          <w:numId w:val="7"/>
        </w:numPr>
        <w:spacing w:before="72" w:beforeLines="30" w:after="72" w:afterLines="30" w:line="360" w:lineRule="auto"/>
        <w:ind w:left="851" w:hanging="851"/>
        <w:jc w:val="left"/>
        <w:rPr>
          <w:sz w:val="24"/>
          <w:highlight w:val="none"/>
        </w:rPr>
      </w:pPr>
      <w:bookmarkStart w:id="6" w:name="_Toc306354308"/>
      <w:r>
        <w:rPr>
          <w:sz w:val="24"/>
          <w:szCs w:val="24"/>
          <w:highlight w:val="none"/>
        </w:rPr>
        <w:t>合同标的</w:t>
      </w:r>
      <w:bookmarkEnd w:id="6"/>
    </w:p>
    <w:p>
      <w:pPr>
        <w:numPr>
          <w:ilvl w:val="0"/>
          <w:numId w:val="8"/>
        </w:numPr>
        <w:tabs>
          <w:tab w:val="left" w:pos="567"/>
          <w:tab w:val="clear" w:pos="2278"/>
        </w:tabs>
        <w:spacing w:before="72" w:beforeLines="30" w:after="72" w:afterLines="30" w:line="360" w:lineRule="auto"/>
        <w:ind w:left="567" w:hanging="567"/>
        <w:rPr>
          <w:rFonts w:hAnsi="宋体"/>
          <w:sz w:val="24"/>
          <w:highlight w:val="none"/>
        </w:rPr>
      </w:pPr>
      <w:bookmarkStart w:id="7" w:name="OLE_LINK16"/>
      <w:bookmarkStart w:id="8" w:name="OLE_LINK10"/>
      <w:bookmarkStart w:id="9" w:name="OLE_LINK20"/>
      <w:bookmarkStart w:id="10" w:name="OLE_LINK21"/>
      <w:bookmarkStart w:id="11" w:name="OLE_LINK23"/>
      <w:bookmarkStart w:id="12" w:name="OLE_LINK22"/>
      <w:bookmarkStart w:id="13" w:name="OLE_LINK14"/>
      <w:bookmarkStart w:id="14" w:name="OLE_LINK17"/>
      <w:bookmarkStart w:id="15" w:name="OLE_LINK19"/>
      <w:bookmarkStart w:id="16" w:name="OLE_LINK9"/>
      <w:bookmarkStart w:id="17" w:name="OLE_LINK26"/>
      <w:bookmarkStart w:id="18" w:name="OLE_LINK24"/>
      <w:bookmarkStart w:id="19" w:name="OLE_LINK18"/>
      <w:bookmarkStart w:id="20" w:name="OLE_LINK25"/>
      <w:bookmarkStart w:id="21" w:name="OLE_LINK15"/>
      <w:r>
        <w:rPr>
          <w:rFonts w:hint="eastAsia"/>
          <w:sz w:val="24"/>
          <w:highlight w:val="none"/>
        </w:rPr>
        <w:t>卖方向买方供应的货物的名称、数量、型号、规格</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sz w:val="24"/>
          <w:highlight w:val="none"/>
        </w:rPr>
        <w:t>、单价、原产地等</w:t>
      </w:r>
      <w:r>
        <w:rPr>
          <w:rFonts w:hint="eastAsia"/>
          <w:sz w:val="24"/>
          <w:highlight w:val="none"/>
          <w:u w:val="single"/>
        </w:rPr>
        <w:t>详见本合同附件一</w:t>
      </w:r>
      <w:r>
        <w:rPr>
          <w:rFonts w:hint="eastAsia"/>
          <w:sz w:val="24"/>
          <w:highlight w:val="none"/>
          <w:u w:val="single"/>
          <w:lang w:eastAsia="zh-CN"/>
        </w:rPr>
        <w:t>。</w:t>
      </w:r>
    </w:p>
    <w:p>
      <w:pPr>
        <w:numPr>
          <w:ilvl w:val="0"/>
          <w:numId w:val="8"/>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8"/>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i/>
          <w:sz w:val="24"/>
          <w:highlight w:val="none"/>
          <w:u w:val="single"/>
          <w:lang w:val="en-US" w:eastAsia="zh-CN"/>
        </w:rPr>
        <w:t>**************</w:t>
      </w:r>
      <w:r>
        <w:rPr>
          <w:rFonts w:hAnsi="宋体"/>
          <w:sz w:val="24"/>
          <w:highlight w:val="none"/>
        </w:rPr>
        <w:t>。</w:t>
      </w:r>
    </w:p>
    <w:p>
      <w:pPr>
        <w:pStyle w:val="17"/>
        <w:numPr>
          <w:ilvl w:val="0"/>
          <w:numId w:val="7"/>
        </w:numPr>
        <w:spacing w:before="72" w:beforeLines="30" w:after="72" w:afterLines="30" w:line="360" w:lineRule="auto"/>
        <w:ind w:left="851" w:hanging="851"/>
        <w:jc w:val="left"/>
        <w:rPr>
          <w:rFonts w:hint="eastAsia" w:asciiTheme="minorHAnsi" w:hAnsiTheme="minorHAnsi" w:eastAsiaTheme="minorEastAsia" w:cstheme="minorBidi"/>
          <w:b w:val="0"/>
          <w:bCs w:val="0"/>
          <w:kern w:val="2"/>
          <w:sz w:val="24"/>
          <w:szCs w:val="22"/>
          <w:highlight w:val="none"/>
          <w:lang w:val="en-US" w:eastAsia="zh-CN" w:bidi="ar-SA"/>
        </w:rPr>
      </w:pPr>
      <w:bookmarkStart w:id="22" w:name="_Toc306354309"/>
      <w:r>
        <w:rPr>
          <w:sz w:val="24"/>
          <w:szCs w:val="24"/>
          <w:highlight w:val="none"/>
        </w:rPr>
        <w:t>合同</w:t>
      </w:r>
      <w:r>
        <w:rPr>
          <w:rFonts w:hint="eastAsia"/>
          <w:sz w:val="24"/>
          <w:szCs w:val="24"/>
          <w:highlight w:val="none"/>
        </w:rPr>
        <w:t>总价</w:t>
      </w:r>
      <w:bookmarkEnd w:id="22"/>
    </w:p>
    <w:p>
      <w:pPr>
        <w:numPr>
          <w:ilvl w:val="0"/>
          <w:numId w:val="9"/>
        </w:numPr>
        <w:tabs>
          <w:tab w:val="left" w:pos="567"/>
          <w:tab w:val="clear" w:pos="840"/>
        </w:tabs>
        <w:spacing w:before="72" w:beforeLines="30" w:after="72" w:afterLines="30" w:line="360" w:lineRule="auto"/>
        <w:ind w:left="567" w:hanging="567"/>
        <w:rPr>
          <w:sz w:val="24"/>
          <w:highlight w:val="none"/>
        </w:rPr>
      </w:pPr>
      <w:r>
        <w:rPr>
          <w:rFonts w:hint="eastAsia" w:asciiTheme="minorHAnsi" w:hAnsiTheme="minorHAnsi" w:eastAsiaTheme="minorEastAsia" w:cstheme="minorBidi"/>
          <w:b w:val="0"/>
          <w:bCs w:val="0"/>
          <w:kern w:val="2"/>
          <w:sz w:val="24"/>
          <w:szCs w:val="22"/>
          <w:highlight w:val="none"/>
          <w:lang w:val="en-US" w:eastAsia="zh-CN" w:bidi="ar-SA"/>
        </w:rPr>
        <w:t>双方经协商一致，最终确定合同总价为</w:t>
      </w:r>
      <w:r>
        <w:rPr>
          <w:rFonts w:hint="eastAsia" w:asciiTheme="minorHAnsi" w:hAnsiTheme="minorHAnsi" w:eastAsiaTheme="minorEastAsia" w:cstheme="minorBidi"/>
          <w:b w:val="0"/>
          <w:bCs w:val="0"/>
          <w:kern w:val="2"/>
          <w:sz w:val="24"/>
          <w:szCs w:val="22"/>
          <w:highlight w:val="none"/>
          <w:u w:val="single"/>
          <w:lang w:val="en-US" w:eastAsia="zh-CN" w:bidi="ar-SA"/>
        </w:rPr>
        <w:t>【RMB】【</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】（大写：【人民币】【</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lang w:val="en-US" w:eastAsia="zh-CN" w:bidi="ar-SA"/>
        </w:rPr>
        <w:t>。</w:t>
      </w:r>
      <w:bookmarkStart w:id="23" w:name="_Hlk41394068"/>
      <w:r>
        <w:rPr>
          <w:rFonts w:hint="eastAsia" w:asciiTheme="minorHAnsi" w:hAnsiTheme="minorHAnsi" w:eastAsiaTheme="minorEastAsia" w:cstheme="minorBidi"/>
          <w:b w:val="0"/>
          <w:bCs w:val="0"/>
          <w:kern w:val="2"/>
          <w:sz w:val="24"/>
          <w:szCs w:val="22"/>
          <w:highlight w:val="none"/>
          <w:lang w:val="en-US" w:eastAsia="zh-CN" w:bidi="ar-SA"/>
        </w:rPr>
        <w:t>合同总价为含税（包括增值税）总金额。其中，不含增值税合同价款为</w:t>
      </w:r>
      <w:r>
        <w:rPr>
          <w:rFonts w:hint="eastAsia" w:asciiTheme="minorHAnsi" w:hAnsiTheme="minorHAnsi" w:eastAsiaTheme="minorEastAsia" w:cstheme="minorBidi"/>
          <w:b w:val="0"/>
          <w:bCs w:val="0"/>
          <w:kern w:val="2"/>
          <w:sz w:val="24"/>
          <w:szCs w:val="22"/>
          <w:highlight w:val="none"/>
          <w:u w:val="single"/>
          <w:lang w:val="en-US" w:eastAsia="zh-CN" w:bidi="ar-SA"/>
        </w:rPr>
        <w:t>【RMB】【</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】（大写：【人民币】【</w:t>
      </w:r>
      <w:r>
        <w:rPr>
          <w:rFonts w:hint="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u w:val="single"/>
          <w:lang w:val="en-US" w:eastAsia="zh-CN" w:bidi="ar-SA"/>
        </w:rPr>
        <w:t>】</w:t>
      </w:r>
      <w:r>
        <w:rPr>
          <w:rFonts w:hint="eastAsia" w:asciiTheme="minorHAnsi" w:hAnsiTheme="minorHAnsi" w:eastAsiaTheme="minorEastAsia" w:cstheme="minorBidi"/>
          <w:b w:val="0"/>
          <w:bCs w:val="0"/>
          <w:kern w:val="2"/>
          <w:sz w:val="24"/>
          <w:szCs w:val="22"/>
          <w:highlight w:val="none"/>
          <w:lang w:val="en-US" w:eastAsia="zh-CN" w:bidi="ar-SA"/>
        </w:rPr>
        <w:t>）</w:t>
      </w:r>
      <w:r>
        <w:rPr>
          <w:rFonts w:hint="eastAsia" w:cstheme="minorBidi"/>
          <w:b w:val="0"/>
          <w:bCs w:val="0"/>
          <w:kern w:val="2"/>
          <w:sz w:val="24"/>
          <w:szCs w:val="22"/>
          <w:highlight w:val="none"/>
          <w:lang w:val="en-US" w:eastAsia="zh-CN" w:bidi="ar-SA"/>
        </w:rPr>
        <w:t>，</w:t>
      </w:r>
      <w:r>
        <w:rPr>
          <w:rFonts w:hint="eastAsia" w:asciiTheme="minorHAnsi" w:hAnsiTheme="minorHAnsi" w:eastAsiaTheme="minorEastAsia" w:cstheme="minorBidi"/>
          <w:b w:val="0"/>
          <w:bCs w:val="0"/>
          <w:kern w:val="2"/>
          <w:sz w:val="24"/>
          <w:szCs w:val="22"/>
          <w:highlight w:val="none"/>
          <w:lang w:val="en-US" w:eastAsia="zh-CN" w:bidi="ar-SA"/>
        </w:rPr>
        <w:t>增值税税率为</w:t>
      </w:r>
      <w:r>
        <w:rPr>
          <w:rFonts w:hint="eastAsia" w:asciiTheme="minorHAnsi" w:hAnsiTheme="minorHAnsi" w:eastAsiaTheme="minorEastAsia" w:cstheme="minorBidi"/>
          <w:b w:val="0"/>
          <w:bCs w:val="0"/>
          <w:kern w:val="2"/>
          <w:sz w:val="24"/>
          <w:szCs w:val="22"/>
          <w:highlight w:val="none"/>
          <w:u w:val="single"/>
          <w:lang w:val="en-US" w:eastAsia="zh-CN" w:bidi="ar-SA"/>
        </w:rPr>
        <w:t>【13】</w:t>
      </w:r>
      <w:r>
        <w:rPr>
          <w:rFonts w:hint="eastAsia" w:asciiTheme="minorHAnsi" w:hAnsiTheme="minorHAnsi" w:eastAsiaTheme="minorEastAsia" w:cstheme="minorBidi"/>
          <w:b w:val="0"/>
          <w:bCs w:val="0"/>
          <w:kern w:val="2"/>
          <w:sz w:val="24"/>
          <w:szCs w:val="22"/>
          <w:highlight w:val="none"/>
          <w:lang w:val="en-US" w:eastAsia="zh-CN" w:bidi="ar-SA"/>
        </w:rPr>
        <w:t>%。</w:t>
      </w:r>
      <w:bookmarkEnd w:id="23"/>
      <w:r>
        <w:rPr>
          <w:rFonts w:hint="eastAsia" w:asciiTheme="minorHAnsi" w:hAnsiTheme="minorHAnsi" w:eastAsiaTheme="minorEastAsia" w:cstheme="minorBidi"/>
          <w:b w:val="0"/>
          <w:bCs w:val="0"/>
          <w:kern w:val="2"/>
          <w:sz w:val="24"/>
          <w:szCs w:val="22"/>
          <w:highlight w:val="none"/>
          <w:lang w:val="en-US" w:eastAsia="zh-CN" w:bidi="ar-SA"/>
        </w:rPr>
        <w:t>合同总价的各分项价格</w:t>
      </w:r>
      <w:r>
        <w:rPr>
          <w:rFonts w:hint="eastAsia"/>
          <w:sz w:val="24"/>
          <w:highlight w:val="none"/>
        </w:rPr>
        <w:t>和组成：【</w:t>
      </w:r>
      <w:r>
        <w:rPr>
          <w:rFonts w:hint="eastAsia"/>
          <w:i/>
          <w:sz w:val="24"/>
          <w:highlight w:val="none"/>
        </w:rPr>
        <w:t>详见本合同附件一</w:t>
      </w:r>
      <w:r>
        <w:rPr>
          <w:rFonts w:hint="eastAsia"/>
          <w:sz w:val="24"/>
          <w:highlight w:val="none"/>
        </w:rPr>
        <w:t>】。</w:t>
      </w:r>
    </w:p>
    <w:p>
      <w:pPr>
        <w:numPr>
          <w:ilvl w:val="0"/>
          <w:numId w:val="9"/>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w:t>
      </w:r>
      <w:r>
        <w:rPr>
          <w:rFonts w:hint="eastAsia"/>
          <w:sz w:val="24"/>
          <w:highlight w:val="none"/>
          <w:lang w:eastAsia="zh-CN"/>
        </w:rPr>
        <w:t>，</w:t>
      </w:r>
      <w:r>
        <w:rPr>
          <w:rFonts w:hint="eastAsia"/>
          <w:sz w:val="24"/>
          <w:highlight w:val="none"/>
        </w:rPr>
        <w:t>税费（包括关税、增值税等）；运输、储存、包装、维修、搬运、交付</w:t>
      </w:r>
      <w:r>
        <w:rPr>
          <w:rFonts w:hint="eastAsia"/>
          <w:sz w:val="24"/>
          <w:highlight w:val="none"/>
          <w:lang w:eastAsia="zh-CN"/>
        </w:rPr>
        <w:t>、</w:t>
      </w:r>
      <w:r>
        <w:rPr>
          <w:rFonts w:hint="eastAsia"/>
          <w:sz w:val="24"/>
          <w:highlight w:val="none"/>
          <w:lang w:val="en-US" w:eastAsia="zh-CN"/>
        </w:rPr>
        <w:t>安装</w:t>
      </w:r>
      <w:r>
        <w:rPr>
          <w:rFonts w:hint="eastAsia"/>
          <w:sz w:val="24"/>
          <w:highlight w:val="none"/>
        </w:rPr>
        <w:t>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pPr>
        <w:numPr>
          <w:ilvl w:val="0"/>
          <w:numId w:val="9"/>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pPr>
        <w:pStyle w:val="17"/>
        <w:numPr>
          <w:ilvl w:val="0"/>
          <w:numId w:val="7"/>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pPr>
        <w:numPr>
          <w:ilvl w:val="0"/>
          <w:numId w:val="10"/>
        </w:numPr>
        <w:tabs>
          <w:tab w:val="left" w:pos="567"/>
        </w:tabs>
        <w:spacing w:before="72" w:beforeLines="30" w:after="72" w:afterLines="30" w:line="360" w:lineRule="auto"/>
        <w:ind w:left="840" w:leftChars="0" w:hanging="557" w:firstLineChars="0"/>
        <w:rPr>
          <w:rFonts w:hint="eastAsia"/>
          <w:color w:val="000000"/>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rFonts w:hint="eastAsia"/>
          <w:color w:val="000000"/>
          <w:sz w:val="24"/>
          <w:highlight w:val="none"/>
          <w:lang w:val="en-US" w:eastAsia="zh-CN"/>
        </w:rPr>
        <w:t>银行电汇</w:t>
      </w:r>
      <w:r>
        <w:rPr>
          <w:rFonts w:hint="eastAsia"/>
          <w:color w:val="000000"/>
          <w:sz w:val="24"/>
          <w:highlight w:val="none"/>
        </w:rPr>
        <w:t>。</w:t>
      </w:r>
    </w:p>
    <w:p>
      <w:pPr>
        <w:numPr>
          <w:ilvl w:val="0"/>
          <w:numId w:val="10"/>
        </w:numPr>
        <w:tabs>
          <w:tab w:val="left" w:pos="567"/>
        </w:tabs>
        <w:spacing w:before="72" w:beforeLines="30" w:after="72" w:afterLines="30" w:line="360" w:lineRule="auto"/>
        <w:ind w:left="840" w:leftChars="0" w:hanging="557" w:firstLineChars="0"/>
        <w:rPr>
          <w:rFonts w:hint="eastAsia" w:asciiTheme="minorHAnsi" w:hAnsiTheme="minorHAnsi" w:eastAsiaTheme="minorEastAsia" w:cstheme="minorBidi"/>
          <w:color w:val="000000"/>
          <w:kern w:val="2"/>
          <w:sz w:val="24"/>
          <w:szCs w:val="22"/>
          <w:highlight w:val="none"/>
          <w:lang w:val="en-US" w:eastAsia="zh-CN" w:bidi="ar-SA"/>
        </w:rPr>
      </w:pPr>
      <w:r>
        <w:rPr>
          <w:rFonts w:hint="eastAsia"/>
          <w:sz w:val="24"/>
          <w:highlight w:val="none"/>
        </w:rPr>
        <w:t>付款进度</w:t>
      </w:r>
      <w:bookmarkStart w:id="24" w:name="OLE_LINK92"/>
      <w:bookmarkStart w:id="25" w:name="OLE_LINK91"/>
      <w:r>
        <w:rPr>
          <w:rFonts w:hint="eastAsia"/>
          <w:sz w:val="24"/>
          <w:highlight w:val="none"/>
          <w:lang w:eastAsia="zh-CN"/>
        </w:rPr>
        <w:t>：</w:t>
      </w:r>
    </w:p>
    <w:p>
      <w:pPr>
        <w:numPr>
          <w:ilvl w:val="0"/>
          <w:numId w:val="11"/>
        </w:numPr>
        <w:tabs>
          <w:tab w:val="left" w:pos="567"/>
        </w:tabs>
        <w:spacing w:before="72" w:beforeLines="30" w:after="72" w:afterLines="30" w:line="360" w:lineRule="auto"/>
        <w:ind w:left="-60" w:leftChars="0" w:firstLine="480" w:firstLineChars="0"/>
        <w:rPr>
          <w:rFonts w:hint="eastAsia"/>
          <w:sz w:val="24"/>
          <w:highlight w:val="none"/>
          <w:lang w:val="en-US" w:eastAsia="zh-CN"/>
        </w:rPr>
      </w:pPr>
      <w:r>
        <w:rPr>
          <w:rFonts w:hint="eastAsia"/>
          <w:sz w:val="24"/>
          <w:highlight w:val="none"/>
          <w:u w:val="single"/>
          <w:lang w:val="en-US" w:eastAsia="zh-CN"/>
        </w:rPr>
        <w:t>**********</w:t>
      </w:r>
      <w:r>
        <w:rPr>
          <w:rFonts w:hint="eastAsia"/>
          <w:sz w:val="24"/>
          <w:highlight w:val="none"/>
          <w:lang w:val="en-US" w:eastAsia="zh-CN"/>
        </w:rPr>
        <w:t>；</w:t>
      </w:r>
    </w:p>
    <w:p>
      <w:pPr>
        <w:numPr>
          <w:ilvl w:val="0"/>
          <w:numId w:val="11"/>
        </w:numPr>
        <w:tabs>
          <w:tab w:val="left" w:pos="567"/>
        </w:tabs>
        <w:spacing w:before="72" w:beforeLines="30" w:after="72" w:afterLines="30" w:line="360" w:lineRule="auto"/>
        <w:ind w:left="-60" w:leftChars="0" w:firstLine="480" w:firstLineChars="0"/>
        <w:rPr>
          <w:rFonts w:hint="eastAsia" w:asciiTheme="minorHAnsi" w:hAnsiTheme="minorHAnsi" w:eastAsiaTheme="minorEastAsia" w:cstheme="minorBidi"/>
          <w:color w:val="000000"/>
          <w:kern w:val="2"/>
          <w:sz w:val="24"/>
          <w:szCs w:val="22"/>
          <w:highlight w:val="none"/>
          <w:lang w:val="en-US" w:eastAsia="zh-CN" w:bidi="ar-SA"/>
        </w:rPr>
      </w:pPr>
      <w:r>
        <w:rPr>
          <w:rFonts w:hint="eastAsia" w:cstheme="minorBidi"/>
          <w:color w:val="000000"/>
          <w:kern w:val="2"/>
          <w:sz w:val="24"/>
          <w:szCs w:val="22"/>
          <w:highlight w:val="none"/>
          <w:lang w:val="en-US" w:eastAsia="zh-CN" w:bidi="ar-SA"/>
        </w:rPr>
        <w:t>卖方在合同规定的期限内将货物运至交货地点，</w:t>
      </w:r>
      <w:r>
        <w:rPr>
          <w:rFonts w:hint="eastAsia" w:ascii="宋体" w:hAnsi="宋体" w:eastAsia="宋体" w:cs="Arial"/>
          <w:color w:val="auto"/>
          <w:sz w:val="24"/>
          <w:highlight w:val="none"/>
        </w:rPr>
        <w:t>经</w:t>
      </w:r>
      <w:r>
        <w:rPr>
          <w:rFonts w:hint="eastAsia" w:ascii="宋体" w:hAnsi="宋体" w:eastAsia="宋体" w:cs="Arial"/>
          <w:color w:val="auto"/>
          <w:sz w:val="24"/>
          <w:highlight w:val="none"/>
          <w:lang w:val="en-US" w:eastAsia="zh-CN"/>
        </w:rPr>
        <w:t>买方</w:t>
      </w:r>
      <w:r>
        <w:rPr>
          <w:rFonts w:hint="eastAsia" w:ascii="宋体" w:hAnsi="宋体" w:eastAsia="宋体" w:cs="Arial"/>
          <w:color w:val="auto"/>
          <w:sz w:val="24"/>
          <w:highlight w:val="none"/>
        </w:rPr>
        <w:t>验收合格</w:t>
      </w:r>
      <w:r>
        <w:rPr>
          <w:rFonts w:hint="eastAsia" w:cstheme="minorBidi"/>
          <w:color w:val="000000"/>
          <w:kern w:val="2"/>
          <w:sz w:val="24"/>
          <w:szCs w:val="22"/>
          <w:highlight w:val="none"/>
          <w:lang w:val="en-US" w:eastAsia="zh-CN" w:bidi="ar-SA"/>
        </w:rPr>
        <w:t xml:space="preserve">并        </w:t>
      </w:r>
    </w:p>
    <w:p>
      <w:pPr>
        <w:numPr>
          <w:ilvl w:val="0"/>
          <w:numId w:val="0"/>
        </w:numPr>
        <w:tabs>
          <w:tab w:val="left" w:pos="567"/>
        </w:tabs>
        <w:spacing w:before="72" w:beforeLines="30" w:after="72" w:afterLines="30" w:line="360" w:lineRule="auto"/>
        <w:ind w:left="659" w:leftChars="314" w:firstLine="0" w:firstLineChars="0"/>
        <w:rPr>
          <w:rFonts w:hint="eastAsia" w:asciiTheme="minorHAnsi" w:hAnsiTheme="minorHAnsi" w:eastAsiaTheme="minorEastAsia" w:cstheme="minorBidi"/>
          <w:color w:val="000000"/>
          <w:kern w:val="2"/>
          <w:sz w:val="24"/>
          <w:szCs w:val="22"/>
          <w:highlight w:val="none"/>
          <w:lang w:val="en-US" w:eastAsia="zh-CN" w:bidi="ar-SA"/>
        </w:rPr>
      </w:pPr>
      <w:r>
        <w:rPr>
          <w:rFonts w:hint="eastAsia" w:cstheme="minorBidi"/>
          <w:color w:val="000000"/>
          <w:kern w:val="2"/>
          <w:sz w:val="24"/>
          <w:szCs w:val="22"/>
          <w:highlight w:val="none"/>
          <w:lang w:val="en-US" w:eastAsia="zh-CN" w:bidi="ar-SA"/>
        </w:rPr>
        <w:t>签发验收证明</w:t>
      </w:r>
      <w:r>
        <w:rPr>
          <w:rFonts w:hint="eastAsia" w:ascii="宋体" w:hAnsi="宋体" w:eastAsia="宋体" w:cs="Arial"/>
          <w:color w:val="auto"/>
          <w:sz w:val="24"/>
          <w:highlight w:val="none"/>
        </w:rPr>
        <w:t>后</w:t>
      </w:r>
      <w:r>
        <w:rPr>
          <w:rFonts w:hint="eastAsia" w:ascii="宋体" w:hAnsi="宋体" w:eastAsia="宋体" w:cs="Arial"/>
          <w:color w:val="auto"/>
          <w:sz w:val="24"/>
          <w:highlight w:val="none"/>
          <w:lang w:eastAsia="zh-CN"/>
        </w:rPr>
        <w:t>，</w:t>
      </w:r>
      <w:r>
        <w:rPr>
          <w:rFonts w:hint="eastAsia" w:ascii="宋体" w:hAnsi="宋体" w:eastAsia="宋体" w:cs="Arial"/>
          <w:color w:val="auto"/>
          <w:sz w:val="24"/>
          <w:highlight w:val="none"/>
          <w:lang w:val="en-US" w:eastAsia="zh-CN"/>
        </w:rPr>
        <w:t>卖方</w:t>
      </w:r>
      <w:r>
        <w:rPr>
          <w:rFonts w:hint="eastAsia" w:ascii="宋体" w:hAnsi="宋体" w:eastAsia="宋体" w:cs="Arial"/>
          <w:color w:val="auto"/>
          <w:sz w:val="24"/>
          <w:highlight w:val="none"/>
        </w:rPr>
        <w:t>开具增值税专用发票，买方在收到发票后</w:t>
      </w:r>
      <w:r>
        <w:rPr>
          <w:rFonts w:hint="eastAsia" w:ascii="宋体" w:hAnsi="宋体" w:eastAsia="宋体" w:cs="Arial"/>
          <w:color w:val="auto"/>
          <w:sz w:val="24"/>
          <w:highlight w:val="none"/>
          <w:u w:val="single"/>
          <w:lang w:val="en-US" w:eastAsia="zh-CN"/>
        </w:rPr>
        <w:t>45</w:t>
      </w:r>
      <w:r>
        <w:rPr>
          <w:rFonts w:hint="eastAsia" w:ascii="宋体" w:hAnsi="宋体" w:eastAsia="宋体" w:cs="Arial"/>
          <w:color w:val="auto"/>
          <w:sz w:val="24"/>
          <w:highlight w:val="none"/>
          <w:u w:val="single"/>
        </w:rPr>
        <w:t>日</w:t>
      </w:r>
      <w:r>
        <w:rPr>
          <w:rFonts w:hint="eastAsia" w:ascii="宋体" w:hAnsi="宋体" w:eastAsia="宋体" w:cs="Arial"/>
          <w:color w:val="auto"/>
          <w:sz w:val="24"/>
          <w:highlight w:val="none"/>
        </w:rPr>
        <w:t>内</w:t>
      </w:r>
      <w:r>
        <w:rPr>
          <w:rFonts w:hint="eastAsia" w:ascii="宋体" w:hAnsi="宋体" w:eastAsia="宋体" w:cs="Arial"/>
          <w:color w:val="auto"/>
          <w:sz w:val="24"/>
          <w:highlight w:val="none"/>
          <w:lang w:val="en-US" w:eastAsia="zh-CN"/>
        </w:rPr>
        <w:t>付款</w:t>
      </w:r>
      <w:r>
        <w:rPr>
          <w:rFonts w:hint="eastAsia" w:asciiTheme="minorHAnsi" w:hAnsiTheme="minorHAnsi" w:eastAsiaTheme="minorEastAsia" w:cstheme="minorBidi"/>
          <w:color w:val="000000"/>
          <w:kern w:val="2"/>
          <w:sz w:val="24"/>
          <w:szCs w:val="22"/>
          <w:highlight w:val="none"/>
          <w:lang w:val="en-US" w:eastAsia="zh-CN" w:bidi="ar-SA"/>
        </w:rPr>
        <w:t>。如付款到期日为非银行工作日，则付款到期日顺延至下一个银行工作日</w:t>
      </w:r>
      <w:r>
        <w:rPr>
          <w:rFonts w:hint="eastAsia" w:cstheme="minorBidi"/>
          <w:color w:val="000000"/>
          <w:kern w:val="2"/>
          <w:sz w:val="24"/>
          <w:szCs w:val="22"/>
          <w:highlight w:val="none"/>
          <w:lang w:val="en-US" w:eastAsia="zh-CN" w:bidi="ar-SA"/>
        </w:rPr>
        <w:t>。</w:t>
      </w:r>
    </w:p>
    <w:p>
      <w:pPr>
        <w:numPr>
          <w:ilvl w:val="0"/>
          <w:numId w:val="10"/>
        </w:numPr>
        <w:tabs>
          <w:tab w:val="left" w:pos="567"/>
        </w:tabs>
        <w:spacing w:before="72" w:beforeLines="30" w:after="72" w:afterLines="30" w:line="360" w:lineRule="auto"/>
        <w:ind w:left="840" w:leftChars="0" w:hanging="557" w:firstLineChars="0"/>
        <w:rPr>
          <w:color w:val="000000"/>
          <w:sz w:val="24"/>
          <w:highlight w:val="none"/>
        </w:rPr>
      </w:pPr>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w:t>
      </w:r>
      <w:r>
        <w:rPr>
          <w:rFonts w:hint="eastAsia"/>
          <w:sz w:val="24"/>
          <w:highlight w:val="none"/>
          <w:lang w:val="en-US" w:eastAsia="zh-CN"/>
        </w:rPr>
        <w:t>卖</w:t>
      </w:r>
      <w:r>
        <w:rPr>
          <w:rFonts w:hint="eastAsia"/>
          <w:sz w:val="24"/>
          <w:highlight w:val="none"/>
          <w:lang w:eastAsia="zh-CN"/>
        </w:rPr>
        <w:t>方</w:t>
      </w:r>
      <w:r>
        <w:rPr>
          <w:rFonts w:hint="eastAsia"/>
          <w:sz w:val="24"/>
          <w:highlight w:val="none"/>
        </w:rPr>
        <w:t>提供的</w:t>
      </w:r>
      <w:r>
        <w:rPr>
          <w:rFonts w:hint="eastAsia"/>
          <w:sz w:val="24"/>
          <w:highlight w:val="none"/>
          <w:lang w:val="en-US" w:eastAsia="zh-CN"/>
        </w:rPr>
        <w:t>货物</w:t>
      </w:r>
      <w:r>
        <w:rPr>
          <w:rFonts w:hint="eastAsia"/>
          <w:sz w:val="24"/>
          <w:highlight w:val="none"/>
        </w:rPr>
        <w:t>属于增值税应税范围，</w:t>
      </w:r>
      <w:r>
        <w:rPr>
          <w:rFonts w:hint="eastAsia"/>
          <w:sz w:val="24"/>
          <w:highlight w:val="none"/>
          <w:lang w:val="en-US" w:eastAsia="zh-CN"/>
        </w:rPr>
        <w:t>卖</w:t>
      </w:r>
      <w:r>
        <w:rPr>
          <w:rFonts w:hint="eastAsia"/>
          <w:sz w:val="24"/>
          <w:highlight w:val="none"/>
          <w:lang w:eastAsia="zh-CN"/>
        </w:rPr>
        <w:t>方</w:t>
      </w:r>
      <w:r>
        <w:rPr>
          <w:rFonts w:hint="eastAsia"/>
          <w:sz w:val="24"/>
          <w:highlight w:val="none"/>
        </w:rPr>
        <w:t>应为</w:t>
      </w:r>
      <w:r>
        <w:rPr>
          <w:rFonts w:hint="eastAsia"/>
          <w:sz w:val="24"/>
          <w:highlight w:val="none"/>
          <w:lang w:eastAsia="zh-CN"/>
        </w:rPr>
        <w:t>买方</w:t>
      </w:r>
      <w:r>
        <w:rPr>
          <w:rFonts w:hint="eastAsia"/>
          <w:sz w:val="24"/>
          <w:highlight w:val="none"/>
        </w:rPr>
        <w:t>开具增值税专用发票。</w:t>
      </w:r>
      <w:r>
        <w:rPr>
          <w:rFonts w:hint="eastAsia" w:cs="新宋体-18030"/>
          <w:sz w:val="24"/>
          <w:highlight w:val="none"/>
        </w:rPr>
        <w:t>发票</w:t>
      </w:r>
      <w:r>
        <w:rPr>
          <w:rFonts w:hint="eastAsia"/>
          <w:sz w:val="24"/>
          <w:highlight w:val="none"/>
        </w:rPr>
        <w:t>应注明合同编号且抬头应为：</w:t>
      </w:r>
      <w:r>
        <w:rPr>
          <w:rFonts w:hint="eastAsia"/>
          <w:sz w:val="24"/>
          <w:highlight w:val="none"/>
          <w:u w:val="single"/>
          <w:lang w:val="en-US" w:eastAsia="zh-CN"/>
        </w:rPr>
        <w:t>***********</w:t>
      </w:r>
      <w:r>
        <w:rPr>
          <w:rFonts w:hint="eastAsia"/>
          <w:sz w:val="24"/>
          <w:highlight w:val="none"/>
          <w:u w:val="singl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color w:val="000000"/>
          <w:sz w:val="24"/>
          <w:highlight w:val="none"/>
          <w:lang w:val="en-US" w:eastAsia="zh-CN"/>
        </w:rPr>
        <w:t>****</w:t>
      </w:r>
      <w:r>
        <w:rPr>
          <w:rFonts w:hint="eastAsia"/>
          <w:color w:val="000000"/>
          <w:sz w:val="24"/>
          <w:highlight w:val="none"/>
        </w:rPr>
        <w:t>】日内向卖方付款。</w:t>
      </w:r>
      <w:bookmarkEnd w:id="24"/>
      <w:bookmarkEnd w:id="25"/>
      <w:r>
        <w:rPr>
          <w:rFonts w:hint="eastAsia"/>
          <w:sz w:val="24"/>
          <w:highlight w:val="none"/>
        </w:rPr>
        <w:t>如</w:t>
      </w:r>
      <w:r>
        <w:rPr>
          <w:rFonts w:hint="eastAsia"/>
          <w:sz w:val="24"/>
          <w:highlight w:val="none"/>
          <w:lang w:eastAsia="zh-CN"/>
        </w:rPr>
        <w:t>买方</w:t>
      </w:r>
      <w:r>
        <w:rPr>
          <w:rFonts w:hint="eastAsia"/>
          <w:sz w:val="24"/>
          <w:highlight w:val="none"/>
        </w:rPr>
        <w:t>对</w:t>
      </w:r>
      <w:r>
        <w:rPr>
          <w:rFonts w:hint="eastAsia"/>
          <w:sz w:val="24"/>
          <w:highlight w:val="none"/>
          <w:lang w:val="en-US" w:eastAsia="zh-CN"/>
        </w:rPr>
        <w:t>卖</w:t>
      </w:r>
      <w:r>
        <w:rPr>
          <w:rFonts w:hint="eastAsia"/>
          <w:sz w:val="24"/>
          <w:highlight w:val="none"/>
          <w:lang w:eastAsia="zh-CN"/>
        </w:rPr>
        <w:t>方</w:t>
      </w:r>
      <w:r>
        <w:rPr>
          <w:rFonts w:hint="eastAsia"/>
          <w:sz w:val="24"/>
          <w:highlight w:val="none"/>
        </w:rPr>
        <w:t>开具的该等发票和相关支持文件有异议，应于收到发票及相关支持文件后【</w:t>
      </w:r>
      <w:r>
        <w:rPr>
          <w:rFonts w:hint="eastAsia"/>
          <w:i/>
          <w:sz w:val="24"/>
          <w:highlight w:val="none"/>
        </w:rPr>
        <w:t>十（10）</w:t>
      </w:r>
      <w:r>
        <w:rPr>
          <w:rFonts w:hint="eastAsia"/>
          <w:sz w:val="24"/>
          <w:highlight w:val="none"/>
        </w:rPr>
        <w:t>】日内通知</w:t>
      </w:r>
      <w:r>
        <w:rPr>
          <w:rFonts w:hint="eastAsia"/>
          <w:sz w:val="24"/>
          <w:highlight w:val="none"/>
          <w:lang w:val="en-US" w:eastAsia="zh-CN"/>
        </w:rPr>
        <w:t>卖</w:t>
      </w:r>
      <w:r>
        <w:rPr>
          <w:rFonts w:hint="eastAsia"/>
          <w:sz w:val="24"/>
          <w:highlight w:val="none"/>
          <w:lang w:eastAsia="zh-CN"/>
        </w:rPr>
        <w:t>方</w:t>
      </w:r>
      <w:r>
        <w:rPr>
          <w:rFonts w:hint="eastAsia"/>
          <w:sz w:val="24"/>
          <w:highlight w:val="none"/>
        </w:rPr>
        <w:t>，</w:t>
      </w:r>
      <w:r>
        <w:rPr>
          <w:rFonts w:hint="eastAsia"/>
          <w:sz w:val="24"/>
          <w:highlight w:val="none"/>
          <w:lang w:val="en-US" w:eastAsia="zh-CN"/>
        </w:rPr>
        <w:t>卖</w:t>
      </w:r>
      <w:r>
        <w:rPr>
          <w:rFonts w:hint="eastAsia"/>
          <w:sz w:val="24"/>
          <w:highlight w:val="none"/>
          <w:lang w:eastAsia="zh-CN"/>
        </w:rPr>
        <w:t>方</w:t>
      </w:r>
      <w:r>
        <w:rPr>
          <w:rFonts w:hint="eastAsia"/>
          <w:sz w:val="24"/>
          <w:highlight w:val="none"/>
        </w:rPr>
        <w:t>应重新开具发票和相关支持文件，买方应于收到卖方重新开具的发票和相关支持文件之日起</w:t>
      </w:r>
      <w:r>
        <w:rPr>
          <w:rFonts w:hint="eastAsia"/>
          <w:color w:val="000000"/>
          <w:sz w:val="24"/>
          <w:highlight w:val="none"/>
        </w:rPr>
        <w:t>【</w:t>
      </w:r>
      <w:r>
        <w:rPr>
          <w:rFonts w:hint="eastAsia"/>
          <w:color w:val="000000"/>
          <w:sz w:val="24"/>
          <w:highlight w:val="none"/>
          <w:lang w:val="en-US" w:eastAsia="zh-CN"/>
        </w:rPr>
        <w:t>45</w:t>
      </w:r>
      <w:r>
        <w:rPr>
          <w:rFonts w:hint="eastAsia"/>
          <w:color w:val="000000"/>
          <w:sz w:val="24"/>
          <w:highlight w:val="none"/>
        </w:rPr>
        <w:t>】日内向卖方付款。</w:t>
      </w:r>
    </w:p>
    <w:p>
      <w:pPr>
        <w:numPr>
          <w:ilvl w:val="0"/>
          <w:numId w:val="12"/>
        </w:numPr>
        <w:tabs>
          <w:tab w:val="left" w:pos="567"/>
        </w:tabs>
        <w:spacing w:before="93" w:beforeLines="30" w:after="93" w:afterLines="30" w:line="312" w:lineRule="auto"/>
        <w:ind w:left="709" w:hanging="709"/>
        <w:rPr>
          <w:rFonts w:ascii="宋体" w:hAnsi="宋体" w:eastAsia="宋体"/>
          <w:color w:val="auto"/>
          <w:sz w:val="24"/>
          <w:highlight w:val="none"/>
        </w:rPr>
      </w:pPr>
      <w:r>
        <w:rPr>
          <w:rFonts w:hint="eastAsia" w:ascii="宋体" w:hAnsi="宋体" w:eastAsia="宋体"/>
          <w:color w:val="auto"/>
          <w:sz w:val="24"/>
          <w:highlight w:val="none"/>
        </w:rPr>
        <w:t>买方发票联系人及联系方式：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default" w:ascii="宋体" w:hAnsi="宋体" w:eastAsia="宋体"/>
          <w:color w:val="auto"/>
          <w:sz w:val="24"/>
          <w:highlight w:val="none"/>
          <w:u w:val="single"/>
          <w:lang w:val="en-US"/>
        </w:rPr>
      </w:pPr>
      <w:r>
        <w:rPr>
          <w:rFonts w:hint="eastAsia" w:ascii="宋体" w:hAnsi="宋体" w:eastAsia="宋体"/>
          <w:color w:val="auto"/>
          <w:sz w:val="24"/>
          <w:highlight w:val="none"/>
        </w:rPr>
        <w:t>姓名：</w:t>
      </w:r>
      <w:r>
        <w:rPr>
          <w:rFonts w:hint="eastAsia" w:ascii="宋体" w:hAnsi="宋体" w:eastAsia="宋体"/>
          <w:color w:val="auto"/>
          <w:sz w:val="24"/>
          <w:highlight w:val="none"/>
          <w:u w:val="single"/>
          <w:lang w:val="en-US" w:eastAsia="zh-CN"/>
        </w:rPr>
        <w:t>****</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电话</w:t>
      </w:r>
      <w:r>
        <w:rPr>
          <w:rFonts w:hint="eastAsia" w:ascii="宋体" w:hAnsi="宋体" w:eastAsia="宋体"/>
          <w:color w:val="auto"/>
          <w:sz w:val="24"/>
          <w:highlight w:val="none"/>
        </w:rPr>
        <w:t>：</w:t>
      </w:r>
      <w:r>
        <w:rPr>
          <w:rFonts w:hint="eastAsia" w:ascii="宋体" w:hAnsi="宋体" w:eastAsia="宋体"/>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地址：</w:t>
      </w:r>
      <w:r>
        <w:rPr>
          <w:rFonts w:hint="eastAsia" w:ascii="宋体" w:hAnsi="宋体" w:eastAsia="宋体"/>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eastAsia="宋体"/>
          <w:color w:val="auto"/>
          <w:sz w:val="24"/>
          <w:highlight w:val="none"/>
        </w:rPr>
      </w:pPr>
      <w:r>
        <w:rPr>
          <w:rFonts w:hint="eastAsia" w:ascii="宋体" w:hAnsi="宋体" w:eastAsia="宋体"/>
          <w:color w:val="auto"/>
          <w:sz w:val="24"/>
          <w:highlight w:val="none"/>
        </w:rPr>
        <w:t>开票信息：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买方名称：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地</w:t>
      </w:r>
      <w:r>
        <w:rPr>
          <w:rFonts w:ascii="宋体" w:hAnsi="宋体" w:eastAsia="宋体"/>
          <w:color w:val="auto"/>
          <w:sz w:val="24"/>
          <w:highlight w:val="none"/>
        </w:rPr>
        <w:t xml:space="preserve">    </w:t>
      </w:r>
      <w:r>
        <w:rPr>
          <w:rFonts w:hint="eastAsia" w:ascii="宋体" w:hAnsi="宋体" w:eastAsia="宋体"/>
          <w:color w:val="auto"/>
          <w:sz w:val="24"/>
          <w:highlight w:val="none"/>
        </w:rPr>
        <w:t>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电</w:t>
      </w:r>
      <w:r>
        <w:rPr>
          <w:rFonts w:ascii="宋体" w:hAnsi="宋体" w:eastAsia="宋体"/>
          <w:color w:val="auto"/>
          <w:sz w:val="24"/>
          <w:highlight w:val="none"/>
        </w:rPr>
        <w:t xml:space="preserve">    </w:t>
      </w:r>
      <w:r>
        <w:rPr>
          <w:rFonts w:hint="eastAsia" w:ascii="宋体" w:hAnsi="宋体" w:eastAsia="宋体"/>
          <w:color w:val="auto"/>
          <w:sz w:val="24"/>
          <w:highlight w:val="none"/>
        </w:rPr>
        <w:t>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rPr>
      </w:pPr>
      <w:r>
        <w:rPr>
          <w:rFonts w:hint="eastAsia" w:ascii="宋体" w:hAnsi="宋体" w:eastAsia="宋体"/>
          <w:color w:val="auto"/>
          <w:sz w:val="24"/>
          <w:highlight w:val="none"/>
        </w:rPr>
        <w:t>税</w:t>
      </w:r>
      <w:r>
        <w:rPr>
          <w:rFonts w:ascii="宋体" w:hAnsi="宋体" w:eastAsia="宋体"/>
          <w:color w:val="auto"/>
          <w:sz w:val="24"/>
          <w:highlight w:val="none"/>
        </w:rPr>
        <w:t xml:space="preserve">    </w:t>
      </w:r>
      <w:r>
        <w:rPr>
          <w:rFonts w:hint="eastAsia" w:ascii="宋体" w:hAnsi="宋体" w:eastAsia="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开户银行：</w:t>
      </w:r>
    </w:p>
    <w:p>
      <w:pPr>
        <w:keepNext w:val="0"/>
        <w:keepLines w:val="0"/>
        <w:pageBreakBefore w:val="0"/>
        <w:widowControl w:val="0"/>
        <w:tabs>
          <w:tab w:val="left" w:pos="567"/>
          <w:tab w:val="left" w:pos="840"/>
        </w:tabs>
        <w:kinsoku/>
        <w:wordWrap/>
        <w:overflowPunct/>
        <w:topLinePunct w:val="0"/>
        <w:autoSpaceDE/>
        <w:autoSpaceDN/>
        <w:bidi w:val="0"/>
        <w:adjustRightInd/>
        <w:snapToGrid/>
        <w:spacing w:before="93" w:beforeLines="30" w:after="93" w:afterLines="30" w:line="360" w:lineRule="auto"/>
        <w:ind w:firstLine="566" w:firstLineChars="236"/>
        <w:textAlignment w:val="auto"/>
        <w:rPr>
          <w:rFonts w:hint="eastAsia" w:eastAsia="宋体"/>
          <w:sz w:val="24"/>
          <w:highlight w:val="none"/>
          <w:lang w:eastAsia="zh-CN"/>
        </w:rPr>
      </w:pPr>
      <w:r>
        <w:rPr>
          <w:rFonts w:hint="eastAsia" w:ascii="宋体" w:hAnsi="宋体" w:eastAsia="宋体"/>
          <w:color w:val="auto"/>
          <w:sz w:val="24"/>
          <w:highlight w:val="none"/>
        </w:rPr>
        <w:t>账</w:t>
      </w:r>
      <w:r>
        <w:rPr>
          <w:rFonts w:ascii="宋体" w:hAnsi="宋体" w:eastAsia="宋体"/>
          <w:color w:val="auto"/>
          <w:sz w:val="24"/>
          <w:highlight w:val="none"/>
        </w:rPr>
        <w:t xml:space="preserve">    </w:t>
      </w:r>
      <w:r>
        <w:rPr>
          <w:rFonts w:hint="eastAsia" w:ascii="宋体" w:hAnsi="宋体" w:eastAsia="宋体"/>
          <w:color w:val="auto"/>
          <w:sz w:val="24"/>
          <w:highlight w:val="none"/>
        </w:rPr>
        <w:t>号：</w:t>
      </w:r>
    </w:p>
    <w:p>
      <w:pPr>
        <w:numPr>
          <w:ilvl w:val="0"/>
          <w:numId w:val="10"/>
        </w:numPr>
        <w:tabs>
          <w:tab w:val="left" w:pos="567"/>
        </w:tabs>
        <w:spacing w:before="72" w:beforeLines="30" w:after="72" w:afterLines="30" w:line="360" w:lineRule="auto"/>
        <w:ind w:left="840" w:leftChars="0" w:hanging="557" w:firstLineChars="0"/>
        <w:rPr>
          <w:sz w:val="24"/>
          <w:highlight w:val="none"/>
        </w:rPr>
      </w:pPr>
      <w:r>
        <w:rPr>
          <w:rFonts w:hint="eastAsia" w:hAnsi="宋体"/>
          <w:sz w:val="24"/>
          <w:highlight w:val="none"/>
        </w:rPr>
        <w:t>卖方</w:t>
      </w:r>
      <w:r>
        <w:rPr>
          <w:rFonts w:hAnsi="宋体"/>
          <w:sz w:val="24"/>
          <w:highlight w:val="none"/>
        </w:rPr>
        <w:t>账户</w:t>
      </w:r>
    </w:p>
    <w:p>
      <w:pPr>
        <w:tabs>
          <w:tab w:val="left" w:pos="567"/>
          <w:tab w:val="left" w:pos="1418"/>
        </w:tabs>
        <w:spacing w:before="72" w:beforeLines="30" w:after="72" w:afterLines="30" w:line="360" w:lineRule="auto"/>
        <w:ind w:left="565" w:leftChars="269"/>
        <w:rPr>
          <w:sz w:val="24"/>
          <w:highlight w:val="none"/>
        </w:rPr>
      </w:pPr>
      <w:r>
        <w:rPr>
          <w:sz w:val="24"/>
          <w:highlight w:val="none"/>
        </w:rPr>
        <w:t>卖方应通过如下账户收取合同总价及其它款项，并通过该账户向买方支付与合同有关的任何款项：</w:t>
      </w:r>
    </w:p>
    <w:p>
      <w:pPr>
        <w:tabs>
          <w:tab w:val="left" w:pos="709"/>
          <w:tab w:val="left" w:pos="1418"/>
        </w:tabs>
        <w:adjustRightInd w:val="0"/>
        <w:snapToGrid w:val="0"/>
        <w:spacing w:before="72" w:beforeLines="30" w:after="72" w:afterLines="30" w:line="360" w:lineRule="auto"/>
        <w:ind w:left="708" w:leftChars="337"/>
        <w:rPr>
          <w:rFonts w:ascii="宋体" w:hAnsi="宋体"/>
          <w:color w:val="auto"/>
          <w:sz w:val="24"/>
          <w:highlight w:val="none"/>
        </w:rPr>
      </w:pPr>
      <w:bookmarkStart w:id="26" w:name="_Toc306354310"/>
      <w:r>
        <w:rPr>
          <w:color w:val="auto"/>
          <w:sz w:val="24"/>
          <w:highlight w:val="none"/>
        </w:rPr>
        <w:t>卖方名称：</w:t>
      </w:r>
      <w:r>
        <w:rPr>
          <w:rFonts w:hint="eastAsia"/>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tabs>
          <w:tab w:val="left" w:pos="709"/>
          <w:tab w:val="left" w:pos="1418"/>
        </w:tabs>
        <w:adjustRightInd w:val="0"/>
        <w:snapToGrid w:val="0"/>
        <w:spacing w:before="72" w:beforeLines="30" w:after="72" w:afterLines="30" w:line="360" w:lineRule="auto"/>
        <w:ind w:left="708" w:leftChars="337"/>
        <w:rPr>
          <w:rFonts w:hint="default" w:ascii="宋体" w:hAnsi="宋体" w:eastAsiaTheme="minorEastAsia"/>
          <w:color w:val="auto"/>
          <w:sz w:val="24"/>
          <w:highlight w:val="none"/>
          <w:u w:val="single"/>
          <w:lang w:val="en-US" w:eastAsia="zh-CN"/>
        </w:rPr>
      </w:pPr>
      <w:r>
        <w:rPr>
          <w:rFonts w:ascii="宋体" w:hAnsi="宋体"/>
          <w:color w:val="auto"/>
          <w:sz w:val="24"/>
          <w:highlight w:val="none"/>
        </w:rPr>
        <w:t>账</w:t>
      </w:r>
      <w:r>
        <w:rPr>
          <w:rFonts w:hint="eastAsia" w:ascii="宋体" w:hAnsi="宋体"/>
          <w:color w:val="auto"/>
          <w:sz w:val="24"/>
          <w:highlight w:val="none"/>
        </w:rPr>
        <w:t xml:space="preserve"> </w:t>
      </w:r>
      <w:r>
        <w:rPr>
          <w:rFonts w:ascii="宋体" w:hAnsi="宋体"/>
          <w:color w:val="auto"/>
          <w:sz w:val="24"/>
          <w:highlight w:val="none"/>
        </w:rPr>
        <w:t xml:space="preserve">   号：</w:t>
      </w:r>
      <w:r>
        <w:rPr>
          <w:rFonts w:hint="eastAsia" w:ascii="宋体" w:hAnsi="宋体"/>
          <w:color w:val="auto"/>
          <w:sz w:val="24"/>
          <w:highlight w:val="none"/>
          <w:u w:val="single"/>
          <w:lang w:eastAsia="zh-CN"/>
        </w:rPr>
        <w:t xml:space="preserve"> </w:t>
      </w:r>
      <w:r>
        <w:rPr>
          <w:rFonts w:hint="eastAsia" w:ascii="宋体" w:hAnsi="宋体"/>
          <w:color w:val="auto"/>
          <w:sz w:val="24"/>
          <w:highlight w:val="none"/>
          <w:u w:val="single"/>
          <w:lang w:val="en-US" w:eastAsia="zh-CN"/>
        </w:rPr>
        <w:t xml:space="preserve">          </w:t>
      </w:r>
    </w:p>
    <w:p>
      <w:pPr>
        <w:pStyle w:val="17"/>
        <w:numPr>
          <w:ilvl w:val="0"/>
          <w:numId w:val="0"/>
        </w:numPr>
        <w:spacing w:before="72" w:beforeLines="30" w:after="72" w:afterLines="30" w:line="360" w:lineRule="auto"/>
        <w:ind w:leftChars="0" w:firstLine="720" w:firstLineChars="300"/>
        <w:jc w:val="left"/>
        <w:rPr>
          <w:rFonts w:hint="eastAsia" w:ascii="宋体" w:hAnsi="宋体" w:eastAsiaTheme="minorEastAsia" w:cstheme="minorBidi"/>
          <w:b w:val="0"/>
          <w:bCs w:val="0"/>
          <w:color w:val="auto"/>
          <w:kern w:val="2"/>
          <w:sz w:val="24"/>
          <w:szCs w:val="22"/>
          <w:highlight w:val="none"/>
          <w:u w:val="single"/>
          <w:lang w:val="en-US" w:eastAsia="zh-CN" w:bidi="ar-SA"/>
        </w:rPr>
      </w:pPr>
      <w:r>
        <w:rPr>
          <w:rFonts w:ascii="宋体" w:hAnsi="宋体" w:eastAsiaTheme="minorEastAsia" w:cstheme="minorBidi"/>
          <w:b w:val="0"/>
          <w:bCs w:val="0"/>
          <w:color w:val="auto"/>
          <w:kern w:val="2"/>
          <w:sz w:val="24"/>
          <w:szCs w:val="22"/>
          <w:highlight w:val="none"/>
          <w:lang w:val="en-US" w:eastAsia="zh-CN" w:bidi="ar-SA"/>
        </w:rPr>
        <w:t>开户行名称：</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0"/>
        </w:numPr>
        <w:spacing w:before="72" w:beforeLines="30" w:after="72" w:afterLines="30" w:line="360" w:lineRule="auto"/>
        <w:ind w:leftChars="0" w:firstLine="720" w:firstLineChars="300"/>
        <w:jc w:val="left"/>
        <w:rPr>
          <w:rFonts w:hint="default" w:ascii="宋体" w:hAnsi="宋体" w:eastAsiaTheme="minorEastAsia" w:cstheme="minorBidi"/>
          <w:b w:val="0"/>
          <w:bCs w:val="0"/>
          <w:color w:val="auto"/>
          <w:kern w:val="2"/>
          <w:sz w:val="24"/>
          <w:szCs w:val="22"/>
          <w:highlight w:val="none"/>
          <w:u w:val="single"/>
          <w:lang w:val="en-US" w:eastAsia="zh-CN" w:bidi="ar-SA"/>
        </w:rPr>
      </w:pPr>
      <w:r>
        <w:rPr>
          <w:rFonts w:hint="eastAsia" w:ascii="宋体" w:hAnsi="宋体" w:eastAsiaTheme="minorEastAsia" w:cstheme="minorBidi"/>
          <w:b w:val="0"/>
          <w:bCs w:val="0"/>
          <w:color w:val="auto"/>
          <w:kern w:val="2"/>
          <w:sz w:val="24"/>
          <w:szCs w:val="22"/>
          <w:highlight w:val="none"/>
          <w:lang w:val="en-US" w:eastAsia="zh-CN" w:bidi="ar-SA"/>
        </w:rPr>
        <w:t>联系人：</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0"/>
        </w:numPr>
        <w:spacing w:before="72" w:beforeLines="30" w:after="72" w:afterLines="30" w:line="360" w:lineRule="auto"/>
        <w:ind w:leftChars="0" w:firstLine="720" w:firstLineChars="300"/>
        <w:jc w:val="left"/>
        <w:rPr>
          <w:rFonts w:hint="default" w:ascii="宋体" w:hAnsi="宋体" w:eastAsiaTheme="minorEastAsia" w:cstheme="minorBidi"/>
          <w:b w:val="0"/>
          <w:bCs w:val="0"/>
          <w:color w:val="auto"/>
          <w:kern w:val="2"/>
          <w:sz w:val="24"/>
          <w:szCs w:val="22"/>
          <w:highlight w:val="none"/>
          <w:u w:val="single"/>
          <w:lang w:val="en-US" w:eastAsia="zh-CN" w:bidi="ar-SA"/>
        </w:rPr>
      </w:pPr>
      <w:r>
        <w:rPr>
          <w:rFonts w:hint="eastAsia" w:ascii="宋体" w:hAnsi="宋体" w:eastAsiaTheme="minorEastAsia" w:cstheme="minorBidi"/>
          <w:b w:val="0"/>
          <w:bCs w:val="0"/>
          <w:color w:val="auto"/>
          <w:kern w:val="2"/>
          <w:sz w:val="24"/>
          <w:szCs w:val="22"/>
          <w:highlight w:val="none"/>
          <w:lang w:val="en-US" w:eastAsia="zh-CN" w:bidi="ar-SA"/>
        </w:rPr>
        <w:t>电话：</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0"/>
        </w:numPr>
        <w:spacing w:before="72" w:beforeLines="30" w:after="72" w:afterLines="30" w:line="360" w:lineRule="auto"/>
        <w:ind w:leftChars="0" w:firstLine="720" w:firstLineChars="300"/>
        <w:jc w:val="left"/>
        <w:rPr>
          <w:rFonts w:hint="default" w:ascii="宋体" w:hAnsi="宋体" w:eastAsiaTheme="minorEastAsia" w:cstheme="minorBidi"/>
          <w:b w:val="0"/>
          <w:bCs w:val="0"/>
          <w:color w:val="auto"/>
          <w:kern w:val="2"/>
          <w:sz w:val="24"/>
          <w:szCs w:val="22"/>
          <w:highlight w:val="none"/>
          <w:u w:val="single"/>
          <w:lang w:val="en-US" w:eastAsia="zh-CN" w:bidi="ar-SA"/>
        </w:rPr>
      </w:pPr>
      <w:r>
        <w:rPr>
          <w:rFonts w:hint="eastAsia" w:ascii="宋体" w:hAnsi="宋体" w:eastAsiaTheme="minorEastAsia" w:cstheme="minorBidi"/>
          <w:b w:val="0"/>
          <w:bCs w:val="0"/>
          <w:color w:val="auto"/>
          <w:kern w:val="2"/>
          <w:sz w:val="24"/>
          <w:szCs w:val="22"/>
          <w:highlight w:val="none"/>
          <w:lang w:val="en-US" w:eastAsia="zh-CN" w:bidi="ar-SA"/>
        </w:rPr>
        <w:t>邮箱：</w:t>
      </w:r>
      <w:r>
        <w:rPr>
          <w:rFonts w:hint="eastAsia" w:ascii="宋体" w:hAnsi="宋体" w:eastAsiaTheme="minorEastAsia" w:cstheme="minorBidi"/>
          <w:b w:val="0"/>
          <w:bCs w:val="0"/>
          <w:color w:val="auto"/>
          <w:kern w:val="2"/>
          <w:sz w:val="24"/>
          <w:szCs w:val="22"/>
          <w:highlight w:val="none"/>
          <w:u w:val="single"/>
          <w:lang w:val="en-US" w:eastAsia="zh-CN" w:bidi="ar-SA"/>
        </w:rPr>
        <w:t xml:space="preserve">               </w:t>
      </w:r>
    </w:p>
    <w:p>
      <w:pPr>
        <w:pStyle w:val="17"/>
        <w:numPr>
          <w:ilvl w:val="0"/>
          <w:numId w:val="7"/>
        </w:numPr>
        <w:spacing w:before="72" w:beforeLines="30" w:after="72" w:afterLines="30" w:line="360" w:lineRule="auto"/>
        <w:ind w:left="851" w:hanging="851"/>
        <w:jc w:val="left"/>
        <w:rPr>
          <w:sz w:val="24"/>
          <w:szCs w:val="24"/>
          <w:highlight w:val="none"/>
        </w:rPr>
      </w:pPr>
      <w:r>
        <w:rPr>
          <w:rFonts w:hint="eastAsia"/>
          <w:sz w:val="24"/>
          <w:szCs w:val="24"/>
          <w:highlight w:val="none"/>
        </w:rPr>
        <w:t>货物交付</w:t>
      </w:r>
      <w:bookmarkEnd w:id="26"/>
    </w:p>
    <w:p>
      <w:pPr>
        <w:numPr>
          <w:ilvl w:val="0"/>
          <w:numId w:val="13"/>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pPr>
        <w:numPr>
          <w:ilvl w:val="0"/>
          <w:numId w:val="14"/>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卖方应</w:t>
      </w:r>
      <w:r>
        <w:rPr>
          <w:rFonts w:hint="eastAsia" w:hAnsi="宋体"/>
          <w:sz w:val="24"/>
          <w:highlight w:val="none"/>
          <w:lang w:val="en-US" w:eastAsia="zh-CN"/>
        </w:rPr>
        <w:t>于</w:t>
      </w:r>
      <w:r>
        <w:rPr>
          <w:rFonts w:hint="eastAsia" w:hAnsi="宋体"/>
          <w:sz w:val="24"/>
          <w:highlight w:val="none"/>
          <w:u w:val="single"/>
          <w:lang w:val="en-US" w:eastAsia="zh-CN"/>
        </w:rPr>
        <w:t xml:space="preserve">          </w:t>
      </w:r>
      <w:r>
        <w:rPr>
          <w:rFonts w:hAnsi="宋体"/>
          <w:sz w:val="24"/>
          <w:highlight w:val="none"/>
        </w:rPr>
        <w:t>完成货物的交付。</w:t>
      </w:r>
    </w:p>
    <w:p>
      <w:pPr>
        <w:numPr>
          <w:ilvl w:val="0"/>
          <w:numId w:val="14"/>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27" w:name="OLE_LINK56"/>
      <w:bookmarkStart w:id="28" w:name="OLE_LINK57"/>
      <w:r>
        <w:rPr>
          <w:rFonts w:hint="eastAsia" w:hAnsi="宋体"/>
          <w:sz w:val="24"/>
          <w:highlight w:val="none"/>
        </w:rPr>
        <w:t>【</w:t>
      </w:r>
      <w:r>
        <w:rPr>
          <w:rFonts w:hint="eastAsia" w:hAnsi="宋体"/>
          <w:sz w:val="24"/>
          <w:highlight w:val="none"/>
          <w:lang w:val="en-US" w:eastAsia="zh-CN"/>
        </w:rPr>
        <w:t>3</w:t>
      </w:r>
      <w:r>
        <w:rPr>
          <w:rFonts w:hint="eastAsia" w:hAnsi="宋体"/>
          <w:sz w:val="24"/>
          <w:highlight w:val="none"/>
        </w:rPr>
        <w:t>】</w:t>
      </w:r>
      <w:bookmarkEnd w:id="27"/>
      <w:bookmarkEnd w:id="28"/>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3"/>
        </w:numPr>
        <w:tabs>
          <w:tab w:val="left" w:pos="709"/>
        </w:tabs>
        <w:spacing w:before="72" w:beforeLines="30" w:after="72" w:afterLines="30" w:line="360" w:lineRule="auto"/>
        <w:ind w:left="567" w:hanging="567"/>
        <w:outlineLvl w:val="0"/>
        <w:rPr>
          <w:highlight w:val="none"/>
        </w:rPr>
      </w:pPr>
      <w:r>
        <w:rPr>
          <w:rFonts w:hAnsi="宋体"/>
          <w:b/>
          <w:sz w:val="24"/>
          <w:highlight w:val="none"/>
        </w:rPr>
        <w:t>交货地点</w:t>
      </w:r>
      <w:r>
        <w:rPr>
          <w:rFonts w:hint="eastAsia" w:hAnsi="宋体"/>
          <w:sz w:val="24"/>
          <w:highlight w:val="none"/>
        </w:rPr>
        <w:t>：【</w:t>
      </w:r>
      <w:r>
        <w:rPr>
          <w:rFonts w:hint="eastAsia" w:hAnsi="宋体"/>
          <w:sz w:val="24"/>
          <w:highlight w:val="none"/>
          <w:lang w:val="en-US" w:eastAsia="zh-CN"/>
        </w:rPr>
        <w:t xml:space="preserve">       </w:t>
      </w:r>
      <w:r>
        <w:rPr>
          <w:rFonts w:hint="eastAsia" w:hAnsi="宋体"/>
          <w:sz w:val="24"/>
          <w:highlight w:val="none"/>
        </w:rPr>
        <w:t>】</w:t>
      </w:r>
    </w:p>
    <w:p>
      <w:pPr>
        <w:numPr>
          <w:ilvl w:val="0"/>
          <w:numId w:val="13"/>
        </w:numPr>
        <w:tabs>
          <w:tab w:val="left" w:pos="709"/>
        </w:tabs>
        <w:spacing w:before="72" w:beforeLines="30" w:after="72" w:afterLines="30" w:line="360" w:lineRule="auto"/>
        <w:ind w:left="567" w:hanging="567"/>
        <w:outlineLvl w:val="0"/>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cstheme="minorEastAsia"/>
          <w:sz w:val="24"/>
          <w:highlight w:val="none"/>
          <w:u w:val="single"/>
          <w:lang w:eastAsia="zh-CN"/>
        </w:rPr>
        <w:t>收货人：</w:t>
      </w:r>
      <w:r>
        <w:rPr>
          <w:rFonts w:hint="eastAsia" w:asciiTheme="minorEastAsia" w:hAnsiTheme="minorEastAsia" w:cstheme="minorEastAsia"/>
          <w:sz w:val="24"/>
          <w:highlight w:val="none"/>
          <w:u w:val="single"/>
          <w:lang w:val="en-US" w:eastAsia="zh-CN"/>
        </w:rPr>
        <w:t xml:space="preserve">            </w:t>
      </w:r>
    </w:p>
    <w:p>
      <w:pPr>
        <w:numPr>
          <w:ilvl w:val="0"/>
          <w:numId w:val="13"/>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【48】</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w:t>
      </w:r>
    </w:p>
    <w:p>
      <w:pPr>
        <w:numPr>
          <w:ilvl w:val="0"/>
          <w:numId w:val="13"/>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pPr>
        <w:pStyle w:val="30"/>
        <w:spacing w:line="360" w:lineRule="auto"/>
        <w:ind w:left="567" w:leftChars="270" w:firstLine="0" w:firstLineChars="0"/>
        <w:rPr>
          <w:rFonts w:hAnsi="宋体"/>
          <w:sz w:val="24"/>
          <w:highlight w:val="none"/>
        </w:rPr>
      </w:pPr>
      <w:r>
        <w:rPr>
          <w:rFonts w:hint="eastAsia" w:hAnsi="宋体"/>
          <w:sz w:val="24"/>
          <w:highlight w:val="none"/>
          <w:lang w:eastAsia="zh-CN"/>
        </w:rPr>
        <w:t>（</w:t>
      </w:r>
      <w:r>
        <w:rPr>
          <w:rFonts w:hint="eastAsia" w:hAnsi="宋体"/>
          <w:sz w:val="24"/>
          <w:highlight w:val="none"/>
          <w:lang w:val="en-US" w:eastAsia="zh-CN"/>
        </w:rPr>
        <w:t>1</w:t>
      </w:r>
      <w:r>
        <w:rPr>
          <w:rFonts w:hint="eastAsia" w:hAnsi="宋体"/>
          <w:sz w:val="24"/>
          <w:highlight w:val="none"/>
          <w:lang w:eastAsia="zh-CN"/>
        </w:rPr>
        <w:t>）</w:t>
      </w: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pPr>
        <w:pStyle w:val="30"/>
        <w:spacing w:line="360" w:lineRule="auto"/>
        <w:ind w:left="567" w:leftChars="270" w:firstLine="0" w:firstLineChars="0"/>
        <w:rPr>
          <w:rFonts w:hint="eastAsia" w:hAnsi="宋体" w:eastAsia="宋体"/>
          <w:sz w:val="24"/>
          <w:highlight w:val="none"/>
          <w:lang w:val="en-US" w:eastAsia="zh-CN"/>
        </w:rPr>
      </w:pPr>
      <w:r>
        <w:rPr>
          <w:rFonts w:hint="eastAsia" w:hAnsi="宋体"/>
          <w:sz w:val="24"/>
          <w:highlight w:val="none"/>
          <w:lang w:eastAsia="zh-CN"/>
        </w:rPr>
        <w:t>（</w:t>
      </w:r>
      <w:r>
        <w:rPr>
          <w:rFonts w:hint="eastAsia" w:hAnsi="宋体"/>
          <w:sz w:val="24"/>
          <w:highlight w:val="none"/>
          <w:lang w:val="en-US" w:eastAsia="zh-CN"/>
        </w:rPr>
        <w:t>2</w:t>
      </w:r>
      <w:r>
        <w:rPr>
          <w:rFonts w:hint="eastAsia" w:hAnsi="宋体"/>
          <w:sz w:val="24"/>
          <w:highlight w:val="none"/>
          <w:lang w:eastAsia="zh-CN"/>
        </w:rPr>
        <w:t>）</w:t>
      </w:r>
      <w:r>
        <w:rPr>
          <w:rFonts w:hint="eastAsia" w:hAnsi="宋体"/>
          <w:sz w:val="24"/>
          <w:highlight w:val="none"/>
        </w:rPr>
        <w:t>包装要求：</w:t>
      </w:r>
      <w:r>
        <w:rPr>
          <w:rFonts w:hint="eastAsia" w:hAnsi="宋体"/>
          <w:sz w:val="24"/>
          <w:highlight w:val="none"/>
          <w:u w:val="single"/>
          <w:lang w:val="en-US" w:eastAsia="zh-CN"/>
        </w:rPr>
        <w:t xml:space="preserve">            </w:t>
      </w:r>
      <w:r>
        <w:rPr>
          <w:rFonts w:hint="eastAsia" w:hAnsi="宋体"/>
          <w:sz w:val="24"/>
          <w:highlight w:val="none"/>
          <w:u w:val="single"/>
          <w:lang w:eastAsia="zh-CN"/>
        </w:rPr>
        <w:t>。</w:t>
      </w:r>
    </w:p>
    <w:p>
      <w:pPr>
        <w:numPr>
          <w:ilvl w:val="0"/>
          <w:numId w:val="13"/>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pPr>
        <w:pStyle w:val="30"/>
        <w:numPr>
          <w:ilvl w:val="0"/>
          <w:numId w:val="15"/>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sz w:val="24"/>
          <w:highlight w:val="none"/>
          <w:lang w:val="en-US" w:eastAsia="zh-CN"/>
        </w:rPr>
        <w:t>3</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30"/>
        <w:numPr>
          <w:ilvl w:val="0"/>
          <w:numId w:val="15"/>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bCs/>
          <w:i/>
          <w:sz w:val="24"/>
          <w:highlight w:val="none"/>
          <w:lang w:val="en-US" w:eastAsia="zh-CN"/>
        </w:rPr>
        <w:t>********</w:t>
      </w:r>
      <w:r>
        <w:rPr>
          <w:rFonts w:hint="eastAsia" w:hAnsi="宋体"/>
          <w:sz w:val="24"/>
          <w:highlight w:val="none"/>
        </w:rPr>
        <w:t>】</w:t>
      </w:r>
      <w:r>
        <w:rPr>
          <w:rFonts w:hint="eastAsia"/>
          <w:sz w:val="24"/>
          <w:highlight w:val="none"/>
        </w:rPr>
        <w:t>。</w:t>
      </w:r>
    </w:p>
    <w:p>
      <w:pPr>
        <w:pStyle w:val="17"/>
        <w:numPr>
          <w:ilvl w:val="0"/>
          <w:numId w:val="7"/>
        </w:numPr>
        <w:tabs>
          <w:tab w:val="left" w:pos="567"/>
        </w:tabs>
        <w:spacing w:before="72" w:beforeLines="30" w:after="72" w:afterLines="30" w:line="360" w:lineRule="auto"/>
        <w:ind w:left="567" w:hanging="567"/>
        <w:jc w:val="left"/>
        <w:rPr>
          <w:sz w:val="24"/>
          <w:szCs w:val="24"/>
          <w:highlight w:val="none"/>
        </w:rPr>
      </w:pPr>
      <w:bookmarkStart w:id="29" w:name="_Toc306354315"/>
      <w:r>
        <w:rPr>
          <w:rFonts w:hint="eastAsia"/>
          <w:sz w:val="24"/>
          <w:szCs w:val="24"/>
          <w:highlight w:val="none"/>
        </w:rPr>
        <w:t>货物要求</w:t>
      </w:r>
    </w:p>
    <w:p>
      <w:pPr>
        <w:pStyle w:val="30"/>
        <w:numPr>
          <w:ilvl w:val="0"/>
          <w:numId w:val="16"/>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pStyle w:val="30"/>
        <w:numPr>
          <w:ilvl w:val="0"/>
          <w:numId w:val="16"/>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pPr>
        <w:pStyle w:val="17"/>
        <w:numPr>
          <w:ilvl w:val="0"/>
          <w:numId w:val="7"/>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pPr>
        <w:pStyle w:val="30"/>
        <w:numPr>
          <w:ilvl w:val="0"/>
          <w:numId w:val="17"/>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u w:val="single"/>
        </w:rPr>
        <w:t>汽车</w:t>
      </w:r>
      <w:r>
        <w:rPr>
          <w:rFonts w:hint="eastAsia" w:hAnsi="宋体"/>
          <w:sz w:val="24"/>
          <w:highlight w:val="none"/>
        </w:rPr>
        <w:t>】</w:t>
      </w:r>
      <w:r>
        <w:rPr>
          <w:rFonts w:hint="eastAsia"/>
          <w:sz w:val="24"/>
          <w:highlight w:val="none"/>
        </w:rPr>
        <w:t>。</w:t>
      </w:r>
    </w:p>
    <w:p>
      <w:pPr>
        <w:pStyle w:val="30"/>
        <w:keepNext w:val="0"/>
        <w:keepLines w:val="0"/>
        <w:pageBreakBefore w:val="0"/>
        <w:numPr>
          <w:ilvl w:val="0"/>
          <w:numId w:val="17"/>
        </w:numPr>
        <w:kinsoku/>
        <w:wordWrap/>
        <w:overflowPunct/>
        <w:topLinePunct w:val="0"/>
        <w:autoSpaceDE/>
        <w:autoSpaceDN/>
        <w:bidi w:val="0"/>
        <w:adjustRightInd/>
        <w:spacing w:before="72" w:beforeLines="30" w:after="72" w:afterLines="30" w:line="360" w:lineRule="auto"/>
        <w:ind w:left="567" w:hanging="567" w:firstLineChars="0"/>
        <w:textAlignment w:val="auto"/>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【2</w:t>
      </w:r>
      <w:r>
        <w:rPr>
          <w:rFonts w:hint="eastAsia" w:hAnsi="宋体"/>
          <w:i/>
          <w:sz w:val="24"/>
          <w:highlight w:val="none"/>
        </w:rPr>
        <w:t>天</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pPr>
        <w:pStyle w:val="30"/>
        <w:keepNext w:val="0"/>
        <w:keepLines w:val="0"/>
        <w:pageBreakBefore w:val="0"/>
        <w:numPr>
          <w:ilvl w:val="0"/>
          <w:numId w:val="17"/>
        </w:numPr>
        <w:kinsoku/>
        <w:wordWrap/>
        <w:overflowPunct/>
        <w:topLinePunct w:val="0"/>
        <w:autoSpaceDE/>
        <w:autoSpaceDN/>
        <w:bidi w:val="0"/>
        <w:adjustRightInd/>
        <w:spacing w:before="72" w:beforeLines="30" w:after="72" w:afterLines="30" w:line="360" w:lineRule="auto"/>
        <w:ind w:left="567" w:hanging="567" w:firstLineChars="0"/>
        <w:textAlignment w:val="auto"/>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pPr>
        <w:pStyle w:val="17"/>
        <w:keepNext w:val="0"/>
        <w:keepLines w:val="0"/>
        <w:pageBreakBefore w:val="0"/>
        <w:numPr>
          <w:ilvl w:val="0"/>
          <w:numId w:val="7"/>
        </w:numPr>
        <w:tabs>
          <w:tab w:val="left" w:pos="567"/>
        </w:tabs>
        <w:kinsoku/>
        <w:wordWrap/>
        <w:overflowPunct/>
        <w:topLinePunct w:val="0"/>
        <w:autoSpaceDE/>
        <w:autoSpaceDN/>
        <w:bidi w:val="0"/>
        <w:adjustRightInd/>
        <w:spacing w:before="72" w:beforeLines="30" w:after="72" w:afterLines="30" w:line="360" w:lineRule="auto"/>
        <w:ind w:left="567" w:hanging="567"/>
        <w:jc w:val="left"/>
        <w:textAlignment w:val="auto"/>
        <w:rPr>
          <w:sz w:val="24"/>
          <w:szCs w:val="24"/>
          <w:highlight w:val="none"/>
        </w:rPr>
      </w:pPr>
      <w:r>
        <w:rPr>
          <w:rFonts w:hint="eastAsia"/>
          <w:sz w:val="24"/>
          <w:szCs w:val="24"/>
          <w:highlight w:val="none"/>
          <w:lang w:val="en-US" w:eastAsia="zh-CN"/>
        </w:rPr>
        <w:t>安装及</w:t>
      </w:r>
      <w:r>
        <w:rPr>
          <w:rFonts w:hint="eastAsia"/>
          <w:sz w:val="24"/>
          <w:szCs w:val="24"/>
          <w:highlight w:val="none"/>
        </w:rPr>
        <w:t>验收</w:t>
      </w:r>
      <w:bookmarkEnd w:id="29"/>
    </w:p>
    <w:p>
      <w:pPr>
        <w:keepNext w:val="0"/>
        <w:keepLines w:val="0"/>
        <w:pageBreakBefore w:val="0"/>
        <w:numPr>
          <w:ilvl w:val="0"/>
          <w:numId w:val="18"/>
        </w:numPr>
        <w:tabs>
          <w:tab w:val="left" w:pos="567"/>
          <w:tab w:val="left" w:pos="709"/>
          <w:tab w:val="clear" w:pos="1860"/>
        </w:tabs>
        <w:kinsoku/>
        <w:wordWrap/>
        <w:overflowPunct/>
        <w:topLinePunct w:val="0"/>
        <w:autoSpaceDE/>
        <w:autoSpaceDN/>
        <w:bidi w:val="0"/>
        <w:adjustRightInd/>
        <w:snapToGrid w:val="0"/>
        <w:spacing w:before="72" w:beforeLines="30" w:after="72" w:afterLines="30" w:line="360" w:lineRule="auto"/>
        <w:ind w:left="567" w:hanging="567"/>
        <w:textAlignment w:val="auto"/>
        <w:rPr>
          <w:b/>
          <w:sz w:val="24"/>
          <w:highlight w:val="none"/>
        </w:rPr>
      </w:pPr>
      <w:r>
        <w:rPr>
          <w:rFonts w:hint="eastAsia"/>
          <w:sz w:val="24"/>
          <w:highlight w:val="none"/>
        </w:rPr>
        <w:t>合同货物交付前，卖方应对其进行全面检验，并在交付货物时向买方提交货物的质量合格证书。</w:t>
      </w:r>
    </w:p>
    <w:p>
      <w:pPr>
        <w:numPr>
          <w:ilvl w:val="0"/>
          <w:numId w:val="18"/>
        </w:numPr>
        <w:tabs>
          <w:tab w:val="left" w:pos="567"/>
          <w:tab w:val="left" w:pos="709"/>
          <w:tab w:val="clear" w:pos="1860"/>
        </w:tabs>
        <w:snapToGrid w:val="0"/>
        <w:spacing w:before="72" w:beforeLines="30" w:after="72" w:afterLines="30" w:line="360" w:lineRule="auto"/>
        <w:ind w:left="567" w:hanging="567"/>
        <w:rPr>
          <w:rFonts w:hint="default" w:hAnsi="宋体"/>
          <w:sz w:val="24"/>
          <w:highlight w:val="none"/>
          <w:lang w:val="en-US" w:eastAsia="zh-CN"/>
        </w:rPr>
      </w:pPr>
      <w:r>
        <w:rPr>
          <w:rFonts w:hint="eastAsia" w:hAnsi="宋体"/>
          <w:sz w:val="24"/>
          <w:highlight w:val="none"/>
        </w:rPr>
        <w:t>货物运抵交货地点时，</w:t>
      </w:r>
      <w:r>
        <w:rPr>
          <w:rFonts w:hint="eastAsia" w:hAnsi="宋体"/>
          <w:sz w:val="24"/>
          <w:highlight w:val="none"/>
          <w:lang w:val="en-US" w:eastAsia="zh-CN"/>
        </w:rPr>
        <w:t>卖方负责在买方指定的位置进行设备的安装和调试，</w:t>
      </w:r>
      <w:r>
        <w:rPr>
          <w:rFonts w:hint="eastAsia" w:hAnsi="宋体"/>
          <w:sz w:val="24"/>
          <w:highlight w:val="none"/>
        </w:rPr>
        <w:t>双方应共同对货物进行验收。如果货物通过验收，买方向卖方签发验收证明。如货物不符合本合同的规定，买方有权拒绝接受货物。</w:t>
      </w:r>
    </w:p>
    <w:p>
      <w:pPr>
        <w:numPr>
          <w:ilvl w:val="0"/>
          <w:numId w:val="18"/>
        </w:numPr>
        <w:tabs>
          <w:tab w:val="left" w:pos="567"/>
          <w:tab w:val="left" w:pos="709"/>
          <w:tab w:val="clear" w:pos="1860"/>
        </w:tabs>
        <w:snapToGrid w:val="0"/>
        <w:spacing w:before="72" w:beforeLines="30" w:after="72" w:afterLines="30" w:line="360" w:lineRule="auto"/>
        <w:ind w:left="567" w:hanging="567"/>
        <w:rPr>
          <w:rFonts w:hint="eastAsia" w:hAnsi="宋体"/>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pPr>
        <w:pStyle w:val="17"/>
        <w:numPr>
          <w:ilvl w:val="0"/>
          <w:numId w:val="7"/>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30" w:name="_Toc274344115"/>
      <w:bookmarkStart w:id="31" w:name="_Toc274754050"/>
      <w:bookmarkStart w:id="32" w:name="_Toc278875415"/>
      <w:bookmarkStart w:id="33" w:name="_Toc306354316"/>
      <w:bookmarkStart w:id="34" w:name="_Toc274343583"/>
      <w:bookmarkStart w:id="35" w:name="_Toc274669181"/>
      <w:bookmarkStart w:id="36" w:name="_Toc298158366"/>
      <w:bookmarkStart w:id="37" w:name="_Toc274668240"/>
      <w:bookmarkStart w:id="38" w:name="_Toc273388613"/>
      <w:bookmarkStart w:id="39" w:name="_Toc274075980"/>
      <w:bookmarkStart w:id="40" w:name="_Toc274403515"/>
      <w:bookmarkStart w:id="41" w:name="_Toc273451799"/>
      <w:bookmarkStart w:id="42" w:name="_Toc273458613"/>
      <w:bookmarkStart w:id="43" w:name="_Toc273388514"/>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pPr>
        <w:numPr>
          <w:ilvl w:val="0"/>
          <w:numId w:val="19"/>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pStyle w:val="17"/>
        <w:numPr>
          <w:ilvl w:val="0"/>
          <w:numId w:val="7"/>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44" w:name="_Toc306354317"/>
      <w:r>
        <w:rPr>
          <w:rFonts w:hint="eastAsia" w:ascii="Times New Roman" w:hAnsi="Times New Roman"/>
          <w:sz w:val="24"/>
          <w:szCs w:val="24"/>
          <w:highlight w:val="none"/>
        </w:rPr>
        <w:t xml:space="preserve">技术服务 </w:t>
      </w:r>
      <w:r>
        <w:rPr>
          <w:rFonts w:ascii="Times New Roman" w:hAnsi="Times New Roman"/>
          <w:sz w:val="24"/>
          <w:szCs w:val="24"/>
          <w:highlight w:val="none"/>
        </w:rPr>
        <w:t xml:space="preserve"> </w:t>
      </w:r>
    </w:p>
    <w:p>
      <w:pPr>
        <w:numPr>
          <w:ilvl w:val="0"/>
          <w:numId w:val="20"/>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20"/>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20"/>
        </w:numPr>
        <w:tabs>
          <w:tab w:val="left" w:pos="567"/>
        </w:tabs>
        <w:snapToGrid w:val="0"/>
        <w:spacing w:before="72" w:beforeLines="30" w:after="72" w:afterLines="30" w:line="360" w:lineRule="auto"/>
        <w:ind w:left="567" w:hanging="567"/>
        <w:rPr>
          <w:sz w:val="24"/>
          <w:highlight w:val="none"/>
        </w:rPr>
      </w:pPr>
      <w:bookmarkStart w:id="45" w:name="_DV_C687"/>
      <w:r>
        <w:rPr>
          <w:rFonts w:hint="eastAsia" w:hAnsi="宋体"/>
          <w:sz w:val="24"/>
          <w:highlight w:val="none"/>
        </w:rPr>
        <w:t>如果买方认为卖方指派的服务人员提供的技术服务无法满足本合同的要求，卖方应更换服务人员并负担由此产生的全部费用。</w:t>
      </w:r>
      <w:bookmarkEnd w:id="45"/>
    </w:p>
    <w:p>
      <w:pPr>
        <w:numPr>
          <w:ilvl w:val="0"/>
          <w:numId w:val="20"/>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44"/>
    </w:p>
    <w:p>
      <w:pPr>
        <w:widowControl/>
        <w:numPr>
          <w:ilvl w:val="0"/>
          <w:numId w:val="21"/>
        </w:numPr>
        <w:tabs>
          <w:tab w:val="left" w:pos="567"/>
          <w:tab w:val="left" w:pos="709"/>
          <w:tab w:val="clear" w:pos="-2940"/>
        </w:tabs>
        <w:spacing w:before="72" w:beforeLines="30" w:after="72" w:afterLines="30" w:line="360" w:lineRule="auto"/>
        <w:ind w:left="456" w:leftChars="0" w:hanging="420" w:firstLineChars="0"/>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21"/>
        </w:numPr>
        <w:tabs>
          <w:tab w:val="left" w:pos="567"/>
          <w:tab w:val="left" w:pos="709"/>
          <w:tab w:val="clear" w:pos="-2940"/>
        </w:tabs>
        <w:spacing w:before="72" w:beforeLines="30" w:after="72" w:afterLines="30" w:line="360" w:lineRule="auto"/>
        <w:ind w:left="456" w:leftChars="0" w:hanging="420" w:firstLineChars="0"/>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21"/>
        </w:numPr>
        <w:tabs>
          <w:tab w:val="left" w:pos="567"/>
          <w:tab w:val="left" w:pos="709"/>
          <w:tab w:val="clear" w:pos="-2940"/>
        </w:tabs>
        <w:spacing w:before="72" w:beforeLines="30" w:after="72" w:afterLines="30" w:line="360" w:lineRule="auto"/>
        <w:ind w:left="456" w:leftChars="0" w:hanging="420" w:firstLineChars="0"/>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46" w:name="_Toc306354318"/>
      <w:r>
        <w:rPr>
          <w:sz w:val="24"/>
          <w:szCs w:val="24"/>
          <w:highlight w:val="none"/>
        </w:rPr>
        <w:t>质量保证</w:t>
      </w:r>
      <w:bookmarkEnd w:id="46"/>
    </w:p>
    <w:p>
      <w:pPr>
        <w:numPr>
          <w:ilvl w:val="0"/>
          <w:numId w:val="22"/>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pPr>
        <w:numPr>
          <w:ilvl w:val="0"/>
          <w:numId w:val="22"/>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到货验收不合格，无条件退货。</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highlight w:val="none"/>
        </w:rPr>
      </w:pPr>
      <w:r>
        <w:rPr>
          <w:rFonts w:hint="eastAsia"/>
          <w:sz w:val="24"/>
          <w:highlight w:val="none"/>
        </w:rPr>
        <w:t>质保期：</w:t>
      </w:r>
      <w:r>
        <w:rPr>
          <w:rFonts w:hint="eastAsia"/>
          <w:sz w:val="24"/>
          <w:highlight w:val="none"/>
          <w:u w:val="single"/>
          <w:lang w:val="en-US" w:eastAsia="zh-CN"/>
        </w:rPr>
        <w:t xml:space="preserve">         </w:t>
      </w:r>
      <w:r>
        <w:rPr>
          <w:rFonts w:hint="eastAsia"/>
          <w:sz w:val="24"/>
          <w:highlight w:val="none"/>
          <w:u w:val="single"/>
        </w:rPr>
        <w:t>。</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Lines="30"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Lines="30"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Lines="30" w:afterLines="30" w:line="360" w:lineRule="auto"/>
        <w:ind w:left="567"/>
        <w:jc w:val="left"/>
        <w:rPr>
          <w:highlight w:val="none"/>
        </w:rPr>
      </w:pPr>
      <w:r>
        <w:rPr>
          <w:rFonts w:hint="eastAsia"/>
          <w:sz w:val="24"/>
          <w:highlight w:val="none"/>
        </w:rPr>
        <w:t>（3）退货。卖方承担由此产生的费用。</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sz w:val="24"/>
          <w:highlight w:val="none"/>
        </w:rPr>
      </w:pPr>
      <w:r>
        <w:rPr>
          <w:sz w:val="24"/>
          <w:highlight w:val="none"/>
        </w:rPr>
        <w:t>对于任何修复或更换，卖方应在收到</w:t>
      </w:r>
      <w:r>
        <w:rPr>
          <w:rFonts w:hint="eastAsia"/>
          <w:sz w:val="24"/>
          <w:highlight w:val="none"/>
        </w:rPr>
        <w:t>买方发出的</w:t>
      </w:r>
      <w:r>
        <w:rPr>
          <w:sz w:val="24"/>
          <w:highlight w:val="none"/>
        </w:rPr>
        <w:t>货物缺陷通知后</w:t>
      </w:r>
      <w:r>
        <w:rPr>
          <w:rFonts w:hint="eastAsia"/>
          <w:sz w:val="24"/>
          <w:highlight w:val="none"/>
        </w:rPr>
        <w:t>【10】日</w:t>
      </w:r>
      <w:r>
        <w:rPr>
          <w:sz w:val="24"/>
          <w:highlight w:val="none"/>
        </w:rPr>
        <w:t>内完成。</w:t>
      </w:r>
      <w:r>
        <w:rPr>
          <w:rFonts w:hint="eastAsia"/>
          <w:sz w:val="24"/>
          <w:highlight w:val="none"/>
        </w:rPr>
        <w:t>若卖方到通知后未在规定的时间内及时维修、重作、更换以弥补缺陷，买方可采取必要的补救措施，但其风险和费用将由卖方承担，买方根据合同规定对卖方行使的其他权利不受影响。</w:t>
      </w:r>
      <w:r>
        <w:rPr>
          <w:sz w:val="24"/>
          <w:highlight w:val="none"/>
        </w:rPr>
        <w:t>如经修复、更换仍无法消除该等缺陷，买方有权要求退货。卖方应赔偿买方因货物存在前述缺陷遭受的全部损失。</w:t>
      </w:r>
    </w:p>
    <w:p>
      <w:pPr>
        <w:numPr>
          <w:ilvl w:val="0"/>
          <w:numId w:val="22"/>
        </w:numPr>
        <w:tabs>
          <w:tab w:val="left" w:pos="567"/>
          <w:tab w:val="left" w:pos="709"/>
          <w:tab w:val="clear" w:pos="1860"/>
        </w:tabs>
        <w:autoSpaceDE w:val="0"/>
        <w:autoSpaceDN w:val="0"/>
        <w:adjustRightInd w:val="0"/>
        <w:spacing w:beforeLines="30" w:afterLines="30" w:line="360" w:lineRule="auto"/>
        <w:ind w:left="567" w:hanging="567"/>
        <w:jc w:val="left"/>
        <w:rPr>
          <w:rFonts w:hint="eastAsia"/>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pPr>
        <w:pStyle w:val="17"/>
        <w:numPr>
          <w:ilvl w:val="0"/>
          <w:numId w:val="7"/>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47" w:name="_Toc306354320"/>
      <w:bookmarkStart w:id="48" w:name="_Toc274343584"/>
      <w:bookmarkStart w:id="49" w:name="_Toc274076152"/>
      <w:bookmarkStart w:id="50" w:name="_Toc274669182"/>
      <w:bookmarkStart w:id="51" w:name="_Toc274403516"/>
      <w:bookmarkStart w:id="52" w:name="_Toc274668241"/>
      <w:bookmarkStart w:id="53" w:name="_Toc278875417"/>
      <w:bookmarkStart w:id="54" w:name="_Toc273451839"/>
      <w:bookmarkStart w:id="55" w:name="_Toc298158368"/>
      <w:bookmarkStart w:id="56" w:name="_Toc274344116"/>
      <w:bookmarkStart w:id="57" w:name="_Toc274754051"/>
      <w:bookmarkStart w:id="58" w:name="_Toc273451906"/>
      <w:bookmarkStart w:id="59" w:name="_Toc274075964"/>
      <w:bookmarkStart w:id="60" w:name="_Toc273388519"/>
      <w:bookmarkStart w:id="61" w:name="_Toc273451804"/>
      <w:bookmarkStart w:id="62" w:name="_Toc273388618"/>
      <w:bookmarkStart w:id="63" w:name="_Toc274075986"/>
      <w:bookmarkStart w:id="64" w:name="_Toc273458618"/>
      <w:r>
        <w:rPr>
          <w:rFonts w:ascii="Times New Roman" w:hAnsi="Times New Roman"/>
          <w:sz w:val="24"/>
          <w:szCs w:val="24"/>
          <w:highlight w:val="none"/>
        </w:rPr>
        <w:t>违约责任</w:t>
      </w:r>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65" w:name="OLE_LINK64"/>
      <w:bookmarkStart w:id="66" w:name="OLE_LINK65"/>
      <w:r>
        <w:rPr>
          <w:rFonts w:hint="eastAsia"/>
          <w:sz w:val="24"/>
          <w:highlight w:val="none"/>
        </w:rPr>
        <w:t>【</w:t>
      </w:r>
      <w:r>
        <w:rPr>
          <w:rFonts w:hint="eastAsia"/>
          <w:sz w:val="24"/>
          <w:highlight w:val="none"/>
          <w:lang w:val="en-US" w:eastAsia="zh-CN"/>
        </w:rPr>
        <w:t>10</w:t>
      </w:r>
      <w:r>
        <w:rPr>
          <w:rFonts w:hint="eastAsia"/>
          <w:sz w:val="24"/>
          <w:highlight w:val="none"/>
        </w:rPr>
        <w:t>%】</w:t>
      </w:r>
      <w:bookmarkEnd w:id="65"/>
      <w:bookmarkEnd w:id="66"/>
      <w:r>
        <w:rPr>
          <w:rFonts w:hint="eastAsia"/>
          <w:sz w:val="24"/>
          <w:highlight w:val="none"/>
        </w:rPr>
        <w:t>的违约金，并赔偿买方因此遭受的全部损失：</w:t>
      </w:r>
    </w:p>
    <w:p>
      <w:pPr>
        <w:numPr>
          <w:ilvl w:val="1"/>
          <w:numId w:val="24"/>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24"/>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24"/>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而遭受的全部损失。</w:t>
      </w:r>
    </w:p>
    <w:p>
      <w:pPr>
        <w:numPr>
          <w:ilvl w:val="0"/>
          <w:numId w:val="23"/>
        </w:numPr>
        <w:tabs>
          <w:tab w:val="left" w:pos="567"/>
          <w:tab w:val="left" w:pos="709"/>
          <w:tab w:val="left" w:pos="3060"/>
        </w:tabs>
        <w:spacing w:before="72" w:beforeLines="30" w:after="72" w:afterLines="30" w:line="360" w:lineRule="auto"/>
        <w:ind w:left="567" w:hanging="567"/>
        <w:rPr>
          <w:sz w:val="24"/>
          <w:highlight w:val="none"/>
          <w:lang w:val="en-US" w:eastAsia="zh-CN"/>
        </w:rPr>
      </w:pPr>
      <w:r>
        <w:rPr>
          <w:rFonts w:hint="eastAsia"/>
          <w:sz w:val="24"/>
          <w:highlight w:val="none"/>
          <w:lang w:val="en-US" w:eastAsia="zh-CN"/>
        </w:rPr>
        <w:t>如卖方未按照合同规定的交货日期交货，每延期一日，卖方应按照延期交货合同设备对应合同价款0.5%的比例，向买方支付违约金（违约金上限为合同价款的10%）。如合同设备延期交付超过50日，除要求卖方支付延期交货违约金外，买方有权解除本合同，并有权要求卖方赔偿买方因此遭受的全部损失。</w:t>
      </w:r>
    </w:p>
    <w:p>
      <w:pPr>
        <w:numPr>
          <w:ilvl w:val="0"/>
          <w:numId w:val="23"/>
        </w:numPr>
        <w:tabs>
          <w:tab w:val="left" w:pos="567"/>
          <w:tab w:val="left" w:pos="709"/>
          <w:tab w:val="left" w:pos="3060"/>
        </w:tabs>
        <w:spacing w:before="72" w:beforeLines="30" w:after="72" w:afterLines="30" w:line="360" w:lineRule="auto"/>
        <w:ind w:left="567" w:hanging="567"/>
        <w:rPr>
          <w:rFonts w:hint="eastAsia"/>
          <w:sz w:val="24"/>
          <w:highlight w:val="none"/>
          <w:lang w:val="en-US" w:eastAsia="zh-CN"/>
        </w:rPr>
      </w:pPr>
      <w:r>
        <w:rPr>
          <w:rFonts w:hint="eastAsia"/>
          <w:sz w:val="24"/>
          <w:highlight w:val="none"/>
          <w:lang w:val="en-US" w:eastAsia="zh-CN"/>
        </w:rPr>
        <w:t>卖方根据本合同的规定应承担违约金或赔偿责任的，买方有权从合同总价余额中直接扣除。</w:t>
      </w:r>
    </w:p>
    <w:p>
      <w:pPr>
        <w:numPr>
          <w:ilvl w:val="0"/>
          <w:numId w:val="23"/>
        </w:numPr>
        <w:tabs>
          <w:tab w:val="left" w:pos="567"/>
          <w:tab w:val="left" w:pos="709"/>
          <w:tab w:val="left" w:pos="3060"/>
        </w:tabs>
        <w:spacing w:before="72" w:beforeLines="30" w:after="72" w:afterLines="30" w:line="360" w:lineRule="auto"/>
        <w:ind w:left="567" w:hanging="567"/>
        <w:rPr>
          <w:rFonts w:hint="eastAsia"/>
          <w:sz w:val="24"/>
          <w:highlight w:val="none"/>
          <w:lang w:val="en-US" w:eastAsia="zh-CN"/>
        </w:rPr>
      </w:pPr>
      <w:r>
        <w:rPr>
          <w:rFonts w:hint="eastAsia"/>
          <w:sz w:val="24"/>
          <w:highlight w:val="none"/>
          <w:lang w:val="en-US" w:eastAsia="zh-CN"/>
        </w:rPr>
        <w:t>如卖方未能在接到买方邮件或联络函通知后（买方至少提前一周通知），安排服务人员前往指定出海码头出海，服务人员每延期出海一日（出海日期以邮件或联络函通知为准），卖方应向买方支付合同总价的0.5%作为延期违约金（最高不超过合同总价的10%）。如延期超过7日，除要求卖方支付违约金外，买方有权要求卖方赔偿买方在此期间因调试延误产生的人员怠工、工期延误等全部损失。</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67" w:name="_Toc306354321"/>
      <w:r>
        <w:rPr>
          <w:rFonts w:hint="eastAsia" w:ascii="Times New Roman" w:hAnsi="Times New Roman"/>
          <w:sz w:val="24"/>
          <w:szCs w:val="24"/>
          <w:highlight w:val="none"/>
        </w:rPr>
        <w:t>合同的解除和</w:t>
      </w:r>
      <w:r>
        <w:rPr>
          <w:sz w:val="24"/>
          <w:szCs w:val="24"/>
          <w:highlight w:val="none"/>
        </w:rPr>
        <w:t>终止</w:t>
      </w:r>
      <w:bookmarkEnd w:id="67"/>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本合同明确规定买方有权解除合同的情形；</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26"/>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六十（60）</w:t>
      </w:r>
      <w:r>
        <w:rPr>
          <w:sz w:val="24"/>
          <w:highlight w:val="none"/>
        </w:rPr>
        <w:t>】</w:t>
      </w:r>
      <w:r>
        <w:rPr>
          <w:rFonts w:hint="eastAsia"/>
          <w:sz w:val="24"/>
          <w:highlight w:val="none"/>
        </w:rPr>
        <w:t>日。</w:t>
      </w:r>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pPr>
        <w:numPr>
          <w:ilvl w:val="0"/>
          <w:numId w:val="25"/>
        </w:numPr>
        <w:tabs>
          <w:tab w:val="left" w:pos="567"/>
          <w:tab w:val="left" w:pos="709"/>
        </w:tabs>
        <w:spacing w:before="72" w:beforeLines="30" w:after="72" w:afterLines="30" w:line="360" w:lineRule="auto"/>
        <w:ind w:left="567" w:hanging="567"/>
        <w:rPr>
          <w:rFonts w:hAnsi="宋体"/>
          <w:color w:val="000000"/>
          <w:sz w:val="24"/>
          <w:highlight w:val="none"/>
        </w:rPr>
      </w:pPr>
      <w:bookmarkStart w:id="68"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68"/>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69" w:name="_Toc306354322"/>
      <w:r>
        <w:rPr>
          <w:rFonts w:hint="eastAsia"/>
          <w:sz w:val="24"/>
          <w:szCs w:val="24"/>
          <w:highlight w:val="none"/>
        </w:rPr>
        <w:t xml:space="preserve"> 健康、安全和环保</w:t>
      </w:r>
      <w:bookmarkEnd w:id="69"/>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70"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70"/>
    </w:p>
    <w:p>
      <w:pPr>
        <w:widowControl/>
        <w:numPr>
          <w:ilvl w:val="0"/>
          <w:numId w:val="28"/>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28"/>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71" w:name="_DV_C867"/>
      <w:r>
        <w:rPr>
          <w:rFonts w:hint="eastAsia"/>
          <w:sz w:val="24"/>
          <w:highlight w:val="none"/>
        </w:rPr>
        <w:t>卖方不得将本合同转包给任何第三方，包括其关联企业。</w:t>
      </w:r>
      <w:bookmarkEnd w:id="71"/>
    </w:p>
    <w:bookmarkEnd w:id="60"/>
    <w:bookmarkEnd w:id="61"/>
    <w:bookmarkEnd w:id="62"/>
    <w:bookmarkEnd w:id="63"/>
    <w:bookmarkEnd w:id="64"/>
    <w:p>
      <w:pPr>
        <w:pStyle w:val="17"/>
        <w:numPr>
          <w:ilvl w:val="0"/>
          <w:numId w:val="7"/>
        </w:numPr>
        <w:tabs>
          <w:tab w:val="left" w:pos="993"/>
        </w:tabs>
        <w:spacing w:before="72" w:beforeLines="30" w:after="72" w:afterLines="30" w:line="360" w:lineRule="auto"/>
        <w:ind w:left="567" w:hanging="567"/>
        <w:jc w:val="left"/>
        <w:rPr>
          <w:rFonts w:hAnsi="宋体"/>
          <w:color w:val="000000"/>
          <w:sz w:val="24"/>
          <w:szCs w:val="24"/>
          <w:highlight w:val="none"/>
        </w:rPr>
      </w:pPr>
      <w:bookmarkStart w:id="72" w:name="_Toc306354324"/>
      <w:r>
        <w:rPr>
          <w:rFonts w:hint="eastAsia" w:hAnsi="宋体"/>
          <w:color w:val="000000"/>
          <w:sz w:val="24"/>
          <w:szCs w:val="24"/>
          <w:highlight w:val="none"/>
        </w:rPr>
        <w:t xml:space="preserve"> 不可抗力</w:t>
      </w:r>
      <w:bookmarkEnd w:id="72"/>
    </w:p>
    <w:p>
      <w:pPr>
        <w:pStyle w:val="3"/>
        <w:widowControl/>
        <w:numPr>
          <w:ilvl w:val="0"/>
          <w:numId w:val="29"/>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pPr>
        <w:pStyle w:val="3"/>
        <w:widowControl/>
        <w:numPr>
          <w:ilvl w:val="0"/>
          <w:numId w:val="29"/>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3"/>
        <w:widowControl/>
        <w:numPr>
          <w:ilvl w:val="0"/>
          <w:numId w:val="29"/>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如发生不可抗力，双方各自承担其人员和财产损失。一旦不可抗力停止或者影响消除，双方应立即履行其义务，合同的期限应该相应顺延。如果不可抗力的影响持续超过【30】日，双方应该共同商议应对措施。</w:t>
      </w:r>
    </w:p>
    <w:p>
      <w:pPr>
        <w:pStyle w:val="3"/>
        <w:widowControl/>
        <w:numPr>
          <w:ilvl w:val="0"/>
          <w:numId w:val="29"/>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73" w:name="_Toc306354326"/>
      <w:bookmarkStart w:id="74" w:name="_Toc298158360"/>
      <w:r>
        <w:rPr>
          <w:rFonts w:hint="eastAsia"/>
          <w:sz w:val="24"/>
          <w:szCs w:val="24"/>
          <w:highlight w:val="none"/>
        </w:rPr>
        <w:t xml:space="preserve"> 保密</w:t>
      </w:r>
      <w:bookmarkEnd w:id="73"/>
      <w:bookmarkEnd w:id="74"/>
    </w:p>
    <w:p>
      <w:pPr>
        <w:numPr>
          <w:ilvl w:val="0"/>
          <w:numId w:val="30"/>
        </w:numPr>
        <w:tabs>
          <w:tab w:val="left" w:pos="567"/>
          <w:tab w:val="left" w:pos="709"/>
          <w:tab w:val="clear" w:pos="-840"/>
        </w:tabs>
        <w:spacing w:before="72" w:beforeLines="30" w:after="72" w:afterLines="30" w:line="360" w:lineRule="auto"/>
        <w:ind w:left="286" w:leftChars="0" w:hanging="420" w:firstLineChars="0"/>
        <w:rPr>
          <w:sz w:val="24"/>
          <w:highlight w:val="none"/>
        </w:rPr>
      </w:pPr>
      <w:r>
        <w:rPr>
          <w:rFonts w:hint="eastAsia" w:ascii="宋体" w:hAnsi="宋体" w:eastAsia="宋体" w:cstheme="minorBidi"/>
          <w:kern w:val="0"/>
          <w:sz w:val="24"/>
          <w:szCs w:val="21"/>
          <w:highlight w:val="none"/>
          <w:lang w:val="en-US" w:eastAsia="en-US" w:bidi="ar-SA"/>
        </w:rPr>
        <w:t>除非法律法规、政府机关另行强制要求，未经买方同意，卖方不得将买方</w:t>
      </w:r>
      <w:r>
        <w:rPr>
          <w:sz w:val="24"/>
          <w:highlight w:val="none"/>
        </w:rPr>
        <w:t>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bookmarkStart w:id="75" w:name="_Toc306354328"/>
      <w:r>
        <w:rPr>
          <w:rFonts w:hint="eastAsia"/>
          <w:sz w:val="24"/>
          <w:szCs w:val="24"/>
          <w:highlight w:val="none"/>
        </w:rPr>
        <w:t xml:space="preserve"> 审计、禁止商业贿赂和反腐败</w:t>
      </w:r>
    </w:p>
    <w:p>
      <w:pPr>
        <w:pStyle w:val="30"/>
        <w:numPr>
          <w:ilvl w:val="0"/>
          <w:numId w:val="31"/>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pPr>
        <w:pStyle w:val="30"/>
        <w:numPr>
          <w:ilvl w:val="0"/>
          <w:numId w:val="31"/>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pPr>
        <w:pStyle w:val="30"/>
        <w:numPr>
          <w:ilvl w:val="0"/>
          <w:numId w:val="31"/>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7"/>
        <w:numPr>
          <w:ilvl w:val="0"/>
          <w:numId w:val="7"/>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75"/>
    </w:p>
    <w:p>
      <w:pPr>
        <w:widowControl/>
        <w:numPr>
          <w:ilvl w:val="0"/>
          <w:numId w:val="32"/>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33"/>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33"/>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33"/>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32"/>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pStyle w:val="17"/>
        <w:numPr>
          <w:ilvl w:val="0"/>
          <w:numId w:val="7"/>
        </w:numPr>
        <w:tabs>
          <w:tab w:val="left" w:pos="567"/>
        </w:tabs>
        <w:spacing w:before="72" w:beforeLines="30" w:after="72" w:afterLines="30" w:line="360" w:lineRule="auto"/>
        <w:ind w:left="567" w:hanging="567"/>
        <w:jc w:val="left"/>
        <w:rPr>
          <w:sz w:val="24"/>
          <w:szCs w:val="24"/>
          <w:highlight w:val="none"/>
        </w:rPr>
      </w:pPr>
      <w:bookmarkStart w:id="76"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76"/>
    </w:p>
    <w:p>
      <w:pPr>
        <w:numPr>
          <w:ilvl w:val="1"/>
          <w:numId w:val="34"/>
        </w:numPr>
        <w:tabs>
          <w:tab w:val="left" w:pos="567"/>
        </w:tabs>
        <w:spacing w:before="72" w:beforeLines="30" w:after="72" w:afterLines="30" w:line="360" w:lineRule="auto"/>
        <w:ind w:left="567" w:hanging="567"/>
        <w:rPr>
          <w:rFonts w:ascii="宋体" w:hAnsi="宋体"/>
          <w:sz w:val="24"/>
          <w:highlight w:val="none"/>
        </w:rPr>
      </w:pPr>
      <w:bookmarkStart w:id="77" w:name="_Toc296955884"/>
      <w:bookmarkStart w:id="78" w:name="_Toc296959346"/>
      <w:r>
        <w:rPr>
          <w:rFonts w:hint="eastAsia" w:ascii="宋体" w:hAnsi="宋体"/>
          <w:sz w:val="24"/>
          <w:highlight w:val="none"/>
        </w:rPr>
        <w:t>本合同适用中华人民共和国（不含香港特别行政区、澳门特别行政区和台湾地区）法律。</w:t>
      </w:r>
    </w:p>
    <w:p>
      <w:pPr>
        <w:numPr>
          <w:ilvl w:val="1"/>
          <w:numId w:val="34"/>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pPr>
        <w:numPr>
          <w:ilvl w:val="1"/>
          <w:numId w:val="34"/>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77"/>
    <w:bookmarkEnd w:id="78"/>
    <w:p>
      <w:pPr>
        <w:pStyle w:val="17"/>
        <w:numPr>
          <w:ilvl w:val="0"/>
          <w:numId w:val="7"/>
        </w:numPr>
        <w:tabs>
          <w:tab w:val="left" w:pos="567"/>
        </w:tabs>
        <w:spacing w:before="72" w:beforeLines="30" w:after="72" w:afterLines="30" w:line="360" w:lineRule="auto"/>
        <w:ind w:left="567" w:hanging="567"/>
        <w:jc w:val="left"/>
        <w:rPr>
          <w:sz w:val="24"/>
          <w:szCs w:val="24"/>
          <w:highlight w:val="none"/>
        </w:rPr>
      </w:pPr>
      <w:bookmarkStart w:id="79" w:name="_Toc306354330"/>
      <w:r>
        <w:rPr>
          <w:rFonts w:hint="eastAsia"/>
          <w:sz w:val="24"/>
          <w:szCs w:val="24"/>
          <w:highlight w:val="none"/>
        </w:rPr>
        <w:t xml:space="preserve"> </w:t>
      </w:r>
      <w:r>
        <w:rPr>
          <w:sz w:val="24"/>
          <w:szCs w:val="24"/>
          <w:highlight w:val="none"/>
        </w:rPr>
        <w:t>其它</w:t>
      </w:r>
      <w:bookmarkEnd w:id="79"/>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80" w:name="OLE_LINK11"/>
      <w:bookmarkStart w:id="81" w:name="OLE_LINK12"/>
      <w:r>
        <w:rPr>
          <w:rFonts w:hint="eastAsia" w:ascii="宋体" w:hAnsi="宋体"/>
          <w:sz w:val="24"/>
          <w:highlight w:val="none"/>
        </w:rPr>
        <w:t>自双方履行完本合同项下全部权利和义务后终止</w:t>
      </w:r>
      <w:bookmarkEnd w:id="80"/>
      <w:bookmarkEnd w:id="81"/>
      <w:r>
        <w:rPr>
          <w:sz w:val="24"/>
          <w:highlight w:val="none"/>
        </w:rPr>
        <w:t>。</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pPr>
        <w:numPr>
          <w:ilvl w:val="1"/>
          <w:numId w:val="35"/>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pPr>
        <w:numPr>
          <w:ilvl w:val="1"/>
          <w:numId w:val="35"/>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pPr>
        <w:numPr>
          <w:ilvl w:val="1"/>
          <w:numId w:val="35"/>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5"/>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【两】</w:t>
      </w:r>
      <w:r>
        <w:rPr>
          <w:sz w:val="24"/>
          <w:highlight w:val="none"/>
        </w:rPr>
        <w:t>份，</w:t>
      </w:r>
      <w:r>
        <w:rPr>
          <w:rFonts w:hint="eastAsia"/>
          <w:sz w:val="24"/>
          <w:highlight w:val="none"/>
        </w:rPr>
        <w:t>买卖双方各持【一】份</w:t>
      </w:r>
      <w:r>
        <w:rPr>
          <w:sz w:val="24"/>
          <w:highlight w:val="none"/>
        </w:rPr>
        <w:t>，具有同等效力。</w:t>
      </w:r>
    </w:p>
    <w:p>
      <w:pPr>
        <w:widowControl/>
        <w:spacing w:before="72" w:beforeLines="30" w:after="72" w:afterLines="30" w:line="360" w:lineRule="auto"/>
        <w:jc w:val="left"/>
        <w:rPr>
          <w:sz w:val="24"/>
          <w:highlight w:val="none"/>
        </w:rPr>
      </w:pPr>
      <w:r>
        <w:rPr>
          <w:sz w:val="24"/>
          <w:highlight w:val="none"/>
        </w:rPr>
        <w:br w:type="page"/>
      </w:r>
    </w:p>
    <w:p>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sz w:val="24"/>
          <w:highlight w:val="none"/>
        </w:rPr>
      </w:pPr>
    </w:p>
    <w:tbl>
      <w:tblPr>
        <w:tblStyle w:val="20"/>
        <w:tblW w:w="9163" w:type="dxa"/>
        <w:tblInd w:w="-481" w:type="dxa"/>
        <w:tblLayout w:type="fixed"/>
        <w:tblCellMar>
          <w:top w:w="0" w:type="dxa"/>
          <w:left w:w="108" w:type="dxa"/>
          <w:bottom w:w="0" w:type="dxa"/>
          <w:right w:w="108" w:type="dxa"/>
        </w:tblCellMar>
      </w:tblPr>
      <w:tblGrid>
        <w:gridCol w:w="4808"/>
        <w:gridCol w:w="4355"/>
      </w:tblGrid>
      <w:tr>
        <w:tblPrEx>
          <w:tblCellMar>
            <w:top w:w="0" w:type="dxa"/>
            <w:left w:w="108" w:type="dxa"/>
            <w:bottom w:w="0" w:type="dxa"/>
            <w:right w:w="108" w:type="dxa"/>
          </w:tblCellMar>
        </w:tblPrEx>
        <w:trPr>
          <w:trHeight w:val="2653" w:hRule="atLeast"/>
        </w:trPr>
        <w:tc>
          <w:tcPr>
            <w:tcW w:w="4808" w:type="dxa"/>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rFonts w:hint="default" w:eastAsiaTheme="minorEastAsia"/>
                <w:sz w:val="24"/>
                <w:highlight w:val="none"/>
                <w:lang w:val="en-US" w:eastAsia="zh-CN"/>
              </w:rPr>
            </w:pPr>
            <w:r>
              <w:rPr>
                <w:sz w:val="24"/>
                <w:highlight w:val="none"/>
              </w:rPr>
              <w:t>买方</w:t>
            </w:r>
            <w:r>
              <w:rPr>
                <w:rFonts w:hint="eastAsia"/>
                <w:sz w:val="24"/>
                <w:highlight w:val="none"/>
              </w:rPr>
              <w:t>（盖章）</w:t>
            </w:r>
            <w:r>
              <w:rPr>
                <w:rFonts w:hint="eastAsia"/>
                <w:sz w:val="24"/>
                <w:highlight w:val="none"/>
                <w:lang w:eastAsia="zh-CN"/>
              </w:rPr>
              <w:t>：</w:t>
            </w:r>
            <w:r>
              <w:rPr>
                <w:rFonts w:hint="eastAsia"/>
                <w:sz w:val="24"/>
                <w:highlight w:val="none"/>
                <w:u w:val="single"/>
                <w:lang w:val="en-US" w:eastAsia="zh-CN"/>
              </w:rPr>
              <w:t xml:space="preserve">           </w:t>
            </w:r>
          </w:p>
        </w:tc>
        <w:tc>
          <w:tcPr>
            <w:tcW w:w="4355" w:type="dxa"/>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rPr>
                <w:rFonts w:hint="default" w:eastAsiaTheme="minorEastAsia"/>
                <w:sz w:val="28"/>
                <w:szCs w:val="28"/>
                <w:u w:val="single"/>
                <w:lang w:val="en-US" w:eastAsia="zh-CN"/>
              </w:rPr>
            </w:pPr>
            <w:r>
              <w:rPr>
                <w:sz w:val="24"/>
                <w:highlight w:val="none"/>
              </w:rPr>
              <w:t>卖方</w:t>
            </w:r>
            <w:r>
              <w:rPr>
                <w:rFonts w:hint="eastAsia"/>
                <w:sz w:val="24"/>
                <w:highlight w:val="none"/>
              </w:rPr>
              <w:t>（盖章）</w:t>
            </w:r>
            <w:r>
              <w:rPr>
                <w:rFonts w:hint="eastAsia"/>
                <w:sz w:val="24"/>
                <w:highlight w:val="none"/>
                <w:lang w:val="en-US" w:eastAsia="zh-CN"/>
              </w:rPr>
              <w:t>：</w:t>
            </w:r>
            <w:r>
              <w:rPr>
                <w:rFonts w:hint="eastAsia"/>
                <w:sz w:val="24"/>
                <w:highlight w:val="none"/>
                <w:u w:val="single"/>
                <w:lang w:val="en-US" w:eastAsia="zh-CN"/>
              </w:rPr>
              <w:t xml:space="preserve">          </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4808" w:type="dxa"/>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4355" w:type="dxa"/>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before="72" w:beforeLines="30" w:after="72" w:afterLines="30" w:line="360" w:lineRule="auto"/>
        <w:rPr>
          <w:sz w:val="24"/>
          <w:highlight w:val="none"/>
        </w:rPr>
      </w:pPr>
    </w:p>
    <w:p>
      <w:pPr>
        <w:spacing w:before="72" w:beforeLines="30" w:after="72" w:afterLines="30" w:line="360" w:lineRule="auto"/>
        <w:rPr>
          <w:sz w:val="24"/>
          <w:highlight w:val="none"/>
        </w:rPr>
      </w:pPr>
      <w:r>
        <w:rPr>
          <w:rFonts w:hint="eastAsia"/>
          <w:sz w:val="24"/>
          <w:highlight w:val="none"/>
        </w:rPr>
        <w:t>日期：</w:t>
      </w:r>
      <w:r>
        <w:rPr>
          <w:rFonts w:hint="eastAsia"/>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ab/>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sz w:val="24"/>
          <w:highlight w:val="none"/>
          <w:u w:val="single"/>
        </w:rPr>
        <w:t xml:space="preserve"> </w:t>
      </w: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sectPr>
          <w:headerReference r:id="rId4" w:type="first"/>
          <w:footerReference r:id="rId6" w:type="first"/>
          <w:headerReference r:id="rId3" w:type="default"/>
          <w:footerReference r:id="rId5" w:type="default"/>
          <w:pgSz w:w="11906" w:h="16838"/>
          <w:pgMar w:top="1984" w:right="1800" w:bottom="1440" w:left="1800" w:header="851" w:footer="992" w:gutter="0"/>
          <w:pgNumType w:fmt="decimal"/>
          <w:cols w:space="425" w:num="1"/>
          <w:titlePg/>
          <w:rtlGutter w:val="0"/>
          <w:docGrid w:linePitch="312" w:charSpace="0"/>
        </w:sectPr>
      </w:pPr>
    </w:p>
    <w:p>
      <w:pPr>
        <w:widowControl/>
        <w:spacing w:line="360" w:lineRule="auto"/>
        <w:rPr>
          <w:rFonts w:hint="eastAsia" w:eastAsiaTheme="minorEastAsia"/>
          <w:b/>
          <w:bCs/>
          <w:iCs/>
          <w:kern w:val="0"/>
          <w:sz w:val="24"/>
          <w:highlight w:val="none"/>
          <w:lang w:val="en-US" w:eastAsia="zh-CN"/>
        </w:rPr>
      </w:pPr>
      <w:r>
        <w:rPr>
          <w:rFonts w:hint="eastAsia"/>
          <w:b/>
          <w:bCs/>
          <w:iCs/>
          <w:kern w:val="0"/>
          <w:sz w:val="24"/>
          <w:highlight w:val="none"/>
        </w:rPr>
        <w:t>附件一：</w:t>
      </w:r>
      <w:r>
        <w:rPr>
          <w:rFonts w:hint="eastAsia"/>
          <w:b/>
          <w:bCs/>
          <w:iCs/>
          <w:kern w:val="0"/>
          <w:sz w:val="24"/>
          <w:highlight w:val="none"/>
          <w:lang w:val="en-US" w:eastAsia="zh-CN"/>
        </w:rPr>
        <w:t>价格表</w:t>
      </w:r>
    </w:p>
    <w:p>
      <w:pPr>
        <w:widowControl/>
        <w:spacing w:line="360" w:lineRule="auto"/>
        <w:rPr>
          <w:rFonts w:hint="eastAsia" w:eastAsiaTheme="minorEastAsia"/>
          <w:b/>
          <w:bCs/>
          <w:iCs/>
          <w:kern w:val="0"/>
          <w:sz w:val="24"/>
          <w:highlight w:val="none"/>
          <w:lang w:val="en-US" w:eastAsia="zh-CN"/>
        </w:rPr>
      </w:pPr>
    </w:p>
    <w:p>
      <w:pPr>
        <w:widowControl/>
        <w:spacing w:line="360" w:lineRule="auto"/>
        <w:rPr>
          <w:rFonts w:hint="eastAsia"/>
          <w:b/>
          <w:bCs/>
          <w:iCs/>
          <w:kern w:val="0"/>
          <w:sz w:val="24"/>
          <w:highlight w:val="none"/>
        </w:rPr>
        <w:sectPr>
          <w:pgSz w:w="11906" w:h="16838"/>
          <w:pgMar w:top="1803" w:right="1440" w:bottom="1803" w:left="1984" w:header="851" w:footer="992" w:gutter="0"/>
          <w:pgNumType w:fmt="decimal"/>
          <w:cols w:space="0" w:num="1"/>
          <w:titlePg/>
          <w:rtlGutter w:val="0"/>
          <w:docGrid w:linePitch="312" w:charSpace="0"/>
        </w:sectPr>
      </w:pPr>
    </w:p>
    <w:p>
      <w:pPr>
        <w:widowControl/>
        <w:spacing w:before="72" w:beforeLines="30" w:after="72" w:afterLines="30" w:line="360" w:lineRule="auto"/>
        <w:jc w:val="left"/>
        <w:rPr>
          <w:rFonts w:hint="eastAsia"/>
          <w:b/>
          <w:bCs/>
          <w:iCs/>
          <w:kern w:val="0"/>
          <w:sz w:val="24"/>
          <w:highlight w:val="none"/>
        </w:rPr>
      </w:pPr>
      <w:r>
        <w:rPr>
          <w:rFonts w:hint="eastAsia"/>
          <w:b/>
          <w:bCs/>
          <w:iCs/>
          <w:kern w:val="0"/>
          <w:sz w:val="24"/>
          <w:highlight w:val="none"/>
        </w:rPr>
        <w:t>附件二：技术服务</w:t>
      </w:r>
    </w:p>
    <w:p>
      <w:pPr>
        <w:jc w:val="center"/>
        <w:rPr>
          <w:rFonts w:hint="default" w:ascii="黑体" w:hAnsi="黑体" w:eastAsia="黑体"/>
          <w:color w:val="000000" w:themeColor="text1"/>
          <w:sz w:val="24"/>
          <w:szCs w:val="24"/>
          <w:highlight w:val="none"/>
          <w:lang w:val="en-US" w:eastAsia="zh-CN"/>
          <w14:textFill>
            <w14:solidFill>
              <w14:schemeClr w14:val="tx1"/>
            </w14:solidFill>
          </w14:textFill>
        </w:rPr>
      </w:pPr>
      <w:bookmarkStart w:id="82" w:name="_Toc364839388"/>
      <w:bookmarkStart w:id="83" w:name="_Toc299915708"/>
      <w:r>
        <w:rPr>
          <w:rFonts w:hint="eastAsia" w:ascii="黑体" w:hAnsi="黑体" w:eastAsia="黑体"/>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bookmarkEnd w:id="82"/>
    <w:bookmarkEnd w:id="83"/>
    <w:p>
      <w:pPr>
        <w:rPr>
          <w:rFonts w:hint="eastAsia" w:ascii="宋体" w:hAnsi="宋体"/>
          <w:b/>
          <w:bCs/>
          <w:sz w:val="24"/>
          <w:szCs w:val="32"/>
          <w:highlight w:val="none"/>
          <w:lang w:val="en-US" w:eastAsia="zh-CN"/>
        </w:rPr>
      </w:pPr>
      <w:r>
        <w:rPr>
          <w:rFonts w:hint="eastAsia" w:ascii="宋体" w:hAnsi="宋体"/>
          <w:b/>
          <w:bCs/>
          <w:sz w:val="24"/>
          <w:szCs w:val="32"/>
          <w:highlight w:val="none"/>
          <w:lang w:val="en-US" w:eastAsia="zh-CN"/>
        </w:rPr>
        <w:br w:type="page"/>
      </w:r>
    </w:p>
    <w:p>
      <w:pPr>
        <w:rPr>
          <w:rFonts w:hint="eastAsia"/>
          <w:color w:val="auto"/>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宋体" w:hAnsi="宋体" w:cs="宋体"/>
          <w:color w:val="auto"/>
          <w:sz w:val="24"/>
        </w:rPr>
      </w:pPr>
      <w:r>
        <w:rPr>
          <w:rFonts w:hint="eastAsia"/>
          <w:color w:val="auto"/>
        </w:rPr>
        <w:t>附件三：</w:t>
      </w:r>
      <w:r>
        <w:rPr>
          <w:rFonts w:ascii="宋体" w:hAnsi="宋体" w:cs="宋体"/>
          <w:color w:val="auto"/>
          <w:sz w:val="24"/>
        </w:rPr>
        <w:t>送货单（格式）</w:t>
      </w:r>
    </w:p>
    <w:tbl>
      <w:tblPr>
        <w:tblStyle w:val="20"/>
        <w:tblW w:w="13620" w:type="dxa"/>
        <w:tblInd w:w="98" w:type="dxa"/>
        <w:tblLayout w:type="autofit"/>
        <w:tblCellMar>
          <w:top w:w="0" w:type="dxa"/>
          <w:left w:w="108" w:type="dxa"/>
          <w:bottom w:w="0" w:type="dxa"/>
          <w:right w:w="108" w:type="dxa"/>
        </w:tblCellMar>
      </w:tblPr>
      <w:tblGrid>
        <w:gridCol w:w="782"/>
        <w:gridCol w:w="1222"/>
        <w:gridCol w:w="2250"/>
        <w:gridCol w:w="2542"/>
        <w:gridCol w:w="1320"/>
        <w:gridCol w:w="1810"/>
        <w:gridCol w:w="1662"/>
        <w:gridCol w:w="1016"/>
        <w:gridCol w:w="1016"/>
      </w:tblGrid>
      <w:tr>
        <w:tblPrEx>
          <w:tblCellMar>
            <w:top w:w="0" w:type="dxa"/>
            <w:left w:w="108" w:type="dxa"/>
            <w:bottom w:w="0" w:type="dxa"/>
            <w:right w:w="108" w:type="dxa"/>
          </w:tblCellMar>
        </w:tblPrEx>
        <w:trPr>
          <w:trHeight w:val="982" w:hRule="atLeast"/>
        </w:trPr>
        <w:tc>
          <w:tcPr>
            <w:tcW w:w="1362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auto"/>
                <w:sz w:val="32"/>
                <w:szCs w:val="32"/>
              </w:rPr>
            </w:pPr>
            <w:r>
              <w:rPr>
                <w:rFonts w:hint="eastAsia" w:ascii="黑体" w:hAnsi="宋体" w:eastAsia="黑体" w:cs="黑体"/>
                <w:b/>
                <w:bCs/>
                <w:color w:val="auto"/>
                <w:kern w:val="0"/>
                <w:sz w:val="32"/>
                <w:szCs w:val="32"/>
                <w:bdr w:val="single" w:color="000000" w:sz="4" w:space="0"/>
                <w:lang w:bidi="ar"/>
              </w:rPr>
              <w:drawing>
                <wp:anchor distT="0" distB="0" distL="114300" distR="114300" simplePos="0" relativeHeight="251659264" behindDoc="0" locked="0" layoutInCell="1" allowOverlap="1">
                  <wp:simplePos x="0" y="0"/>
                  <wp:positionH relativeFrom="column">
                    <wp:posOffset>1650365</wp:posOffset>
                  </wp:positionH>
                  <wp:positionV relativeFrom="paragraph">
                    <wp:posOffset>64135</wp:posOffset>
                  </wp:positionV>
                  <wp:extent cx="548005" cy="425450"/>
                  <wp:effectExtent l="0" t="0" r="4445" b="12700"/>
                  <wp:wrapNone/>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10"/>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color w:val="auto"/>
                <w:kern w:val="0"/>
                <w:sz w:val="32"/>
                <w:szCs w:val="32"/>
                <w:lang w:bidi="ar"/>
              </w:rPr>
              <w:t>中海油能源发展股份有限公司</w:t>
            </w:r>
            <w:r>
              <w:rPr>
                <w:rFonts w:hint="eastAsia" w:ascii="黑体" w:hAnsi="宋体" w:eastAsia="黑体" w:cs="黑体"/>
                <w:b/>
                <w:bCs/>
                <w:color w:val="auto"/>
                <w:kern w:val="0"/>
                <w:sz w:val="32"/>
                <w:szCs w:val="32"/>
                <w:lang w:bidi="ar"/>
              </w:rPr>
              <w:br w:type="textWrapping"/>
            </w:r>
            <w:r>
              <w:rPr>
                <w:rFonts w:hint="eastAsia" w:ascii="黑体" w:hAnsi="宋体" w:eastAsia="黑体" w:cs="黑体"/>
                <w:b/>
                <w:bCs/>
                <w:color w:val="auto"/>
                <w:kern w:val="0"/>
                <w:sz w:val="32"/>
                <w:szCs w:val="32"/>
                <w:lang w:bidi="ar"/>
              </w:rPr>
              <w:t>物资送货单</w:t>
            </w:r>
          </w:p>
        </w:tc>
      </w:tr>
      <w:tr>
        <w:tblPrEx>
          <w:tblCellMar>
            <w:top w:w="0" w:type="dxa"/>
            <w:left w:w="108" w:type="dxa"/>
            <w:bottom w:w="0" w:type="dxa"/>
            <w:right w:w="108" w:type="dxa"/>
          </w:tblCellMar>
        </w:tblPrEx>
        <w:trPr>
          <w:trHeight w:val="400" w:hRule="atLeast"/>
        </w:trPr>
        <w:tc>
          <w:tcPr>
            <w:tcW w:w="20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合同或订单名称：</w:t>
            </w:r>
          </w:p>
        </w:tc>
        <w:tc>
          <w:tcPr>
            <w:tcW w:w="4792"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采购合同号：</w:t>
            </w:r>
          </w:p>
        </w:tc>
        <w:tc>
          <w:tcPr>
            <w:tcW w:w="550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0"/>
                <w:szCs w:val="20"/>
              </w:rPr>
            </w:pPr>
          </w:p>
        </w:tc>
      </w:tr>
      <w:tr>
        <w:tblPrEx>
          <w:tblCellMar>
            <w:top w:w="0" w:type="dxa"/>
            <w:left w:w="108" w:type="dxa"/>
            <w:bottom w:w="0" w:type="dxa"/>
            <w:right w:w="108" w:type="dxa"/>
          </w:tblCellMar>
        </w:tblPrEx>
        <w:trPr>
          <w:trHeight w:val="400" w:hRule="atLeast"/>
        </w:trPr>
        <w:tc>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47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采购订单号：</w:t>
            </w:r>
          </w:p>
        </w:tc>
        <w:tc>
          <w:tcPr>
            <w:tcW w:w="550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0"/>
                <w:szCs w:val="20"/>
              </w:rPr>
            </w:pPr>
          </w:p>
        </w:tc>
      </w:tr>
      <w:tr>
        <w:tblPrEx>
          <w:tblCellMar>
            <w:top w:w="0" w:type="dxa"/>
            <w:left w:w="108" w:type="dxa"/>
            <w:bottom w:w="0" w:type="dxa"/>
            <w:right w:w="108" w:type="dxa"/>
          </w:tblCellMar>
        </w:tblPrEx>
        <w:trPr>
          <w:trHeight w:val="740" w:hRule="atLeast"/>
        </w:trPr>
        <w:tc>
          <w:tcPr>
            <w:tcW w:w="20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收货地址：</w:t>
            </w:r>
          </w:p>
        </w:tc>
        <w:tc>
          <w:tcPr>
            <w:tcW w:w="47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收货人：</w:t>
            </w: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60" w:hRule="atLeast"/>
        </w:trPr>
        <w:tc>
          <w:tcPr>
            <w:tcW w:w="20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供应商名称：</w:t>
            </w:r>
          </w:p>
        </w:tc>
        <w:tc>
          <w:tcPr>
            <w:tcW w:w="47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供应商联系人：</w:t>
            </w: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980" w:hRule="atLeast"/>
        </w:trPr>
        <w:tc>
          <w:tcPr>
            <w:tcW w:w="20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收货方单位名称：</w:t>
            </w:r>
          </w:p>
        </w:tc>
        <w:tc>
          <w:tcPr>
            <w:tcW w:w="47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直达料</w:t>
            </w:r>
          </w:p>
        </w:tc>
        <w:tc>
          <w:tcPr>
            <w:tcW w:w="550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Y□    N□</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（由收货人员勾选）</w:t>
            </w:r>
          </w:p>
        </w:tc>
      </w:tr>
      <w:tr>
        <w:tblPrEx>
          <w:tblCellMar>
            <w:top w:w="0" w:type="dxa"/>
            <w:left w:w="108" w:type="dxa"/>
            <w:bottom w:w="0" w:type="dxa"/>
            <w:right w:w="108" w:type="dxa"/>
          </w:tblCellMar>
        </w:tblPrEx>
        <w:trPr>
          <w:trHeight w:val="600" w:hRule="atLeast"/>
        </w:trPr>
        <w:tc>
          <w:tcPr>
            <w:tcW w:w="1362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到货物资信息</w:t>
            </w:r>
          </w:p>
        </w:tc>
      </w:tr>
      <w:tr>
        <w:tblPrEx>
          <w:tblCellMar>
            <w:top w:w="0" w:type="dxa"/>
            <w:left w:w="108" w:type="dxa"/>
            <w:bottom w:w="0" w:type="dxa"/>
            <w:right w:w="108" w:type="dxa"/>
          </w:tblCellMar>
        </w:tblPrEx>
        <w:trPr>
          <w:trHeight w:val="700"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SAP物料编码</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物资名称</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本次送货数量</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订单/合同物料序号</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备注</w:t>
            </w: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5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c>
          <w:tcPr>
            <w:tcW w:w="203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600" w:hRule="atLeast"/>
        </w:trPr>
        <w:tc>
          <w:tcPr>
            <w:tcW w:w="6796"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送货批次：第   批，共    批；</w:t>
            </w:r>
          </w:p>
        </w:tc>
        <w:tc>
          <w:tcPr>
            <w:tcW w:w="1320" w:type="dxa"/>
            <w:tcBorders>
              <w:top w:val="nil"/>
              <w:left w:val="nil"/>
              <w:bottom w:val="nil"/>
              <w:right w:val="nil"/>
            </w:tcBorders>
            <w:vAlign w:val="center"/>
          </w:tcPr>
          <w:p>
            <w:pPr>
              <w:rPr>
                <w:rFonts w:ascii="宋体" w:hAnsi="宋体" w:cs="宋体"/>
                <w:color w:val="auto"/>
                <w:sz w:val="20"/>
                <w:szCs w:val="20"/>
              </w:rPr>
            </w:pPr>
          </w:p>
        </w:tc>
        <w:tc>
          <w:tcPr>
            <w:tcW w:w="5504"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收货人:</w:t>
            </w:r>
          </w:p>
        </w:tc>
      </w:tr>
      <w:tr>
        <w:tblPrEx>
          <w:tblCellMar>
            <w:top w:w="0" w:type="dxa"/>
            <w:left w:w="108" w:type="dxa"/>
            <w:bottom w:w="0" w:type="dxa"/>
            <w:right w:w="108" w:type="dxa"/>
          </w:tblCellMar>
        </w:tblPrEx>
        <w:trPr>
          <w:trHeight w:val="600" w:hRule="atLeast"/>
        </w:trPr>
        <w:tc>
          <w:tcPr>
            <w:tcW w:w="6796"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送货人(签字/盖章)：</w:t>
            </w:r>
          </w:p>
        </w:tc>
        <w:tc>
          <w:tcPr>
            <w:tcW w:w="1320" w:type="dxa"/>
            <w:tcBorders>
              <w:top w:val="nil"/>
              <w:left w:val="nil"/>
              <w:bottom w:val="nil"/>
              <w:right w:val="nil"/>
            </w:tcBorders>
            <w:vAlign w:val="center"/>
          </w:tcPr>
          <w:p>
            <w:pPr>
              <w:rPr>
                <w:rFonts w:ascii="宋体" w:hAnsi="宋体" w:cs="宋体"/>
                <w:color w:val="auto"/>
                <w:sz w:val="24"/>
              </w:rPr>
            </w:pPr>
          </w:p>
        </w:tc>
        <w:tc>
          <w:tcPr>
            <w:tcW w:w="5504"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收货日期：</w:t>
            </w:r>
          </w:p>
        </w:tc>
      </w:tr>
      <w:tr>
        <w:tblPrEx>
          <w:tblCellMar>
            <w:top w:w="0" w:type="dxa"/>
            <w:left w:w="108" w:type="dxa"/>
            <w:bottom w:w="0" w:type="dxa"/>
            <w:right w:w="108" w:type="dxa"/>
          </w:tblCellMar>
        </w:tblPrEx>
        <w:trPr>
          <w:trHeight w:val="600" w:hRule="atLeast"/>
        </w:trPr>
        <w:tc>
          <w:tcPr>
            <w:tcW w:w="6796" w:type="dxa"/>
            <w:gridSpan w:val="4"/>
            <w:tcBorders>
              <w:top w:val="nil"/>
              <w:left w:val="nil"/>
              <w:bottom w:val="nil"/>
              <w:right w:val="nil"/>
            </w:tcBorders>
            <w:vAlign w:val="center"/>
          </w:tcPr>
          <w:p>
            <w:pPr>
              <w:widowControl/>
              <w:jc w:val="left"/>
              <w:textAlignment w:val="center"/>
              <w:rPr>
                <w:rFonts w:ascii="宋体" w:hAnsi="宋体" w:cs="宋体"/>
                <w:color w:val="auto"/>
                <w:sz w:val="24"/>
              </w:rPr>
            </w:pPr>
            <w:r>
              <w:rPr>
                <w:rFonts w:hint="eastAsia" w:ascii="宋体" w:hAnsi="宋体" w:cs="宋体"/>
                <w:color w:val="auto"/>
                <w:kern w:val="0"/>
                <w:sz w:val="24"/>
                <w:lang w:bidi="ar"/>
              </w:rPr>
              <w:t>本次送货日期：</w:t>
            </w:r>
          </w:p>
        </w:tc>
        <w:tc>
          <w:tcPr>
            <w:tcW w:w="1320" w:type="dxa"/>
            <w:tcBorders>
              <w:top w:val="nil"/>
              <w:left w:val="nil"/>
              <w:bottom w:val="nil"/>
              <w:right w:val="nil"/>
            </w:tcBorders>
            <w:vAlign w:val="center"/>
          </w:tcPr>
          <w:p>
            <w:pPr>
              <w:rPr>
                <w:rFonts w:ascii="宋体" w:hAnsi="宋体" w:cs="宋体"/>
                <w:color w:val="auto"/>
                <w:sz w:val="24"/>
              </w:rPr>
            </w:pPr>
          </w:p>
        </w:tc>
        <w:tc>
          <w:tcPr>
            <w:tcW w:w="1810" w:type="dxa"/>
            <w:tcBorders>
              <w:top w:val="nil"/>
              <w:left w:val="nil"/>
              <w:bottom w:val="nil"/>
              <w:right w:val="nil"/>
            </w:tcBorders>
            <w:vAlign w:val="center"/>
          </w:tcPr>
          <w:p>
            <w:pPr>
              <w:rPr>
                <w:rFonts w:ascii="宋体" w:hAnsi="宋体" w:cs="宋体"/>
                <w:color w:val="auto"/>
                <w:sz w:val="22"/>
                <w:szCs w:val="22"/>
              </w:rPr>
            </w:pPr>
          </w:p>
        </w:tc>
        <w:tc>
          <w:tcPr>
            <w:tcW w:w="1662" w:type="dxa"/>
            <w:tcBorders>
              <w:top w:val="nil"/>
              <w:left w:val="nil"/>
              <w:bottom w:val="nil"/>
              <w:right w:val="nil"/>
            </w:tcBorders>
            <w:vAlign w:val="center"/>
          </w:tcPr>
          <w:p>
            <w:pPr>
              <w:rPr>
                <w:rFonts w:ascii="宋体" w:hAnsi="宋体" w:cs="宋体"/>
                <w:color w:val="auto"/>
                <w:sz w:val="22"/>
                <w:szCs w:val="22"/>
              </w:rPr>
            </w:pPr>
          </w:p>
        </w:tc>
        <w:tc>
          <w:tcPr>
            <w:tcW w:w="1016" w:type="dxa"/>
            <w:tcBorders>
              <w:top w:val="nil"/>
              <w:left w:val="nil"/>
              <w:bottom w:val="nil"/>
              <w:right w:val="nil"/>
            </w:tcBorders>
            <w:vAlign w:val="center"/>
          </w:tcPr>
          <w:p>
            <w:pPr>
              <w:rPr>
                <w:rFonts w:ascii="宋体" w:hAnsi="宋体" w:cs="宋体"/>
                <w:color w:val="auto"/>
                <w:sz w:val="22"/>
                <w:szCs w:val="22"/>
              </w:rPr>
            </w:pPr>
          </w:p>
        </w:tc>
        <w:tc>
          <w:tcPr>
            <w:tcW w:w="1016" w:type="dxa"/>
            <w:tcBorders>
              <w:top w:val="nil"/>
              <w:left w:val="nil"/>
              <w:bottom w:val="nil"/>
              <w:right w:val="nil"/>
            </w:tcBorders>
            <w:vAlign w:val="center"/>
          </w:tcPr>
          <w:p>
            <w:pPr>
              <w:rPr>
                <w:rFonts w:ascii="宋体" w:hAnsi="宋体" w:cs="宋体"/>
                <w:color w:val="auto"/>
                <w:sz w:val="22"/>
                <w:szCs w:val="22"/>
              </w:rPr>
            </w:pPr>
          </w:p>
        </w:tc>
      </w:tr>
    </w:tbl>
    <w:p>
      <w:pPr>
        <w:rPr>
          <w:color w:val="auto"/>
        </w:rPr>
      </w:pPr>
    </w:p>
    <w:p>
      <w:pPr>
        <w:rPr>
          <w:rFonts w:ascii="宋体" w:hAnsi="宋体" w:cs="宋体"/>
          <w:color w:val="auto"/>
        </w:rPr>
      </w:pPr>
      <w:r>
        <w:rPr>
          <w:rFonts w:hint="eastAsia" w:ascii="宋体" w:hAnsi="宋体" w:cs="宋体"/>
          <w:color w:val="auto"/>
        </w:rPr>
        <w:t>说明：</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供应商送货时，必须附与送货单相关的订单明细或合同明细。</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需求名称按照订单或合同名称填写；订单类采购合同号、采购订单号、ERP订单号必填；单项次合同无采购订单号，填写“无”。</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物资名称、规格型号、单位、本次送货数量必填；单项次合同的SAP物料编码可以不填，订单类的SAP物料编码必填。</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订单/合同物料序号： 按照合同或订单的物料明细序号填写，必填项。</w:t>
      </w:r>
    </w:p>
    <w:p>
      <w:pPr>
        <w:numPr>
          <w:ilvl w:val="0"/>
          <w:numId w:val="36"/>
        </w:numPr>
        <w:rPr>
          <w:rFonts w:ascii="宋体" w:hAnsi="宋体" w:cs="宋体"/>
          <w:color w:val="auto"/>
          <w:kern w:val="0"/>
          <w:szCs w:val="21"/>
          <w:lang w:bidi="ar"/>
        </w:rPr>
      </w:pPr>
      <w:r>
        <w:rPr>
          <w:rFonts w:hint="eastAsia" w:ascii="宋体" w:hAnsi="宋体" w:cs="宋体"/>
          <w:color w:val="auto"/>
          <w:kern w:val="0"/>
          <w:szCs w:val="21"/>
          <w:lang w:bidi="ar"/>
        </w:rPr>
        <w:t>第几批、共几批必须准确填写。</w:t>
      </w:r>
    </w:p>
    <w:p>
      <w:pPr>
        <w:numPr>
          <w:ilvl w:val="0"/>
          <w:numId w:val="36"/>
        </w:numPr>
        <w:rPr>
          <w:color w:val="auto"/>
          <w:sz w:val="18"/>
          <w:szCs w:val="18"/>
        </w:rPr>
      </w:pPr>
      <w:r>
        <w:rPr>
          <w:rFonts w:hint="eastAsia" w:ascii="宋体" w:hAnsi="宋体" w:cs="宋体"/>
          <w:color w:val="auto"/>
          <w:kern w:val="0"/>
          <w:szCs w:val="21"/>
          <w:lang w:bidi="ar"/>
        </w:rPr>
        <w:t>收货日期以到货日期为准。</w:t>
      </w:r>
    </w:p>
    <w:p>
      <w:pPr>
        <w:rPr>
          <w:rFonts w:hint="eastAsia" w:ascii="宋体" w:hAnsi="宋体"/>
          <w:b/>
          <w:bCs/>
          <w:sz w:val="24"/>
          <w:szCs w:val="32"/>
          <w:highlight w:val="none"/>
          <w:lang w:val="en-US" w:eastAsia="zh-CN"/>
        </w:rPr>
      </w:pPr>
      <w:r>
        <w:rPr>
          <w:rFonts w:hint="eastAsia" w:ascii="宋体" w:hAnsi="宋体"/>
          <w:b/>
          <w:bCs/>
          <w:sz w:val="24"/>
          <w:szCs w:val="32"/>
          <w:highlight w:val="none"/>
          <w:lang w:val="en-US" w:eastAsia="zh-CN"/>
        </w:rPr>
        <w:br w:type="page"/>
      </w:r>
    </w:p>
    <w:p>
      <w:pPr>
        <w:keepNext/>
        <w:keepLines/>
        <w:spacing w:before="360" w:after="360" w:line="360" w:lineRule="auto"/>
        <w:jc w:val="left"/>
        <w:outlineLvl w:val="1"/>
        <w:rPr>
          <w:rFonts w:hint="eastAsia" w:ascii="宋体" w:hAnsi="宋体"/>
          <w:b/>
          <w:bCs/>
          <w:sz w:val="24"/>
          <w:szCs w:val="32"/>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keepLines/>
        <w:spacing w:before="360" w:after="360" w:line="360" w:lineRule="auto"/>
        <w:jc w:val="left"/>
        <w:outlineLvl w:val="1"/>
        <w:rPr>
          <w:rFonts w:ascii="宋体" w:hAnsi="宋体"/>
          <w:b/>
          <w:bCs/>
          <w:sz w:val="24"/>
          <w:szCs w:val="32"/>
          <w:highlight w:val="none"/>
        </w:rPr>
      </w:pPr>
      <w:r>
        <w:rPr>
          <w:rFonts w:hint="eastAsia" w:ascii="宋体" w:hAnsi="宋体"/>
          <w:b/>
          <w:bCs/>
          <w:sz w:val="24"/>
          <w:szCs w:val="32"/>
          <w:highlight w:val="none"/>
          <w:lang w:val="en-US" w:eastAsia="zh-CN"/>
        </w:rPr>
        <w:t>附</w:t>
      </w:r>
      <w:r>
        <w:rPr>
          <w:rFonts w:hint="eastAsia" w:ascii="宋体" w:hAnsi="宋体"/>
          <w:b/>
          <w:bCs/>
          <w:sz w:val="24"/>
          <w:szCs w:val="32"/>
          <w:highlight w:val="none"/>
        </w:rPr>
        <w:t>件</w:t>
      </w:r>
      <w:r>
        <w:rPr>
          <w:rFonts w:hint="eastAsia" w:ascii="宋体" w:hAnsi="宋体"/>
          <w:b/>
          <w:bCs/>
          <w:sz w:val="24"/>
          <w:szCs w:val="32"/>
          <w:highlight w:val="none"/>
          <w:lang w:val="en-US" w:eastAsia="zh-CN"/>
        </w:rPr>
        <w:t>四</w:t>
      </w:r>
      <w:r>
        <w:rPr>
          <w:rFonts w:hint="eastAsia" w:ascii="宋体" w:hAnsi="宋体"/>
          <w:b/>
          <w:bCs/>
          <w:sz w:val="24"/>
          <w:szCs w:val="32"/>
          <w:highlight w:val="none"/>
        </w:rPr>
        <w:t>：廉洁备忘录</w:t>
      </w:r>
    </w:p>
    <w:p>
      <w:pPr>
        <w:spacing w:before="72" w:beforeLines="30" w:after="72" w:afterLines="30"/>
        <w:ind w:firstLine="420" w:firstLineChars="200"/>
        <w:rPr>
          <w:rFonts w:ascii="宋体" w:hAnsi="宋体"/>
          <w:color w:val="auto"/>
          <w:szCs w:val="21"/>
        </w:rPr>
      </w:pPr>
      <w:r>
        <w:rPr>
          <w:rFonts w:hint="eastAsia" w:ascii="宋体" w:hAnsi="宋体"/>
          <w:color w:val="auto"/>
          <w:szCs w:val="21"/>
        </w:rPr>
        <w:t>为进一步加强廉政建设，规范买卖双方的各项活动，防止发生各种谋取不正当利益的违法违规行为，从源头上预防治理腐败，根据国家有关的法律法规规定，特制定本廉洁条款。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color w:val="auto"/>
          <w:szCs w:val="21"/>
        </w:rPr>
      </w:pPr>
      <w:r>
        <w:rPr>
          <w:rFonts w:hint="eastAsia" w:ascii="宋体" w:hAnsi="宋体"/>
          <w:b/>
          <w:color w:val="auto"/>
          <w:szCs w:val="21"/>
        </w:rPr>
        <w:t>第一条 买卖双方的权利和义务</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（一）在双方的业务交往中，共同遵守相关的法律法规。</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color w:val="auto"/>
          <w:szCs w:val="21"/>
        </w:rPr>
      </w:pPr>
      <w:r>
        <w:rPr>
          <w:rFonts w:hint="eastAsia" w:ascii="宋体" w:hAnsi="宋体"/>
          <w:b/>
          <w:color w:val="auto"/>
          <w:szCs w:val="21"/>
        </w:rPr>
        <w:t>第二条 买方的责任</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（一）不准向卖方索要或接受回扣、礼金、有价证券、贵重物品和好处费、感谢费等；不准在卖方报销任何由买方或个人支付的费用。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（二）不准参加卖方安排的宴请和健身、娱乐等活动；不得接受卖方提供的通讯工具、交通工具和高档办公用品等。</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（三）不准要求、暗示和接受卖方为个人装修住房、婚丧嫁娶、配偶子女的工作安排以及出国（境）旅游等提供方便。</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（四）配偶、子女不得从事与卖方承包本工程有关的设备材料供应、工程分包、劳务等经济活动。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（五）不得以任何理由向卖方推荐分包单位或要求卖方购买项目合同规定外的材料、设备和服务等。</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（六）其它不廉洁行为。</w:t>
      </w:r>
    </w:p>
    <w:p>
      <w:pPr>
        <w:spacing w:before="72" w:beforeLines="30" w:after="72" w:afterLines="30"/>
        <w:rPr>
          <w:rFonts w:ascii="宋体" w:hAnsi="宋体"/>
          <w:b/>
          <w:color w:val="auto"/>
          <w:szCs w:val="21"/>
        </w:rPr>
      </w:pPr>
      <w:r>
        <w:rPr>
          <w:rFonts w:hint="eastAsia" w:ascii="宋体" w:hAnsi="宋体"/>
          <w:b/>
          <w:color w:val="auto"/>
          <w:szCs w:val="21"/>
        </w:rPr>
        <w:t>第三条 卖方的责任</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（一）不准以任何理由向买方工作人员（含家属、子女，下同）行贿或馈赠礼物、礼金、有价证券、贵重物品及象征性低价物品。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（二）不准以任何名义为买方工作人员报销应由对方或个人支付的费用。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（三）不准以任何理由安排买方工作人员参加宴请及健身、娱乐和旅游等活动。</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（四）不准为买方单位和工作人员购置或提供通讯工具、交通工具和高档办公用品和装修住房等。</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（五）其它不廉洁行为。</w:t>
      </w:r>
    </w:p>
    <w:p>
      <w:pPr>
        <w:spacing w:before="72" w:beforeLines="30" w:after="72" w:afterLines="30"/>
        <w:rPr>
          <w:rFonts w:ascii="宋体" w:hAnsi="宋体"/>
          <w:b/>
          <w:color w:val="auto"/>
          <w:szCs w:val="21"/>
        </w:rPr>
      </w:pPr>
      <w:r>
        <w:rPr>
          <w:rFonts w:hint="eastAsia" w:ascii="宋体" w:hAnsi="宋体"/>
          <w:b/>
          <w:color w:val="auto"/>
          <w:szCs w:val="21"/>
        </w:rPr>
        <w:t>第四条 违约责任</w:t>
      </w:r>
    </w:p>
    <w:p>
      <w:pPr>
        <w:spacing w:before="72" w:beforeLines="30" w:after="72" w:afterLines="30"/>
        <w:ind w:left="1039" w:leftChars="200" w:hanging="619" w:hangingChars="295"/>
        <w:rPr>
          <w:rFonts w:ascii="宋体" w:hAnsi="宋体"/>
          <w:color w:val="auto"/>
          <w:szCs w:val="21"/>
        </w:rPr>
      </w:pPr>
      <w:r>
        <w:rPr>
          <w:rFonts w:hint="eastAsia" w:ascii="宋体" w:hAnsi="宋体"/>
          <w:color w:val="auto"/>
          <w:szCs w:val="21"/>
        </w:rPr>
        <w:t>（一）买方发现卖方有违反本条款或者采用不正当的手段贿赂买方工作人员，买方应向卖方领导举报，并取消卖方供应商资格，由此给买方造成的损失均由卖方承担。</w:t>
      </w:r>
    </w:p>
    <w:p>
      <w:pPr>
        <w:spacing w:before="72" w:beforeLines="30" w:after="72" w:afterLines="30"/>
        <w:ind w:left="1039" w:leftChars="200" w:hanging="619" w:hangingChars="295"/>
        <w:rPr>
          <w:color w:val="auto"/>
        </w:rPr>
      </w:pPr>
      <w:r>
        <w:rPr>
          <w:rFonts w:hint="eastAsia" w:ascii="宋体" w:hAnsi="宋体"/>
          <w:color w:val="auto"/>
          <w:szCs w:val="21"/>
        </w:rPr>
        <w:t>（二）卖方如发现买方工作人员有违反上述条款，应当向买方领导举报，买方不得找任何借口对卖方进行报复或刁难、延误工作。</w:t>
      </w:r>
    </w:p>
    <w:p>
      <w:pPr>
        <w:rPr>
          <w:rFonts w:hint="eastAsia"/>
          <w:b/>
          <w:bCs/>
          <w:iCs/>
          <w:kern w:val="0"/>
          <w:sz w:val="24"/>
        </w:rPr>
      </w:pPr>
      <w:r>
        <w:rPr>
          <w:rFonts w:hint="eastAsia"/>
          <w:b/>
          <w:bCs/>
          <w:iCs/>
          <w:kern w:val="0"/>
          <w:sz w:val="24"/>
        </w:rPr>
        <w:br w:type="page"/>
      </w:r>
    </w:p>
    <w:p>
      <w:pPr>
        <w:pStyle w:val="30"/>
        <w:keepNext w:val="0"/>
        <w:keepLines w:val="0"/>
        <w:pageBreakBefore w:val="0"/>
        <w:widowControl/>
        <w:kinsoku/>
        <w:wordWrap/>
        <w:overflowPunct/>
        <w:topLinePunct w:val="0"/>
        <w:autoSpaceDE/>
        <w:autoSpaceDN/>
        <w:bidi w:val="0"/>
        <w:adjustRightInd/>
        <w:snapToGrid/>
        <w:spacing w:before="240" w:after="240" w:line="360" w:lineRule="auto"/>
        <w:ind w:left="0" w:leftChars="0" w:firstLine="0" w:firstLineChars="0"/>
        <w:jc w:val="left"/>
        <w:textAlignment w:val="auto"/>
        <w:outlineLvl w:val="0"/>
        <w:rPr>
          <w:rFonts w:hint="eastAsia"/>
          <w:b/>
          <w:strike w:val="0"/>
          <w:dstrike w:val="0"/>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0"/>
        <w:keepNext w:val="0"/>
        <w:keepLines w:val="0"/>
        <w:pageBreakBefore w:val="0"/>
        <w:widowControl/>
        <w:kinsoku/>
        <w:wordWrap/>
        <w:overflowPunct/>
        <w:topLinePunct w:val="0"/>
        <w:autoSpaceDE/>
        <w:autoSpaceDN/>
        <w:bidi w:val="0"/>
        <w:adjustRightInd/>
        <w:snapToGrid/>
        <w:spacing w:before="240" w:after="240" w:line="360" w:lineRule="auto"/>
        <w:ind w:left="0" w:leftChars="0" w:firstLine="0" w:firstLineChars="0"/>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b/>
          <w:strike w:val="0"/>
          <w:dstrike w:val="0"/>
          <w:sz w:val="24"/>
          <w:lang w:val="en-US" w:eastAsia="zh-CN"/>
        </w:rPr>
      </w:pPr>
      <w:r>
        <w:rPr>
          <w:rFonts w:hint="eastAsia"/>
          <w:b/>
          <w:strike w:val="0"/>
          <w:dstrike w:val="0"/>
          <w:sz w:val="24"/>
          <w:lang w:val="en-US" w:eastAsia="zh-CN"/>
        </w:rPr>
        <w:t>4.1海油发展供应商处理情形和处理标准</w:t>
      </w:r>
    </w:p>
    <w:tbl>
      <w:tblPr>
        <w:tblStyle w:val="20"/>
        <w:tblpPr w:leftFromText="180" w:rightFromText="180" w:vertAnchor="text" w:horzAnchor="page" w:tblpX="1294" w:tblpY="376"/>
        <w:tblOverlap w:val="never"/>
        <w:tblW w:w="14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5433"/>
        <w:gridCol w:w="11"/>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b/>
                <w:bCs/>
                <w:sz w:val="21"/>
                <w:szCs w:val="21"/>
                <w:lang w:bidi="ar"/>
              </w:rPr>
            </w:pPr>
            <w:r>
              <w:rPr>
                <w:rFonts w:hint="eastAsia" w:asciiTheme="minorEastAsia" w:hAnsiTheme="minorEastAsia" w:eastAsiaTheme="minorEastAsia" w:cstheme="minorEastAsia"/>
                <w:b/>
                <w:bCs/>
                <w:sz w:val="21"/>
                <w:szCs w:val="21"/>
                <w:lang w:val="en-US" w:eastAsia="zh-CN" w:bidi="ar"/>
              </w:rPr>
              <w:t>一、履约异常供应商处理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596" w:type="dxa"/>
            <w:gridSpan w:val="4"/>
            <w:tcBorders>
              <w:tl2br w:val="nil"/>
              <w:tr2bl w:val="nil"/>
            </w:tcBorders>
            <w:shd w:val="clear" w:color="auto" w:fill="auto"/>
            <w:vAlign w:val="center"/>
          </w:tcPr>
          <w:tbl>
            <w:tblPr>
              <w:tblStyle w:val="20"/>
              <w:tblW w:w="1458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395"/>
              <w:gridCol w:w="8364"/>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序号</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违规类型</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违规情形说明</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ind w:firstLine="422" w:firstLineChars="200"/>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w:t>
                  </w:r>
                </w:p>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提供虚假资料</w:t>
                  </w: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bCs w:val="0"/>
                      <w:color w:val="000000"/>
                      <w:kern w:val="0"/>
                      <w:sz w:val="21"/>
                      <w:szCs w:val="21"/>
                      <w:lang w:val="en-US" w:eastAsia="zh-CN" w:bidi="ar"/>
                    </w:rPr>
                  </w:pPr>
                  <w:r>
                    <w:rPr>
                      <w:rFonts w:hint="eastAsia" w:asciiTheme="minorEastAsia" w:hAnsiTheme="minorEastAsia" w:eastAsiaTheme="minorEastAsia" w:cstheme="minorEastAsia"/>
                      <w:bCs w:val="0"/>
                      <w:color w:val="000000"/>
                      <w:kern w:val="0"/>
                      <w:sz w:val="21"/>
                      <w:szCs w:val="21"/>
                      <w:lang w:val="en-US" w:eastAsia="zh-CN" w:bidi="ar"/>
                    </w:rPr>
                    <w:t>提供虚假材料（资质文件、业绩、财务状况、书面承诺等）进行供应商注册、资格审查或参与采购项目，未签订合同的，未造成实质性影响的（有效竞争人不少于3家的）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bCs w:val="0"/>
                      <w:color w:val="000000"/>
                      <w:kern w:val="0"/>
                      <w:sz w:val="21"/>
                      <w:szCs w:val="21"/>
                      <w:lang w:val="en-US" w:eastAsia="zh-CN" w:bidi="ar"/>
                    </w:rPr>
                  </w:pPr>
                  <w:r>
                    <w:rPr>
                      <w:rFonts w:hint="eastAsia" w:asciiTheme="minorEastAsia" w:hAnsiTheme="minorEastAsia" w:eastAsiaTheme="minorEastAsia" w:cstheme="minorEastAsia"/>
                      <w:bCs w:val="0"/>
                      <w:color w:val="000000"/>
                      <w:kern w:val="0"/>
                      <w:sz w:val="21"/>
                      <w:szCs w:val="21"/>
                      <w:lang w:val="en-US" w:eastAsia="zh-CN" w:bidi="ar"/>
                    </w:rPr>
                    <w:t>提供虚假材料（资质文件、业绩、财务状况、书面承诺等）进行供应商注册、资格审查或参与采购项目，未签订合同的，造成实质性影响的（有效竞争人少于3家的）或已签订合同且已执行的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bidi="ar"/>
                    </w:rPr>
                    <w:t>禁用两年</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2</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恶意串通</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为达到不正当目的相互恶意串通，未签订合同的或已签订合同且已执行但未造成合同额外损失的。</w:t>
                  </w:r>
                  <w:r>
                    <w:rPr>
                      <w:rFonts w:hint="eastAsia" w:asciiTheme="minorEastAsia" w:hAnsiTheme="minorEastAsia" w:eastAsiaTheme="minorEastAsia" w:cstheme="minorEastAsia"/>
                      <w:color w:val="000000"/>
                      <w:sz w:val="21"/>
                      <w:szCs w:val="21"/>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为达到不正当目的相互恶意串通，已签订合同且已执行并造成合同额外损失的。</w:t>
                  </w:r>
                  <w:r>
                    <w:rPr>
                      <w:rFonts w:hint="eastAsia" w:asciiTheme="minorEastAsia" w:hAnsiTheme="minorEastAsia" w:eastAsiaTheme="minorEastAsia" w:cstheme="minorEastAsia"/>
                      <w:color w:val="000000"/>
                      <w:sz w:val="21"/>
                      <w:szCs w:val="21"/>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highlight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为达到不正当目的相互恶意串通的注册供应商。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3</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行贿</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向采购交易所涉及的相关方或能产生实际影响的相关方行贿。</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4</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排挤其他供应商</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在采购结果公布之前，违法违规获得非公开评标信息，或采取不正当手段妨碍、排挤其他供应商投标或中标的，证据确凿的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bidi="ar"/>
                    </w:rPr>
                    <w:t>5</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中途撤销投标</w:t>
                  </w: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投标截止后撤销投标文件的，以及在中标公示或公告阶段，中标候选人放弃中标资格,未对采办过程造成影响的（有效竞争人不少于3家的）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投标截止后撤销投标文件的，以及在中标公示或公告阶段，中标候选人放弃中标资格,且对采办过程造成影响的（有效竞争人少于3家的）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6</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拒不签订合同</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获取中标资格或成交资格拒绝签订合同的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bidi="ar"/>
                    </w:rPr>
                    <w:t>7</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不遵守招投标纪律</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trike w:val="0"/>
                      <w:color w:val="000000"/>
                      <w:kern w:val="0"/>
                      <w:sz w:val="21"/>
                      <w:szCs w:val="21"/>
                      <w:u w:val="none"/>
                      <w:lang w:val="en-US" w:eastAsia="zh-CN" w:bidi="ar"/>
                    </w:rPr>
                    <w:t>不</w:t>
                  </w:r>
                  <w:r>
                    <w:rPr>
                      <w:rFonts w:hint="eastAsia" w:asciiTheme="minorEastAsia" w:hAnsiTheme="minorEastAsia" w:eastAsiaTheme="minorEastAsia" w:cstheme="minorEastAsia"/>
                      <w:i w:val="0"/>
                      <w:iCs w:val="0"/>
                      <w:color w:val="000000"/>
                      <w:kern w:val="0"/>
                      <w:sz w:val="21"/>
                      <w:szCs w:val="21"/>
                      <w:u w:val="none"/>
                      <w:lang w:val="en-US" w:eastAsia="zh-CN" w:bidi="ar"/>
                    </w:rPr>
                    <w:t>遵守招投标相关纪律或工作要求：如在开标、评标现场无理取闹，违反招投标程序,不遵守招投标秩序等情形。</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8</w:t>
                  </w:r>
                </w:p>
              </w:tc>
              <w:tc>
                <w:tcPr>
                  <w:tcW w:w="2395" w:type="dxa"/>
                  <w:vMerge w:val="restart"/>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color w:val="auto"/>
                      <w:kern w:val="44"/>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无事实依据对采购过程、采购结果或供应商处理结果进行乱投诉、举报的缠诉、滥诉行为。</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恶意投诉、举报的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对伪造证据、捏造事实、诬陷招标方或供应商管理、供应商使用单位人员的，一经查证</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9</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擅自变更、不按照合同规定履行或者擅自终止合同的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bidi="ar"/>
                    </w:rPr>
                    <w:t>10</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trike w:val="0"/>
                      <w:color w:val="000000"/>
                      <w:sz w:val="21"/>
                      <w:szCs w:val="21"/>
                      <w:lang w:bidi="ar"/>
                    </w:rPr>
                    <w:t>擅自降低标的功能标准或改变功能结构</w:t>
                  </w:r>
                  <w:r>
                    <w:rPr>
                      <w:rFonts w:hint="eastAsia" w:asciiTheme="minorEastAsia" w:hAnsiTheme="minorEastAsia" w:eastAsiaTheme="minorEastAsia" w:cstheme="minorEastAsia"/>
                      <w:strike w:val="0"/>
                      <w:color w:val="000000"/>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供应商在提供工程、货物、服务时，擅自降低原来规定的功能标准，改变功能结构，使采购原有的功能要求得不到保证</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w:t>
                  </w:r>
                  <w:r>
                    <w:rPr>
                      <w:rFonts w:hint="eastAsia" w:asciiTheme="minorEastAsia" w:hAnsiTheme="minorEastAsia" w:eastAsiaTheme="minorEastAsia" w:cstheme="minorEastAsia"/>
                      <w:color w:val="000000"/>
                      <w:sz w:val="21"/>
                      <w:szCs w:val="21"/>
                      <w:lang w:val="en-US" w:eastAsia="zh-CN" w:bidi="ar"/>
                    </w:rPr>
                    <w:t>且</w:t>
                  </w:r>
                  <w:r>
                    <w:rPr>
                      <w:rFonts w:hint="eastAsia" w:asciiTheme="minorEastAsia" w:hAnsiTheme="minorEastAsia" w:eastAsiaTheme="minorEastAsia" w:cstheme="minorEastAsia"/>
                      <w:color w:val="000000"/>
                      <w:sz w:val="21"/>
                      <w:szCs w:val="21"/>
                      <w:lang w:bidi="ar"/>
                    </w:rPr>
                    <w:t>未造成影响的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及时整改但造成一定影响的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及时整改但影响较重的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bidi="ar"/>
                    </w:rPr>
                    <w:t>拒不整改的</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，或未及时整改且影响较重的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11</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假冒其他厂家品牌，提供伪劣商品、以假乱真弄虚作假的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对生产经营造成影响较小</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对生产经营影响较大</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12</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出现供给不足（即“短斤少两”行为）</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及时整改未产生影响的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整改但产生影响的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对供应商或相关品类给予“禁用一年”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拒不更正的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13</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提供虚假进度报告</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未造成实质影响的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造成实质性影响的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14</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trike w:val="0"/>
                      <w:color w:val="000000"/>
                      <w:sz w:val="21"/>
                      <w:szCs w:val="21"/>
                      <w:lang w:bidi="ar"/>
                    </w:rPr>
                    <w:t>违反规定</w:t>
                  </w:r>
                  <w:r>
                    <w:rPr>
                      <w:rFonts w:hint="eastAsia" w:asciiTheme="minorEastAsia" w:hAnsiTheme="minorEastAsia" w:eastAsiaTheme="minorEastAsia" w:cstheme="minorEastAsia"/>
                      <w:strike w:val="0"/>
                      <w:color w:val="000000"/>
                      <w:sz w:val="21"/>
                      <w:szCs w:val="21"/>
                      <w:lang w:val="en-US" w:eastAsia="zh-CN" w:bidi="ar"/>
                    </w:rPr>
                    <w:t>将</w:t>
                  </w:r>
                  <w:r>
                    <w:rPr>
                      <w:rFonts w:hint="eastAsia" w:asciiTheme="minorEastAsia" w:hAnsiTheme="minorEastAsia" w:eastAsiaTheme="minorEastAsia" w:cstheme="minorEastAsia"/>
                      <w:strike w:val="0"/>
                      <w:color w:val="000000"/>
                      <w:sz w:val="21"/>
                      <w:szCs w:val="21"/>
                      <w:lang w:bidi="ar"/>
                    </w:rPr>
                    <w:t>中标项目或合同转让、转包、分包</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及时更正其违规行为的</w:t>
                  </w:r>
                  <w:r>
                    <w:rPr>
                      <w:rFonts w:hint="eastAsia" w:asciiTheme="minorEastAsia" w:hAnsiTheme="minorEastAsia" w:eastAsiaTheme="minorEastAsia" w:cstheme="minorEastAsia"/>
                      <w:i w:val="0"/>
                      <w:iCs w:val="0"/>
                      <w:color w:val="000000"/>
                      <w:kern w:val="0"/>
                      <w:sz w:val="21"/>
                      <w:szCs w:val="21"/>
                      <w:u w:val="none"/>
                      <w:lang w:val="en-US" w:eastAsia="zh-CN" w:bidi="ar"/>
                    </w:rPr>
                    <w:t>，对生产经营未产生影响的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及时更正其违规行为的，对生产经营产生影响的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未及时更正其违规行为的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拒绝更正其违规行为的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15</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未经同意拖延交工、交货日期，延缓执行合同的期限</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未造成实质影响</w:t>
                  </w:r>
                  <w:r>
                    <w:rPr>
                      <w:rFonts w:hint="eastAsia" w:asciiTheme="minorEastAsia" w:hAnsiTheme="minorEastAsia" w:eastAsiaTheme="minorEastAsia" w:cstheme="minorEastAsia"/>
                      <w:color w:val="000000"/>
                      <w:sz w:val="21"/>
                      <w:szCs w:val="21"/>
                      <w:lang w:bidi="ar"/>
                    </w:rPr>
                    <w:t>且愿意协商解决或承担赔偿责任的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造成较轻影响但愿意协商解决的</w:t>
                  </w:r>
                </w:p>
              </w:tc>
              <w:tc>
                <w:tcPr>
                  <w:tcW w:w="2701" w:type="dxa"/>
                  <w:shd w:val="clear" w:color="auto" w:fill="auto"/>
                  <w:vAlign w:val="center"/>
                </w:tcPr>
                <w:p>
                  <w:pPr>
                    <w:pageBreakBefore w:val="0"/>
                    <w:numPr>
                      <w:ins w:id="0" w:author="陈洁" w:date=""/>
                    </w:numPr>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造成较重影响但愿意协商解决的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造成严重影响的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16</w:t>
                  </w:r>
                </w:p>
              </w:tc>
              <w:tc>
                <w:tcPr>
                  <w:tcW w:w="2395" w:type="dxa"/>
                  <w:vMerge w:val="restart"/>
                  <w:shd w:val="clear" w:color="auto" w:fill="auto"/>
                  <w:vAlign w:val="center"/>
                </w:tcPr>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拒绝中国海油管理部门的监督检查或不如实反映情况、提供材料的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情节较轻的（可根据监督检查机构或部门建议判定）</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情节较重的（可根据监督检查机构或部门建议判定）</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17</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使用禁用供应商</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参与或承揽中国海油业务时，在已知晓或应当知晓的情况下，仍代理被中国海油禁用其他供应商的产品、服务，或将已获取的合同对其分包的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18</w:t>
                  </w: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拒绝履行售后义务</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拒绝履行售后服务义务并拒绝协商解决的情况，及其他因供应商的原因导致中国海油受损，并拒绝协商解决和赔偿责任的情况</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19</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所提供的产品存在严重质量问题，影响安全生产或对工程建设造成实质性影响的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对安全生产或工程建设影响较轻的</w:t>
                  </w:r>
                  <w:r>
                    <w:rPr>
                      <w:rFonts w:hint="eastAsia" w:asciiTheme="minorEastAsia" w:hAnsiTheme="minorEastAsia" w:eastAsiaTheme="minorEastAsia" w:cstheme="minorEastAsia"/>
                      <w:i w:val="0"/>
                      <w:iCs w:val="0"/>
                      <w:color w:val="000000"/>
                      <w:kern w:val="0"/>
                      <w:sz w:val="21"/>
                      <w:szCs w:val="21"/>
                      <w:u w:val="none"/>
                      <w:lang w:val="en-US" w:eastAsia="zh-CN" w:bidi="ar"/>
                    </w:rPr>
                    <w:t>（可根据专业机构调查结论）</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对供应商或相关品类给予“禁用两年”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对安全生产或工程建设影响较重的</w:t>
                  </w:r>
                  <w:r>
                    <w:rPr>
                      <w:rFonts w:hint="eastAsia" w:asciiTheme="minorEastAsia" w:hAnsiTheme="minorEastAsia" w:eastAsiaTheme="minorEastAsia" w:cstheme="minorEastAsia"/>
                      <w:i w:val="0"/>
                      <w:iCs w:val="0"/>
                      <w:color w:val="000000"/>
                      <w:kern w:val="0"/>
                      <w:sz w:val="21"/>
                      <w:szCs w:val="21"/>
                      <w:u w:val="none"/>
                      <w:lang w:val="en-US" w:eastAsia="zh-CN" w:bidi="ar"/>
                    </w:rPr>
                    <w:t>（可根据专业机构调查结论）</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对供应商或相关品类给予“长期禁用”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bidi="ar"/>
                    </w:rPr>
                    <w:t>提供的产品/服务出现安全隐患，且拒绝整改或整改不及时、不到位的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存在安全隐患且整改不到位的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存在严重安全隐患且整改不到位的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21</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trike w:val="0"/>
                      <w:color w:val="000000"/>
                      <w:sz w:val="21"/>
                      <w:szCs w:val="21"/>
                      <w:u w:val="none"/>
                      <w:lang w:bidi="ar"/>
                    </w:rPr>
                    <w:t>未经许可，对外披露中国海油商业秘密信息的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情节较重的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情节严重的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
                    </w:rPr>
                    <w:t>22</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由于供应商的</w:t>
                  </w:r>
                  <w:r>
                    <w:rPr>
                      <w:rFonts w:hint="eastAsia" w:asciiTheme="minorEastAsia" w:hAnsiTheme="minorEastAsia" w:eastAsiaTheme="minorEastAsia" w:cstheme="minorEastAsia"/>
                      <w:i w:val="0"/>
                      <w:iCs w:val="0"/>
                      <w:color w:val="000000"/>
                      <w:kern w:val="0"/>
                      <w:sz w:val="21"/>
                      <w:szCs w:val="21"/>
                      <w:u w:val="none"/>
                      <w:lang w:val="en-US" w:eastAsia="zh-CN" w:bidi="ar"/>
                    </w:rPr>
                    <w:t>原因</w:t>
                  </w:r>
                  <w:r>
                    <w:rPr>
                      <w:rFonts w:hint="eastAsia" w:asciiTheme="minorEastAsia" w:hAnsiTheme="minorEastAsia" w:eastAsiaTheme="minorEastAsia" w:cstheme="minorEastAsia"/>
                      <w:color w:val="000000"/>
                      <w:sz w:val="21"/>
                      <w:szCs w:val="21"/>
                      <w:lang w:bidi="ar"/>
                    </w:rPr>
                    <w:t>，与中国海油及所属单位产生法律诉讼的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未造成实质损失的（可依据法律部门或所属单位建议）</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造成实质损失的（可依据法律部门或所属单位建议）</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eastAsia="zh-CN" w:bidi="ar"/>
                    </w:rPr>
                    <w:t>23</w:t>
                  </w:r>
                </w:p>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发生安全事故且负主要责任的供应商</w:t>
                  </w:r>
                </w:p>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公司安全生产部门或所属单位通知采办共享中心，发生“一般A级”以下级别安全事故，造成实质影响</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公司安全生产部门或所属单位通知采办共享中心，发生“一般A级”及以上安全事故，情节较轻的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公司安全生产部门或所属单位通知采办共享中心，发生“一般A级”及以上安全事故，情节较重的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公司安全生产部门或所属单位通知采办共享中心，发生“一般A级”及以上安全事故，情节严重的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p>
              </w:tc>
              <w:tc>
                <w:tcPr>
                  <w:tcW w:w="11065" w:type="dxa"/>
                  <w:gridSpan w:val="2"/>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公司安全生产部门或所属单位通知采办共享中心，发生“一般A级”以下级别安全事故，未造成实质影响，对供应商进行约谈。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bidi="ar"/>
                    </w:rPr>
                    <w:t>24</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供应商在提报中国海油员工、员工亲属、离职退休的领导人员在本单位的任职和持股情况时</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存在瞒报相关情况的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000000"/>
                      <w:sz w:val="21"/>
                      <w:szCs w:val="21"/>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存在利用中国海油人员的职务之便牟取不正当利益情形的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25</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在承揽的中国海油业务中，存在拖欠农民工工资行为的</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未造成不良影响并及时整改的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整改不及时或影响较大的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整改不及时或影响严重的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restart"/>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26</w:t>
                  </w:r>
                </w:p>
              </w:tc>
              <w:tc>
                <w:tcPr>
                  <w:tcW w:w="2395" w:type="dxa"/>
                  <w:vMerge w:val="restart"/>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对存在其他不当行为可能给中国海油带来风险</w:t>
                  </w: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对存在其它不当行为可能给中国海油带来较高风险的</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1"/>
                      <w:szCs w:val="21"/>
                      <w:lang w:bidi="ar"/>
                    </w:rPr>
                  </w:pPr>
                </w:p>
              </w:tc>
              <w:tc>
                <w:tcPr>
                  <w:tcW w:w="2395" w:type="dxa"/>
                  <w:vMerge w:val="continue"/>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p>
              </w:tc>
              <w:tc>
                <w:tcPr>
                  <w:tcW w:w="11065" w:type="dxa"/>
                  <w:gridSpan w:val="2"/>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对存在其它不当行为可能给中国海油带来较低风险的，对供应商进行约谈。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29" w:type="dxa"/>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trike w:val="0"/>
                      <w:dstrike w:val="0"/>
                      <w:color w:val="000000"/>
                      <w:sz w:val="21"/>
                      <w:szCs w:val="21"/>
                      <w:lang w:val="en-US" w:eastAsia="zh-CN" w:bidi="ar"/>
                    </w:rPr>
                  </w:pPr>
                  <w:r>
                    <w:rPr>
                      <w:rFonts w:hint="eastAsia" w:asciiTheme="minorEastAsia" w:hAnsiTheme="minorEastAsia" w:eastAsiaTheme="minorEastAsia" w:cstheme="minorEastAsia"/>
                      <w:strike w:val="0"/>
                      <w:dstrike w:val="0"/>
                      <w:color w:val="000000"/>
                      <w:sz w:val="21"/>
                      <w:szCs w:val="21"/>
                      <w:lang w:val="en-US" w:eastAsia="zh-CN" w:bidi="ar"/>
                    </w:rPr>
                    <w:t>27</w:t>
                  </w:r>
                </w:p>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trike/>
                      <w:dstrike w:val="0"/>
                      <w:color w:val="000000"/>
                      <w:sz w:val="21"/>
                      <w:szCs w:val="21"/>
                      <w:lang w:val="en-US" w:eastAsia="zh-CN" w:bidi="ar"/>
                    </w:rPr>
                  </w:pPr>
                </w:p>
              </w:tc>
              <w:tc>
                <w:tcPr>
                  <w:tcW w:w="2395"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其他违反国家法律法规及集团公司规章制度的行为</w:t>
                  </w:r>
                </w:p>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dstrike w:val="0"/>
                      <w:color w:val="000000"/>
                      <w:sz w:val="21"/>
                      <w:szCs w:val="21"/>
                      <w:lang w:bidi="ar"/>
                    </w:rPr>
                  </w:pPr>
                </w:p>
              </w:tc>
              <w:tc>
                <w:tcPr>
                  <w:tcW w:w="8364"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dstrike w:val="0"/>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其他违反国家法律法规及集团公司规章制度的行为，包括国家、审计、纪检监察、巡视等函件反映问题。</w:t>
                  </w:r>
                </w:p>
              </w:tc>
              <w:tc>
                <w:tcPr>
                  <w:tcW w:w="2701" w:type="dxa"/>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trike/>
                      <w:dstrike w:val="0"/>
                      <w:color w:val="00000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由集团公司工程与物装部组织相关管理部门及所属单位，对供应商问题性质及业务实际情况判定，进行相应处理。</w:t>
                  </w:r>
                </w:p>
              </w:tc>
            </w:tr>
          </w:tbl>
          <w:p>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注：在合同执行阶段，供应商违规情形是否造成影响及影响程度由合同执行单位进行判定，并出具经二级单位主管领导确认的判定结果。</w:t>
            </w:r>
          </w:p>
          <w:p>
            <w:pPr>
              <w:pStyle w:val="4"/>
              <w:pageBreakBefore w:val="0"/>
              <w:numPr>
                <w:ilvl w:val="-1"/>
                <w:numId w:val="0"/>
              </w:numPr>
              <w:kinsoku/>
              <w:wordWrap/>
              <w:overflowPunct/>
              <w:topLinePunct w:val="0"/>
              <w:autoSpaceDE/>
              <w:autoSpaceDN/>
              <w:bidi w:val="0"/>
              <w:adjustRightInd/>
              <w:snapToGrid/>
              <w:spacing w:before="0" w:after="0" w:line="240" w:lineRule="auto"/>
              <w:rPr>
                <w:rFonts w:hint="eastAsia" w:asciiTheme="minorEastAsia" w:hAnsiTheme="minorEastAsia" w:eastAsiaTheme="minorEastAsia" w:cstheme="minorEastAsia"/>
                <w:sz w:val="21"/>
                <w:szCs w:val="21"/>
                <w:lang w:val="en-US" w:eastAsia="zh-CN"/>
              </w:rPr>
            </w:pPr>
          </w:p>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b/>
                <w:bCs/>
                <w:sz w:val="21"/>
                <w:szCs w:val="21"/>
                <w:lang w:val="en-US" w:eastAsia="zh-CN" w:bidi="ar"/>
              </w:rPr>
              <w:t>二、</w:t>
            </w:r>
            <w:r>
              <w:rPr>
                <w:rFonts w:hint="eastAsia" w:asciiTheme="minorEastAsia" w:hAnsiTheme="minorEastAsia" w:eastAsiaTheme="minorEastAsia" w:cstheme="minorEastAsia"/>
                <w:b/>
                <w:bCs/>
                <w:sz w:val="21"/>
                <w:szCs w:val="21"/>
                <w:lang w:bidi="ar"/>
              </w:rPr>
              <w:t>经营状况异常供应商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对经营状况异常供应商给予“无固定期禁用”处理，直至其经营风险被解除。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b/>
                <w:bCs/>
                <w:sz w:val="21"/>
                <w:szCs w:val="21"/>
                <w:lang w:bidi="ar"/>
              </w:rPr>
              <w:t>三、考核不合格供应商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Style w:val="44"/>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对考核不合格供应商，允许供应商按要求整改，整改期间暂停使用，整改后仍不能通过审核的，对考核不合格的品类给予“禁用一年”处理。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bidi="ar"/>
              </w:rPr>
              <w:t xml:space="preserve">四、关联关系供应商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根据《招标投标法实施条例》第三十四条款规定，在招标/采购文件中明确“投标人与本招标项目其他投标人不得存在控股关系或管理关系、单位负责人为同一人”的相应条款，并作为评标/评审的否决项。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要求供应商参与招标/采购活动时签署《承诺书》，并附上供应商的公司章程或其他能够体现出资人、股东信息的法定文件，作为评标/评审时的依据。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在非公开采购项目中，在确定被邀请的供应商名单前，要对供应商的单位负责人、股东情况等进行核实，严禁邀请“存在控股关系或管理关系、单位负责人为同一人、同一自然人同时持有两家公司非公开上市股份”情形的关联关系供应商同时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517" w:type="dxa"/>
            <w:gridSpan w:val="3"/>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在结果公示阶段，对涉及关联关系的供应商共同参与竞争的相关异议或投诉要进行调查，对发现违反招投标法《招标投标法实施条例》第三十四条款规定的中标方，取消其中标资格，对发现存在围标、串标情形的投标人或供应商要严肃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bidi="ar"/>
              </w:rPr>
              <w:t xml:space="preserve">五、政府通报查处供应商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对政府通报查处供应商，如国家机关对供应商有具体明确处理意见的，按其意见处理；如无明确处理意见的，可参考供应商违规违法情节进行处理。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bidi="ar"/>
              </w:rPr>
              <w:t xml:space="preserve">六、禁业限制供应商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596" w:type="dxa"/>
            <w:gridSpan w:val="4"/>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对员工主动申报、或供应商主动报告的禁业限制供应商，且未发现利用中国海油人员的职务之便牟取不正当利益情形，依照集团公司相关规定对供应商及其下属分公司、全资子公司和控股公司进行以下处理：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5444" w:type="dxa"/>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禁业限制的类型</w:t>
            </w:r>
          </w:p>
        </w:tc>
        <w:tc>
          <w:tcPr>
            <w:tcW w:w="8073"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处理标准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存在中国海油员工投资或持股情形的供应商。</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聘请中国海油员工在其任职或兼职的非国有企业性质供应商。</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存在离职、退休的中国海油领导人员投资或持股情形的供应商，如领导人员离职、退休时间未满三年。</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对供应商给予“无固定期禁用”处理，禁用的最长期限为领导人员离职、退休满三年。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544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聘请中国海油离职或退休未满三年的领导人员担任高级职务的非国有性质企业供应商。</w:t>
            </w:r>
          </w:p>
        </w:tc>
        <w:tc>
          <w:tcPr>
            <w:tcW w:w="807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对供应商给予“无固定期禁用”处理，禁用的最长期限为领导人员离职、退休满三年。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543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存在中国海油在职员工亲属注册公司（或企业、个体工商户）、持有非上市股权等情形的供应商。</w:t>
            </w:r>
          </w:p>
        </w:tc>
        <w:tc>
          <w:tcPr>
            <w:tcW w:w="808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对供应商给予“无固定期禁用”处理。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079" w:type="dxa"/>
            <w:tcBorders>
              <w:tl2br w:val="nil"/>
              <w:tr2bl w:val="nil"/>
            </w:tcBorders>
            <w:shd w:val="clear" w:color="auto" w:fill="auto"/>
            <w:vAlign w:val="center"/>
          </w:tcPr>
          <w:p>
            <w:pPr>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5433" w:type="dxa"/>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聘请中国海油在职领导人员亲属担任高级职务的非国有企业性质供应商。</w:t>
            </w:r>
          </w:p>
        </w:tc>
        <w:tc>
          <w:tcPr>
            <w:tcW w:w="8084" w:type="dxa"/>
            <w:gridSpan w:val="2"/>
            <w:tcBorders>
              <w:tl2br w:val="nil"/>
              <w:tr2bl w:val="nil"/>
            </w:tcBorders>
            <w:shd w:val="clear" w:color="auto" w:fill="auto"/>
            <w:vAlign w:val="center"/>
          </w:tcPr>
          <w:p>
            <w:pPr>
              <w:pageBreakBefore w:val="0"/>
              <w:widowControl/>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对供应商给予 “无固定期禁用”处理。</w:t>
            </w:r>
          </w:p>
        </w:tc>
      </w:tr>
    </w:tbl>
    <w:p>
      <w:pPr>
        <w:rPr>
          <w:rFonts w:hint="eastAsia" w:eastAsia="宋体"/>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3"/>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2"/>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2"/>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32"/>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3"/>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3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3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3"/>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3"/>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3"/>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3"/>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3"/>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3"/>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3"/>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中海油能源发展股份有限公司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27"/>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7"/>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27"/>
        <w:adjustRightInd/>
        <w:jc w:val="center"/>
        <w:rPr>
          <w:rFonts w:hAnsi="宋体"/>
          <w:b/>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lang w:val="en-US" w:eastAsia="zh-CN"/>
              </w:rPr>
              <w:t>交货日</w:t>
            </w:r>
            <w:r>
              <w:rPr>
                <w:rFonts w:hint="eastAsia" w:ascii="宋体" w:hAnsi="宋体"/>
                <w:color w:val="000000"/>
              </w:rPr>
              <w:t>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34"/>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val="0"/>
        <w:wordWrap/>
        <w:overflowPunct w:val="0"/>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30"/>
        <w:keepNext w:val="0"/>
        <w:keepLines w:val="0"/>
        <w:pageBreakBefore w:val="0"/>
        <w:kinsoku w:val="0"/>
        <w:wordWrap/>
        <w:overflowPunct w:val="0"/>
        <w:topLinePunct w:val="0"/>
        <w:autoSpaceDE/>
        <w:autoSpaceDN/>
        <w:bidi w:val="0"/>
        <w:adjustRightInd/>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keepNext w:val="0"/>
        <w:keepLines w:val="0"/>
        <w:widowControl/>
        <w:suppressLineNumbers w:val="0"/>
        <w:jc w:val="lef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w:t>
      </w:r>
      <w:r>
        <w:rPr>
          <w:rFonts w:hint="default" w:cs="Calibri" w:asciiTheme="minorEastAsia" w:hAnsiTheme="minorEastAsia" w:eastAsiaTheme="minorEastAsia"/>
          <w:color w:val="000000" w:themeColor="text1"/>
          <w:sz w:val="21"/>
          <w:szCs w:val="21"/>
          <w:highlight w:val="none"/>
          <w14:textFill>
            <w14:solidFill>
              <w14:schemeClr w14:val="tx1"/>
            </w14:solidFill>
          </w14:textFill>
        </w:rPr>
        <w:t>目</w:t>
      </w:r>
      <w:r>
        <w:rPr>
          <w:rFonts w:cs="Calibri"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柴油输送泵采购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0"/>
        <w:tblW w:w="141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429"/>
        <w:gridCol w:w="3375"/>
        <w:gridCol w:w="2012"/>
        <w:gridCol w:w="745"/>
        <w:gridCol w:w="800"/>
        <w:gridCol w:w="664"/>
        <w:gridCol w:w="1645"/>
        <w:gridCol w:w="1237"/>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物资描述</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default" w:ascii="宋体" w:hAnsi="宋体" w:eastAsia="宋体" w:cs="宋体"/>
                <w:i w:val="0"/>
                <w:iCs w:val="0"/>
                <w:color w:val="FF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品牌型号</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w:t>
            </w:r>
          </w:p>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w:t>
            </w:r>
          </w:p>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柴油输送泵</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left"/>
              <w:textAlignment w:val="cente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柴油输送泵\15m3/h</w:t>
            </w:r>
          </w:p>
          <w:p>
            <w:pPr>
              <w:keepNext w:val="0"/>
              <w:keepLines w:val="0"/>
              <w:pageBreakBefore w:val="0"/>
              <w:widowControl w:val="0"/>
              <w:suppressLineNumbers w:val="0"/>
              <w:kinsoku w:val="0"/>
              <w:wordWrap/>
              <w:overflowPunct w:val="0"/>
              <w:topLinePunct w:val="0"/>
              <w:autoSpaceDE/>
              <w:autoSpaceDN/>
              <w:bidi w:val="0"/>
              <w:adjustRightInd/>
              <w:snapToGrid/>
              <w:jc w:val="left"/>
              <w:textAlignment w:val="cente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\0.6MPa\7.5KW\API676\EXdIIBT4</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14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4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r>
              <w:rPr>
                <w:rFonts w:hint="eastAsia" w:ascii="宋体" w:hAnsi="宋体" w:eastAsia="宋体" w:cs="宋体"/>
                <w:i w:val="0"/>
                <w:iCs/>
                <w:color w:val="auto"/>
                <w:sz w:val="21"/>
                <w:szCs w:val="21"/>
                <w:lang w:eastAsia="zh-CN"/>
              </w:rPr>
              <w:t>含税总价（大写人民币）：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4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r>
              <w:rPr>
                <w:rFonts w:hint="eastAsia" w:ascii="宋体" w:hAnsi="宋体" w:eastAsia="宋体" w:cs="宋体"/>
                <w:i w:val="0"/>
                <w:iCs/>
                <w:color w:val="auto"/>
                <w:sz w:val="21"/>
                <w:szCs w:val="21"/>
                <w:lang w:eastAsia="zh-CN"/>
              </w:rPr>
              <w:t>不含税总价（大写人民币）：</w:t>
            </w:r>
          </w:p>
        </w:tc>
      </w:tr>
    </w:tbl>
    <w:p>
      <w:pPr>
        <w:keepNext w:val="0"/>
        <w:keepLines w:val="0"/>
        <w:pageBreakBefore w:val="0"/>
        <w:kinsoku w:val="0"/>
        <w:wordWrap/>
        <w:overflowPunct w:val="0"/>
        <w:topLinePunct w:val="0"/>
        <w:autoSpaceDE/>
        <w:autoSpaceDN/>
        <w:bidi w:val="0"/>
        <w:adjustRightInd/>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keepNext w:val="0"/>
        <w:keepLines w:val="0"/>
        <w:pageBreakBefore w:val="0"/>
        <w:kinsoku w:val="0"/>
        <w:wordWrap/>
        <w:overflowPunct w:val="0"/>
        <w:topLinePunct w:val="0"/>
        <w:autoSpaceDE/>
        <w:autoSpaceDN/>
        <w:bidi w:val="0"/>
        <w:adjustRightInd/>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keepNext w:val="0"/>
        <w:keepLines w:val="0"/>
        <w:pageBreakBefore w:val="0"/>
        <w:kinsoku w:val="0"/>
        <w:wordWrap/>
        <w:overflowPunct w:val="0"/>
        <w:topLinePunct w:val="0"/>
        <w:autoSpaceDE/>
        <w:autoSpaceDN/>
        <w:bidi w:val="0"/>
        <w:adjustRightInd/>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keepNext w:val="0"/>
        <w:keepLines w:val="0"/>
        <w:pageBreakBefore w:val="0"/>
        <w:kinsoku w:val="0"/>
        <w:wordWrap/>
        <w:overflowPunct w:val="0"/>
        <w:topLinePunct w:val="0"/>
        <w:autoSpaceDE/>
        <w:autoSpaceDN/>
        <w:bidi w:val="0"/>
        <w:adjustRightInd/>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FF0000"/>
          <w:sz w:val="21"/>
          <w:szCs w:val="21"/>
          <w:highlight w:val="none"/>
          <w:lang w:val="en-US" w:eastAsia="zh-CN"/>
        </w:rPr>
        <w:t>报价时写明“品牌型号”信息。</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0"/>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0"/>
        <w:keepNext w:val="0"/>
        <w:keepLines w:val="0"/>
        <w:pageBreakBefore w:val="0"/>
        <w:kinsoku w:val="0"/>
        <w:wordWrap/>
        <w:overflowPunct w:val="0"/>
        <w:topLinePunct w:val="0"/>
        <w:autoSpaceDE/>
        <w:autoSpaceDN/>
        <w:bidi w:val="0"/>
        <w:adjustRightInd/>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报价单位名称：***（</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盖公章）</w:t>
      </w:r>
    </w:p>
    <w:p>
      <w:pPr>
        <w:pStyle w:val="30"/>
        <w:keepNext w:val="0"/>
        <w:keepLines w:val="0"/>
        <w:pageBreakBefore w:val="0"/>
        <w:kinsoku w:val="0"/>
        <w:wordWrap/>
        <w:overflowPunct w:val="0"/>
        <w:topLinePunct w:val="0"/>
        <w:autoSpaceDE/>
        <w:autoSpaceDN/>
        <w:bidi w:val="0"/>
        <w:adjustRightInd/>
        <w:spacing w:line="360" w:lineRule="auto"/>
        <w:ind w:right="840" w:firstLine="0"/>
        <w:jc w:val="righ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法定代表人（单位负责人）或其委托代理人签字：</w:t>
      </w:r>
    </w:p>
    <w:p>
      <w:pPr>
        <w:pStyle w:val="30"/>
        <w:keepNext w:val="0"/>
        <w:keepLines w:val="0"/>
        <w:pageBreakBefore w:val="0"/>
        <w:kinsoku w:val="0"/>
        <w:wordWrap/>
        <w:overflowPunct w:val="0"/>
        <w:topLinePunct w:val="0"/>
        <w:autoSpaceDE/>
        <w:autoSpaceDN/>
        <w:bidi w:val="0"/>
        <w:adjustRightInd/>
        <w:spacing w:line="360" w:lineRule="auto"/>
        <w:ind w:right="840" w:firstLine="0"/>
        <w:jc w:val="right"/>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报价日期：****年**月**日</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18030">
    <w:altName w:val="黑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16" w:firstLineChars="2000"/>
      <w:rPr>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9B6F0"/>
    <w:multiLevelType w:val="singleLevel"/>
    <w:tmpl w:val="8319B6F0"/>
    <w:lvl w:ilvl="0" w:tentative="0">
      <w:start w:val="1"/>
      <w:numFmt w:val="decimal"/>
      <w:suff w:val="nothing"/>
      <w:lvlText w:val="（%1）"/>
      <w:lvlJc w:val="left"/>
      <w:pPr>
        <w:ind w:left="-343"/>
      </w:pPr>
    </w:lvl>
  </w:abstractNum>
  <w:abstractNum w:abstractNumId="1">
    <w:nsid w:val="871D8A68"/>
    <w:multiLevelType w:val="singleLevel"/>
    <w:tmpl w:val="871D8A68"/>
    <w:lvl w:ilvl="0" w:tentative="0">
      <w:start w:val="1"/>
      <w:numFmt w:val="bullet"/>
      <w:lvlText w:val=""/>
      <w:lvlJc w:val="left"/>
      <w:pPr>
        <w:ind w:left="420" w:hanging="420"/>
      </w:pPr>
      <w:rPr>
        <w:rFonts w:hint="default" w:ascii="Wingdings" w:hAnsi="Wingdings"/>
      </w:rPr>
    </w:lvl>
  </w:abstractNum>
  <w:abstractNum w:abstractNumId="2">
    <w:nsid w:val="95B8945A"/>
    <w:multiLevelType w:val="singleLevel"/>
    <w:tmpl w:val="95B8945A"/>
    <w:lvl w:ilvl="0" w:tentative="0">
      <w:start w:val="1"/>
      <w:numFmt w:val="decimal"/>
      <w:suff w:val="nothing"/>
      <w:lvlText w:val="%1、"/>
      <w:lvlJc w:val="left"/>
    </w:lvl>
  </w:abstractNum>
  <w:abstractNum w:abstractNumId="3">
    <w:nsid w:val="A1C964CF"/>
    <w:multiLevelType w:val="singleLevel"/>
    <w:tmpl w:val="A1C964CF"/>
    <w:lvl w:ilvl="0" w:tentative="0">
      <w:start w:val="1"/>
      <w:numFmt w:val="decimal"/>
      <w:suff w:val="space"/>
      <w:lvlText w:val="%1."/>
      <w:lvlJc w:val="left"/>
    </w:lvl>
  </w:abstractNum>
  <w:abstractNum w:abstractNumId="4">
    <w:nsid w:val="B024006D"/>
    <w:multiLevelType w:val="multilevel"/>
    <w:tmpl w:val="B024006D"/>
    <w:lvl w:ilvl="0" w:tentative="0">
      <w:start w:val="1"/>
      <w:numFmt w:val="decimal"/>
      <w:lvlText w:val="3.%1"/>
      <w:lvlJc w:val="left"/>
      <w:pPr>
        <w:tabs>
          <w:tab w:val="left" w:pos="840"/>
        </w:tabs>
        <w:ind w:left="840" w:hanging="557"/>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4CED64"/>
    <w:multiLevelType w:val="singleLevel"/>
    <w:tmpl w:val="104CED64"/>
    <w:lvl w:ilvl="0" w:tentative="0">
      <w:start w:val="1"/>
      <w:numFmt w:val="decimal"/>
      <w:lvlText w:val="%1."/>
      <w:lvlJc w:val="left"/>
      <w:pPr>
        <w:tabs>
          <w:tab w:val="left" w:pos="312"/>
        </w:tabs>
      </w:pPr>
    </w:lvl>
  </w:abstractNum>
  <w:abstractNum w:abstractNumId="6">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18324A0E"/>
    <w:multiLevelType w:val="singleLevel"/>
    <w:tmpl w:val="18324A0E"/>
    <w:lvl w:ilvl="0" w:tentative="0">
      <w:start w:val="1"/>
      <w:numFmt w:val="decimal"/>
      <w:suff w:val="nothing"/>
      <w:lvlText w:val="%1、"/>
      <w:lvlJc w:val="left"/>
    </w:lvl>
  </w:abstractNum>
  <w:abstractNum w:abstractNumId="10">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71D488"/>
    <w:multiLevelType w:val="singleLevel"/>
    <w:tmpl w:val="1C71D488"/>
    <w:lvl w:ilvl="0" w:tentative="0">
      <w:start w:val="1"/>
      <w:numFmt w:val="bullet"/>
      <w:lvlText w:val=""/>
      <w:lvlJc w:val="left"/>
      <w:pPr>
        <w:ind w:left="420" w:hanging="420"/>
      </w:pPr>
      <w:rPr>
        <w:rFonts w:hint="default" w:ascii="Wingdings" w:hAnsi="Wingdings"/>
      </w:rPr>
    </w:lvl>
  </w:abstractNum>
  <w:abstractNum w:abstractNumId="12">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030A0D"/>
    <w:multiLevelType w:val="multilevel"/>
    <w:tmpl w:val="22030A0D"/>
    <w:lvl w:ilvl="0" w:tentative="0">
      <w:start w:val="1"/>
      <w:numFmt w:val="decimal"/>
      <w:lvlText w:val="17.%1"/>
      <w:lvlJc w:val="left"/>
      <w:pPr>
        <w:ind w:left="420" w:hanging="420"/>
      </w:pPr>
      <w:rPr>
        <w:rFonts w:hint="default" w:cs="Times New Roman" w:asciiTheme="minorEastAsia" w:hAnsiTheme="minorEastAsia" w:eastAsiaTheme="minorEastAsia"/>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9">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0B6C9A8"/>
    <w:multiLevelType w:val="singleLevel"/>
    <w:tmpl w:val="40B6C9A8"/>
    <w:lvl w:ilvl="0" w:tentative="0">
      <w:start w:val="1"/>
      <w:numFmt w:val="decimal"/>
      <w:suff w:val="nothing"/>
      <w:lvlText w:val="%1、"/>
      <w:lvlJc w:val="left"/>
    </w:lvl>
  </w:abstractNum>
  <w:abstractNum w:abstractNumId="23">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4">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9C4B286"/>
    <w:multiLevelType w:val="multilevel"/>
    <w:tmpl w:val="49C4B286"/>
    <w:lvl w:ilvl="0" w:tentative="0">
      <w:start w:val="1"/>
      <w:numFmt w:val="decimal"/>
      <w:lvlText w:val="10.%1"/>
      <w:lvlJc w:val="left"/>
      <w:pPr>
        <w:tabs>
          <w:tab w:val="left" w:pos="-2940"/>
        </w:tabs>
        <w:ind w:left="456" w:hanging="420"/>
      </w:pPr>
      <w:rPr>
        <w:rFonts w:hint="default" w:ascii="宋体" w:hAnsi="宋体" w:eastAsia="宋体" w:cs="宋体"/>
        <w:b w:val="0"/>
        <w:i w:val="0"/>
        <w:color w:val="auto"/>
        <w:sz w:val="24"/>
        <w:szCs w:val="24"/>
        <w:lang w:eastAsia="zh-CN"/>
      </w:rPr>
    </w:lvl>
    <w:lvl w:ilvl="1" w:tentative="0">
      <w:start w:val="1"/>
      <w:numFmt w:val="decimal"/>
      <w:lvlText w:val="(%2)"/>
      <w:lvlJc w:val="left"/>
      <w:pPr>
        <w:tabs>
          <w:tab w:val="left" w:pos="-2940"/>
        </w:tabs>
        <w:ind w:left="846" w:hanging="390"/>
      </w:pPr>
      <w:rPr>
        <w:rFonts w:hint="default"/>
      </w:rPr>
    </w:lvl>
    <w:lvl w:ilvl="2" w:tentative="0">
      <w:start w:val="1"/>
      <w:numFmt w:val="lowerRoman"/>
      <w:lvlText w:val="%3."/>
      <w:lvlJc w:val="right"/>
      <w:pPr>
        <w:tabs>
          <w:tab w:val="left" w:pos="-2940"/>
        </w:tabs>
        <w:ind w:left="1296" w:hanging="420"/>
      </w:pPr>
    </w:lvl>
    <w:lvl w:ilvl="3" w:tentative="0">
      <w:start w:val="1"/>
      <w:numFmt w:val="decimal"/>
      <w:lvlText w:val="%4."/>
      <w:lvlJc w:val="left"/>
      <w:pPr>
        <w:tabs>
          <w:tab w:val="left" w:pos="-2940"/>
        </w:tabs>
        <w:ind w:left="1716" w:hanging="420"/>
      </w:pPr>
    </w:lvl>
    <w:lvl w:ilvl="4" w:tentative="0">
      <w:start w:val="1"/>
      <w:numFmt w:val="lowerLetter"/>
      <w:lvlText w:val="%5)"/>
      <w:lvlJc w:val="left"/>
      <w:pPr>
        <w:tabs>
          <w:tab w:val="left" w:pos="-2940"/>
        </w:tabs>
        <w:ind w:left="2136" w:hanging="420"/>
      </w:pPr>
    </w:lvl>
    <w:lvl w:ilvl="5" w:tentative="0">
      <w:start w:val="1"/>
      <w:numFmt w:val="lowerRoman"/>
      <w:lvlText w:val="%6."/>
      <w:lvlJc w:val="right"/>
      <w:pPr>
        <w:tabs>
          <w:tab w:val="left" w:pos="-2940"/>
        </w:tabs>
        <w:ind w:left="2556" w:hanging="420"/>
      </w:pPr>
    </w:lvl>
    <w:lvl w:ilvl="6" w:tentative="0">
      <w:start w:val="1"/>
      <w:numFmt w:val="decimal"/>
      <w:lvlText w:val="%7."/>
      <w:lvlJc w:val="left"/>
      <w:pPr>
        <w:tabs>
          <w:tab w:val="left" w:pos="-2940"/>
        </w:tabs>
        <w:ind w:left="2976" w:hanging="420"/>
      </w:pPr>
    </w:lvl>
    <w:lvl w:ilvl="7" w:tentative="0">
      <w:start w:val="1"/>
      <w:numFmt w:val="lowerLetter"/>
      <w:lvlText w:val="%8)"/>
      <w:lvlJc w:val="left"/>
      <w:pPr>
        <w:tabs>
          <w:tab w:val="left" w:pos="-2940"/>
        </w:tabs>
        <w:ind w:left="3396" w:hanging="420"/>
      </w:pPr>
    </w:lvl>
    <w:lvl w:ilvl="8" w:tentative="0">
      <w:start w:val="1"/>
      <w:numFmt w:val="lowerRoman"/>
      <w:lvlText w:val="%9."/>
      <w:lvlJc w:val="right"/>
      <w:pPr>
        <w:tabs>
          <w:tab w:val="left" w:pos="-2940"/>
        </w:tabs>
        <w:ind w:left="3816" w:hanging="420"/>
      </w:pPr>
    </w:lvl>
  </w:abstractNum>
  <w:abstractNum w:abstractNumId="26">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9">
    <w:nsid w:val="58A2795B"/>
    <w:multiLevelType w:val="multilevel"/>
    <w:tmpl w:val="58A2795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0">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1694D6C"/>
    <w:multiLevelType w:val="singleLevel"/>
    <w:tmpl w:val="61694D6C"/>
    <w:lvl w:ilvl="0" w:tentative="0">
      <w:start w:val="1"/>
      <w:numFmt w:val="decimal"/>
      <w:suff w:val="nothing"/>
      <w:lvlText w:val="%1、"/>
      <w:lvlJc w:val="left"/>
    </w:lvl>
  </w:abstractNum>
  <w:abstractNum w:abstractNumId="33">
    <w:nsid w:val="61BB8A6D"/>
    <w:multiLevelType w:val="multilevel"/>
    <w:tmpl w:val="61BB8A6D"/>
    <w:lvl w:ilvl="0" w:tentative="0">
      <w:start w:val="1"/>
      <w:numFmt w:val="decimal"/>
      <w:lvlText w:val="17.%1"/>
      <w:lvlJc w:val="left"/>
      <w:pPr>
        <w:tabs>
          <w:tab w:val="left" w:pos="-840"/>
        </w:tabs>
        <w:ind w:left="286" w:hanging="420"/>
      </w:pPr>
      <w:rPr>
        <w:rFonts w:hint="default" w:ascii="宋体" w:hAnsi="宋体" w:eastAsia="宋体" w:cs="宋体"/>
        <w:color w:val="auto"/>
        <w:sz w:val="21"/>
        <w:szCs w:val="21"/>
      </w:rPr>
    </w:lvl>
    <w:lvl w:ilvl="1" w:tentative="0">
      <w:start w:val="1"/>
      <w:numFmt w:val="lowerLetter"/>
      <w:lvlText w:val="%2)"/>
      <w:lvlJc w:val="left"/>
      <w:pPr>
        <w:tabs>
          <w:tab w:val="left" w:pos="-840"/>
        </w:tabs>
        <w:ind w:left="706" w:hanging="420"/>
      </w:pPr>
    </w:lvl>
    <w:lvl w:ilvl="2" w:tentative="0">
      <w:start w:val="1"/>
      <w:numFmt w:val="lowerRoman"/>
      <w:lvlText w:val="%3."/>
      <w:lvlJc w:val="right"/>
      <w:pPr>
        <w:tabs>
          <w:tab w:val="left" w:pos="-840"/>
        </w:tabs>
        <w:ind w:left="1126" w:hanging="420"/>
      </w:pPr>
    </w:lvl>
    <w:lvl w:ilvl="3" w:tentative="0">
      <w:start w:val="1"/>
      <w:numFmt w:val="decimal"/>
      <w:lvlText w:val="%4."/>
      <w:lvlJc w:val="left"/>
      <w:pPr>
        <w:tabs>
          <w:tab w:val="left" w:pos="-840"/>
        </w:tabs>
        <w:ind w:left="1546" w:hanging="420"/>
      </w:pPr>
    </w:lvl>
    <w:lvl w:ilvl="4" w:tentative="0">
      <w:start w:val="1"/>
      <w:numFmt w:val="lowerLetter"/>
      <w:lvlText w:val="%5)"/>
      <w:lvlJc w:val="left"/>
      <w:pPr>
        <w:tabs>
          <w:tab w:val="left" w:pos="-840"/>
        </w:tabs>
        <w:ind w:left="1966" w:hanging="420"/>
      </w:pPr>
    </w:lvl>
    <w:lvl w:ilvl="5" w:tentative="0">
      <w:start w:val="1"/>
      <w:numFmt w:val="lowerRoman"/>
      <w:lvlText w:val="%6."/>
      <w:lvlJc w:val="right"/>
      <w:pPr>
        <w:tabs>
          <w:tab w:val="left" w:pos="-840"/>
        </w:tabs>
        <w:ind w:left="2386" w:hanging="420"/>
      </w:pPr>
    </w:lvl>
    <w:lvl w:ilvl="6" w:tentative="0">
      <w:start w:val="1"/>
      <w:numFmt w:val="decimal"/>
      <w:lvlText w:val="%7."/>
      <w:lvlJc w:val="left"/>
      <w:pPr>
        <w:tabs>
          <w:tab w:val="left" w:pos="-840"/>
        </w:tabs>
        <w:ind w:left="2806" w:hanging="420"/>
      </w:pPr>
    </w:lvl>
    <w:lvl w:ilvl="7" w:tentative="0">
      <w:start w:val="1"/>
      <w:numFmt w:val="lowerLetter"/>
      <w:lvlText w:val="%8)"/>
      <w:lvlJc w:val="left"/>
      <w:pPr>
        <w:tabs>
          <w:tab w:val="left" w:pos="-840"/>
        </w:tabs>
        <w:ind w:left="3226" w:hanging="420"/>
      </w:pPr>
    </w:lvl>
    <w:lvl w:ilvl="8" w:tentative="0">
      <w:start w:val="1"/>
      <w:numFmt w:val="lowerRoman"/>
      <w:lvlText w:val="%9."/>
      <w:lvlJc w:val="right"/>
      <w:pPr>
        <w:tabs>
          <w:tab w:val="left" w:pos="-840"/>
        </w:tabs>
        <w:ind w:left="3646" w:hanging="420"/>
      </w:pPr>
    </w:lvl>
  </w:abstractNum>
  <w:abstractNum w:abstractNumId="3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6">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7">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E7783DD"/>
    <w:multiLevelType w:val="singleLevel"/>
    <w:tmpl w:val="7E7783DD"/>
    <w:lvl w:ilvl="0" w:tentative="0">
      <w:start w:val="1"/>
      <w:numFmt w:val="decimal"/>
      <w:suff w:val="nothing"/>
      <w:lvlText w:val="%1、"/>
      <w:lvlJc w:val="left"/>
    </w:lvl>
  </w:abstractNum>
  <w:num w:numId="1">
    <w:abstractNumId w:val="5"/>
  </w:num>
  <w:num w:numId="2">
    <w:abstractNumId w:val="11"/>
  </w:num>
  <w:num w:numId="3">
    <w:abstractNumId w:val="2"/>
  </w:num>
  <w:num w:numId="4">
    <w:abstractNumId w:val="1"/>
  </w:num>
  <w:num w:numId="5">
    <w:abstractNumId w:val="3"/>
  </w:num>
  <w:num w:numId="6">
    <w:abstractNumId w:val="29"/>
  </w:num>
  <w:num w:numId="7">
    <w:abstractNumId w:val="15"/>
  </w:num>
  <w:num w:numId="8">
    <w:abstractNumId w:val="20"/>
  </w:num>
  <w:num w:numId="9">
    <w:abstractNumId w:val="30"/>
  </w:num>
  <w:num w:numId="10">
    <w:abstractNumId w:val="4"/>
  </w:num>
  <w:num w:numId="11">
    <w:abstractNumId w:val="0"/>
  </w:num>
  <w:num w:numId="12">
    <w:abstractNumId w:val="31"/>
  </w:num>
  <w:num w:numId="13">
    <w:abstractNumId w:val="21"/>
  </w:num>
  <w:num w:numId="14">
    <w:abstractNumId w:val="23"/>
  </w:num>
  <w:num w:numId="15">
    <w:abstractNumId w:val="37"/>
  </w:num>
  <w:num w:numId="16">
    <w:abstractNumId w:val="7"/>
  </w:num>
  <w:num w:numId="17">
    <w:abstractNumId w:val="38"/>
  </w:num>
  <w:num w:numId="18">
    <w:abstractNumId w:val="16"/>
  </w:num>
  <w:num w:numId="19">
    <w:abstractNumId w:val="8"/>
  </w:num>
  <w:num w:numId="20">
    <w:abstractNumId w:val="12"/>
  </w:num>
  <w:num w:numId="21">
    <w:abstractNumId w:val="25"/>
  </w:num>
  <w:num w:numId="22">
    <w:abstractNumId w:val="14"/>
  </w:num>
  <w:num w:numId="23">
    <w:abstractNumId w:val="6"/>
  </w:num>
  <w:num w:numId="24">
    <w:abstractNumId w:val="26"/>
  </w:num>
  <w:num w:numId="25">
    <w:abstractNumId w:val="27"/>
  </w:num>
  <w:num w:numId="26">
    <w:abstractNumId w:val="28"/>
  </w:num>
  <w:num w:numId="27">
    <w:abstractNumId w:val="13"/>
  </w:num>
  <w:num w:numId="28">
    <w:abstractNumId w:val="24"/>
  </w:num>
  <w:num w:numId="29">
    <w:abstractNumId w:val="19"/>
  </w:num>
  <w:num w:numId="30">
    <w:abstractNumId w:val="33"/>
  </w:num>
  <w:num w:numId="31">
    <w:abstractNumId w:val="17"/>
  </w:num>
  <w:num w:numId="32">
    <w:abstractNumId w:val="10"/>
  </w:num>
  <w:num w:numId="33">
    <w:abstractNumId w:val="18"/>
  </w:num>
  <w:num w:numId="34">
    <w:abstractNumId w:val="35"/>
  </w:num>
  <w:num w:numId="35">
    <w:abstractNumId w:val="36"/>
  </w:num>
  <w:num w:numId="36">
    <w:abstractNumId w:val="39"/>
  </w:num>
  <w:num w:numId="37">
    <w:abstractNumId w:val="22"/>
  </w:num>
  <w:num w:numId="38">
    <w:abstractNumId w:val="9"/>
  </w:num>
  <w:num w:numId="39">
    <w:abstractNumId w:val="32"/>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洁">
    <w15:presenceInfo w15:providerId="None" w15:userId="陈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jQ1MWRmMDg1ZDU1YWNiNTI1MWFjNzYxYzZiYzQifQ=="/>
  </w:docVars>
  <w:rsids>
    <w:rsidRoot w:val="00000000"/>
    <w:rsid w:val="004503E9"/>
    <w:rsid w:val="011E3CE2"/>
    <w:rsid w:val="01FA21B5"/>
    <w:rsid w:val="03487FE5"/>
    <w:rsid w:val="040B4EAE"/>
    <w:rsid w:val="04912D27"/>
    <w:rsid w:val="060243F4"/>
    <w:rsid w:val="06820D67"/>
    <w:rsid w:val="06DB5A59"/>
    <w:rsid w:val="08C94A87"/>
    <w:rsid w:val="0995366A"/>
    <w:rsid w:val="0CBD686F"/>
    <w:rsid w:val="0EAF266C"/>
    <w:rsid w:val="100F07D1"/>
    <w:rsid w:val="102542D9"/>
    <w:rsid w:val="1198353B"/>
    <w:rsid w:val="1216571D"/>
    <w:rsid w:val="133A2678"/>
    <w:rsid w:val="13E466D7"/>
    <w:rsid w:val="18AF0CB6"/>
    <w:rsid w:val="18EC763F"/>
    <w:rsid w:val="199835D8"/>
    <w:rsid w:val="1A915A17"/>
    <w:rsid w:val="1BC60E12"/>
    <w:rsid w:val="1C1524AA"/>
    <w:rsid w:val="1E257070"/>
    <w:rsid w:val="1E6F24FC"/>
    <w:rsid w:val="1ED0123D"/>
    <w:rsid w:val="1F1D340D"/>
    <w:rsid w:val="204B0788"/>
    <w:rsid w:val="22B60C01"/>
    <w:rsid w:val="23514E42"/>
    <w:rsid w:val="2520172A"/>
    <w:rsid w:val="271779CE"/>
    <w:rsid w:val="28BD3A65"/>
    <w:rsid w:val="29716D8C"/>
    <w:rsid w:val="2BAA7961"/>
    <w:rsid w:val="2C674778"/>
    <w:rsid w:val="2F4707DC"/>
    <w:rsid w:val="31011D58"/>
    <w:rsid w:val="31AE37E6"/>
    <w:rsid w:val="34EC3570"/>
    <w:rsid w:val="36080FC4"/>
    <w:rsid w:val="37122985"/>
    <w:rsid w:val="38A75D03"/>
    <w:rsid w:val="38A7687A"/>
    <w:rsid w:val="398E2B38"/>
    <w:rsid w:val="39B07D83"/>
    <w:rsid w:val="39FA63FC"/>
    <w:rsid w:val="3ACD1791"/>
    <w:rsid w:val="3B8B1B40"/>
    <w:rsid w:val="3EDA7B15"/>
    <w:rsid w:val="41955928"/>
    <w:rsid w:val="42DA444C"/>
    <w:rsid w:val="43142B02"/>
    <w:rsid w:val="43DD0120"/>
    <w:rsid w:val="47565759"/>
    <w:rsid w:val="48623AD0"/>
    <w:rsid w:val="48BD6996"/>
    <w:rsid w:val="4DD57B85"/>
    <w:rsid w:val="4F7E5458"/>
    <w:rsid w:val="4FBA4540"/>
    <w:rsid w:val="522030C9"/>
    <w:rsid w:val="52E84333"/>
    <w:rsid w:val="57971EC0"/>
    <w:rsid w:val="58836A49"/>
    <w:rsid w:val="597A2590"/>
    <w:rsid w:val="59DE7092"/>
    <w:rsid w:val="5A4D2A6C"/>
    <w:rsid w:val="5BDC1A2E"/>
    <w:rsid w:val="5F685E5B"/>
    <w:rsid w:val="5FB87BA9"/>
    <w:rsid w:val="60FB6C91"/>
    <w:rsid w:val="61D30E4F"/>
    <w:rsid w:val="63160D2C"/>
    <w:rsid w:val="63EC62C2"/>
    <w:rsid w:val="64D5626D"/>
    <w:rsid w:val="6969678F"/>
    <w:rsid w:val="6E9A7825"/>
    <w:rsid w:val="714B373D"/>
    <w:rsid w:val="746A4DDF"/>
    <w:rsid w:val="76FC51B5"/>
    <w:rsid w:val="77B66AFE"/>
    <w:rsid w:val="7966028D"/>
    <w:rsid w:val="7C3D34A5"/>
    <w:rsid w:val="7C47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adjustRightInd w:val="0"/>
      <w:snapToGrid w:val="0"/>
      <w:ind w:firstLine="420" w:firstLineChars="100"/>
      <w:jc w:val="left"/>
    </w:pPr>
    <w:rPr>
      <w:sz w:val="22"/>
    </w:rPr>
  </w:style>
  <w:style w:type="paragraph" w:styleId="3">
    <w:name w:val="Body Text"/>
    <w:basedOn w:val="1"/>
    <w:next w:val="1"/>
    <w:qFormat/>
    <w:uiPriority w:val="1"/>
    <w:pPr>
      <w:spacing w:before="36"/>
      <w:ind w:left="780"/>
      <w:jc w:val="left"/>
    </w:pPr>
    <w:rPr>
      <w:rFonts w:ascii="宋体" w:hAnsi="宋体" w:eastAsia="宋体"/>
      <w:kern w:val="0"/>
      <w:szCs w:val="21"/>
      <w:lang w:eastAsia="en-US"/>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unhideWhenUsed/>
    <w:qFormat/>
    <w:uiPriority w:val="99"/>
    <w:pPr>
      <w:jc w:val="left"/>
    </w:pPr>
  </w:style>
  <w:style w:type="paragraph" w:styleId="9">
    <w:name w:val="Body Text Indent"/>
    <w:basedOn w:val="1"/>
    <w:next w:val="10"/>
    <w:qFormat/>
    <w:uiPriority w:val="0"/>
    <w:pPr>
      <w:spacing w:after="120"/>
      <w:ind w:left="420" w:leftChars="200"/>
      <w:jc w:val="both"/>
    </w:pPr>
    <w:rPr>
      <w:rFonts w:ascii="Times New Roman" w:hAnsi="Times New Roman" w:eastAsia="宋体" w:cs="Times New Roman"/>
      <w:kern w:val="2"/>
      <w:sz w:val="21"/>
      <w:szCs w:val="24"/>
      <w:lang w:eastAsia="zh-CN"/>
    </w:rPr>
  </w:style>
  <w:style w:type="paragraph" w:styleId="10">
    <w:name w:val="envelope return"/>
    <w:basedOn w:val="1"/>
    <w:qFormat/>
    <w:uiPriority w:val="0"/>
    <w:pPr>
      <w:snapToGrid w:val="0"/>
    </w:pPr>
    <w:rPr>
      <w:rFonts w:ascii="Arial" w:hAnsi="Arial" w:eastAsia="等线" w:cs="等线"/>
    </w:rPr>
  </w:style>
  <w:style w:type="paragraph" w:styleId="11">
    <w:name w:val="Date"/>
    <w:basedOn w:val="1"/>
    <w:next w:val="1"/>
    <w:qFormat/>
    <w:uiPriority w:val="0"/>
    <w:pPr>
      <w:ind w:left="100" w:leftChars="25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608"/>
      </w:tabs>
      <w:spacing w:line="360" w:lineRule="auto"/>
      <w:ind w:firstLine="425" w:firstLineChars="177"/>
    </w:pPr>
  </w:style>
  <w:style w:type="paragraph" w:styleId="15">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Normal (Web)"/>
    <w:basedOn w:val="1"/>
    <w:qFormat/>
    <w:uiPriority w:val="0"/>
    <w:pPr>
      <w:spacing w:beforeAutospacing="1" w:afterAutospacing="1"/>
    </w:pPr>
    <w:rPr>
      <w:rFonts w:cs="Times New Roman"/>
      <w:sz w:val="24"/>
      <w:lang w:eastAsia="zh-CN"/>
    </w:rPr>
  </w:style>
  <w:style w:type="paragraph" w:styleId="17">
    <w:name w:val="Title"/>
    <w:basedOn w:val="1"/>
    <w:next w:val="1"/>
    <w:qFormat/>
    <w:uiPriority w:val="0"/>
    <w:pPr>
      <w:spacing w:before="240" w:after="60"/>
      <w:jc w:val="center"/>
      <w:outlineLvl w:val="0"/>
    </w:pPr>
    <w:rPr>
      <w:rFonts w:ascii="Arial" w:hAnsi="Arial" w:eastAsia="楷体_GB2312"/>
      <w:b/>
      <w:bCs/>
      <w:sz w:val="32"/>
      <w:szCs w:val="32"/>
    </w:rPr>
  </w:style>
  <w:style w:type="paragraph" w:styleId="18">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9">
    <w:name w:val="Body Text First Indent 2"/>
    <w:basedOn w:val="9"/>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正文_19"/>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Table Paragraph"/>
    <w:basedOn w:val="1"/>
    <w:qFormat/>
    <w:uiPriority w:val="0"/>
    <w:pPr>
      <w:jc w:val="left"/>
    </w:pPr>
    <w:rPr>
      <w:kern w:val="0"/>
      <w:sz w:val="22"/>
      <w:lang w:eastAsia="en-US"/>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font11"/>
    <w:basedOn w:val="22"/>
    <w:qFormat/>
    <w:uiPriority w:val="0"/>
    <w:rPr>
      <w:rFonts w:hint="default" w:ascii="Times New Roman" w:hAnsi="Times New Roman" w:cs="Times New Roman"/>
      <w:color w:val="000000"/>
      <w:sz w:val="21"/>
      <w:szCs w:val="21"/>
      <w:u w:val="none"/>
    </w:rPr>
  </w:style>
  <w:style w:type="paragraph" w:customStyle="1" w:styleId="29">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lang w:val="fr-FR"/>
    </w:rPr>
  </w:style>
  <w:style w:type="paragraph" w:styleId="30">
    <w:name w:val="List Paragraph"/>
    <w:basedOn w:val="1"/>
    <w:qFormat/>
    <w:uiPriority w:val="34"/>
    <w:pPr>
      <w:widowControl/>
      <w:ind w:firstLine="420"/>
    </w:pPr>
    <w:rPr>
      <w:rFonts w:ascii="Calibri" w:hAnsi="Calibri" w:eastAsia="宋体" w:cs="Calibri"/>
      <w:kern w:val="0"/>
      <w:szCs w:val="21"/>
    </w:rPr>
  </w:style>
  <w:style w:type="character" w:customStyle="1" w:styleId="31">
    <w:name w:val="font01"/>
    <w:basedOn w:val="22"/>
    <w:qFormat/>
    <w:uiPriority w:val="0"/>
    <w:rPr>
      <w:rFonts w:hint="eastAsia" w:ascii="宋体" w:hAnsi="宋体" w:eastAsia="宋体" w:cs="宋体"/>
      <w:color w:val="000000"/>
      <w:sz w:val="20"/>
      <w:szCs w:val="20"/>
      <w:u w:val="none"/>
    </w:rPr>
  </w:style>
  <w:style w:type="paragraph" w:customStyle="1" w:styleId="32">
    <w:name w:val="书目1"/>
    <w:basedOn w:val="1"/>
    <w:next w:val="1"/>
    <w:unhideWhenUsed/>
    <w:qFormat/>
    <w:uiPriority w:val="37"/>
  </w:style>
  <w:style w:type="paragraph" w:customStyle="1" w:styleId="33">
    <w:name w:val="标题 22"/>
    <w:next w:val="1"/>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34">
    <w:name w:val="Normal_1"/>
    <w:next w:val="35"/>
    <w:qFormat/>
    <w:uiPriority w:val="0"/>
    <w:rPr>
      <w:rFonts w:ascii="Times New Roman" w:hAnsi="Times New Roman" w:eastAsia="Times New Roman" w:cs="Times New Roman"/>
      <w:sz w:val="24"/>
      <w:szCs w:val="24"/>
    </w:rPr>
  </w:style>
  <w:style w:type="paragraph" w:customStyle="1" w:styleId="35">
    <w:name w:val="默认段落字体 Para Char"/>
    <w:basedOn w:val="36"/>
    <w:next w:val="1"/>
    <w:qFormat/>
    <w:uiPriority w:val="0"/>
    <w:pPr>
      <w:widowControl w:val="0"/>
      <w:spacing w:before="80" w:after="80" w:line="360" w:lineRule="auto"/>
      <w:jc w:val="both"/>
    </w:pPr>
    <w:rPr>
      <w:rFonts w:ascii="Calibri" w:hAnsi="Calibri" w:cs="Times New Roman"/>
      <w:kern w:val="2"/>
      <w:szCs w:val="20"/>
    </w:rPr>
  </w:style>
  <w:style w:type="paragraph" w:customStyle="1" w:styleId="36">
    <w:name w:val="Normal_0"/>
    <w:next w:val="35"/>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7">
    <w:name w:val="正文文本1"/>
    <w:basedOn w:val="1"/>
    <w:qFormat/>
    <w:uiPriority w:val="1"/>
    <w:pPr>
      <w:ind w:firstLine="200" w:firstLineChars="200"/>
      <w:jc w:val="both"/>
    </w:pPr>
    <w:rPr>
      <w:rFonts w:ascii="Microsoft YaHei UI" w:hAnsi="Microsoft YaHei UI" w:eastAsia="Microsoft YaHei UI" w:cs="Times New Roman"/>
      <w:sz w:val="21"/>
      <w:szCs w:val="21"/>
    </w:rPr>
  </w:style>
  <w:style w:type="paragraph" w:customStyle="1" w:styleId="38">
    <w:name w:val="正文_1"/>
    <w:qFormat/>
    <w:uiPriority w:val="1"/>
    <w:pPr>
      <w:widowControl w:val="0"/>
      <w:ind w:right="5" w:rightChars="5"/>
    </w:pPr>
    <w:rPr>
      <w:rFonts w:ascii="Calibri" w:hAnsi="Calibri" w:eastAsia="宋体" w:cs="Times New Roman"/>
      <w:sz w:val="22"/>
      <w:szCs w:val="22"/>
      <w:lang w:val="en-US" w:eastAsia="en-US" w:bidi="ar-SA"/>
    </w:rPr>
  </w:style>
  <w:style w:type="table" w:customStyle="1" w:styleId="39">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40">
    <w:name w:val="UserStyle_0"/>
    <w:qFormat/>
    <w:uiPriority w:val="0"/>
    <w:pPr>
      <w:textAlignment w:val="baseline"/>
    </w:pPr>
    <w:rPr>
      <w:rFonts w:ascii="Times New Roman" w:hAnsi="Times New Roman" w:eastAsia="宋体" w:cstheme="minorBidi"/>
      <w:color w:val="000000"/>
      <w:sz w:val="24"/>
      <w:szCs w:val="24"/>
      <w:lang w:val="en-US" w:eastAsia="zh-CN" w:bidi="ar-SA"/>
    </w:rPr>
  </w:style>
  <w:style w:type="character" w:customStyle="1" w:styleId="41">
    <w:name w:val="NormalCharacter"/>
    <w:semiHidden/>
    <w:qFormat/>
    <w:uiPriority w:val="0"/>
    <w:rPr>
      <w:rFonts w:asciiTheme="minorHAnsi" w:hAnsiTheme="minorHAnsi" w:eastAsiaTheme="minorEastAsia" w:cstheme="minorBidi"/>
      <w:sz w:val="22"/>
      <w:szCs w:val="22"/>
      <w:lang w:val="en-US" w:eastAsia="en-US" w:bidi="ar-SA"/>
    </w:rPr>
  </w:style>
  <w:style w:type="paragraph" w:customStyle="1" w:styleId="42">
    <w:name w:val="正文缩进 + 首行缩进 2 字符"/>
    <w:basedOn w:val="1"/>
    <w:qFormat/>
    <w:uiPriority w:val="0"/>
    <w:pPr>
      <w:spacing w:before="120" w:after="120"/>
      <w:ind w:firstLine="480" w:firstLineChars="200"/>
    </w:pPr>
    <w:rPr>
      <w:rFonts w:ascii="宋体" w:hAnsi="宋体" w:eastAsia="宋体" w:cs="宋体"/>
      <w:sz w:val="24"/>
      <w:szCs w:val="20"/>
    </w:rPr>
  </w:style>
  <w:style w:type="paragraph" w:customStyle="1" w:styleId="4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41"/>
    <w:basedOn w:val="22"/>
    <w:qFormat/>
    <w:uiPriority w:val="0"/>
    <w:rPr>
      <w:rFonts w:ascii="Arial" w:hAnsi="Arial" w:cs="Arial"/>
      <w:color w:val="000000"/>
      <w:sz w:val="24"/>
      <w:szCs w:val="24"/>
      <w:u w:val="none"/>
    </w:rPr>
  </w:style>
  <w:style w:type="character" w:customStyle="1" w:styleId="45">
    <w:name w:val="font31"/>
    <w:basedOn w:val="22"/>
    <w:qFormat/>
    <w:uiPriority w:val="0"/>
    <w:rPr>
      <w:rFonts w:hint="eastAsia" w:ascii="宋体" w:hAnsi="宋体" w:eastAsia="宋体" w:cs="宋体"/>
      <w:color w:val="000000"/>
      <w:sz w:val="24"/>
      <w:szCs w:val="24"/>
      <w:u w:val="none"/>
    </w:rPr>
  </w:style>
  <w:style w:type="character" w:customStyle="1" w:styleId="46">
    <w:name w:val="font101"/>
    <w:basedOn w:val="22"/>
    <w:qFormat/>
    <w:uiPriority w:val="0"/>
    <w:rPr>
      <w:rFonts w:hint="eastAsia" w:ascii="等线" w:hAnsi="等线" w:eastAsia="等线" w:cs="等线"/>
      <w:b/>
      <w:bCs/>
      <w:color w:val="000000"/>
      <w:sz w:val="18"/>
      <w:szCs w:val="18"/>
      <w:u w:val="none"/>
    </w:rPr>
  </w:style>
  <w:style w:type="paragraph" w:customStyle="1" w:styleId="47">
    <w:name w:val="表格内字体"/>
    <w:basedOn w:val="1"/>
    <w:qFormat/>
    <w:uiPriority w:val="0"/>
    <w:pPr>
      <w:jc w:val="center"/>
    </w:pPr>
    <w:rPr>
      <w:rFonts w:ascii="Times New Roman" w:hAnsi="Times New Roman" w:eastAsia="楷体_GB2312" w:cs="宋体"/>
      <w:sz w:val="24"/>
      <w:szCs w:val="20"/>
      <w:lang w:eastAsia="zh-CN"/>
    </w:rPr>
  </w:style>
  <w:style w:type="paragraph" w:customStyle="1" w:styleId="48">
    <w:name w:val="章节题目"/>
    <w:basedOn w:val="49"/>
    <w:next w:val="1"/>
    <w:qFormat/>
    <w:uiPriority w:val="0"/>
    <w:pPr>
      <w:spacing w:before="720" w:after="400" w:line="540" w:lineRule="atLeast"/>
      <w:ind w:right="2160"/>
    </w:pPr>
    <w:rPr>
      <w:spacing w:val="-40"/>
      <w:sz w:val="60"/>
    </w:rPr>
  </w:style>
  <w:style w:type="paragraph" w:customStyle="1" w:styleId="49">
    <w:name w:val="基准标题"/>
    <w:basedOn w:val="1"/>
    <w:next w:val="3"/>
    <w:qFormat/>
    <w:uiPriority w:val="0"/>
    <w:pPr>
      <w:keepNext/>
      <w:keepLines/>
      <w:spacing w:before="140" w:line="220" w:lineRule="atLeast"/>
    </w:pPr>
    <w:rPr>
      <w:rFonts w:ascii="Arial" w:hAnsi="Arial"/>
      <w:spacing w:val="-4"/>
      <w:kern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44579</Words>
  <Characters>49851</Characters>
  <Lines>0</Lines>
  <Paragraphs>0</Paragraphs>
  <TotalTime>0</TotalTime>
  <ScaleCrop>false</ScaleCrop>
  <LinksUpToDate>false</LinksUpToDate>
  <CharactersWithSpaces>51402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2024-07-08T08:25:00Z</dcterms:created>
  <dc:creator>chenjie</dc:creator>
  <cp:lastModifiedBy>陈洁</cp:lastModifiedBy>
  <dcterms:modified xsi:type="dcterms:W3CDTF">2024-12-13T07:04:44Z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729C6789832F4E259B488D3AAEB81767</vt:lpwstr>
  </property>
</Properties>
</file>