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cs="宋体" w:asciiTheme="minorEastAsia" w:hAnsiTheme="minorEastAsia"/>
          <w:color w:val="000000" w:themeColor="text1"/>
          <w:sz w:val="72"/>
          <w:szCs w:val="72"/>
          <w:highlight w:val="none"/>
          <w14:textFill>
            <w14:solidFill>
              <w14:schemeClr w14:val="tx1"/>
            </w14:solidFill>
          </w14:textFill>
        </w:rPr>
      </w:pPr>
      <w:r>
        <w:rPr>
          <w:rFonts w:hint="eastAsia" w:cs="宋体" w:asciiTheme="minorEastAsia" w:hAnsiTheme="minorEastAsia"/>
          <w:color w:val="C00000"/>
          <w:sz w:val="44"/>
          <w:szCs w:val="44"/>
          <w:highlight w:val="none"/>
          <w:lang w:val="en-US" w:eastAsia="zh-CN"/>
        </w:rPr>
        <w:t>公开/邀请询价文件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5"/>
          <w:szCs w:val="5"/>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1840"/>
        <w:textAlignment w:val="auto"/>
        <w:outlineLvl w:val="9"/>
        <w:rPr>
          <w:rFonts w:cs="宋体" w:asciiTheme="minorEastAsia" w:hAnsiTheme="minorEastAsia"/>
          <w:color w:val="000000" w:themeColor="text1"/>
          <w:sz w:val="4"/>
          <w:szCs w:val="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7"/>
          <w:szCs w:val="7"/>
          <w:highlight w:val="none"/>
          <w14:textFill>
            <w14:solidFill>
              <w14:schemeClr w14:val="tx1"/>
            </w14:solidFill>
          </w14:textFill>
        </w:rPr>
      </w:pP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C00000"/>
          <w:highlight w:val="none"/>
        </w:rPr>
      </w:pPr>
      <w:r>
        <w:rPr>
          <w:rFonts w:asciiTheme="minorEastAsia" w:hAnsiTheme="minorEastAsia" w:eastAsiaTheme="minorEastAsia"/>
          <w:color w:val="C00000"/>
          <w:spacing w:val="-3"/>
          <w:highlight w:val="none"/>
        </w:rPr>
        <w:t>（</w:t>
      </w:r>
      <w:r>
        <w:rPr>
          <w:rFonts w:hint="eastAsia" w:asciiTheme="minorEastAsia" w:hAnsiTheme="minorEastAsia"/>
          <w:color w:val="C00000"/>
          <w:spacing w:val="-3"/>
          <w:highlight w:val="none"/>
          <w:lang w:val="en-US" w:eastAsia="zh-CN"/>
        </w:rPr>
        <w:t>项目名称</w:t>
      </w:r>
      <w:r>
        <w:rPr>
          <w:rFonts w:asciiTheme="minorEastAsia" w:hAnsiTheme="minorEastAsia" w:eastAsiaTheme="minorEastAsia"/>
          <w:color w:val="C00000"/>
          <w:spacing w:val="-3"/>
          <w:highlight w:val="none"/>
        </w:rPr>
        <w:t>：</w:t>
      </w:r>
      <w:r>
        <w:rPr>
          <w:rFonts w:hint="eastAsia" w:asciiTheme="minorEastAsia" w:hAnsiTheme="minorEastAsia"/>
          <w:color w:val="C00000"/>
          <w:spacing w:val="-3"/>
          <w:highlight w:val="none"/>
          <w:u w:val="single"/>
          <w:lang w:eastAsia="zh-CN"/>
        </w:rPr>
        <w:t>常州院异辛醇采购专有协议</w:t>
      </w:r>
      <w:r>
        <w:rPr>
          <w:rFonts w:asciiTheme="minorEastAsia" w:hAnsiTheme="minorEastAsia" w:eastAsiaTheme="minorEastAsia"/>
          <w:color w:val="C00000"/>
          <w:spacing w:val="-3"/>
          <w:highlight w:val="none"/>
          <w:u w:val="single"/>
        </w:rPr>
        <w:tab/>
      </w:r>
      <w:r>
        <w:rPr>
          <w:rFonts w:asciiTheme="minorEastAsia" w:hAnsiTheme="minorEastAsia" w:eastAsiaTheme="minorEastAsia"/>
          <w:color w:val="C00000"/>
          <w:highlight w:val="none"/>
        </w:rPr>
        <w:t>）</w:t>
      </w: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spacing w:val="-3"/>
          <w:highlight w:val="none"/>
          <w14:textFill>
            <w14:solidFill>
              <w14:schemeClr w14:val="tx1"/>
            </w14:solidFill>
          </w14:textFill>
        </w:rPr>
        <w:t>（采购编号：</w:t>
      </w:r>
      <w:r>
        <w:rPr>
          <w:rFonts w:hint="eastAsia" w:asciiTheme="minorEastAsia" w:hAnsiTheme="minorEastAsia"/>
          <w:color w:val="000000" w:themeColor="text1"/>
          <w:spacing w:val="-3"/>
          <w:highlight w:val="none"/>
          <w:u w:val="single"/>
          <w:lang w:eastAsia="zh-CN"/>
          <w14:textFill>
            <w14:solidFill>
              <w14:schemeClr w14:val="tx1"/>
            </w14:solidFill>
          </w14:textFill>
        </w:rPr>
        <w:t>GKXJ-2025-HG-1324</w:t>
      </w:r>
      <w:r>
        <w:rPr>
          <w:rFonts w:asciiTheme="minorEastAsia" w:hAnsiTheme="minorEastAsia" w:eastAsiaTheme="minorEastAsia"/>
          <w:color w:val="000000" w:themeColor="text1"/>
          <w:spacing w:val="-3"/>
          <w:highlight w:val="none"/>
          <w:u w:val="single"/>
          <w14:textFill>
            <w14:solidFill>
              <w14:schemeClr w14:val="tx1"/>
            </w14:solidFill>
          </w14:textFill>
        </w:rPr>
        <w:tab/>
      </w:r>
      <w:r>
        <w:rPr>
          <w:rFonts w:asciiTheme="minorEastAsia" w:hAnsiTheme="minorEastAsia" w:eastAsiaTheme="minorEastAsia"/>
          <w:color w:val="000000" w:themeColor="text1"/>
          <w:highlight w:val="none"/>
          <w14:textFill>
            <w14:solidFill>
              <w14:schemeClr w14:val="tx1"/>
            </w14:solidFill>
          </w14:textFill>
        </w:rPr>
        <w:t>）</w:t>
      </w:r>
    </w:p>
    <w:p>
      <w:pPr>
        <w:pStyle w:val="8"/>
      </w:pPr>
    </w:p>
    <w:p>
      <w:pPr>
        <w:keepNext w:val="0"/>
        <w:keepLines w:val="0"/>
        <w:pageBreakBefore w:val="0"/>
        <w:widowControl w:val="0"/>
        <w:kinsoku/>
        <w:wordWrap/>
        <w:overflowPunct/>
        <w:topLinePunct w:val="0"/>
        <w:autoSpaceDE/>
        <w:autoSpaceDN/>
        <w:bidi w:val="0"/>
        <w:adjustRightInd/>
        <w:snapToGrid/>
        <w:spacing w:line="360" w:lineRule="auto"/>
        <w:ind w:left="4772"/>
        <w:textAlignment w:val="auto"/>
        <w:outlineLvl w:val="9"/>
        <w:rPr>
          <w:rFonts w:cs="宋体" w:asciiTheme="minorEastAsia" w:hAnsiTheme="minorEastAsia"/>
          <w:color w:val="000000" w:themeColor="text1"/>
          <w:sz w:val="2"/>
          <w:szCs w:val="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tabs>
          <w:tab w:val="left" w:pos="6618"/>
        </w:tabs>
        <w:kinsoku/>
        <w:wordWrap/>
        <w:overflowPunct/>
        <w:topLinePunct w:val="0"/>
        <w:autoSpaceDE/>
        <w:autoSpaceDN/>
        <w:bidi w:val="0"/>
        <w:adjustRightInd/>
        <w:snapToGrid/>
        <w:spacing w:line="360" w:lineRule="auto"/>
        <w:ind w:right="134" w:firstLine="2250" w:firstLineChars="900"/>
        <w:textAlignment w:val="auto"/>
        <w:outlineLvl w:val="9"/>
        <w:rPr>
          <w:rFonts w:cs="宋体" w:asciiTheme="minorEastAsia" w:hAnsiTheme="minorEastAsia"/>
          <w:color w:val="000000" w:themeColor="text1"/>
          <w:sz w:val="28"/>
          <w:szCs w:val="28"/>
          <w:highlight w:val="none"/>
          <w:u w:val="single"/>
          <w14:textFill>
            <w14:solidFill>
              <w14:schemeClr w14:val="tx1"/>
            </w14:solidFill>
          </w14:textFill>
        </w:rPr>
      </w:pPr>
      <w:r>
        <w:rPr>
          <w:rFonts w:cs="宋体" w:asciiTheme="minorEastAsia" w:hAnsiTheme="minorEastAsia"/>
          <w:color w:val="000000" w:themeColor="text1"/>
          <w:spacing w:val="-15"/>
          <w:sz w:val="28"/>
          <w:szCs w:val="28"/>
          <w:highlight w:val="none"/>
          <w14:textFill>
            <w14:solidFill>
              <w14:schemeClr w14:val="tx1"/>
            </w14:solidFill>
          </w14:textFill>
        </w:rPr>
        <w:t>采购人：</w:t>
      </w:r>
      <w:r>
        <w:rPr>
          <w:rFonts w:hint="eastAsia" w:cs="宋体" w:asciiTheme="minorEastAsia" w:hAnsiTheme="minorEastAsia"/>
          <w:color w:val="000000" w:themeColor="text1"/>
          <w:spacing w:val="-15"/>
          <w:sz w:val="28"/>
          <w:szCs w:val="28"/>
          <w:highlight w:val="none"/>
          <w:u w:val="single"/>
          <w:lang w:val="en-US" w:eastAsia="zh-CN"/>
          <w14:textFill>
            <w14:solidFill>
              <w14:schemeClr w14:val="tx1"/>
            </w14:solidFill>
          </w14:textFill>
        </w:rPr>
        <w:t>中海油能源发展股份有限公司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19"/>
          <w:szCs w:val="19"/>
          <w:highlight w:val="none"/>
          <w14:textFill>
            <w14:solidFill>
              <w14:schemeClr w14:val="tx1"/>
            </w14:solidFill>
          </w14:textFill>
        </w:rPr>
      </w:pPr>
    </w:p>
    <w:p>
      <w:pPr>
        <w:spacing w:line="360" w:lineRule="auto"/>
        <w:jc w:val="left"/>
        <w:rPr>
          <w:rFonts w:asciiTheme="minorEastAsia" w:hAnsiTheme="minorEastAsia"/>
          <w:color w:val="000000" w:themeColor="text1"/>
          <w:sz w:val="24"/>
          <w:szCs w:val="24"/>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rPr>
          <w:rFonts w:hint="eastAsia" w:asciiTheme="minorEastAsia" w:hAnsiTheme="minorEastAsia" w:cstheme="minorEastAsia"/>
          <w:b/>
          <w:bCs/>
          <w:color w:val="000000" w:themeColor="text1"/>
          <w:sz w:val="40"/>
          <w:szCs w:val="40"/>
          <w:highlight w:val="none"/>
          <w14:textFill>
            <w14:solidFill>
              <w14:schemeClr w14:val="tx1"/>
            </w14:solidFill>
          </w14:textFill>
        </w:rPr>
      </w:pPr>
      <w:r>
        <w:rPr>
          <w:rFonts w:hint="eastAsia" w:asciiTheme="minorEastAsia" w:hAnsiTheme="minorEastAsia" w:cstheme="minorEastAsia"/>
          <w:b/>
          <w:bCs/>
          <w:color w:val="000000" w:themeColor="text1"/>
          <w:sz w:val="40"/>
          <w:szCs w:val="40"/>
          <w:highlight w:val="none"/>
          <w14:textFill>
            <w14:solidFill>
              <w14:schemeClr w14:val="tx1"/>
            </w14:solidFill>
          </w14:textFill>
        </w:rPr>
        <w:br w:type="page"/>
      </w:r>
    </w:p>
    <w:p>
      <w:pPr>
        <w:pStyle w:val="6"/>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spacing w:line="360" w:lineRule="auto"/>
        <w:jc w:val="center"/>
        <w:outlineLvl w:val="0"/>
        <w:rPr>
          <w:rFonts w:ascii="黑体" w:hAnsi="黑体" w:eastAsia="黑体"/>
          <w:b/>
          <w:color w:val="000000" w:themeColor="text1"/>
          <w:sz w:val="30"/>
          <w:szCs w:val="30"/>
          <w:highlight w:val="none"/>
          <w14:textFill>
            <w14:solidFill>
              <w14:schemeClr w14:val="tx1"/>
            </w14:solidFill>
          </w14:textFill>
        </w:rPr>
      </w:pPr>
      <w:r>
        <w:rPr>
          <w:rFonts w:hint="eastAsia" w:ascii="黑体" w:hAnsi="黑体" w:eastAsia="黑体"/>
          <w:b/>
          <w:color w:val="000000" w:themeColor="text1"/>
          <w:sz w:val="30"/>
          <w:szCs w:val="30"/>
          <w:highlight w:val="none"/>
          <w14:textFill>
            <w14:solidFill>
              <w14:schemeClr w14:val="tx1"/>
            </w14:solidFill>
          </w14:textFill>
        </w:rPr>
        <w:t>询价文件</w:t>
      </w:r>
    </w:p>
    <w:p>
      <w:pPr>
        <w:spacing w:line="360" w:lineRule="auto"/>
        <w:jc w:val="center"/>
        <w:rPr>
          <w:rFonts w:asciiTheme="minorEastAsia" w:hAnsiTheme="minorEastAsia"/>
          <w:color w:val="000000" w:themeColor="text1"/>
          <w:sz w:val="24"/>
          <w:szCs w:val="24"/>
          <w:highlight w:val="none"/>
          <w14:textFill>
            <w14:solidFill>
              <w14:schemeClr w14:val="tx1"/>
            </w14:solidFill>
          </w14:textFill>
        </w:rPr>
      </w:pPr>
    </w:p>
    <w:p>
      <w:pPr>
        <w:spacing w:line="360" w:lineRule="auto"/>
        <w:ind w:firstLine="420" w:firstLineChars="20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海油发展采办共享中心对</w:t>
      </w:r>
      <w:r>
        <w:rPr>
          <w:rFonts w:hint="eastAsia" w:asciiTheme="minorEastAsia" w:hAnsiTheme="minorEastAsia"/>
          <w:color w:val="000000" w:themeColor="text1"/>
          <w:sz w:val="21"/>
          <w:szCs w:val="21"/>
          <w:highlight w:val="none"/>
          <w:u w:val="single"/>
          <w:lang w:eastAsia="zh-CN"/>
          <w14:textFill>
            <w14:solidFill>
              <w14:schemeClr w14:val="tx1"/>
            </w14:solidFill>
          </w14:textFill>
        </w:rPr>
        <w:t>常州院异辛醇采购专有协议</w:t>
      </w:r>
      <w:r>
        <w:rPr>
          <w:rFonts w:hint="eastAsia" w:asciiTheme="minorEastAsia" w:hAnsiTheme="minorEastAsia"/>
          <w:color w:val="000000" w:themeColor="text1"/>
          <w:sz w:val="21"/>
          <w:szCs w:val="21"/>
          <w:highlight w:val="none"/>
          <w14:textFill>
            <w14:solidFill>
              <w14:schemeClr w14:val="tx1"/>
            </w14:solidFill>
          </w14:textFill>
        </w:rPr>
        <w:t>项目进行公开</w:t>
      </w:r>
      <w:r>
        <w:rPr>
          <w:rFonts w:hint="eastAsia" w:asciiTheme="minorEastAsia" w:hAnsiTheme="minorEastAsia"/>
          <w:color w:val="000000" w:themeColor="text1"/>
          <w:sz w:val="21"/>
          <w:szCs w:val="21"/>
          <w:highlight w:val="none"/>
          <w:lang w:val="en-US" w:eastAsia="zh-CN"/>
          <w14:textFill>
            <w14:solidFill>
              <w14:schemeClr w14:val="tx1"/>
            </w14:solidFill>
          </w14:textFill>
        </w:rPr>
        <w:t>/邀请</w:t>
      </w:r>
      <w:r>
        <w:rPr>
          <w:rFonts w:hint="eastAsia" w:asciiTheme="minorEastAsia" w:hAnsiTheme="minorEastAsia"/>
          <w:color w:val="000000" w:themeColor="text1"/>
          <w:sz w:val="21"/>
          <w:szCs w:val="21"/>
          <w:highlight w:val="none"/>
          <w14:textFill>
            <w14:solidFill>
              <w14:schemeClr w14:val="tx1"/>
            </w14:solidFill>
          </w14:textFill>
        </w:rPr>
        <w:t>询价采购，欢迎供应商参加。现将有关事项明确如下：</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1"/>
        <w:rPr>
          <w:rFonts w:asciiTheme="minorEastAsia" w:hAnsiTheme="minorEastAsia"/>
          <w:b/>
          <w:color w:val="000000" w:themeColor="text1"/>
          <w:sz w:val="21"/>
          <w:szCs w:val="21"/>
          <w:highlight w:val="none"/>
          <w14:textFill>
            <w14:solidFill>
              <w14:schemeClr w14:val="tx1"/>
            </w14:solidFill>
          </w14:textFill>
        </w:rPr>
      </w:pPr>
      <w:r>
        <w:rPr>
          <w:rFonts w:hint="eastAsia" w:asciiTheme="minorEastAsia" w:hAnsiTheme="minorEastAsia"/>
          <w:b/>
          <w:color w:val="000000" w:themeColor="text1"/>
          <w:sz w:val="21"/>
          <w:szCs w:val="21"/>
          <w:highlight w:val="none"/>
          <w14:textFill>
            <w14:solidFill>
              <w14:schemeClr w14:val="tx1"/>
            </w14:solidFill>
          </w14:textFill>
        </w:rPr>
        <w:t>总则</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1</w:t>
      </w:r>
      <w:r>
        <w:rPr>
          <w:rFonts w:hint="eastAsia" w:asciiTheme="minorEastAsia" w:hAnsiTheme="minorEastAsia"/>
          <w:color w:val="000000" w:themeColor="text1"/>
          <w:sz w:val="21"/>
          <w:szCs w:val="21"/>
          <w:highlight w:val="none"/>
          <w14:textFill>
            <w14:solidFill>
              <w14:schemeClr w14:val="tx1"/>
            </w14:solidFill>
          </w14:textFill>
        </w:rPr>
        <w:t>.合格的</w:t>
      </w:r>
      <w:r>
        <w:rPr>
          <w:rFonts w:hint="eastAsia" w:asciiTheme="minorEastAsia" w:hAnsiTheme="minorEastAsia"/>
          <w:color w:val="000000" w:themeColor="text1"/>
          <w:sz w:val="21"/>
          <w:szCs w:val="21"/>
          <w:highlight w:val="none"/>
          <w:lang w:eastAsia="zh-CN"/>
          <w14:textFill>
            <w14:solidFill>
              <w14:schemeClr w14:val="tx1"/>
            </w14:solidFill>
          </w14:textFill>
        </w:rPr>
        <w:t>应答人</w:t>
      </w:r>
      <w:r>
        <w:rPr>
          <w:rFonts w:hint="eastAsia" w:asciiTheme="minorEastAsia" w:hAnsiTheme="minorEastAsia"/>
          <w:color w:val="000000" w:themeColor="text1"/>
          <w:sz w:val="21"/>
          <w:szCs w:val="21"/>
          <w:highlight w:val="none"/>
          <w14:textFill>
            <w14:solidFill>
              <w14:schemeClr w14:val="tx1"/>
            </w14:solidFill>
          </w14:textFill>
        </w:rPr>
        <w:t>：符合询价公告的供应商资格条件。</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2.采购内容、技术参数及要求：见本询价文件附件</w:t>
      </w:r>
      <w:r>
        <w:rPr>
          <w:rFonts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14:textFill>
            <w14:solidFill>
              <w14:schemeClr w14:val="tx1"/>
            </w14:solidFill>
          </w14:textFill>
        </w:rPr>
        <w:t>。</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3</w:t>
      </w:r>
      <w:r>
        <w:rPr>
          <w:rFonts w:hint="eastAsia" w:asciiTheme="minorEastAsia" w:hAnsiTheme="minorEastAsia"/>
          <w:color w:val="000000" w:themeColor="text1"/>
          <w:sz w:val="21"/>
          <w:szCs w:val="21"/>
          <w:highlight w:val="none"/>
          <w14:textFill>
            <w14:solidFill>
              <w14:schemeClr w14:val="tx1"/>
            </w14:solidFill>
          </w14:textFill>
        </w:rPr>
        <w:t>.公告时间：自</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6</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3</w:t>
      </w:r>
      <w:r>
        <w:rPr>
          <w:rFonts w:hint="eastAsia" w:asciiTheme="minorEastAsia" w:hAnsiTheme="minorEastAsia"/>
          <w:color w:val="000000" w:themeColor="text1"/>
          <w:sz w:val="21"/>
          <w:szCs w:val="21"/>
          <w:highlight w:val="none"/>
          <w14:textFill>
            <w14:solidFill>
              <w14:schemeClr w14:val="tx1"/>
            </w14:solidFill>
          </w14:textFill>
        </w:rPr>
        <w:t>日起至</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6</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9</w:t>
      </w:r>
      <w:r>
        <w:rPr>
          <w:rFonts w:hint="eastAsia" w:asciiTheme="minorEastAsia" w:hAnsiTheme="minorEastAsia"/>
          <w:color w:val="000000" w:themeColor="text1"/>
          <w:sz w:val="21"/>
          <w:szCs w:val="21"/>
          <w:highlight w:val="none"/>
          <w14:textFill>
            <w14:solidFill>
              <w14:schemeClr w14:val="tx1"/>
            </w14:solidFill>
          </w14:textFill>
        </w:rPr>
        <w:t>日止。</w:t>
      </w:r>
    </w:p>
    <w:p>
      <w:pPr>
        <w:spacing w:line="360" w:lineRule="auto"/>
        <w:ind w:firstLine="630" w:firstLineChars="300"/>
        <w:jc w:val="left"/>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lang w:eastAsia="zh-CN"/>
          <w14:textFill>
            <w14:solidFill>
              <w14:schemeClr w14:val="tx1"/>
            </w14:solidFill>
          </w14:textFill>
        </w:rPr>
        <w:t>采购人</w:t>
      </w:r>
      <w:r>
        <w:rPr>
          <w:rFonts w:asciiTheme="minorEastAsia" w:hAnsiTheme="minorEastAsia"/>
          <w:color w:val="000000" w:themeColor="text1"/>
          <w:sz w:val="21"/>
          <w:szCs w:val="21"/>
          <w:highlight w:val="none"/>
          <w14:textFill>
            <w14:solidFill>
              <w14:schemeClr w14:val="tx1"/>
            </w14:solidFill>
          </w14:textFill>
        </w:rPr>
        <w:t>于</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6</w:t>
      </w:r>
      <w:r>
        <w:rPr>
          <w:rFonts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3</w:t>
      </w:r>
      <w:r>
        <w:rPr>
          <w:rFonts w:asciiTheme="minorEastAsia" w:hAnsiTheme="minorEastAsia"/>
          <w:color w:val="000000" w:themeColor="text1"/>
          <w:sz w:val="21"/>
          <w:szCs w:val="21"/>
          <w:highlight w:val="none"/>
          <w14:textFill>
            <w14:solidFill>
              <w14:schemeClr w14:val="tx1"/>
            </w14:solidFill>
          </w14:textFill>
        </w:rPr>
        <w:t>日（北京时间</w:t>
      </w:r>
      <w:r>
        <w:rPr>
          <w:rFonts w:hint="eastAsia" w:asciiTheme="minorEastAsia" w:hAnsiTheme="minorEastAsia"/>
          <w:color w:val="000000" w:themeColor="text1"/>
          <w:sz w:val="21"/>
          <w:szCs w:val="21"/>
          <w:highlight w:val="none"/>
          <w14:textFill>
            <w14:solidFill>
              <w14:schemeClr w14:val="tx1"/>
            </w14:solidFill>
          </w14:textFill>
        </w:rPr>
        <w:t>）将询价文件发布至中国海洋石油集团有限公司《中国海油供应链数字化平台》（以下简称“系统”）https://bid.cnooc.com.cn/，请登陆并下载。</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4.递交响应文件的截止时间及地点：递交</w:t>
      </w:r>
      <w:r>
        <w:rPr>
          <w:rFonts w:hint="eastAsia" w:asciiTheme="minorEastAsia" w:hAnsiTheme="minorEastAsia"/>
          <w:color w:val="000000" w:themeColor="text1"/>
          <w:sz w:val="21"/>
          <w:szCs w:val="21"/>
          <w:highlight w:val="none"/>
          <w14:textFill>
            <w14:solidFill>
              <w14:schemeClr w14:val="tx1"/>
            </w14:solidFill>
          </w14:textFill>
        </w:rPr>
        <w:t>报价</w:t>
      </w:r>
      <w:r>
        <w:rPr>
          <w:rFonts w:asciiTheme="minorEastAsia" w:hAnsiTheme="minorEastAsia"/>
          <w:color w:val="000000" w:themeColor="text1"/>
          <w:sz w:val="21"/>
          <w:szCs w:val="21"/>
          <w:highlight w:val="none"/>
          <w14:textFill>
            <w14:solidFill>
              <w14:schemeClr w14:val="tx1"/>
            </w14:solidFill>
          </w14:textFill>
        </w:rPr>
        <w:t>文件的截止时间为</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6</w:t>
      </w:r>
      <w:r>
        <w:rPr>
          <w:rFonts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9</w:t>
      </w:r>
      <w:r>
        <w:rPr>
          <w:rFonts w:asciiTheme="minorEastAsia" w:hAnsiTheme="minorEastAsia"/>
          <w:color w:val="000000" w:themeColor="text1"/>
          <w:sz w:val="21"/>
          <w:szCs w:val="21"/>
          <w:highlight w:val="none"/>
          <w14:textFill>
            <w14:solidFill>
              <w14:schemeClr w14:val="tx1"/>
            </w14:solidFill>
          </w14:textFill>
        </w:rPr>
        <w:t>日</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11</w:t>
      </w:r>
      <w:r>
        <w:rPr>
          <w:rFonts w:asciiTheme="minorEastAsia" w:hAnsiTheme="minorEastAsia"/>
          <w:color w:val="000000" w:themeColor="text1"/>
          <w:sz w:val="21"/>
          <w:szCs w:val="21"/>
          <w:highlight w:val="none"/>
          <w14:textFill>
            <w14:solidFill>
              <w14:schemeClr w14:val="tx1"/>
            </w14:solidFill>
          </w14:textFill>
        </w:rPr>
        <w:t>时，</w:t>
      </w:r>
      <w:r>
        <w:rPr>
          <w:rFonts w:hint="eastAsia" w:asciiTheme="minorEastAsia" w:hAnsiTheme="minorEastAsia"/>
          <w:color w:val="000000" w:themeColor="text1"/>
          <w:sz w:val="21"/>
          <w:szCs w:val="21"/>
          <w:highlight w:val="none"/>
          <w14:textFill>
            <w14:solidFill>
              <w14:schemeClr w14:val="tx1"/>
            </w14:solidFill>
          </w14:textFill>
        </w:rPr>
        <w:t>请在规定报价截止时间前通过系统报价及挂接</w:t>
      </w:r>
      <w:r>
        <w:rPr>
          <w:rFonts w:hint="eastAsia" w:asciiTheme="minorEastAsia" w:hAnsiTheme="minorEastAsia"/>
          <w:color w:val="000000" w:themeColor="text1"/>
          <w:sz w:val="21"/>
          <w:szCs w:val="21"/>
          <w:highlight w:val="none"/>
          <w:lang w:val="en-US" w:eastAsia="zh-CN"/>
          <w14:textFill>
            <w14:solidFill>
              <w14:schemeClr w14:val="tx1"/>
            </w14:solidFill>
          </w14:textFill>
        </w:rPr>
        <w:t>价格明细文件</w:t>
      </w:r>
      <w:r>
        <w:rPr>
          <w:rFonts w:hint="eastAsia" w:asciiTheme="minorEastAsia" w:hAnsiTheme="minorEastAsia"/>
          <w:color w:val="000000" w:themeColor="text1"/>
          <w:sz w:val="21"/>
          <w:szCs w:val="21"/>
          <w:highlight w:val="none"/>
          <w14:textFill>
            <w14:solidFill>
              <w14:schemeClr w14:val="tx1"/>
            </w14:solidFill>
          </w14:textFill>
        </w:rPr>
        <w:t>。</w:t>
      </w:r>
    </w:p>
    <w:p>
      <w:pPr>
        <w:widowControl/>
        <w:snapToGrid w:val="0"/>
        <w:spacing w:line="460" w:lineRule="exact"/>
        <w:ind w:firstLine="420" w:firstLineChars="2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应答人须知</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）凡参加的</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均视作认同本次询价的各项约定事宜(包括供应商资格、技术参数、相关日期</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注册、准入</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等)</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不得以各类约定事宜提出质疑。</w:t>
      </w:r>
    </w:p>
    <w:p>
      <w:pPr>
        <w:pStyle w:val="6"/>
        <w:spacing w:line="360" w:lineRule="auto"/>
        <w:rPr>
          <w:rFonts w:hint="eastAsia"/>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应答人在《中国海油供应链数字化平台》填报供应商注册信息，并在注册审核通过后，方可具备参与采购业务的基本资格，未通过注册审核的应答人应答均视为无效。</w:t>
      </w:r>
    </w:p>
    <w:p>
      <w:pPr>
        <w:pStyle w:val="18"/>
        <w:numPr>
          <w:ilvl w:val="-1"/>
          <w:numId w:val="0"/>
        </w:numPr>
        <w:spacing w:line="360" w:lineRule="auto"/>
        <w:ind w:firstLine="420" w:firstLineChars="20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（3）应答人（非海油发展供应商资源库供应商）应于收到中标通知书后 2 日内按照纳入海油发展供应商资源库的资料提报要求完成资料准备和上传工作。如应答人超时效未完成上传工作，有可能影响其中标资格，因此造成的损失，由供应商自行承担。</w:t>
      </w:r>
    </w:p>
    <w:p>
      <w:pPr>
        <w:pStyle w:val="6"/>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（4）应答人成交后申请供应商资源库准入阶段，采购人有权对供应商进行考察工作，具体考察工作以项目经办人通知为准。如考察结果与应答文件要求不符，采购人有权取消其成交资格。</w:t>
      </w:r>
    </w:p>
    <w:p>
      <w:pPr>
        <w:pStyle w:val="6"/>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（5）供应商履约异常处理标准，详见附件4。</w:t>
      </w:r>
    </w:p>
    <w:p>
      <w:pPr>
        <w:pStyle w:val="6"/>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6）应答人如发现询价文件及其评审办法中存在含糊不清、相互矛盾、多种含义以及歧视性不公正条款或违法违规内容时，请在报价截止日到期前一天书面形式反映，未对询价文件提出异议或要求澄清的，将视为完全理解并默认询价文件所有条款，并同意放弃对询价文件有不明或误解而询问、质疑、投诉的权利。</w:t>
      </w:r>
    </w:p>
    <w:p>
      <w:pPr>
        <w:pStyle w:val="6"/>
        <w:spacing w:line="360" w:lineRule="auto"/>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（7）合同定价模式：浮动单价/费率合同。</w:t>
      </w:r>
    </w:p>
    <w:p>
      <w:pPr>
        <w:pStyle w:val="8"/>
        <w:keepNext w:val="0"/>
        <w:keepLines w:val="0"/>
        <w:pageBreakBefore w:val="0"/>
        <w:widowControl w:val="0"/>
        <w:kinsoku/>
        <w:wordWrap/>
        <w:overflowPunct/>
        <w:topLinePunct w:val="0"/>
        <w:autoSpaceDE/>
        <w:autoSpaceDN/>
        <w:bidi w:val="0"/>
        <w:adjustRightInd/>
        <w:snapToGrid/>
        <w:spacing w:before="0" w:line="360" w:lineRule="auto"/>
        <w:ind w:left="415" w:leftChars="135" w:right="11" w:hanging="132" w:hangingChars="63"/>
        <w:textAlignment w:val="auto"/>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异辛醇</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 xml:space="preserve">采购订单价格 =订货市场价+价格差， </w:t>
      </w:r>
    </w:p>
    <w:p>
      <w:pPr>
        <w:pStyle w:val="8"/>
        <w:keepNext w:val="0"/>
        <w:keepLines w:val="0"/>
        <w:pageBreakBefore w:val="0"/>
        <w:widowControl w:val="0"/>
        <w:kinsoku/>
        <w:wordWrap/>
        <w:overflowPunct/>
        <w:topLinePunct w:val="0"/>
        <w:autoSpaceDE/>
        <w:autoSpaceDN/>
        <w:bidi w:val="0"/>
        <w:adjustRightInd/>
        <w:snapToGrid/>
        <w:spacing w:before="0" w:line="360" w:lineRule="auto"/>
        <w:ind w:left="415" w:leftChars="135" w:right="11" w:hanging="132" w:hangingChars="63"/>
        <w:textAlignment w:val="auto"/>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含税</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价格差=中标价格（合同基准价格）-市场基准价；（</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含税</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 xml:space="preserve">价格差指除原材料成本以外的所有费用之和） </w:t>
      </w:r>
    </w:p>
    <w:p>
      <w:pPr>
        <w:pStyle w:val="8"/>
        <w:keepNext w:val="0"/>
        <w:keepLines w:val="0"/>
        <w:pageBreakBefore w:val="0"/>
        <w:widowControl w:val="0"/>
        <w:kinsoku/>
        <w:wordWrap/>
        <w:overflowPunct/>
        <w:topLinePunct w:val="0"/>
        <w:autoSpaceDE/>
        <w:autoSpaceDN/>
        <w:bidi w:val="0"/>
        <w:adjustRightInd/>
        <w:snapToGrid/>
        <w:spacing w:before="0" w:line="360" w:lineRule="auto"/>
        <w:ind w:left="415" w:leftChars="135" w:right="11" w:hanging="132" w:hangingChars="63"/>
        <w:textAlignment w:val="auto"/>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市场基准价=项目发标前一工作日，辛醇华东地区江苏市场平均价；订货市场价=通知订货前一工作日，辛</w:t>
      </w:r>
      <w:bookmarkStart w:id="546" w:name="_GoBack"/>
      <w:bookmarkEnd w:id="546"/>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醇华东地区江苏市场平均价。</w:t>
      </w:r>
    </w:p>
    <w:p>
      <w:pPr>
        <w:pStyle w:val="6"/>
        <w:spacing w:line="360" w:lineRule="auto"/>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（8）</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其它：</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《招标投标法实施条例》第四十条　串通投标的认定</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,1)</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有下列情形之一的，视为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a</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的投标文件由同一单位或者个人编制；</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b</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委托同一单位或者个人办理投标事宜；</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c</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的投标文件载明的项目管理成员为同一人；</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d</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的投标文件异常一致或者投标报价呈规律性差异；</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e</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的投标文件相互混装；</w:t>
      </w:r>
    </w:p>
    <w:p>
      <w:pPr>
        <w:pStyle w:val="6"/>
        <w:spacing w:line="360" w:lineRule="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,2)</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报价文件特征码：若发现不同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在采办信息系统上“报价文件特征码”环节里“文件制作机器码、文件创建标识码和MAC地址”中的任何一类内容一致时，视为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相互串通投标，否决所有涉及</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评审原则：</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本次采用响应询价文件要求且</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最低原则。如</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存在两家应答人一致的情形，可按照付款条件、交货期、质保期、注册资金等优先顺序确定成交供应商</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7.联系方式：</w:t>
      </w:r>
    </w:p>
    <w:p>
      <w:pPr>
        <w:pStyle w:val="8"/>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采购人</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商务代表联系人与联系方式如下：</w:t>
      </w:r>
    </w:p>
    <w:p>
      <w:pPr>
        <w:pStyle w:val="8"/>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联系单位：</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海油发展</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采办共享中心</w:t>
      </w:r>
    </w:p>
    <w:p>
      <w:pPr>
        <w:pStyle w:val="8"/>
        <w:ind w:left="415" w:leftChars="135" w:right="10" w:hanging="132" w:hangingChars="63"/>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联系人：</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于文超</w:t>
      </w:r>
    </w:p>
    <w:p>
      <w:pPr>
        <w:pStyle w:val="8"/>
        <w:ind w:left="415" w:leftChars="135" w:right="10" w:hanging="132" w:hangingChars="63"/>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联系电话：</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022-25802271</w:t>
      </w:r>
    </w:p>
    <w:p>
      <w:pPr>
        <w:pStyle w:val="8"/>
        <w:ind w:left="415" w:leftChars="135" w:right="10" w:hanging="132" w:hangingChars="63"/>
        <w:rPr>
          <w:rFonts w:hint="default"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邮  箱：</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yuwch2@cnooc.com.cn</w:t>
      </w:r>
    </w:p>
    <w:p>
      <w:pPr>
        <w:rPr>
          <w:rFonts w:hint="eastAsia"/>
          <w:lang w:val="en-US" w:eastAsia="zh-CN"/>
        </w:rPr>
      </w:pPr>
    </w:p>
    <w:p>
      <w:pPr>
        <w:rPr>
          <w:rFonts w:hint="eastAsia"/>
          <w:lang w:val="en-US" w:eastAsia="zh-CN"/>
        </w:rPr>
      </w:pPr>
    </w:p>
    <w:p>
      <w:pPr>
        <w:widowControl/>
        <w:snapToGrid w:val="0"/>
        <w:spacing w:line="240" w:lineRule="auto"/>
        <w:ind w:firstLine="210" w:firstLineChars="1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附件</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pStyle w:val="6"/>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附件1：询价评议内容</w:t>
      </w:r>
    </w:p>
    <w:p>
      <w:pPr>
        <w:pStyle w:val="6"/>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附件2：采购内容及技术要求</w:t>
      </w:r>
    </w:p>
    <w:p>
      <w:pPr>
        <w:pStyle w:val="6"/>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附件3：合同文本</w:t>
      </w:r>
    </w:p>
    <w:p>
      <w:pPr>
        <w:pStyle w:val="6"/>
        <w:keepNext w:val="0"/>
        <w:keepLines w:val="0"/>
        <w:pageBreakBefore w:val="0"/>
        <w:kinsoku/>
        <w:wordWrap/>
        <w:overflowPunct/>
        <w:topLinePunct w:val="0"/>
        <w:autoSpaceDE/>
        <w:autoSpaceDN/>
        <w:bidi w:val="0"/>
        <w:adjustRightInd/>
        <w:spacing w:line="240" w:lineRule="auto"/>
        <w:ind w:firstLine="210" w:firstLineChars="100"/>
        <w:textAlignment w:val="auto"/>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附件</w:t>
      </w:r>
      <w:r>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t>4</w:t>
      </w: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：供应商履约异常处罚方式</w:t>
      </w:r>
    </w:p>
    <w:p>
      <w:pPr>
        <w:pStyle w:val="6"/>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附件5：商务文件</w:t>
      </w:r>
    </w:p>
    <w:p>
      <w:pPr>
        <w:pStyle w:val="6"/>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附件6: 技术文件</w:t>
      </w:r>
    </w:p>
    <w:p>
      <w:pPr>
        <w:spacing w:line="240" w:lineRule="auto"/>
        <w:ind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附件7: 报价文件</w:t>
      </w:r>
    </w:p>
    <w:p>
      <w:pP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br w:type="page"/>
      </w:r>
    </w:p>
    <w:p>
      <w:pPr>
        <w:outlineLvl w:val="0"/>
        <w:rPr>
          <w:rFonts w:ascii="黑体" w:hAnsi="黑体" w:eastAsia="黑体"/>
          <w:color w:val="auto"/>
          <w:sz w:val="24"/>
          <w:szCs w:val="24"/>
          <w:highlight w:val="none"/>
        </w:rPr>
      </w:pPr>
      <w:r>
        <w:rPr>
          <w:rFonts w:hint="eastAsia" w:ascii="黑体" w:hAnsi="黑体" w:eastAsia="黑体"/>
          <w:b/>
          <w:bCs/>
          <w:color w:val="auto"/>
          <w:sz w:val="24"/>
          <w:szCs w:val="24"/>
          <w:highlight w:val="none"/>
        </w:rPr>
        <w:t>附件1</w:t>
      </w:r>
      <w:r>
        <w:rPr>
          <w:rFonts w:hint="eastAsia" w:ascii="黑体" w:hAnsi="黑体" w:eastAsia="黑体"/>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询价</w:t>
      </w:r>
      <w:r>
        <w:rPr>
          <w:rFonts w:hint="eastAsia" w:asciiTheme="minorEastAsia" w:hAnsiTheme="minorEastAsia" w:cstheme="minorEastAsia"/>
          <w:b/>
          <w:bCs/>
          <w:color w:val="auto"/>
          <w:sz w:val="24"/>
          <w:szCs w:val="24"/>
          <w:highlight w:val="none"/>
          <w:lang w:val="en-US" w:eastAsia="zh-CN"/>
        </w:rPr>
        <w:t>评议内容</w:t>
      </w:r>
      <w:r>
        <w:rPr>
          <w:rFonts w:hint="eastAsia" w:ascii="黑体" w:hAnsi="黑体" w:eastAsia="黑体"/>
          <w:b/>
          <w:bCs/>
          <w:color w:val="auto"/>
          <w:sz w:val="24"/>
          <w:szCs w:val="24"/>
          <w:highlight w:val="none"/>
        </w:rPr>
        <w:t xml:space="preserve"> </w:t>
      </w:r>
      <w:r>
        <w:rPr>
          <w:rFonts w:ascii="黑体" w:hAnsi="黑体" w:eastAsia="黑体"/>
          <w:b/>
          <w:bCs/>
          <w:color w:val="auto"/>
          <w:sz w:val="24"/>
          <w:szCs w:val="24"/>
          <w:highlight w:val="none"/>
        </w:rPr>
        <w:t xml:space="preserve"> </w:t>
      </w:r>
      <w:r>
        <w:rPr>
          <w:rFonts w:ascii="黑体" w:hAnsi="黑体" w:eastAsia="黑体"/>
          <w:color w:val="auto"/>
          <w:sz w:val="24"/>
          <w:szCs w:val="24"/>
          <w:highlight w:val="none"/>
        </w:rPr>
        <w:t xml:space="preserve">                    </w:t>
      </w:r>
    </w:p>
    <w:p>
      <w:pPr>
        <w:ind w:firstLine="281" w:firstLineChars="100"/>
        <w:jc w:val="center"/>
        <w:rPr>
          <w:rFonts w:hint="default" w:ascii="仿宋" w:hAnsi="仿宋" w:eastAsia="仿宋" w:cs="Calibri"/>
          <w:b/>
          <w:bCs/>
          <w:color w:val="auto"/>
          <w:sz w:val="28"/>
          <w:szCs w:val="28"/>
          <w:highlight w:val="none"/>
          <w:lang w:val="en-US" w:eastAsia="zh-CN"/>
        </w:rPr>
      </w:pPr>
      <w:r>
        <w:rPr>
          <w:rFonts w:hint="eastAsia" w:ascii="仿宋" w:hAnsi="仿宋" w:eastAsia="仿宋" w:cs="Calibri"/>
          <w:b/>
          <w:bCs/>
          <w:color w:val="auto"/>
          <w:sz w:val="28"/>
          <w:szCs w:val="28"/>
          <w:highlight w:val="none"/>
          <w:lang w:val="en-US" w:eastAsia="zh-CN"/>
        </w:rPr>
        <w:t>评议要求</w:t>
      </w:r>
    </w:p>
    <w:tbl>
      <w:tblPr>
        <w:tblStyle w:val="14"/>
        <w:tblW w:w="6831" w:type="pct"/>
        <w:jc w:val="center"/>
        <w:tblLayout w:type="autofit"/>
        <w:tblCellMar>
          <w:top w:w="0" w:type="dxa"/>
          <w:left w:w="0" w:type="dxa"/>
          <w:bottom w:w="0" w:type="dxa"/>
          <w:right w:w="0" w:type="dxa"/>
        </w:tblCellMar>
      </w:tblPr>
      <w:tblGrid>
        <w:gridCol w:w="611"/>
        <w:gridCol w:w="552"/>
        <w:gridCol w:w="2266"/>
        <w:gridCol w:w="7932"/>
      </w:tblGrid>
      <w:tr>
        <w:tblPrEx>
          <w:tblCellMar>
            <w:top w:w="0" w:type="dxa"/>
            <w:left w:w="0" w:type="dxa"/>
            <w:bottom w:w="0" w:type="dxa"/>
            <w:right w:w="0" w:type="dxa"/>
          </w:tblCellMar>
        </w:tblPrEx>
        <w:trPr>
          <w:trHeight w:val="90" w:hRule="atLeast"/>
          <w:jc w:val="center"/>
        </w:trPr>
        <w:tc>
          <w:tcPr>
            <w:tcW w:w="512" w:type="pct"/>
            <w:gridSpan w:val="2"/>
            <w:tcBorders>
              <w:top w:val="single" w:color="000000" w:sz="4" w:space="0"/>
              <w:left w:val="single" w:color="000000" w:sz="4" w:space="0"/>
              <w:bottom w:val="single" w:color="000000" w:sz="4" w:space="0"/>
              <w:right w:val="single" w:color="000000" w:sz="4" w:space="0"/>
            </w:tcBorders>
            <w:vAlign w:val="center"/>
          </w:tcPr>
          <w:p>
            <w:pPr>
              <w:pStyle w:val="18"/>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t>序号</w:t>
            </w:r>
          </w:p>
        </w:tc>
        <w:tc>
          <w:tcPr>
            <w:tcW w:w="997" w:type="pct"/>
            <w:tcBorders>
              <w:top w:val="single" w:color="000000" w:sz="4" w:space="0"/>
              <w:left w:val="nil"/>
              <w:bottom w:val="single" w:color="000000" w:sz="4" w:space="0"/>
              <w:right w:val="single" w:color="000000" w:sz="4" w:space="0"/>
            </w:tcBorders>
            <w:vAlign w:val="center"/>
          </w:tcPr>
          <w:p>
            <w:pPr>
              <w:pStyle w:val="18"/>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内容</w:t>
            </w:r>
          </w:p>
        </w:tc>
        <w:tc>
          <w:tcPr>
            <w:tcW w:w="3490" w:type="pct"/>
            <w:tcBorders>
              <w:top w:val="single" w:color="000000" w:sz="4" w:space="0"/>
              <w:left w:val="nil"/>
              <w:bottom w:val="single" w:color="000000" w:sz="4" w:space="0"/>
              <w:right w:val="single" w:color="000000" w:sz="4" w:space="0"/>
            </w:tcBorders>
            <w:vAlign w:val="center"/>
          </w:tcPr>
          <w:p>
            <w:pPr>
              <w:pStyle w:val="18"/>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标准</w:t>
            </w:r>
          </w:p>
        </w:tc>
      </w:tr>
      <w:tr>
        <w:tblPrEx>
          <w:tblCellMar>
            <w:top w:w="0" w:type="dxa"/>
            <w:left w:w="0" w:type="dxa"/>
            <w:bottom w:w="0" w:type="dxa"/>
            <w:right w:w="0" w:type="dxa"/>
          </w:tblCellMar>
        </w:tblPrEx>
        <w:trPr>
          <w:trHeight w:val="90" w:hRule="atLeast"/>
          <w:jc w:val="center"/>
        </w:trPr>
        <w:tc>
          <w:tcPr>
            <w:tcW w:w="269" w:type="pct"/>
            <w:vMerge w:val="restart"/>
            <w:tcBorders>
              <w:top w:val="nil"/>
              <w:left w:val="single" w:color="000000" w:sz="6" w:space="0"/>
              <w:right w:val="single" w:color="000000" w:sz="6" w:space="0"/>
            </w:tcBorders>
            <w:vAlign w:val="center"/>
          </w:tcPr>
          <w:p>
            <w:pPr>
              <w:pStyle w:val="18"/>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1</w:t>
            </w:r>
          </w:p>
          <w:p>
            <w:pPr>
              <w:spacing w:line="300" w:lineRule="exact"/>
              <w:jc w:val="center"/>
              <w:rPr>
                <w:rFonts w:hint="eastAsia" w:ascii="仿宋" w:hAnsi="仿宋" w:eastAsia="仿宋" w:cs="仿宋"/>
                <w:bCs/>
                <w:color w:val="auto"/>
                <w:sz w:val="21"/>
                <w:szCs w:val="21"/>
                <w:highlight w:val="none"/>
              </w:rPr>
            </w:pPr>
          </w:p>
        </w:tc>
        <w:tc>
          <w:tcPr>
            <w:tcW w:w="243" w:type="pct"/>
            <w:vMerge w:val="restart"/>
            <w:tcBorders>
              <w:top w:val="nil"/>
              <w:left w:val="nil"/>
              <w:right w:val="single" w:color="000000" w:sz="6" w:space="0"/>
            </w:tcBorders>
            <w:textDirection w:val="tbRlV"/>
            <w:vAlign w:val="center"/>
          </w:tcPr>
          <w:p>
            <w:pPr>
              <w:pStyle w:val="18"/>
              <w:spacing w:line="300" w:lineRule="exact"/>
              <w:ind w:left="113" w:right="113"/>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商务标准</w:t>
            </w:r>
          </w:p>
        </w:tc>
        <w:tc>
          <w:tcPr>
            <w:tcW w:w="997" w:type="pct"/>
            <w:tcBorders>
              <w:top w:val="single" w:color="000000" w:sz="4" w:space="0"/>
              <w:left w:val="nil"/>
              <w:bottom w:val="single" w:color="000000" w:sz="4" w:space="0"/>
              <w:right w:val="single" w:color="000000" w:sz="4" w:space="0"/>
            </w:tcBorders>
            <w:vAlign w:val="center"/>
          </w:tcPr>
          <w:p>
            <w:pPr>
              <w:pStyle w:val="18"/>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应答人名称</w:t>
            </w:r>
          </w:p>
        </w:tc>
        <w:tc>
          <w:tcPr>
            <w:tcW w:w="3490" w:type="pct"/>
            <w:tcBorders>
              <w:top w:val="single" w:color="000000" w:sz="4" w:space="0"/>
              <w:left w:val="nil"/>
              <w:bottom w:val="single" w:color="000000" w:sz="4" w:space="0"/>
              <w:right w:val="single" w:color="000000" w:sz="4" w:space="0"/>
            </w:tcBorders>
            <w:vAlign w:val="center"/>
          </w:tcPr>
          <w:p>
            <w:pPr>
              <w:pStyle w:val="18"/>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与营业执照、资质证书（</w:t>
            </w:r>
            <w:r>
              <w:rPr>
                <w:rFonts w:hint="eastAsia" w:ascii="仿宋" w:hAnsi="仿宋" w:eastAsia="仿宋" w:cs="仿宋"/>
                <w:bCs/>
                <w:color w:val="auto"/>
                <w:sz w:val="21"/>
                <w:szCs w:val="21"/>
                <w:highlight w:val="none"/>
                <w:lang w:val="en-US" w:eastAsia="zh-CN"/>
              </w:rPr>
              <w:t>如涉及</w:t>
            </w:r>
            <w:r>
              <w:rPr>
                <w:rFonts w:hint="eastAsia" w:ascii="仿宋" w:hAnsi="仿宋" w:eastAsia="仿宋" w:cs="仿宋"/>
                <w:bCs/>
                <w:color w:val="auto"/>
                <w:sz w:val="21"/>
                <w:szCs w:val="21"/>
                <w:highlight w:val="none"/>
                <w:lang w:eastAsia="zh-CN"/>
              </w:rPr>
              <w:t>）一致；</w:t>
            </w:r>
          </w:p>
        </w:tc>
      </w:tr>
      <w:tr>
        <w:tblPrEx>
          <w:tblCellMar>
            <w:top w:w="0" w:type="dxa"/>
            <w:left w:w="0" w:type="dxa"/>
            <w:bottom w:w="0" w:type="dxa"/>
            <w:right w:w="0" w:type="dxa"/>
          </w:tblCellMar>
        </w:tblPrEx>
        <w:trPr>
          <w:trHeight w:val="90" w:hRule="atLeast"/>
          <w:jc w:val="center"/>
        </w:trPr>
        <w:tc>
          <w:tcPr>
            <w:tcW w:w="269"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43"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997" w:type="pct"/>
            <w:tcBorders>
              <w:top w:val="single" w:color="000000" w:sz="4" w:space="0"/>
              <w:left w:val="nil"/>
              <w:bottom w:val="nil"/>
              <w:right w:val="single" w:color="000000" w:sz="4" w:space="0"/>
            </w:tcBorders>
            <w:vAlign w:val="center"/>
          </w:tcPr>
          <w:p>
            <w:pPr>
              <w:pStyle w:val="18"/>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报价文件签字盖章</w:t>
            </w:r>
          </w:p>
        </w:tc>
        <w:tc>
          <w:tcPr>
            <w:tcW w:w="3490" w:type="pct"/>
            <w:tcBorders>
              <w:top w:val="single" w:color="000000" w:sz="4" w:space="0"/>
              <w:left w:val="nil"/>
              <w:bottom w:val="nil"/>
              <w:right w:val="single" w:color="000000" w:sz="4" w:space="0"/>
            </w:tcBorders>
            <w:vAlign w:val="center"/>
          </w:tcPr>
          <w:p>
            <w:pPr>
              <w:pStyle w:val="18"/>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val="en-US" w:eastAsia="zh-CN"/>
              </w:rPr>
              <w:t>由</w:t>
            </w:r>
            <w:r>
              <w:rPr>
                <w:rFonts w:hint="eastAsia" w:ascii="仿宋" w:hAnsi="仿宋" w:eastAsia="仿宋" w:cs="仿宋"/>
                <w:bCs/>
                <w:color w:val="auto"/>
                <w:sz w:val="21"/>
                <w:szCs w:val="21"/>
                <w:highlight w:val="none"/>
                <w:lang w:eastAsia="zh-CN"/>
              </w:rPr>
              <w:t>法定代表人（单位负责人）或其委托代理人签字并加盖单位章。由法定代表人（单位负责人）签字的，应附法定代表人（单位负责人）身份证明，由代理人签字的，应</w:t>
            </w:r>
            <w:r>
              <w:rPr>
                <w:rFonts w:hint="eastAsia" w:ascii="仿宋" w:hAnsi="仿宋" w:eastAsia="仿宋" w:cs="仿宋"/>
                <w:bCs/>
                <w:color w:val="auto"/>
                <w:sz w:val="21"/>
                <w:szCs w:val="21"/>
                <w:highlight w:val="none"/>
                <w:lang w:val="en-US" w:eastAsia="zh-CN"/>
              </w:rPr>
              <w:t>在提供</w:t>
            </w:r>
            <w:r>
              <w:rPr>
                <w:rFonts w:hint="eastAsia" w:ascii="仿宋" w:hAnsi="仿宋" w:eastAsia="仿宋" w:cs="仿宋"/>
                <w:bCs/>
                <w:color w:val="auto"/>
                <w:sz w:val="21"/>
                <w:szCs w:val="21"/>
                <w:highlight w:val="none"/>
                <w:lang w:eastAsia="zh-CN"/>
              </w:rPr>
              <w:t>法定代表人（单位负责人）身份证明</w:t>
            </w:r>
            <w:r>
              <w:rPr>
                <w:rFonts w:hint="eastAsia" w:ascii="仿宋" w:hAnsi="仿宋" w:eastAsia="仿宋" w:cs="仿宋"/>
                <w:bCs/>
                <w:color w:val="auto"/>
                <w:sz w:val="21"/>
                <w:szCs w:val="21"/>
                <w:highlight w:val="none"/>
                <w:lang w:val="en-US" w:eastAsia="zh-CN"/>
              </w:rPr>
              <w:t>基础上，补充提供</w:t>
            </w:r>
            <w:r>
              <w:rPr>
                <w:rFonts w:hint="eastAsia" w:ascii="仿宋" w:hAnsi="仿宋" w:eastAsia="仿宋" w:cs="仿宋"/>
                <w:bCs/>
                <w:color w:val="auto"/>
                <w:sz w:val="21"/>
                <w:szCs w:val="21"/>
                <w:highlight w:val="none"/>
                <w:lang w:eastAsia="zh-CN"/>
              </w:rPr>
              <w:t>授权委托书；缺少签字或盖章的，可以澄清补充，补充后满足上述要求的视为合格。</w:t>
            </w:r>
          </w:p>
        </w:tc>
      </w:tr>
      <w:tr>
        <w:tblPrEx>
          <w:tblCellMar>
            <w:top w:w="0" w:type="dxa"/>
            <w:left w:w="0" w:type="dxa"/>
            <w:bottom w:w="0" w:type="dxa"/>
            <w:right w:w="0" w:type="dxa"/>
          </w:tblCellMar>
        </w:tblPrEx>
        <w:trPr>
          <w:trHeight w:val="90" w:hRule="atLeast"/>
          <w:jc w:val="center"/>
        </w:trPr>
        <w:tc>
          <w:tcPr>
            <w:tcW w:w="269"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43"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997" w:type="pct"/>
            <w:tcBorders>
              <w:top w:val="single" w:color="000000" w:sz="4" w:space="0"/>
              <w:left w:val="nil"/>
              <w:bottom w:val="single" w:color="000000" w:sz="4" w:space="0"/>
              <w:right w:val="single" w:color="000000" w:sz="4" w:space="0"/>
            </w:tcBorders>
            <w:vAlign w:val="center"/>
          </w:tcPr>
          <w:p>
            <w:pPr>
              <w:pStyle w:val="18"/>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报价文件格式</w:t>
            </w:r>
          </w:p>
        </w:tc>
        <w:tc>
          <w:tcPr>
            <w:tcW w:w="3490" w:type="pct"/>
            <w:tcBorders>
              <w:top w:val="single" w:color="000000" w:sz="4" w:space="0"/>
              <w:left w:val="nil"/>
              <w:bottom w:val="single" w:color="000000" w:sz="4" w:space="0"/>
              <w:right w:val="single" w:color="000000" w:sz="4" w:space="0"/>
            </w:tcBorders>
            <w:vAlign w:val="center"/>
          </w:tcPr>
          <w:p>
            <w:pPr>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符合附件3：报价单格式的规定；</w:t>
            </w:r>
          </w:p>
        </w:tc>
      </w:tr>
      <w:tr>
        <w:tblPrEx>
          <w:tblCellMar>
            <w:top w:w="0" w:type="dxa"/>
            <w:left w:w="0" w:type="dxa"/>
            <w:bottom w:w="0" w:type="dxa"/>
            <w:right w:w="0" w:type="dxa"/>
          </w:tblCellMar>
        </w:tblPrEx>
        <w:trPr>
          <w:trHeight w:val="90" w:hRule="atLeast"/>
          <w:jc w:val="center"/>
        </w:trPr>
        <w:tc>
          <w:tcPr>
            <w:tcW w:w="269"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43"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997" w:type="pct"/>
            <w:tcBorders>
              <w:top w:val="single" w:color="000000" w:sz="4" w:space="0"/>
              <w:left w:val="nil"/>
              <w:bottom w:val="single" w:color="000000" w:sz="4" w:space="0"/>
              <w:right w:val="single" w:color="000000" w:sz="4" w:space="0"/>
            </w:tcBorders>
            <w:vAlign w:val="center"/>
          </w:tcPr>
          <w:p>
            <w:pPr>
              <w:pStyle w:val="18"/>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报价有效期</w:t>
            </w:r>
          </w:p>
        </w:tc>
        <w:tc>
          <w:tcPr>
            <w:tcW w:w="3490" w:type="pct"/>
            <w:tcBorders>
              <w:top w:val="single" w:color="000000" w:sz="4" w:space="0"/>
              <w:left w:val="nil"/>
              <w:bottom w:val="single" w:color="000000" w:sz="4" w:space="0"/>
              <w:right w:val="single" w:color="000000" w:sz="4" w:space="0"/>
            </w:tcBorders>
            <w:vAlign w:val="center"/>
          </w:tcPr>
          <w:p>
            <w:pPr>
              <w:pStyle w:val="18"/>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报价截止之日起【</w:t>
            </w:r>
            <w:r>
              <w:rPr>
                <w:rFonts w:hint="eastAsia" w:ascii="仿宋" w:hAnsi="仿宋" w:eastAsia="仿宋" w:cs="仿宋"/>
                <w:bCs/>
                <w:color w:val="auto"/>
                <w:sz w:val="21"/>
                <w:szCs w:val="21"/>
                <w:highlight w:val="none"/>
                <w:lang w:val="en-US" w:eastAsia="zh-CN"/>
              </w:rPr>
              <w:t>90</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lang w:val="en-US" w:eastAsia="zh-CN"/>
              </w:rPr>
              <w:t>日历日</w:t>
            </w:r>
            <w:r>
              <w:rPr>
                <w:rFonts w:hint="eastAsia" w:ascii="仿宋" w:hAnsi="仿宋" w:eastAsia="仿宋" w:cs="仿宋"/>
                <w:bCs/>
                <w:color w:val="auto"/>
                <w:sz w:val="21"/>
                <w:szCs w:val="21"/>
                <w:highlight w:val="none"/>
                <w:lang w:eastAsia="zh-CN"/>
              </w:rPr>
              <w:t>内保持有效；</w:t>
            </w:r>
          </w:p>
        </w:tc>
      </w:tr>
      <w:tr>
        <w:tblPrEx>
          <w:tblCellMar>
            <w:top w:w="0" w:type="dxa"/>
            <w:left w:w="0" w:type="dxa"/>
            <w:bottom w:w="0" w:type="dxa"/>
            <w:right w:w="0" w:type="dxa"/>
          </w:tblCellMar>
        </w:tblPrEx>
        <w:trPr>
          <w:trHeight w:val="90" w:hRule="atLeast"/>
          <w:jc w:val="center"/>
        </w:trPr>
        <w:tc>
          <w:tcPr>
            <w:tcW w:w="269"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43" w:type="pct"/>
            <w:vMerge w:val="continue"/>
            <w:tcBorders>
              <w:left w:val="single" w:color="000000" w:sz="6" w:space="0"/>
              <w:right w:val="single" w:color="000000" w:sz="6" w:space="0"/>
            </w:tcBorders>
            <w:vAlign w:val="center"/>
          </w:tcPr>
          <w:p>
            <w:pPr>
              <w:pStyle w:val="18"/>
              <w:spacing w:line="300" w:lineRule="exact"/>
              <w:jc w:val="center"/>
              <w:rPr>
                <w:rFonts w:hint="eastAsia" w:ascii="仿宋" w:hAnsi="仿宋" w:eastAsia="仿宋" w:cs="仿宋"/>
                <w:bCs/>
                <w:color w:val="auto"/>
                <w:sz w:val="21"/>
                <w:szCs w:val="21"/>
                <w:highlight w:val="none"/>
                <w:lang w:eastAsia="zh-CN"/>
              </w:rPr>
            </w:pPr>
          </w:p>
        </w:tc>
        <w:tc>
          <w:tcPr>
            <w:tcW w:w="997" w:type="pct"/>
            <w:tcBorders>
              <w:top w:val="single" w:color="000000" w:sz="4" w:space="0"/>
              <w:left w:val="single" w:color="000000" w:sz="6" w:space="0"/>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default"/>
                <w:lang w:val="en-US" w:eastAsia="zh-CN"/>
              </w:rPr>
            </w:pPr>
            <w:r>
              <w:rPr>
                <w:rFonts w:hint="eastAsia" w:ascii="仿宋" w:hAnsi="仿宋" w:eastAsia="仿宋" w:cs="仿宋"/>
                <w:color w:val="auto"/>
                <w:kern w:val="0"/>
                <w:sz w:val="21"/>
                <w:szCs w:val="21"/>
                <w:highlight w:val="none"/>
                <w:lang w:val="en-US" w:eastAsia="zh-CN" w:bidi="ar-SA"/>
              </w:rPr>
              <w:t>★商务资格</w:t>
            </w:r>
          </w:p>
        </w:tc>
        <w:tc>
          <w:tcPr>
            <w:tcW w:w="3490" w:type="pct"/>
            <w:tcBorders>
              <w:top w:val="single" w:color="000000" w:sz="4" w:space="0"/>
              <w:left w:val="nil"/>
              <w:bottom w:val="single" w:color="auto" w:sz="4" w:space="0"/>
              <w:right w:val="single" w:color="000000" w:sz="4" w:space="0"/>
            </w:tcBorders>
            <w:vAlign w:val="center"/>
          </w:tcPr>
          <w:p>
            <w:pP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1.营业执照：应答人具有合法有效的企业法人营业执照、税务登记证及组织机构代码证 或证照合一的营业执照，投标时需提供原件扫描件（原件备查）。 应答人为事业单位的，应具有合法有效的事业单位法人证书，投标时需提供原件扫描件（原件备查）。应答人为分公司的，应具有合法有效的营业执照和上级法人单位授权书，分 公司与上级法人单位只可一家参与投标，同时参与投标的，投标均无效。</w:t>
            </w:r>
          </w:p>
          <w:p>
            <w:pPr>
              <w:rPr>
                <w:rFonts w:hint="default"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2.法定代表人（单位负责人）身份证明。</w:t>
            </w:r>
          </w:p>
          <w:p>
            <w:pPr>
              <w:rPr>
                <w:rFonts w:hint="eastAsia"/>
                <w:lang w:val="en-US" w:eastAsia="zh-CN"/>
              </w:rPr>
            </w:pPr>
            <w:r>
              <w:rPr>
                <w:rFonts w:hint="eastAsia" w:ascii="仿宋" w:hAnsi="仿宋" w:eastAsia="仿宋" w:cs="仿宋"/>
                <w:bCs/>
                <w:color w:val="auto"/>
                <w:sz w:val="21"/>
                <w:szCs w:val="21"/>
                <w:highlight w:val="none"/>
                <w:lang w:val="en-US" w:eastAsia="zh-CN"/>
              </w:rPr>
              <w:t>3.法定代表人授权委托书（如涉及）。</w:t>
            </w:r>
          </w:p>
        </w:tc>
      </w:tr>
      <w:tr>
        <w:tblPrEx>
          <w:tblCellMar>
            <w:top w:w="0" w:type="dxa"/>
            <w:left w:w="0" w:type="dxa"/>
            <w:bottom w:w="0" w:type="dxa"/>
            <w:right w:w="0" w:type="dxa"/>
          </w:tblCellMar>
        </w:tblPrEx>
        <w:trPr>
          <w:trHeight w:val="90" w:hRule="atLeast"/>
          <w:jc w:val="center"/>
        </w:trPr>
        <w:tc>
          <w:tcPr>
            <w:tcW w:w="269"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43" w:type="pct"/>
            <w:vMerge w:val="continue"/>
            <w:tcBorders>
              <w:left w:val="single" w:color="000000" w:sz="6" w:space="0"/>
              <w:right w:val="single" w:color="000000" w:sz="6" w:space="0"/>
            </w:tcBorders>
            <w:vAlign w:val="center"/>
          </w:tcPr>
          <w:p>
            <w:pPr>
              <w:pStyle w:val="18"/>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997" w:type="pct"/>
            <w:tcBorders>
              <w:top w:val="single" w:color="auto" w:sz="4" w:space="0"/>
              <w:left w:val="single" w:color="000000" w:sz="6" w:space="0"/>
              <w:bottom w:val="single" w:color="000000" w:sz="4" w:space="0"/>
              <w:right w:val="single" w:color="000000" w:sz="4" w:space="0"/>
            </w:tcBorders>
            <w:vAlign w:val="center"/>
          </w:tcPr>
          <w:p>
            <w:pPr>
              <w:pStyle w:val="18"/>
              <w:spacing w:line="3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eastAsia="zh-CN"/>
                <w14:textFill>
                  <w14:solidFill>
                    <w14:schemeClr w14:val="tx1"/>
                  </w14:solidFill>
                </w14:textFill>
              </w:rPr>
              <w:t>信誉要求</w:t>
            </w:r>
          </w:p>
        </w:tc>
        <w:tc>
          <w:tcPr>
            <w:tcW w:w="3490" w:type="pct"/>
            <w:tcBorders>
              <w:top w:val="single" w:color="auto" w:sz="4" w:space="0"/>
              <w:left w:val="nil"/>
              <w:bottom w:val="single" w:color="000000" w:sz="4" w:space="0"/>
              <w:right w:val="single" w:color="000000" w:sz="4" w:space="0"/>
            </w:tcBorders>
            <w:vAlign w:val="center"/>
          </w:tcPr>
          <w:p>
            <w:pPr>
              <w:pStyle w:val="18"/>
              <w:jc w:val="both"/>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1.应答人不得是最高人民法院在“信用中国”网站（</w:t>
            </w:r>
            <w:r>
              <w:rPr>
                <w:rFonts w:hint="eastAsia" w:ascii="仿宋" w:hAnsi="仿宋" w:eastAsia="仿宋" w:cs="仿宋"/>
                <w:color w:val="000000" w:themeColor="text1"/>
                <w:sz w:val="21"/>
                <w:szCs w:val="21"/>
                <w:highlight w:val="none"/>
                <w:lang w:val="en-US" w:eastAsia="zh-CN"/>
                <w14:textFill>
                  <w14:solidFill>
                    <w14:schemeClr w14:val="tx1"/>
                  </w14:solidFill>
                </w14:textFill>
              </w:rPr>
              <w:fldChar w:fldCharType="begin"/>
            </w:r>
            <w:r>
              <w:rPr>
                <w:rFonts w:hint="eastAsia" w:ascii="仿宋" w:hAnsi="仿宋" w:eastAsia="仿宋" w:cs="仿宋"/>
                <w:color w:val="000000" w:themeColor="text1"/>
                <w:sz w:val="21"/>
                <w:szCs w:val="21"/>
                <w:highlight w:val="none"/>
                <w:lang w:val="en-US" w:eastAsia="zh-CN"/>
                <w14:textFill>
                  <w14:solidFill>
                    <w14:schemeClr w14:val="tx1"/>
                  </w14:solidFill>
                </w14:textFill>
              </w:rPr>
              <w:instrText xml:space="preserve"> HYPERLINK "http://www.creditchina.gov.cn）或" </w:instrText>
            </w:r>
            <w:r>
              <w:rPr>
                <w:rFonts w:hint="eastAsia" w:ascii="仿宋" w:hAnsi="仿宋" w:eastAsia="仿宋" w:cs="仿宋"/>
                <w:color w:val="000000" w:themeColor="text1"/>
                <w:sz w:val="21"/>
                <w:szCs w:val="21"/>
                <w:highlight w:val="none"/>
                <w:lang w:val="en-US" w:eastAsia="zh-CN"/>
                <w14:textFill>
                  <w14:solidFill>
                    <w14:schemeClr w14:val="tx1"/>
                  </w14:solidFill>
                </w14:textFill>
              </w:rPr>
              <w:fldChar w:fldCharType="separate"/>
            </w:r>
            <w:r>
              <w:rPr>
                <w:rFonts w:hint="eastAsia" w:ascii="仿宋" w:hAnsi="仿宋" w:eastAsia="仿宋" w:cs="仿宋"/>
                <w:color w:val="000000" w:themeColor="text1"/>
                <w:sz w:val="21"/>
                <w:szCs w:val="21"/>
                <w:highlight w:val="none"/>
                <w:lang w:val="en-US" w:eastAsia="zh-CN"/>
                <w14:textFill>
                  <w14:solidFill>
                    <w14:schemeClr w14:val="tx1"/>
                  </w14:solidFill>
                </w14:textFill>
              </w:rPr>
              <w:t>www.creditchina.gov.cn）或</w:t>
            </w:r>
          </w:p>
          <w:p>
            <w:pPr>
              <w:pStyle w:val="18"/>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“中国执行信息公开网</w:t>
            </w:r>
            <w:r>
              <w:rPr>
                <w:rFonts w:hint="eastAsia" w:ascii="仿宋" w:hAnsi="仿宋" w:eastAsia="仿宋" w:cs="仿宋"/>
                <w:color w:val="000000" w:themeColor="text1"/>
                <w:sz w:val="21"/>
                <w:szCs w:val="21"/>
                <w:highlight w:val="none"/>
                <w:lang w:val="en-US" w:eastAsia="zh-CN"/>
                <w14:textFill>
                  <w14:solidFill>
                    <w14:schemeClr w14:val="tx1"/>
                  </w14:solidFill>
                </w14:textFill>
              </w:rPr>
              <w:fldChar w:fldCharType="end"/>
            </w: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fldChar w:fldCharType="begin"/>
            </w:r>
            <w:r>
              <w:rPr>
                <w:rFonts w:hint="eastAsia" w:ascii="仿宋" w:hAnsi="仿宋" w:eastAsia="仿宋" w:cs="仿宋"/>
                <w:color w:val="000000" w:themeColor="text1"/>
                <w:sz w:val="21"/>
                <w:szCs w:val="21"/>
                <w:highlight w:val="none"/>
                <w:lang w:val="en-US" w:eastAsia="zh-CN"/>
                <w14:textFill>
                  <w14:solidFill>
                    <w14:schemeClr w14:val="tx1"/>
                  </w14:solidFill>
                </w14:textFill>
              </w:rPr>
              <w:instrText xml:space="preserve"> HYPERLINK "http://zxgk.court.gov.cn/）列入失信被执行人名单（应附查询结果复印件并加盖单位章" </w:instrText>
            </w:r>
            <w:r>
              <w:rPr>
                <w:rFonts w:hint="eastAsia" w:ascii="仿宋" w:hAnsi="仿宋" w:eastAsia="仿宋" w:cs="仿宋"/>
                <w:color w:val="000000" w:themeColor="text1"/>
                <w:sz w:val="21"/>
                <w:szCs w:val="21"/>
                <w:highlight w:val="none"/>
                <w:lang w:val="en-US" w:eastAsia="zh-CN"/>
                <w14:textFill>
                  <w14:solidFill>
                    <w14:schemeClr w14:val="tx1"/>
                  </w14:solidFill>
                </w14:textFill>
              </w:rPr>
              <w:fldChar w:fldCharType="separate"/>
            </w:r>
            <w:r>
              <w:rPr>
                <w:rFonts w:hint="eastAsia" w:ascii="仿宋" w:hAnsi="仿宋" w:eastAsia="仿宋" w:cs="仿宋"/>
                <w:color w:val="000000" w:themeColor="text1"/>
                <w:sz w:val="21"/>
                <w:szCs w:val="21"/>
                <w:highlight w:val="none"/>
                <w:lang w:val="en-US" w:eastAsia="zh-CN"/>
                <w14:textFill>
                  <w14:solidFill>
                    <w14:schemeClr w14:val="tx1"/>
                  </w14:solidFill>
                </w14:textFill>
              </w:rPr>
              <w:t>http://zxgk.court.gov.cn/）列入失信被执行人名单</w:t>
            </w:r>
            <w:r>
              <w:rPr>
                <w:rFonts w:hint="eastAsia" w:ascii="仿宋" w:hAnsi="仿宋" w:eastAsia="仿宋" w:cs="仿宋"/>
                <w:color w:val="000000" w:themeColor="text1"/>
                <w:sz w:val="21"/>
                <w:szCs w:val="21"/>
                <w:highlight w:val="none"/>
                <w:lang w:val="en-US" w:eastAsia="zh-CN"/>
                <w14:textFill>
                  <w14:solidFill>
                    <w14:schemeClr w14:val="tx1"/>
                  </w14:solidFill>
                </w14:textFill>
              </w:rPr>
              <w:fldChar w:fldCharType="end"/>
            </w:r>
            <w:r>
              <w:rPr>
                <w:rFonts w:hint="eastAsia" w:ascii="仿宋" w:hAnsi="仿宋" w:eastAsia="仿宋" w:cs="仿宋"/>
                <w:color w:val="000000" w:themeColor="text1"/>
                <w:sz w:val="21"/>
                <w:szCs w:val="21"/>
                <w:highlight w:val="none"/>
                <w:lang w:val="en-US" w:eastAsia="zh-CN"/>
                <w14:textFill>
                  <w14:solidFill>
                    <w14:schemeClr w14:val="tx1"/>
                  </w14:solidFill>
                </w14:textFill>
              </w:rPr>
              <w:t>；</w:t>
            </w:r>
          </w:p>
          <w:p>
            <w:pPr>
              <w:pStyle w:val="18"/>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2.近三年（2021年1月1日-报价截止日前）内应答人或其法定代表人、拟委任的项目负责人不得有行贿犯罪行为，查询网站为“中国裁判文书网”http://wenshu.court.gov.cn）；</w:t>
            </w:r>
          </w:p>
          <w:p>
            <w:pPr>
              <w:pStyle w:val="18"/>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3.应答人不得被工商行政管理机关在全国企业信用信息公示系统（http://www.gsxt.gov.cn）中列入严重违法失信企业名单。事业单位、大学除外。</w:t>
            </w:r>
          </w:p>
          <w:p>
            <w:pPr>
              <w:pStyle w:val="18"/>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应答人与本采购项目其它应答人不得存在控股关系或管理关系、单位负责人为同一人的情形。在非公开采购项目中，严禁存在控股关系或管理关系、单位负责人为同一人、同一自然人同时持有两家公司非公开上市股份的情形。</w:t>
            </w:r>
          </w:p>
          <w:p>
            <w:pPr>
              <w:pStyle w:val="18"/>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5.应答人应在应答文件中提供其公司章程或其它能够体现出资人、股东信息的法定文件，作为评标/评审时的依据。</w:t>
            </w:r>
          </w:p>
          <w:p>
            <w:pPr>
              <w:pStyle w:val="18"/>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6.应答人承诺：中国海油在职员工（不含正式派出的）未有在应答人单位担任股东、法人代表、董事、监事和其它任职人员的情形。</w:t>
            </w:r>
          </w:p>
          <w:p>
            <w:pPr>
              <w:pStyle w:val="18"/>
              <w:jc w:val="both"/>
              <w:rPr>
                <w:rFonts w:hint="default"/>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上述要求应答人应提供供应商承诺书。</w:t>
            </w:r>
          </w:p>
        </w:tc>
      </w:tr>
      <w:tr>
        <w:tblPrEx>
          <w:tblCellMar>
            <w:top w:w="0" w:type="dxa"/>
            <w:left w:w="0" w:type="dxa"/>
            <w:bottom w:w="0" w:type="dxa"/>
            <w:right w:w="0" w:type="dxa"/>
          </w:tblCellMar>
        </w:tblPrEx>
        <w:trPr>
          <w:trHeight w:val="90" w:hRule="atLeast"/>
          <w:jc w:val="center"/>
        </w:trPr>
        <w:tc>
          <w:tcPr>
            <w:tcW w:w="269"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43" w:type="pct"/>
            <w:vMerge w:val="continue"/>
            <w:tcBorders>
              <w:left w:val="single" w:color="000000" w:sz="6" w:space="0"/>
              <w:right w:val="single" w:color="000000" w:sz="6" w:space="0"/>
            </w:tcBorders>
            <w:vAlign w:val="center"/>
          </w:tcPr>
          <w:p>
            <w:pPr>
              <w:pStyle w:val="18"/>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997" w:type="pct"/>
            <w:tcBorders>
              <w:top w:val="single" w:color="000000" w:sz="4" w:space="0"/>
              <w:left w:val="single" w:color="000000" w:sz="6" w:space="0"/>
              <w:bottom w:val="single" w:color="000000" w:sz="4" w:space="0"/>
              <w:right w:val="single" w:color="000000" w:sz="4" w:space="0"/>
            </w:tcBorders>
            <w:vAlign w:val="center"/>
          </w:tcPr>
          <w:p>
            <w:pPr>
              <w:pStyle w:val="18"/>
              <w:numPr>
                <w:ilvl w:val="-1"/>
                <w:numId w:val="0"/>
              </w:numPr>
              <w:jc w:val="both"/>
              <w:rPr>
                <w:rFonts w:hint="eastAsia" w:ascii="仿宋" w:hAnsi="仿宋" w:eastAsia="仿宋" w:cs="仿宋"/>
                <w:color w:val="C00000"/>
                <w:kern w:val="2"/>
                <w:sz w:val="21"/>
                <w:szCs w:val="21"/>
                <w:highlight w:val="none"/>
                <w:lang w:eastAsia="zh-CN"/>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应答人或应答人所提供的第三方不得存在的其它情形</w:t>
            </w:r>
          </w:p>
          <w:p>
            <w:pPr>
              <w:pStyle w:val="18"/>
              <w:jc w:val="center"/>
              <w:rPr>
                <w:rFonts w:hint="eastAsia" w:ascii="仿宋" w:hAnsi="仿宋" w:eastAsia="仿宋" w:cs="仿宋"/>
                <w:color w:val="000000" w:themeColor="text1"/>
                <w:sz w:val="21"/>
                <w:szCs w:val="21"/>
                <w:highlight w:val="none"/>
                <w:lang w:eastAsia="zh-CN"/>
                <w14:textFill>
                  <w14:solidFill>
                    <w14:schemeClr w14:val="tx1"/>
                  </w14:solidFill>
                </w14:textFill>
              </w:rPr>
            </w:pPr>
          </w:p>
        </w:tc>
        <w:tc>
          <w:tcPr>
            <w:tcW w:w="3490" w:type="pct"/>
            <w:tcBorders>
              <w:top w:val="single" w:color="000000" w:sz="4" w:space="0"/>
              <w:left w:val="nil"/>
              <w:bottom w:val="single" w:color="000000" w:sz="4" w:space="0"/>
              <w:right w:val="single" w:color="000000" w:sz="4" w:space="0"/>
            </w:tcBorders>
            <w:vAlign w:val="center"/>
          </w:tcPr>
          <w:p>
            <w:pPr>
              <w:pStyle w:val="18"/>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被中国海洋石油集团有限公司在集团范围内进行风险提示，且在中国海洋石油集团有限公司《中国海油供应链数字化平台》中被采购冻结，进入调查程序的；</w:t>
            </w:r>
          </w:p>
          <w:p>
            <w:pPr>
              <w:pStyle w:val="18"/>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被中国海洋石油集团有限公司处以“取消投标资格”及以上处罚，且仍在处罚期内或处罚期满但在系统中的供应商档案中的“档案状态”为“采购冻结”、“业务状态”为“冻结”的；</w:t>
            </w:r>
          </w:p>
          <w:p>
            <w:pPr>
              <w:pStyle w:val="18"/>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lang w:eastAsia="zh-CN"/>
                <w14:textFill>
                  <w14:solidFill>
                    <w14:schemeClr w14:val="tx1"/>
                  </w14:solidFill>
                </w14:textFill>
              </w:rPr>
              <w:t>被</w:t>
            </w:r>
            <w:r>
              <w:rPr>
                <w:rFonts w:hint="eastAsia" w:ascii="仿宋" w:hAnsi="仿宋" w:eastAsia="仿宋" w:cs="仿宋"/>
                <w:color w:val="000000" w:themeColor="text1"/>
                <w:sz w:val="21"/>
                <w:szCs w:val="21"/>
                <w:highlight w:val="none"/>
                <w:lang w:val="en-US" w:eastAsia="zh-CN"/>
                <w14:textFill>
                  <w14:solidFill>
                    <w14:schemeClr w14:val="tx1"/>
                  </w14:solidFill>
                </w14:textFill>
              </w:rPr>
              <w:t>采购</w:t>
            </w:r>
            <w:r>
              <w:rPr>
                <w:rFonts w:hint="eastAsia" w:ascii="仿宋" w:hAnsi="仿宋" w:eastAsia="仿宋" w:cs="仿宋"/>
                <w:color w:val="000000" w:themeColor="text1"/>
                <w:sz w:val="21"/>
                <w:szCs w:val="21"/>
                <w:highlight w:val="none"/>
                <w:lang w:eastAsia="zh-CN"/>
                <w14:textFill>
                  <w14:solidFill>
                    <w14:schemeClr w14:val="tx1"/>
                  </w14:solidFill>
                </w14:textFill>
              </w:rPr>
              <w:t>人所属单位处以“取消投标资格”及以上处罚，且仍在处罚期内或处罚期满但在系统中的供应商档案中的“业务状态”为冻结的；</w:t>
            </w:r>
          </w:p>
        </w:tc>
      </w:tr>
      <w:tr>
        <w:tblPrEx>
          <w:tblCellMar>
            <w:top w:w="0" w:type="dxa"/>
            <w:left w:w="0" w:type="dxa"/>
            <w:bottom w:w="0" w:type="dxa"/>
            <w:right w:w="0" w:type="dxa"/>
          </w:tblCellMar>
        </w:tblPrEx>
        <w:trPr>
          <w:trHeight w:val="90" w:hRule="atLeast"/>
          <w:jc w:val="center"/>
        </w:trPr>
        <w:tc>
          <w:tcPr>
            <w:tcW w:w="269"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43" w:type="pct"/>
            <w:vMerge w:val="continue"/>
            <w:tcBorders>
              <w:left w:val="single" w:color="000000" w:sz="6" w:space="0"/>
              <w:right w:val="single" w:color="000000" w:sz="6" w:space="0"/>
            </w:tcBorders>
            <w:vAlign w:val="center"/>
          </w:tcPr>
          <w:p>
            <w:pPr>
              <w:pStyle w:val="18"/>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997" w:type="pct"/>
            <w:tcBorders>
              <w:top w:val="single" w:color="000000" w:sz="4" w:space="0"/>
              <w:left w:val="single" w:color="000000" w:sz="6" w:space="0"/>
              <w:right w:val="single" w:color="000000" w:sz="4" w:space="0"/>
            </w:tcBorders>
            <w:vAlign w:val="center"/>
          </w:tcPr>
          <w:p>
            <w:pPr>
              <w:pStyle w:val="8"/>
              <w:tabs>
                <w:tab w:val="left" w:pos="770"/>
              </w:tabs>
              <w:ind w:left="0" w:right="134"/>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★代理商、贸易商、服务商要求（</w:t>
            </w:r>
            <w:r>
              <w:rPr>
                <w:rFonts w:hint="eastAsia" w:ascii="仿宋" w:hAnsi="仿宋" w:eastAsia="仿宋" w:cs="仿宋"/>
                <w:b w:val="0"/>
                <w:bCs w:val="0"/>
                <w:color w:val="auto"/>
                <w:kern w:val="0"/>
                <w:sz w:val="21"/>
                <w:szCs w:val="21"/>
                <w:highlight w:val="none"/>
                <w:lang w:val="en-US" w:eastAsia="zh-CN" w:bidi="ar-SA"/>
              </w:rPr>
              <w:t>对不满足要求的或未能提供相应证明材料的</w:t>
            </w:r>
            <w:r>
              <w:rPr>
                <w:rFonts w:hint="eastAsia" w:ascii="仿宋" w:hAnsi="仿宋" w:eastAsia="仿宋" w:cs="仿宋"/>
                <w:color w:val="auto"/>
                <w:sz w:val="21"/>
                <w:szCs w:val="21"/>
                <w:highlight w:val="none"/>
                <w:lang w:val="en-US" w:eastAsia="zh-CN"/>
              </w:rPr>
              <w:t>代理商、贸易商、服务商</w:t>
            </w:r>
            <w:r>
              <w:rPr>
                <w:rFonts w:hint="eastAsia" w:ascii="仿宋" w:hAnsi="仿宋" w:eastAsia="仿宋" w:cs="仿宋"/>
                <w:b w:val="0"/>
                <w:bCs w:val="0"/>
                <w:color w:val="auto"/>
                <w:kern w:val="0"/>
                <w:sz w:val="21"/>
                <w:szCs w:val="21"/>
                <w:highlight w:val="none"/>
                <w:lang w:val="en-US" w:eastAsia="zh-CN" w:bidi="ar-SA"/>
              </w:rPr>
              <w:t>，将影响评审结果。</w:t>
            </w:r>
            <w:r>
              <w:rPr>
                <w:rFonts w:hint="eastAsia" w:ascii="仿宋" w:hAnsi="仿宋" w:eastAsia="仿宋" w:cs="仿宋"/>
                <w:color w:val="auto"/>
                <w:sz w:val="21"/>
                <w:szCs w:val="21"/>
                <w:highlight w:val="none"/>
                <w:lang w:val="en-US" w:eastAsia="zh-CN"/>
              </w:rPr>
              <w:t>）</w:t>
            </w:r>
          </w:p>
        </w:tc>
        <w:tc>
          <w:tcPr>
            <w:tcW w:w="3490" w:type="pct"/>
            <w:tcBorders>
              <w:top w:val="single" w:color="000000" w:sz="4" w:space="0"/>
              <w:left w:val="nil"/>
              <w:bottom w:val="single" w:color="000000" w:sz="4" w:space="0"/>
              <w:right w:val="single" w:color="000000" w:sz="4" w:space="0"/>
            </w:tcBorders>
            <w:vAlign w:val="center"/>
          </w:tcPr>
          <w:p>
            <w:pPr>
              <w:keepNext w:val="0"/>
              <w:keepLines w:val="0"/>
              <w:pageBreakBefore w:val="0"/>
              <w:widowControl w:val="0"/>
              <w:tabs>
                <w:tab w:val="left" w:pos="770"/>
              </w:tabs>
              <w:kinsoku/>
              <w:wordWrap/>
              <w:overflowPunct/>
              <w:topLinePunct w:val="0"/>
              <w:autoSpaceDE/>
              <w:autoSpaceDN/>
              <w:bidi w:val="0"/>
              <w:adjustRightInd/>
              <w:snapToGrid/>
              <w:spacing w:before="0" w:line="240" w:lineRule="auto"/>
              <w:ind w:left="0" w:leftChars="0" w:right="134" w:firstLine="0" w:firstLineChars="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贸易商需满足：1）</w:t>
            </w:r>
            <w:r>
              <w:rPr>
                <w:rFonts w:hint="eastAsia" w:ascii="仿宋" w:hAnsi="仿宋" w:eastAsia="仿宋" w:cs="仿宋"/>
                <w:color w:val="auto"/>
                <w:sz w:val="21"/>
                <w:szCs w:val="21"/>
                <w:highlight w:val="none"/>
                <w:lang w:val="en-US" w:eastAsia="zh-CN"/>
              </w:rPr>
              <w:t>提供近三年经审计财务报表</w:t>
            </w:r>
            <w:r>
              <w:rPr>
                <w:rFonts w:hint="eastAsia" w:ascii="仿宋" w:hAnsi="仿宋" w:eastAsia="仿宋" w:cs="仿宋"/>
                <w:color w:val="auto"/>
                <w:sz w:val="21"/>
                <w:szCs w:val="21"/>
                <w:highlight w:val="none"/>
                <w:lang w:eastAsia="zh-CN"/>
              </w:rPr>
              <w:t>，且</w:t>
            </w:r>
            <w:r>
              <w:rPr>
                <w:rFonts w:hint="eastAsia" w:ascii="仿宋" w:hAnsi="仿宋" w:eastAsia="仿宋" w:cs="仿宋"/>
                <w:color w:val="auto"/>
                <w:sz w:val="21"/>
                <w:szCs w:val="21"/>
                <w:highlight w:val="none"/>
                <w:lang w:val="en-US" w:eastAsia="zh-CN"/>
              </w:rPr>
              <w:t>近一年利润不能为负且近一年资产负债率＜80%</w:t>
            </w:r>
            <w:r>
              <w:rPr>
                <w:rFonts w:hint="eastAsia" w:ascii="仿宋" w:hAnsi="仿宋" w:eastAsia="仿宋" w:cs="仿宋"/>
                <w:color w:val="auto"/>
                <w:sz w:val="21"/>
                <w:szCs w:val="21"/>
                <w:highlight w:val="none"/>
                <w:lang w:eastAsia="zh-CN"/>
              </w:rPr>
              <w:t>；2）自有社保人数≥5人，须提供近三月社保证明；3）不得将中国海油作为唯一服务客户，承诺中国海油非其唯一服务客户并提供支持性材料</w:t>
            </w:r>
            <w:r>
              <w:rPr>
                <w:rFonts w:hint="eastAsia" w:ascii="仿宋" w:hAnsi="仿宋" w:eastAsia="仿宋" w:cs="仿宋"/>
                <w:b w:val="0"/>
                <w:bCs w:val="0"/>
                <w:color w:val="auto"/>
                <w:sz w:val="21"/>
                <w:szCs w:val="21"/>
                <w:highlight w:val="none"/>
                <w:lang w:eastAsia="zh-CN"/>
              </w:rPr>
              <w:t>（海油外业绩</w:t>
            </w:r>
            <w:r>
              <w:rPr>
                <w:rFonts w:hint="eastAsia" w:ascii="仿宋" w:hAnsi="仿宋" w:eastAsia="仿宋" w:cs="仿宋"/>
                <w:color w:val="auto"/>
                <w:sz w:val="21"/>
                <w:szCs w:val="21"/>
                <w:highlight w:val="none"/>
                <w:lang w:eastAsia="zh-CN"/>
              </w:rPr>
              <w:t>）。</w:t>
            </w:r>
          </w:p>
          <w:p>
            <w:pPr>
              <w:keepNext w:val="0"/>
              <w:keepLines w:val="0"/>
              <w:pageBreakBefore w:val="0"/>
              <w:widowControl w:val="0"/>
              <w:tabs>
                <w:tab w:val="left" w:pos="770"/>
              </w:tabs>
              <w:kinsoku/>
              <w:wordWrap/>
              <w:overflowPunct/>
              <w:topLinePunct w:val="0"/>
              <w:autoSpaceDE/>
              <w:autoSpaceDN/>
              <w:bidi w:val="0"/>
              <w:adjustRightInd/>
              <w:snapToGrid/>
              <w:spacing w:before="0" w:line="240" w:lineRule="auto"/>
              <w:ind w:left="0" w:leftChars="0" w:right="134" w:firstLine="0" w:firstLineChars="0"/>
              <w:textAlignment w:val="auto"/>
              <w:rPr>
                <w:rFonts w:hint="eastAsia"/>
                <w:color w:val="auto"/>
                <w:highlight w:val="none"/>
                <w:lang w:eastAsia="zh-CN"/>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代理商需满足：1）</w:t>
            </w:r>
            <w:r>
              <w:rPr>
                <w:rFonts w:hint="eastAsia" w:ascii="仿宋" w:hAnsi="仿宋" w:eastAsia="仿宋" w:cs="仿宋"/>
                <w:color w:val="auto"/>
                <w:sz w:val="21"/>
                <w:szCs w:val="21"/>
                <w:highlight w:val="none"/>
                <w:lang w:val="en-US" w:eastAsia="zh-CN"/>
              </w:rPr>
              <w:t>提供近三年经审计财务报表</w:t>
            </w:r>
            <w:r>
              <w:rPr>
                <w:rFonts w:hint="eastAsia" w:ascii="仿宋" w:hAnsi="仿宋" w:eastAsia="仿宋" w:cs="仿宋"/>
                <w:color w:val="auto"/>
                <w:sz w:val="21"/>
                <w:szCs w:val="21"/>
                <w:highlight w:val="none"/>
                <w:lang w:eastAsia="zh-CN"/>
              </w:rPr>
              <w:t>，且</w:t>
            </w:r>
            <w:r>
              <w:rPr>
                <w:rFonts w:hint="eastAsia" w:ascii="仿宋" w:hAnsi="仿宋" w:eastAsia="仿宋" w:cs="仿宋"/>
                <w:color w:val="auto"/>
                <w:sz w:val="21"/>
                <w:szCs w:val="21"/>
                <w:highlight w:val="none"/>
                <w:lang w:val="en-US" w:eastAsia="zh-CN"/>
              </w:rPr>
              <w:t>近一年利润不能为负且近一年资产负债率＜80%</w:t>
            </w:r>
            <w:r>
              <w:rPr>
                <w:rFonts w:hint="eastAsia" w:ascii="仿宋" w:hAnsi="仿宋" w:eastAsia="仿宋" w:cs="仿宋"/>
                <w:color w:val="auto"/>
                <w:sz w:val="21"/>
                <w:szCs w:val="21"/>
                <w:highlight w:val="none"/>
                <w:lang w:eastAsia="zh-CN"/>
              </w:rPr>
              <w:t>；2）自有社保人数≥5人，须提供近三月社保证明；3）不得将中国海油作为唯一服务客户，承诺中国海油非其唯一服务客户并提供支持性材料</w:t>
            </w:r>
            <w:r>
              <w:rPr>
                <w:rFonts w:hint="eastAsia" w:ascii="仿宋" w:hAnsi="仿宋" w:eastAsia="仿宋" w:cs="仿宋"/>
                <w:b w:val="0"/>
                <w:bCs w:val="0"/>
                <w:color w:val="auto"/>
                <w:sz w:val="21"/>
                <w:szCs w:val="21"/>
                <w:highlight w:val="none"/>
                <w:lang w:eastAsia="zh-CN"/>
              </w:rPr>
              <w:t>（海油外业绩</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具有有效代理证书，且满足资质要求，且不能为项目代理。</w:t>
            </w:r>
          </w:p>
        </w:tc>
      </w:tr>
      <w:tr>
        <w:tblPrEx>
          <w:tblCellMar>
            <w:top w:w="0" w:type="dxa"/>
            <w:left w:w="0" w:type="dxa"/>
            <w:bottom w:w="0" w:type="dxa"/>
            <w:right w:w="0" w:type="dxa"/>
          </w:tblCellMar>
        </w:tblPrEx>
        <w:trPr>
          <w:trHeight w:val="90" w:hRule="atLeast"/>
          <w:jc w:val="center"/>
        </w:trPr>
        <w:tc>
          <w:tcPr>
            <w:tcW w:w="269"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43" w:type="pct"/>
            <w:vMerge w:val="continue"/>
            <w:tcBorders>
              <w:left w:val="single" w:color="000000" w:sz="6" w:space="0"/>
              <w:right w:val="single" w:color="000000" w:sz="6" w:space="0"/>
            </w:tcBorders>
            <w:vAlign w:val="center"/>
          </w:tcPr>
          <w:p>
            <w:pPr>
              <w:pStyle w:val="18"/>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997" w:type="pct"/>
            <w:tcBorders>
              <w:top w:val="single" w:color="000000" w:sz="4" w:space="0"/>
              <w:left w:val="single" w:color="000000" w:sz="6" w:space="0"/>
              <w:bottom w:val="single" w:color="000000" w:sz="4" w:space="0"/>
              <w:right w:val="single" w:color="000000" w:sz="4" w:space="0"/>
            </w:tcBorders>
            <w:vAlign w:val="center"/>
          </w:tcPr>
          <w:p>
            <w:pPr>
              <w:pStyle w:val="18"/>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业绩要求</w:t>
            </w:r>
            <w:r>
              <w:rPr>
                <w:rFonts w:hint="eastAsia" w:ascii="仿宋" w:hAnsi="仿宋" w:eastAsia="仿宋" w:cs="仿宋"/>
                <w:b w:val="0"/>
                <w:bCs/>
                <w:color w:val="000000" w:themeColor="text1"/>
                <w:sz w:val="21"/>
                <w:szCs w:val="21"/>
                <w:highlight w:val="none"/>
                <w14:textFill>
                  <w14:solidFill>
                    <w14:schemeClr w14:val="tx1"/>
                  </w14:solidFill>
                </w14:textFill>
              </w:rPr>
              <w:t>（提示：提供的证明材料必须完全涵盖</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要求的</w:t>
            </w:r>
            <w:r>
              <w:rPr>
                <w:rFonts w:hint="eastAsia" w:ascii="仿宋" w:hAnsi="仿宋" w:eastAsia="仿宋" w:cs="仿宋"/>
                <w:b w:val="0"/>
                <w:bCs/>
                <w:color w:val="000000" w:themeColor="text1"/>
                <w:sz w:val="21"/>
                <w:szCs w:val="21"/>
                <w:highlight w:val="none"/>
                <w14:textFill>
                  <w14:solidFill>
                    <w14:schemeClr w14:val="tx1"/>
                  </w14:solidFill>
                </w14:textFill>
              </w:rPr>
              <w:t>内容，否则视为无效业绩，缺少任何1项都将影响评审结果</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w:t>
            </w:r>
          </w:p>
          <w:p>
            <w:pPr>
              <w:pStyle w:val="18"/>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3490" w:type="pct"/>
            <w:tcBorders>
              <w:top w:val="single" w:color="000000" w:sz="4" w:space="0"/>
              <w:left w:val="nil"/>
              <w:bottom w:val="single" w:color="000000" w:sz="4" w:space="0"/>
              <w:right w:val="single" w:color="000000" w:sz="4" w:space="0"/>
            </w:tcBorders>
            <w:vAlign w:val="center"/>
          </w:tcPr>
          <w:p>
            <w:pPr>
              <w:spacing w:line="240" w:lineRule="auto"/>
              <w:ind w:firstLine="420" w:firstLineChars="200"/>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2022年1月1日至应答截止日（以合同签署时间为准），应答人应具有至少1个合同的化学品的已完成的供货业绩。</w:t>
            </w:r>
          </w:p>
          <w:p>
            <w:pPr>
              <w:spacing w:line="240" w:lineRule="auto"/>
              <w:ind w:firstLine="420" w:firstLineChars="200"/>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应答人须按规定格式提交业绩表，并提交相关业绩证明文件。业绩证明文件必须至少体现以下内容：合同签署时间、项目名称及验收证明材料。具体包括：1）合同复印件（含相关技术附件）；2</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合同</w:t>
            </w:r>
            <w:r>
              <w:rPr>
                <w:rFonts w:hint="eastAsia" w:ascii="仿宋" w:hAnsi="仿宋" w:eastAsia="仿宋" w:cs="仿宋"/>
                <w:color w:val="000000" w:themeColor="text1"/>
                <w:sz w:val="21"/>
                <w:szCs w:val="21"/>
                <w:highlight w:val="none"/>
                <w14:textFill>
                  <w14:solidFill>
                    <w14:schemeClr w14:val="tx1"/>
                  </w14:solidFill>
                </w14:textFill>
              </w:rPr>
              <w:t>所对应的结算发票</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国家税务总局全国增值税发票查验平台的发票查验截图。</w:t>
            </w:r>
          </w:p>
          <w:p>
            <w:pPr>
              <w:spacing w:line="24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应答人所提交的业绩证明文件必须至少体现以下内容：合同签署时间、合同签署页（应有双方盖章）、制造商名称、货物名称及到货验收材料。</w:t>
            </w:r>
          </w:p>
        </w:tc>
      </w:tr>
      <w:tr>
        <w:tblPrEx>
          <w:tblCellMar>
            <w:top w:w="0" w:type="dxa"/>
            <w:left w:w="0" w:type="dxa"/>
            <w:bottom w:w="0" w:type="dxa"/>
            <w:right w:w="0" w:type="dxa"/>
          </w:tblCellMar>
        </w:tblPrEx>
        <w:trPr>
          <w:trHeight w:val="90" w:hRule="atLeast"/>
          <w:jc w:val="center"/>
        </w:trPr>
        <w:tc>
          <w:tcPr>
            <w:tcW w:w="269"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43"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997" w:type="pct"/>
            <w:tcBorders>
              <w:top w:val="single" w:color="auto" w:sz="4" w:space="0"/>
              <w:left w:val="single" w:color="000000" w:sz="6" w:space="0"/>
              <w:bottom w:val="nil"/>
              <w:right w:val="single" w:color="000000" w:sz="4" w:space="0"/>
            </w:tcBorders>
            <w:vAlign w:val="center"/>
          </w:tcPr>
          <w:p>
            <w:pPr>
              <w:pStyle w:val="18"/>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付款条款</w:t>
            </w:r>
          </w:p>
        </w:tc>
        <w:tc>
          <w:tcPr>
            <w:tcW w:w="3490" w:type="pct"/>
            <w:tcBorders>
              <w:top w:val="single" w:color="auto" w:sz="4" w:space="0"/>
              <w:left w:val="nil"/>
              <w:bottom w:val="nil"/>
              <w:right w:val="single" w:color="000000" w:sz="4" w:space="0"/>
            </w:tcBorders>
            <w:vAlign w:val="center"/>
          </w:tcPr>
          <w:p>
            <w:pPr>
              <w:pStyle w:val="7"/>
              <w:ind w:right="11"/>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货到验收合格后、收到发票及所有验收材料之日起60天付银行电汇或银行承兑（如付款到期日为非银行工作日，则付款到期日顺延至下一个银行工作日）</w:t>
            </w:r>
            <w:r>
              <w:rPr>
                <w:rFonts w:hint="default" w:ascii="仿宋" w:hAnsi="仿宋" w:eastAsia="仿宋" w:cs="仿宋"/>
                <w:color w:val="000000" w:themeColor="text1"/>
                <w:kern w:val="2"/>
                <w:sz w:val="21"/>
                <w:szCs w:val="21"/>
                <w:highlight w:val="none"/>
                <w:lang w:val="en-US" w:eastAsia="zh-CN" w:bidi="ar-SA"/>
                <w14:textFill>
                  <w14:solidFill>
                    <w14:schemeClr w14:val="tx1"/>
                  </w14:solidFill>
                </w14:textFill>
              </w:rPr>
              <w:t>。</w:t>
            </w:r>
          </w:p>
        </w:tc>
      </w:tr>
      <w:tr>
        <w:tblPrEx>
          <w:tblCellMar>
            <w:top w:w="0" w:type="dxa"/>
            <w:left w:w="0" w:type="dxa"/>
            <w:bottom w:w="0" w:type="dxa"/>
            <w:right w:w="0" w:type="dxa"/>
          </w:tblCellMar>
        </w:tblPrEx>
        <w:trPr>
          <w:trHeight w:val="90" w:hRule="atLeast"/>
          <w:jc w:val="center"/>
        </w:trPr>
        <w:tc>
          <w:tcPr>
            <w:tcW w:w="269"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43"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997" w:type="pct"/>
            <w:tcBorders>
              <w:top w:val="single" w:color="000000" w:sz="4" w:space="0"/>
              <w:left w:val="single" w:color="000000" w:sz="6" w:space="0"/>
              <w:bottom w:val="single" w:color="000000" w:sz="4" w:space="0"/>
              <w:right w:val="single" w:color="000000" w:sz="4" w:space="0"/>
            </w:tcBorders>
            <w:vAlign w:val="center"/>
          </w:tcPr>
          <w:p>
            <w:pPr>
              <w:pStyle w:val="18"/>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★商务偏离要求</w:t>
            </w:r>
          </w:p>
        </w:tc>
        <w:tc>
          <w:tcPr>
            <w:tcW w:w="3490" w:type="pct"/>
            <w:tcBorders>
              <w:top w:val="single" w:color="000000" w:sz="4" w:space="0"/>
              <w:left w:val="nil"/>
              <w:bottom w:val="single" w:color="000000" w:sz="4" w:space="0"/>
              <w:right w:val="single" w:color="000000" w:sz="4" w:space="0"/>
            </w:tcBorders>
            <w:vAlign w:val="center"/>
          </w:tcPr>
          <w:p>
            <w:pPr>
              <w:pStyle w:val="18"/>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1.一般商务指标偏离超过3项，则评议不合格。</w:t>
            </w:r>
          </w:p>
          <w:p>
            <w:pPr>
              <w:pStyle w:val="18"/>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18"/>
              <w:jc w:val="both"/>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3.商务偏离表，不提供视为无偏离。</w:t>
            </w:r>
          </w:p>
        </w:tc>
      </w:tr>
      <w:tr>
        <w:tblPrEx>
          <w:tblCellMar>
            <w:top w:w="0" w:type="dxa"/>
            <w:left w:w="0" w:type="dxa"/>
            <w:bottom w:w="0" w:type="dxa"/>
            <w:right w:w="0" w:type="dxa"/>
          </w:tblCellMar>
        </w:tblPrEx>
        <w:trPr>
          <w:trHeight w:val="90" w:hRule="atLeast"/>
          <w:jc w:val="center"/>
        </w:trPr>
        <w:tc>
          <w:tcPr>
            <w:tcW w:w="269" w:type="pct"/>
            <w:vMerge w:val="restart"/>
            <w:tcBorders>
              <w:top w:val="single" w:color="auto" w:sz="4" w:space="0"/>
              <w:left w:val="single" w:color="auto" w:sz="4" w:space="0"/>
              <w:bottom w:val="single" w:color="auto" w:sz="4" w:space="0"/>
              <w:right w:val="single" w:color="auto" w:sz="4" w:space="0"/>
            </w:tcBorders>
            <w:vAlign w:val="center"/>
          </w:tcPr>
          <w:p>
            <w:pPr>
              <w:pStyle w:val="18"/>
              <w:spacing w:line="300" w:lineRule="exact"/>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2</w:t>
            </w:r>
          </w:p>
        </w:tc>
        <w:tc>
          <w:tcPr>
            <w:tcW w:w="243" w:type="pct"/>
            <w:vMerge w:val="restart"/>
            <w:tcBorders>
              <w:top w:val="single" w:color="auto" w:sz="4" w:space="0"/>
              <w:left w:val="single" w:color="auto" w:sz="4" w:space="0"/>
              <w:bottom w:val="single" w:color="auto" w:sz="4" w:space="0"/>
              <w:right w:val="single" w:color="auto" w:sz="4" w:space="0"/>
            </w:tcBorders>
            <w:textDirection w:val="tbRlV"/>
            <w:vAlign w:val="center"/>
          </w:tcPr>
          <w:p>
            <w:pPr>
              <w:pStyle w:val="18"/>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技术标准</w:t>
            </w:r>
          </w:p>
        </w:tc>
        <w:tc>
          <w:tcPr>
            <w:tcW w:w="997" w:type="pct"/>
            <w:tcBorders>
              <w:top w:val="single" w:color="auto" w:sz="4" w:space="0"/>
              <w:left w:val="single" w:color="auto" w:sz="4" w:space="0"/>
              <w:bottom w:val="single" w:color="auto" w:sz="4" w:space="0"/>
              <w:right w:val="single" w:color="auto" w:sz="4" w:space="0"/>
            </w:tcBorders>
            <w:vAlign w:val="center"/>
          </w:tcPr>
          <w:p>
            <w:pPr>
              <w:pStyle w:val="18"/>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★规格型号/服务范围</w:t>
            </w:r>
          </w:p>
        </w:tc>
        <w:tc>
          <w:tcPr>
            <w:tcW w:w="3490" w:type="pct"/>
            <w:tcBorders>
              <w:top w:val="single" w:color="000000" w:sz="4" w:space="0"/>
              <w:left w:val="single" w:color="auto" w:sz="4" w:space="0"/>
              <w:bottom w:val="single" w:color="000000" w:sz="4" w:space="0"/>
              <w:right w:val="single" w:color="000000" w:sz="4" w:space="0"/>
            </w:tcBorders>
            <w:vAlign w:val="center"/>
          </w:tcPr>
          <w:p>
            <w:pPr>
              <w:pStyle w:val="18"/>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须承诺满足附件2：产品技术参数。</w:t>
            </w:r>
          </w:p>
        </w:tc>
      </w:tr>
      <w:tr>
        <w:tblPrEx>
          <w:tblCellMar>
            <w:top w:w="0" w:type="dxa"/>
            <w:left w:w="0" w:type="dxa"/>
            <w:bottom w:w="0" w:type="dxa"/>
            <w:right w:w="0" w:type="dxa"/>
          </w:tblCellMar>
        </w:tblPrEx>
        <w:trPr>
          <w:trHeight w:val="90" w:hRule="atLeast"/>
          <w:jc w:val="center"/>
        </w:trPr>
        <w:tc>
          <w:tcPr>
            <w:tcW w:w="269"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43" w:type="pct"/>
            <w:vMerge w:val="continue"/>
            <w:tcBorders>
              <w:top w:val="single" w:color="auto" w:sz="4" w:space="0"/>
              <w:left w:val="single" w:color="auto" w:sz="4" w:space="0"/>
              <w:bottom w:val="single" w:color="auto" w:sz="4" w:space="0"/>
              <w:right w:val="single" w:color="auto" w:sz="4" w:space="0"/>
            </w:tcBorders>
            <w:vAlign w:val="center"/>
          </w:tcPr>
          <w:p>
            <w:pPr>
              <w:pStyle w:val="18"/>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997" w:type="pct"/>
            <w:tcBorders>
              <w:top w:val="single" w:color="auto" w:sz="4" w:space="0"/>
              <w:left w:val="single" w:color="auto" w:sz="4" w:space="0"/>
              <w:bottom w:val="single" w:color="auto" w:sz="4" w:space="0"/>
              <w:right w:val="single" w:color="auto" w:sz="4" w:space="0"/>
            </w:tcBorders>
            <w:vAlign w:val="center"/>
          </w:tcPr>
          <w:p>
            <w:pPr>
              <w:pStyle w:val="18"/>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交货期/服务期</w:t>
            </w:r>
          </w:p>
        </w:tc>
        <w:tc>
          <w:tcPr>
            <w:tcW w:w="3490" w:type="pct"/>
            <w:tcBorders>
              <w:top w:val="single" w:color="000000" w:sz="4" w:space="0"/>
              <w:left w:val="single" w:color="auto" w:sz="4" w:space="0"/>
              <w:bottom w:val="single" w:color="000000" w:sz="4" w:space="0"/>
              <w:right w:val="single" w:color="000000" w:sz="4" w:space="0"/>
            </w:tcBorders>
            <w:vAlign w:val="center"/>
          </w:tcPr>
          <w:p>
            <w:pPr>
              <w:pStyle w:val="18"/>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订单下达后72小时内交货。</w:t>
            </w:r>
          </w:p>
        </w:tc>
      </w:tr>
      <w:tr>
        <w:tblPrEx>
          <w:tblCellMar>
            <w:top w:w="0" w:type="dxa"/>
            <w:left w:w="0" w:type="dxa"/>
            <w:bottom w:w="0" w:type="dxa"/>
            <w:right w:w="0" w:type="dxa"/>
          </w:tblCellMar>
        </w:tblPrEx>
        <w:trPr>
          <w:trHeight w:val="90" w:hRule="atLeast"/>
          <w:jc w:val="center"/>
        </w:trPr>
        <w:tc>
          <w:tcPr>
            <w:tcW w:w="269"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43" w:type="pct"/>
            <w:vMerge w:val="continue"/>
            <w:tcBorders>
              <w:top w:val="single" w:color="auto" w:sz="4" w:space="0"/>
              <w:left w:val="single" w:color="auto" w:sz="4" w:space="0"/>
              <w:bottom w:val="single" w:color="auto" w:sz="4" w:space="0"/>
              <w:right w:val="single" w:color="auto" w:sz="4" w:space="0"/>
            </w:tcBorders>
            <w:vAlign w:val="center"/>
          </w:tcPr>
          <w:p>
            <w:pPr>
              <w:pStyle w:val="18"/>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997"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技术偏离要求</w:t>
            </w:r>
          </w:p>
        </w:tc>
        <w:tc>
          <w:tcPr>
            <w:tcW w:w="3490" w:type="pct"/>
            <w:tcBorders>
              <w:top w:val="single" w:color="000000" w:sz="4" w:space="0"/>
              <w:left w:val="single" w:color="auto" w:sz="4" w:space="0"/>
              <w:bottom w:val="single" w:color="000000" w:sz="4" w:space="0"/>
              <w:right w:val="single" w:color="000000" w:sz="4" w:space="0"/>
            </w:tcBorders>
            <w:vAlign w:val="center"/>
          </w:tcPr>
          <w:p>
            <w:pPr>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1.标注“★”号的条款为关键条款，对这些关键条款的任何偏离将导致应答文件被拒绝。</w:t>
            </w:r>
          </w:p>
          <w:p>
            <w:pPr>
              <w:pStyle w:val="6"/>
              <w:ind w:left="0" w:leftChars="0" w:firstLine="0" w:firstLineChars="0"/>
              <w:rPr>
                <w:rFonts w:hint="default"/>
                <w:lang w:val="en-US"/>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2.技术偏离表，不提供视为无偏离。</w:t>
            </w:r>
          </w:p>
        </w:tc>
      </w:tr>
      <w:tr>
        <w:tblPrEx>
          <w:tblCellMar>
            <w:top w:w="0" w:type="dxa"/>
            <w:left w:w="0" w:type="dxa"/>
            <w:bottom w:w="0" w:type="dxa"/>
            <w:right w:w="0" w:type="dxa"/>
          </w:tblCellMar>
        </w:tblPrEx>
        <w:trPr>
          <w:trHeight w:val="90" w:hRule="atLeast"/>
          <w:jc w:val="center"/>
        </w:trPr>
        <w:tc>
          <w:tcPr>
            <w:tcW w:w="269" w:type="pct"/>
            <w:tcBorders>
              <w:top w:val="single" w:color="auto" w:sz="4" w:space="0"/>
              <w:left w:val="single" w:color="auto" w:sz="4" w:space="0"/>
              <w:bottom w:val="single" w:color="auto" w:sz="4" w:space="0"/>
              <w:right w:val="single" w:color="auto" w:sz="4" w:space="0"/>
            </w:tcBorders>
            <w:vAlign w:val="center"/>
          </w:tcPr>
          <w:p>
            <w:pPr>
              <w:pStyle w:val="18"/>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3</w:t>
            </w:r>
          </w:p>
        </w:tc>
        <w:tc>
          <w:tcPr>
            <w:tcW w:w="243" w:type="pct"/>
            <w:tcBorders>
              <w:top w:val="single" w:color="auto" w:sz="4" w:space="0"/>
              <w:left w:val="single" w:color="auto" w:sz="4" w:space="0"/>
              <w:bottom w:val="single" w:color="auto" w:sz="4" w:space="0"/>
              <w:right w:val="single" w:color="auto" w:sz="4" w:space="0"/>
            </w:tcBorders>
            <w:vAlign w:val="center"/>
          </w:tcPr>
          <w:p>
            <w:pPr>
              <w:pStyle w:val="18"/>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价</w:t>
            </w:r>
          </w:p>
          <w:p>
            <w:pPr>
              <w:pStyle w:val="18"/>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格</w:t>
            </w:r>
          </w:p>
          <w:p>
            <w:pPr>
              <w:pStyle w:val="18"/>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标</w:t>
            </w:r>
          </w:p>
          <w:p>
            <w:pPr>
              <w:pStyle w:val="18"/>
              <w:spacing w:line="300" w:lineRule="exact"/>
              <w:jc w:val="center"/>
              <w:rPr>
                <w:rFonts w:hint="default"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准</w:t>
            </w:r>
          </w:p>
        </w:tc>
        <w:tc>
          <w:tcPr>
            <w:tcW w:w="997"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kern w:val="0"/>
                <w:sz w:val="21"/>
                <w:szCs w:val="21"/>
                <w:highlight w:val="none"/>
                <w:lang w:val="en-US" w:eastAsia="zh-CN"/>
              </w:rPr>
              <w:t>价格评议（结合2.0）</w:t>
            </w:r>
          </w:p>
        </w:tc>
        <w:tc>
          <w:tcPr>
            <w:tcW w:w="3490" w:type="pct"/>
            <w:tcBorders>
              <w:top w:val="single" w:color="000000" w:sz="4" w:space="0"/>
              <w:left w:val="single" w:color="auto" w:sz="4" w:space="0"/>
              <w:bottom w:val="single" w:color="000000" w:sz="4" w:space="0"/>
              <w:right w:val="single" w:color="000000" w:sz="4" w:space="0"/>
            </w:tcBorders>
            <w:vAlign w:val="center"/>
          </w:tcPr>
          <w:p>
            <w:pPr>
              <w:jc w:val="left"/>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b/>
                <w:bCs/>
                <w:color w:val="auto"/>
                <w:kern w:val="2"/>
                <w:sz w:val="21"/>
                <w:szCs w:val="21"/>
                <w:highlight w:val="none"/>
                <w:lang w:eastAsia="zh-CN" w:bidi="ar"/>
              </w:rPr>
              <w:t>经评审的价格（不含税）计算方法：经评审的价格（不含税）=</w:t>
            </w:r>
            <w:r>
              <w:rPr>
                <w:rFonts w:hint="eastAsia" w:ascii="仿宋" w:hAnsi="仿宋" w:eastAsia="仿宋" w:cs="仿宋"/>
                <w:b/>
                <w:bCs/>
                <w:color w:val="auto"/>
                <w:kern w:val="2"/>
                <w:sz w:val="21"/>
                <w:szCs w:val="21"/>
                <w:highlight w:val="none"/>
                <w:lang w:val="en-US" w:eastAsia="zh-CN" w:bidi="ar"/>
              </w:rPr>
              <w:t>应答人</w:t>
            </w:r>
            <w:r>
              <w:rPr>
                <w:rFonts w:hint="eastAsia" w:ascii="仿宋" w:hAnsi="仿宋" w:eastAsia="仿宋" w:cs="仿宋"/>
                <w:b/>
                <w:bCs/>
                <w:color w:val="auto"/>
                <w:kern w:val="2"/>
                <w:sz w:val="21"/>
                <w:szCs w:val="21"/>
                <w:highlight w:val="none"/>
                <w:lang w:eastAsia="zh-CN" w:bidi="ar"/>
              </w:rPr>
              <w:t>报价（不含税）+报价算术修正；</w:t>
            </w:r>
          </w:p>
          <w:p>
            <w:pPr>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
              </w:rPr>
              <w:t>（1）系统中报价与系统中挂接</w:t>
            </w:r>
            <w:r>
              <w:rPr>
                <w:rFonts w:hint="eastAsia" w:ascii="仿宋" w:hAnsi="仿宋" w:eastAsia="仿宋" w:cs="仿宋"/>
                <w:b/>
                <w:bCs/>
                <w:color w:val="auto"/>
                <w:kern w:val="2"/>
                <w:sz w:val="21"/>
                <w:szCs w:val="21"/>
                <w:highlight w:val="none"/>
                <w:lang w:val="en-US" w:eastAsia="zh-CN" w:bidi="ar"/>
              </w:rPr>
              <w:t>价格明细文件</w:t>
            </w:r>
            <w:r>
              <w:rPr>
                <w:rFonts w:hint="eastAsia" w:ascii="仿宋" w:hAnsi="仿宋" w:eastAsia="仿宋" w:cs="仿宋"/>
                <w:color w:val="auto"/>
                <w:kern w:val="2"/>
                <w:sz w:val="21"/>
                <w:szCs w:val="21"/>
                <w:highlight w:val="none"/>
                <w:lang w:val="en-US" w:eastAsia="zh-CN" w:bidi="ar"/>
              </w:rPr>
              <w:t>应保持一致；当系统报价与挂接价格明细文件不一致的，以“系统中挂接的价格明细文件”为准，如该文件出现计算错误，按如下算术修正方式修正</w:t>
            </w:r>
            <w:r>
              <w:rPr>
                <w:rFonts w:hint="eastAsia" w:ascii="仿宋" w:hAnsi="仿宋" w:eastAsia="仿宋" w:cs="仿宋"/>
                <w:color w:val="auto"/>
                <w:kern w:val="2"/>
                <w:sz w:val="21"/>
                <w:szCs w:val="21"/>
                <w:highlight w:val="none"/>
                <w:lang w:val="en-US" w:eastAsia="zh-CN" w:bidi="ar-SA"/>
              </w:rPr>
              <w:t>。</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1)大写金额和小写金额不一致的，以大写金额为准；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2)单价金额小数点或者百分比有明显错位的，修改单价；</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3)总价金额与按单价汇总金额不一致的，以单价金额计算结果为准。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同时出现两种以上不一致的，按照前款规定的顺序修正，即按照上述1）至3）项的顺序，逐项进行修正。询价评审小组应请应答人澄清确认修正后的报价,应答人不确认、否认或不回复的,其报价文件无效。</w:t>
            </w:r>
          </w:p>
          <w:p>
            <w:pPr>
              <w:rPr>
                <w:rFonts w:hint="eastAsia" w:ascii="仿宋" w:hAnsi="仿宋" w:eastAsia="仿宋" w:cs="仿宋"/>
                <w:color w:val="auto"/>
                <w:kern w:val="2"/>
                <w:szCs w:val="21"/>
                <w:highlight w:val="none"/>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2"/>
                <w:szCs w:val="21"/>
                <w:highlight w:val="none"/>
              </w:rPr>
              <w:t>对于总价合同，“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报价中存在缺漏项的，则视为缺漏项价格已包含在其投标报价之中，并要求</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人书面澄清确认，</w:t>
            </w:r>
            <w:r>
              <w:rPr>
                <w:rFonts w:hint="eastAsia" w:ascii="仿宋" w:hAnsi="仿宋" w:eastAsia="仿宋" w:cs="仿宋"/>
                <w:color w:val="auto"/>
                <w:kern w:val="2"/>
                <w:szCs w:val="21"/>
                <w:highlight w:val="none"/>
                <w:lang w:eastAsia="zh-CN"/>
              </w:rPr>
              <w:t>应答人</w:t>
            </w:r>
            <w:r>
              <w:rPr>
                <w:rFonts w:hint="eastAsia" w:ascii="仿宋" w:hAnsi="仿宋" w:eastAsia="仿宋" w:cs="仿宋"/>
                <w:color w:val="auto"/>
                <w:kern w:val="2"/>
                <w:szCs w:val="21"/>
                <w:highlight w:val="none"/>
              </w:rPr>
              <w:t>不按规定回复澄清确认或确认缺漏项价格不包含在</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报价中的，</w:t>
            </w:r>
            <w:r>
              <w:rPr>
                <w:rFonts w:hint="eastAsia" w:ascii="仿宋" w:hAnsi="仿宋" w:eastAsia="仿宋" w:cs="仿宋"/>
                <w:color w:val="auto"/>
                <w:kern w:val="2"/>
                <w:szCs w:val="21"/>
                <w:highlight w:val="none"/>
                <w:lang w:val="en-US" w:eastAsia="zh-CN"/>
              </w:rPr>
              <w:t>询价评审小组</w:t>
            </w:r>
            <w:r>
              <w:rPr>
                <w:rFonts w:hint="eastAsia" w:ascii="仿宋" w:hAnsi="仿宋" w:eastAsia="仿宋" w:cs="仿宋"/>
                <w:color w:val="auto"/>
                <w:kern w:val="2"/>
                <w:szCs w:val="21"/>
                <w:highlight w:val="none"/>
              </w:rPr>
              <w:t>应当否决其</w:t>
            </w:r>
            <w:r>
              <w:rPr>
                <w:rFonts w:hint="eastAsia" w:ascii="仿宋" w:hAnsi="仿宋" w:eastAsia="仿宋" w:cs="仿宋"/>
                <w:color w:val="auto"/>
                <w:kern w:val="2"/>
                <w:szCs w:val="21"/>
                <w:highlight w:val="none"/>
                <w:lang w:val="en-US" w:eastAsia="zh-CN"/>
              </w:rPr>
              <w:t>应答文件</w:t>
            </w:r>
            <w:r>
              <w:rPr>
                <w:rFonts w:hint="eastAsia" w:ascii="仿宋" w:hAnsi="仿宋" w:eastAsia="仿宋" w:cs="仿宋"/>
                <w:color w:val="auto"/>
                <w:kern w:val="2"/>
                <w:szCs w:val="21"/>
                <w:highlight w:val="none"/>
              </w:rPr>
              <w:t>”；</w:t>
            </w:r>
          </w:p>
          <w:p>
            <w:pPr>
              <w:ind w:left="0" w:leftChars="0"/>
              <w:jc w:val="both"/>
              <w:rPr>
                <w:rFonts w:hint="eastAsia" w:ascii="仿宋" w:hAnsi="仿宋" w:eastAsia="仿宋" w:cs="仿宋"/>
                <w:bCs/>
                <w:color w:val="auto"/>
                <w:kern w:val="0"/>
                <w:sz w:val="21"/>
                <w:szCs w:val="21"/>
                <w:highlight w:val="none"/>
              </w:rPr>
            </w:pPr>
            <w:r>
              <w:rPr>
                <w:rFonts w:hint="eastAsia" w:ascii="仿宋" w:hAnsi="仿宋" w:eastAsia="仿宋" w:cs="仿宋"/>
                <w:color w:val="auto"/>
                <w:kern w:val="2"/>
                <w:szCs w:val="21"/>
                <w:highlight w:val="none"/>
              </w:rPr>
              <w:t>对于协议类合同，“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报价不允许缺漏项，否则将导致</w:t>
            </w:r>
            <w:r>
              <w:rPr>
                <w:rFonts w:hint="eastAsia" w:ascii="仿宋" w:hAnsi="仿宋" w:eastAsia="仿宋" w:cs="仿宋"/>
                <w:color w:val="auto"/>
                <w:kern w:val="2"/>
                <w:szCs w:val="21"/>
                <w:highlight w:val="none"/>
                <w:lang w:val="en-US" w:eastAsia="zh-CN"/>
              </w:rPr>
              <w:t>应答报价</w:t>
            </w:r>
            <w:r>
              <w:rPr>
                <w:rFonts w:hint="eastAsia" w:ascii="仿宋" w:hAnsi="仿宋" w:eastAsia="仿宋" w:cs="仿宋"/>
                <w:color w:val="auto"/>
                <w:kern w:val="2"/>
                <w:szCs w:val="21"/>
                <w:highlight w:val="none"/>
              </w:rPr>
              <w:t>被否决”</w:t>
            </w:r>
          </w:p>
        </w:tc>
      </w:tr>
    </w:tbl>
    <w:p>
      <w:pPr>
        <w:rPr>
          <w:rFonts w:hint="eastAsia"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ascii="黑体" w:hAnsi="黑体" w:eastAsia="黑体"/>
          <w:b/>
          <w:bCs/>
          <w:color w:val="000000" w:themeColor="text1"/>
          <w:sz w:val="24"/>
          <w:szCs w:val="24"/>
          <w:highlight w:val="none"/>
          <w14:textFill>
            <w14:solidFill>
              <w14:schemeClr w14:val="tx1"/>
            </w14:solidFill>
          </w14:textFill>
        </w:rPr>
        <w:t>2</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 ：</w:t>
      </w:r>
      <w:r>
        <w:rPr>
          <w:rFonts w:ascii="黑体" w:hAnsi="黑体" w:eastAsia="黑体"/>
          <w:b/>
          <w:bCs/>
          <w:color w:val="000000" w:themeColor="text1"/>
          <w:sz w:val="24"/>
          <w:szCs w:val="24"/>
          <w:highlight w:val="none"/>
          <w14:textFill>
            <w14:solidFill>
              <w14:schemeClr w14:val="tx1"/>
            </w14:solidFill>
          </w14:textFill>
        </w:rPr>
        <w:t>采</w:t>
      </w:r>
      <w:r>
        <w:rPr>
          <w:rFonts w:hint="eastAsia" w:ascii="黑体" w:hAnsi="黑体" w:eastAsia="黑体"/>
          <w:b/>
          <w:bCs/>
          <w:color w:val="000000" w:themeColor="text1"/>
          <w:sz w:val="24"/>
          <w:szCs w:val="24"/>
          <w:highlight w:val="none"/>
          <w:lang w:val="en-US" w:eastAsia="zh-CN"/>
          <w14:textFill>
            <w14:solidFill>
              <w14:schemeClr w14:val="tx1"/>
            </w14:solidFill>
          </w14:textFill>
        </w:rPr>
        <w:t>购</w:t>
      </w:r>
      <w:r>
        <w:rPr>
          <w:rFonts w:hint="eastAsia" w:ascii="黑体" w:hAnsi="黑体" w:eastAsia="黑体"/>
          <w:b/>
          <w:bCs/>
          <w:color w:val="000000" w:themeColor="text1"/>
          <w:sz w:val="24"/>
          <w:szCs w:val="24"/>
          <w:highlight w:val="none"/>
          <w14:textFill>
            <w14:solidFill>
              <w14:schemeClr w14:val="tx1"/>
            </w14:solidFill>
          </w14:textFill>
        </w:rPr>
        <w:t>内容及</w:t>
      </w:r>
      <w:r>
        <w:rPr>
          <w:rFonts w:ascii="黑体" w:hAnsi="黑体" w:eastAsia="黑体"/>
          <w:b/>
          <w:bCs/>
          <w:color w:val="000000" w:themeColor="text1"/>
          <w:sz w:val="24"/>
          <w:szCs w:val="24"/>
          <w:highlight w:val="none"/>
          <w14:textFill>
            <w14:solidFill>
              <w14:schemeClr w14:val="tx1"/>
            </w14:solidFill>
          </w14:textFill>
        </w:rPr>
        <w:t>技术要求</w:t>
      </w:r>
    </w:p>
    <w:p>
      <w:pPr>
        <w:pStyle w:val="3"/>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eastAsiaTheme="minorEastAsia" w:cstheme="minorEastAsia"/>
          <w:sz w:val="28"/>
          <w:szCs w:val="16"/>
          <w:lang w:val="en-US" w:eastAsia="zh-CN"/>
        </w:rPr>
      </w:pPr>
      <w:bookmarkStart w:id="0" w:name="_Toc13248927"/>
      <w:bookmarkStart w:id="1" w:name="_Toc13249324"/>
      <w:bookmarkStart w:id="2" w:name="_Toc13248928"/>
      <w:bookmarkStart w:id="3" w:name="_Toc13249325"/>
      <w:r>
        <w:rPr>
          <w:rFonts w:hint="eastAsia" w:asciiTheme="minorEastAsia" w:hAnsiTheme="minorEastAsia" w:eastAsiaTheme="minorEastAsia" w:cstheme="minorEastAsia"/>
          <w:sz w:val="28"/>
          <w:szCs w:val="16"/>
          <w:lang w:val="en-US" w:eastAsia="zh-CN"/>
        </w:rPr>
        <w:t>*一、项目概况及总体要求</w:t>
      </w:r>
      <w:bookmarkEnd w:id="0"/>
      <w:bookmarkEnd w:id="1"/>
    </w:p>
    <w:p>
      <w:pPr>
        <w:pStyle w:val="22"/>
        <w:keepNext w:val="0"/>
        <w:keepLines w:val="0"/>
        <w:pageBreakBefore w:val="0"/>
        <w:widowControl w:val="0"/>
        <w:kinsoku/>
        <w:wordWrap/>
        <w:overflowPunct/>
        <w:topLinePunct w:val="0"/>
        <w:autoSpaceDE w:val="0"/>
        <w:autoSpaceDN w:val="0"/>
        <w:bidi w:val="0"/>
        <w:adjustRightInd w:val="0"/>
        <w:snapToGrid/>
        <w:spacing w:before="120" w:after="120" w:line="360" w:lineRule="auto"/>
        <w:ind w:firstLine="482"/>
        <w:textAlignment w:val="auto"/>
        <w:outlineLvl w:val="0"/>
        <w:rPr>
          <w:rFonts w:hint="eastAsia" w:ascii="宋体" w:hAnsi="宋体" w:eastAsia="宋体" w:cs="宋体"/>
        </w:rPr>
      </w:pPr>
      <w:r>
        <w:rPr>
          <w:rFonts w:hint="eastAsia" w:ascii="宋体" w:hAnsi="宋体" w:eastAsia="宋体" w:cs="宋体"/>
        </w:rPr>
        <w:t>生产</w:t>
      </w:r>
      <w:r>
        <w:rPr>
          <w:rFonts w:hint="eastAsia" w:ascii="宋体" w:hAnsi="宋体" w:eastAsia="宋体" w:cs="宋体"/>
          <w:lang w:val="en-US" w:eastAsia="zh-CN"/>
        </w:rPr>
        <w:t>需求用原材料</w:t>
      </w:r>
      <w:r>
        <w:rPr>
          <w:rFonts w:hint="eastAsia" w:ascii="宋体" w:hAnsi="宋体" w:eastAsia="宋体" w:cs="宋体"/>
        </w:rPr>
        <w:t>。</w:t>
      </w:r>
    </w:p>
    <w:p>
      <w:pPr>
        <w:pStyle w:val="10"/>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firstLine="480" w:firstLineChars="200"/>
        <w:textAlignment w:val="auto"/>
        <w:rPr>
          <w:rFonts w:hint="eastAsia" w:ascii="宋体" w:hAnsi="宋体" w:eastAsia="宋体" w:cs="宋体"/>
        </w:rPr>
      </w:pPr>
      <w:r>
        <w:rPr>
          <w:rFonts w:hint="eastAsia" w:ascii="宋体" w:hAnsi="宋体" w:eastAsia="宋体" w:cs="宋体"/>
          <w:b w:val="0"/>
          <w:bCs w:val="0"/>
          <w:color w:val="000000"/>
          <w:sz w:val="24"/>
          <w:szCs w:val="24"/>
          <w:lang w:val="en-US" w:eastAsia="zh-CN"/>
        </w:rPr>
        <w:t>标准应用情况概述：本需求应用《</w:t>
      </w:r>
      <w:r>
        <w:t>GB/T 6818-2019 工业用辛醇（2-乙基己醇）</w:t>
      </w:r>
      <w:r>
        <w:rPr>
          <w:rFonts w:hint="eastAsia" w:ascii="宋体" w:hAnsi="宋体" w:eastAsia="宋体" w:cs="宋体"/>
          <w:b w:val="0"/>
          <w:bCs w:val="0"/>
          <w:color w:val="000000"/>
          <w:sz w:val="24"/>
          <w:szCs w:val="24"/>
          <w:lang w:val="en-US" w:eastAsia="zh-CN"/>
        </w:rPr>
        <w:t>》中I型产品的水分、色度和酸度的技术参数，因标准中技术参数无法完全满足实际产品需求，此标准为部分引用。</w:t>
      </w:r>
    </w:p>
    <w:p>
      <w:pPr>
        <w:pStyle w:val="3"/>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eastAsiaTheme="minorEastAsia" w:cstheme="minorEastAsia"/>
          <w:sz w:val="28"/>
          <w:szCs w:val="16"/>
          <w:lang w:val="en-US" w:eastAsia="zh-CN"/>
        </w:rPr>
      </w:pPr>
      <w:r>
        <w:rPr>
          <w:rFonts w:hint="eastAsia" w:asciiTheme="minorEastAsia" w:hAnsiTheme="minorEastAsia" w:eastAsiaTheme="minorEastAsia" w:cstheme="minorEastAsia"/>
          <w:sz w:val="28"/>
          <w:szCs w:val="16"/>
          <w:lang w:val="en-US" w:eastAsia="zh-CN"/>
        </w:rPr>
        <w:t>*二、需求一览表</w:t>
      </w:r>
    </w:p>
    <w:tbl>
      <w:tblPr>
        <w:tblStyle w:val="15"/>
        <w:tblW w:w="8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429"/>
        <w:gridCol w:w="1250"/>
        <w:gridCol w:w="1304"/>
        <w:gridCol w:w="1511"/>
        <w:gridCol w:w="1860"/>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vAlign w:val="center"/>
          </w:tcPr>
          <w:p>
            <w:pPr>
              <w:adjustRightInd w:val="0"/>
              <w:snapToGrid w:val="0"/>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序号</w:t>
            </w:r>
          </w:p>
        </w:tc>
        <w:tc>
          <w:tcPr>
            <w:tcW w:w="1429" w:type="dxa"/>
            <w:vAlign w:val="center"/>
          </w:tcPr>
          <w:p>
            <w:pPr>
              <w:adjustRightInd w:val="0"/>
              <w:snapToGrid w:val="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物资编码</w:t>
            </w:r>
          </w:p>
        </w:tc>
        <w:tc>
          <w:tcPr>
            <w:tcW w:w="1250" w:type="dxa"/>
            <w:vAlign w:val="center"/>
          </w:tcPr>
          <w:p>
            <w:pPr>
              <w:adjustRightInd w:val="0"/>
              <w:snapToGrid w:val="0"/>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物资名称</w:t>
            </w:r>
          </w:p>
        </w:tc>
        <w:tc>
          <w:tcPr>
            <w:tcW w:w="1304" w:type="dxa"/>
            <w:vAlign w:val="center"/>
          </w:tcPr>
          <w:p>
            <w:pPr>
              <w:adjustRightInd w:val="0"/>
              <w:snapToGrid w:val="0"/>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规格型号</w:t>
            </w:r>
          </w:p>
        </w:tc>
        <w:tc>
          <w:tcPr>
            <w:tcW w:w="1511" w:type="dxa"/>
            <w:vAlign w:val="center"/>
          </w:tcPr>
          <w:p>
            <w:pPr>
              <w:adjustRightInd w:val="0"/>
              <w:snapToGrid w:val="0"/>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数量及单位</w:t>
            </w:r>
          </w:p>
        </w:tc>
        <w:tc>
          <w:tcPr>
            <w:tcW w:w="1860" w:type="dxa"/>
            <w:vAlign w:val="center"/>
          </w:tcPr>
          <w:p>
            <w:pPr>
              <w:adjustRightInd w:val="0"/>
              <w:snapToGrid w:val="0"/>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交货期</w:t>
            </w:r>
          </w:p>
        </w:tc>
        <w:tc>
          <w:tcPr>
            <w:tcW w:w="933" w:type="dxa"/>
            <w:vAlign w:val="center"/>
          </w:tcPr>
          <w:p>
            <w:pPr>
              <w:adjustRightInd w:val="0"/>
              <w:snapToGrid w:val="0"/>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456" w:type="dxa"/>
            <w:vAlign w:val="center"/>
          </w:tcPr>
          <w:p>
            <w:pPr>
              <w:adjustRightInd w:val="0"/>
              <w:snapToGrid w:val="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1429" w:type="dxa"/>
            <w:vAlign w:val="center"/>
          </w:tcPr>
          <w:p>
            <w:pPr>
              <w:adjustRightInd w:val="0"/>
              <w:snapToGrid w:val="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82887207</w:t>
            </w:r>
          </w:p>
        </w:tc>
        <w:tc>
          <w:tcPr>
            <w:tcW w:w="1250" w:type="dxa"/>
            <w:vAlign w:val="center"/>
          </w:tcPr>
          <w:p>
            <w:pPr>
              <w:adjustRightInd w:val="0"/>
              <w:snapToGrid w:val="0"/>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异辛醇</w:t>
            </w:r>
          </w:p>
        </w:tc>
        <w:tc>
          <w:tcPr>
            <w:tcW w:w="1304" w:type="dxa"/>
            <w:vAlign w:val="center"/>
          </w:tcPr>
          <w:p>
            <w:pPr>
              <w:adjustRightInd w:val="0"/>
              <w:snapToGrid w:val="0"/>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200kg/桶</w:t>
            </w:r>
          </w:p>
        </w:tc>
        <w:tc>
          <w:tcPr>
            <w:tcW w:w="1511" w:type="dxa"/>
            <w:vAlign w:val="center"/>
          </w:tcPr>
          <w:p>
            <w:pPr>
              <w:adjustRightInd w:val="0"/>
              <w:snapToGrid w:val="0"/>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55吨</w:t>
            </w:r>
          </w:p>
        </w:tc>
        <w:tc>
          <w:tcPr>
            <w:tcW w:w="1860" w:type="dxa"/>
            <w:vAlign w:val="center"/>
          </w:tcPr>
          <w:p>
            <w:pPr>
              <w:adjustRightInd w:val="0"/>
              <w:snapToGrid w:val="0"/>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订单下达后72小时内交货</w:t>
            </w:r>
          </w:p>
        </w:tc>
        <w:tc>
          <w:tcPr>
            <w:tcW w:w="933" w:type="dxa"/>
            <w:vAlign w:val="center"/>
          </w:tcPr>
          <w:p>
            <w:pPr>
              <w:adjustRightInd w:val="0"/>
              <w:snapToGrid w:val="0"/>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无</w:t>
            </w:r>
          </w:p>
        </w:tc>
      </w:tr>
    </w:tbl>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heme="minorEastAsia" w:hAnsiTheme="minorEastAsia" w:eastAsiaTheme="minorEastAsia"/>
          <w:spacing w:val="2"/>
          <w:sz w:val="24"/>
          <w:szCs w:val="24"/>
          <w:lang w:val="en-US" w:eastAsia="zh-CN"/>
        </w:rPr>
      </w:pPr>
      <w:r>
        <w:rPr>
          <w:rFonts w:hint="eastAsia" w:ascii="宋体" w:hAnsi="宋体" w:eastAsia="宋体" w:cs="宋体"/>
          <w:sz w:val="24"/>
          <w:szCs w:val="24"/>
          <w:lang w:val="en-US" w:eastAsia="zh-CN"/>
        </w:rPr>
        <w:t>*</w:t>
      </w:r>
      <w:r>
        <w:rPr>
          <w:rFonts w:hint="eastAsia" w:ascii="宋体" w:hAnsi="宋体" w:eastAsia="宋体" w:cs="宋体"/>
        </w:rPr>
        <w:t>备注：1.本表格“数量”是根据历史实际需求估算的，主要用于年协报价及价格评议，不代表实际采购数量，实际采购数量以“订单”下实际验收数量为准。2、订单最小订购量约为</w:t>
      </w:r>
      <w:r>
        <w:rPr>
          <w:rFonts w:hint="eastAsia" w:asciiTheme="minorEastAsia" w:hAnsiTheme="minorEastAsia" w:eastAsiaTheme="minorEastAsia"/>
          <w:spacing w:val="2"/>
          <w:sz w:val="24"/>
          <w:szCs w:val="24"/>
          <w:lang w:val="en-US" w:eastAsia="zh-CN"/>
        </w:rPr>
        <w:t>5吨</w:t>
      </w:r>
      <w:r>
        <w:rPr>
          <w:rFonts w:hint="eastAsia" w:cs="宋体"/>
          <w:lang w:eastAsia="zh-CN"/>
        </w:rPr>
        <w:t>。</w:t>
      </w:r>
      <w:r>
        <w:rPr>
          <w:rFonts w:hint="eastAsia" w:cs="宋体"/>
          <w:lang w:val="en-US" w:eastAsia="zh-CN"/>
        </w:rPr>
        <w:t>按厂家原包装进行供应，</w:t>
      </w:r>
      <w:r>
        <w:rPr>
          <w:rFonts w:hint="eastAsia" w:ascii="宋体" w:hAnsi="宋体" w:eastAsia="宋体" w:cs="宋体"/>
        </w:rPr>
        <w:t>实际交付数量在不超过订单约定数量的范围内允许与订单数量存在5%以内的偏差</w:t>
      </w:r>
      <w:r>
        <w:rPr>
          <w:rFonts w:hint="eastAsia" w:cs="宋体"/>
          <w:lang w:eastAsia="zh-CN"/>
        </w:rPr>
        <w:t>，</w:t>
      </w:r>
      <w:r>
        <w:rPr>
          <w:rFonts w:hint="eastAsia" w:ascii="宋体" w:hAnsi="宋体" w:eastAsia="宋体" w:cs="宋体"/>
        </w:rPr>
        <w:t>且开票数量以最终实际签收数量为准，供应商无需再另行䃼足订单数量，视同订单履约完毕。</w:t>
      </w:r>
    </w:p>
    <w:p>
      <w:pPr>
        <w:pStyle w:val="3"/>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eastAsiaTheme="minorEastAsia" w:cstheme="minorEastAsia"/>
          <w:sz w:val="28"/>
          <w:szCs w:val="16"/>
          <w:lang w:val="en-US" w:eastAsia="zh-CN"/>
        </w:rPr>
      </w:pPr>
      <w:r>
        <w:rPr>
          <w:rFonts w:hint="eastAsia" w:asciiTheme="minorEastAsia" w:hAnsiTheme="minorEastAsia" w:eastAsiaTheme="minorEastAsia" w:cstheme="minorEastAsia"/>
          <w:sz w:val="28"/>
          <w:szCs w:val="16"/>
          <w:lang w:val="en-US" w:eastAsia="zh-CN"/>
        </w:rPr>
        <w:t>*三、执行标准/规范</w:t>
      </w:r>
    </w:p>
    <w:p>
      <w:pPr>
        <w:spacing w:line="360" w:lineRule="auto"/>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引用</w:t>
      </w:r>
      <w:r>
        <w:rPr>
          <w:rFonts w:hint="eastAsia" w:ascii="宋体" w:hAnsi="宋体" w:eastAsia="宋体" w:cs="宋体"/>
          <w:b w:val="0"/>
          <w:bCs w:val="0"/>
          <w:color w:val="000000"/>
          <w:sz w:val="24"/>
          <w:szCs w:val="24"/>
          <w:lang w:val="en-US" w:eastAsia="zh-CN"/>
        </w:rPr>
        <w:t>《</w:t>
      </w:r>
      <w:r>
        <w:rPr>
          <w:rFonts w:hint="eastAsia" w:ascii="宋体" w:hAnsi="宋体" w:eastAsia="宋体" w:cs="宋体"/>
          <w:sz w:val="24"/>
          <w:szCs w:val="24"/>
        </w:rPr>
        <w:t>GB/T 6818-2019 工业用辛醇（2-乙基己醇）</w:t>
      </w:r>
      <w:r>
        <w:rPr>
          <w:rFonts w:hint="eastAsia" w:ascii="宋体" w:hAnsi="宋体" w:eastAsia="宋体" w:cs="宋体"/>
          <w:b w:val="0"/>
          <w:bCs w:val="0"/>
          <w:color w:val="000000"/>
          <w:sz w:val="24"/>
          <w:szCs w:val="24"/>
          <w:lang w:val="en-US" w:eastAsia="zh-CN"/>
        </w:rPr>
        <w:t>》中I型产品的水分、色度和酸度的技术参数，因标准中技术参数无法完全满足实际产品需求，此标准为部分引用。</w:t>
      </w:r>
    </w:p>
    <w:p>
      <w:pPr>
        <w:pStyle w:val="3"/>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eastAsiaTheme="minorEastAsia" w:cstheme="minorEastAsia"/>
          <w:sz w:val="28"/>
          <w:szCs w:val="16"/>
          <w:lang w:val="en-US" w:eastAsia="zh-CN"/>
        </w:rPr>
      </w:pPr>
      <w:r>
        <w:rPr>
          <w:rFonts w:hint="eastAsia" w:asciiTheme="minorEastAsia" w:hAnsiTheme="minorEastAsia" w:eastAsiaTheme="minorEastAsia" w:cstheme="minorEastAsia"/>
          <w:sz w:val="28"/>
          <w:szCs w:val="16"/>
          <w:lang w:val="en-US" w:eastAsia="zh-CN"/>
        </w:rPr>
        <w:t>*</w:t>
      </w:r>
      <w:r>
        <w:rPr>
          <w:rFonts w:hint="eastAsia" w:asciiTheme="minorEastAsia" w:hAnsiTheme="minorEastAsia" w:cstheme="minorEastAsia"/>
          <w:sz w:val="28"/>
          <w:szCs w:val="16"/>
          <w:lang w:val="en-US" w:eastAsia="zh-CN"/>
        </w:rPr>
        <w:t>四</w:t>
      </w:r>
      <w:r>
        <w:rPr>
          <w:rFonts w:hint="eastAsia" w:asciiTheme="minorEastAsia" w:hAnsiTheme="minorEastAsia" w:eastAsiaTheme="minorEastAsia" w:cstheme="minorEastAsia"/>
          <w:sz w:val="28"/>
          <w:szCs w:val="16"/>
          <w:lang w:val="en-US" w:eastAsia="zh-CN"/>
        </w:rPr>
        <w:t>、技术要求</w:t>
      </w:r>
    </w:p>
    <w:p>
      <w:pPr>
        <w:pStyle w:val="22"/>
        <w:spacing w:before="120" w:after="120" w:line="360" w:lineRule="auto"/>
        <w:outlineLvl w:val="0"/>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1、</w:t>
      </w:r>
      <w:r>
        <w:rPr>
          <w:rFonts w:hint="eastAsia" w:ascii="宋体" w:hAnsi="宋体" w:eastAsia="宋体" w:cs="宋体"/>
          <w:b w:val="0"/>
          <w:bCs w:val="0"/>
          <w:spacing w:val="0"/>
          <w:sz w:val="24"/>
          <w:szCs w:val="24"/>
        </w:rPr>
        <w:t>异辛醇</w:t>
      </w:r>
      <w:r>
        <w:rPr>
          <w:rFonts w:hint="eastAsia" w:ascii="宋体" w:hAnsi="宋体" w:eastAsia="宋体" w:cs="宋体"/>
          <w:b w:val="0"/>
          <w:bCs w:val="0"/>
          <w:sz w:val="24"/>
          <w:szCs w:val="24"/>
          <w:lang w:val="en-US" w:eastAsia="zh-CN"/>
        </w:rPr>
        <w:t>引用</w:t>
      </w:r>
      <w:r>
        <w:rPr>
          <w:rFonts w:hint="eastAsia" w:ascii="宋体" w:hAnsi="宋体" w:eastAsia="宋体" w:cs="宋体"/>
          <w:b w:val="0"/>
          <w:bCs w:val="0"/>
          <w:color w:val="000000"/>
          <w:sz w:val="24"/>
          <w:szCs w:val="24"/>
          <w:lang w:val="en-US" w:eastAsia="zh-CN"/>
        </w:rPr>
        <w:t>《</w:t>
      </w:r>
      <w:r>
        <w:rPr>
          <w:rFonts w:hint="eastAsia" w:ascii="宋体" w:hAnsi="宋体" w:eastAsia="宋体" w:cs="宋体"/>
          <w:b w:val="0"/>
          <w:bCs w:val="0"/>
        </w:rPr>
        <w:t>GB/T 6818-2019 工业用辛醇（2-乙基己醇）</w:t>
      </w:r>
      <w:r>
        <w:rPr>
          <w:rFonts w:hint="eastAsia" w:ascii="宋体" w:hAnsi="宋体" w:eastAsia="宋体" w:cs="宋体"/>
          <w:b w:val="0"/>
          <w:bCs w:val="0"/>
          <w:color w:val="000000"/>
          <w:sz w:val="24"/>
          <w:szCs w:val="24"/>
          <w:lang w:val="en-US" w:eastAsia="zh-CN"/>
        </w:rPr>
        <w:t>》中I型产品的水分、色度和酸度的技术参数，因标准中技术参数无法完全满足实际产品需求，此标准为部分引用。除I型产品的水分、色度和酸度的技术参数，其余指标参数均为补充（调整）内容：</w:t>
      </w:r>
    </w:p>
    <w:tbl>
      <w:tblPr>
        <w:tblStyle w:val="15"/>
        <w:tblW w:w="0" w:type="auto"/>
        <w:tblInd w:w="3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3855"/>
        <w:gridCol w:w="2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adjustRightInd w:val="0"/>
              <w:snapToGrid w:val="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序号</w:t>
            </w:r>
          </w:p>
        </w:tc>
        <w:tc>
          <w:tcPr>
            <w:tcW w:w="3855" w:type="dxa"/>
          </w:tcPr>
          <w:p>
            <w:pPr>
              <w:adjustRightInd w:val="0"/>
              <w:snapToGrid w:val="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检测项目</w:t>
            </w:r>
          </w:p>
        </w:tc>
        <w:tc>
          <w:tcPr>
            <w:tcW w:w="2857" w:type="dxa"/>
          </w:tcPr>
          <w:p>
            <w:pPr>
              <w:adjustRightInd w:val="0"/>
              <w:snapToGrid w:val="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adjustRightInd w:val="0"/>
              <w:snapToGrid w:val="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3855" w:type="dxa"/>
          </w:tcPr>
          <w:p>
            <w:pPr>
              <w:adjustRightInd w:val="0"/>
              <w:snapToGrid w:val="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含量，%</w:t>
            </w:r>
          </w:p>
        </w:tc>
        <w:tc>
          <w:tcPr>
            <w:tcW w:w="2857" w:type="dxa"/>
          </w:tcPr>
          <w:p>
            <w:pPr>
              <w:adjustRightInd w:val="0"/>
              <w:snapToGrid w:val="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adjustRightInd w:val="0"/>
              <w:snapToGrid w:val="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p>
        </w:tc>
        <w:tc>
          <w:tcPr>
            <w:tcW w:w="3855" w:type="dxa"/>
          </w:tcPr>
          <w:p>
            <w:pPr>
              <w:adjustRightInd w:val="0"/>
              <w:snapToGrid w:val="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水分，%</w:t>
            </w:r>
          </w:p>
        </w:tc>
        <w:tc>
          <w:tcPr>
            <w:tcW w:w="2857" w:type="dxa"/>
          </w:tcPr>
          <w:p>
            <w:pPr>
              <w:adjustRightInd w:val="0"/>
              <w:snapToGrid w:val="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adjustRightInd w:val="0"/>
              <w:snapToGrid w:val="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w:t>
            </w:r>
          </w:p>
        </w:tc>
        <w:tc>
          <w:tcPr>
            <w:tcW w:w="3855" w:type="dxa"/>
          </w:tcPr>
          <w:p>
            <w:pPr>
              <w:adjustRightInd w:val="0"/>
              <w:snapToGrid w:val="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铂-钴， 色度</w:t>
            </w:r>
          </w:p>
        </w:tc>
        <w:tc>
          <w:tcPr>
            <w:tcW w:w="2857" w:type="dxa"/>
          </w:tcPr>
          <w:p>
            <w:pPr>
              <w:adjustRightInd w:val="0"/>
              <w:snapToGrid w:val="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5" w:type="dxa"/>
          </w:tcPr>
          <w:p>
            <w:pPr>
              <w:adjustRightInd w:val="0"/>
              <w:snapToGrid w:val="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p>
        </w:tc>
        <w:tc>
          <w:tcPr>
            <w:tcW w:w="3855" w:type="dxa"/>
          </w:tcPr>
          <w:p>
            <w:pPr>
              <w:adjustRightInd w:val="0"/>
              <w:snapToGrid w:val="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酸度，%</w:t>
            </w:r>
          </w:p>
        </w:tc>
        <w:tc>
          <w:tcPr>
            <w:tcW w:w="2857" w:type="dxa"/>
          </w:tcPr>
          <w:p>
            <w:pPr>
              <w:adjustRightInd w:val="0"/>
              <w:snapToGrid w:val="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≤0.01</w:t>
            </w:r>
          </w:p>
        </w:tc>
      </w:tr>
    </w:tbl>
    <w:p>
      <w:pPr>
        <w:pStyle w:val="19"/>
        <w:numPr>
          <w:ilvl w:val="0"/>
          <w:numId w:val="0"/>
        </w:numPr>
        <w:spacing w:line="360" w:lineRule="auto"/>
        <w:rPr>
          <w:rFonts w:hint="default" w:asciiTheme="minorEastAsia" w:hAnsiTheme="minorEastAsia"/>
          <w:spacing w:val="0"/>
          <w:sz w:val="24"/>
          <w:szCs w:val="24"/>
          <w:lang w:val="en-US" w:eastAsia="zh-CN"/>
        </w:rPr>
      </w:pPr>
    </w:p>
    <w:p>
      <w:pPr>
        <w:pStyle w:val="3"/>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eastAsiaTheme="minorEastAsia" w:cstheme="minorEastAsia"/>
          <w:sz w:val="28"/>
          <w:szCs w:val="16"/>
          <w:lang w:val="en-US" w:eastAsia="zh-CN"/>
        </w:rPr>
      </w:pPr>
      <w:r>
        <w:rPr>
          <w:rFonts w:hint="eastAsia" w:asciiTheme="minorEastAsia" w:hAnsiTheme="minorEastAsia" w:cstheme="minorEastAsia"/>
          <w:sz w:val="28"/>
          <w:szCs w:val="16"/>
          <w:lang w:val="en-US" w:eastAsia="zh-CN"/>
        </w:rPr>
        <w:t>五</w:t>
      </w:r>
      <w:r>
        <w:rPr>
          <w:rFonts w:hint="eastAsia" w:asciiTheme="minorEastAsia" w:hAnsiTheme="minorEastAsia" w:eastAsiaTheme="minorEastAsia" w:cstheme="minorEastAsia"/>
          <w:sz w:val="28"/>
          <w:szCs w:val="16"/>
          <w:lang w:val="en-US" w:eastAsia="zh-CN"/>
        </w:rPr>
        <w:t>、标识、包装、运输和存储</w:t>
      </w:r>
    </w:p>
    <w:p>
      <w:pPr>
        <w:pStyle w:val="3"/>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 产品标识</w:t>
      </w:r>
    </w:p>
    <w:p>
      <w:pPr>
        <w:pStyle w:val="3"/>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产品标识要求，包含产品名称、型号、粒度、出厂日期等内容以及主要参数，重量。</w:t>
      </w:r>
    </w:p>
    <w:p>
      <w:pPr>
        <w:pStyle w:val="3"/>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 产品包装</w:t>
      </w:r>
    </w:p>
    <w:p>
      <w:pPr>
        <w:pStyle w:val="3"/>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产品包装牢固、防水。厂家原包装，包装不回收。</w:t>
      </w:r>
    </w:p>
    <w:p>
      <w:pPr>
        <w:pStyle w:val="3"/>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 产品运输</w:t>
      </w:r>
    </w:p>
    <w:p>
      <w:pPr>
        <w:pStyle w:val="3"/>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卖方送货至买方仓库。卖方承担运费。标的物所有权自交货时起转移。</w:t>
      </w:r>
    </w:p>
    <w:p>
      <w:pPr>
        <w:pStyle w:val="3"/>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eastAsiaTheme="minorEastAsia" w:cstheme="minorEastAsia"/>
          <w:sz w:val="28"/>
          <w:szCs w:val="16"/>
          <w:lang w:val="en-US" w:eastAsia="zh-CN"/>
        </w:rPr>
      </w:pPr>
      <w:r>
        <w:rPr>
          <w:rFonts w:hint="eastAsia" w:asciiTheme="minorEastAsia" w:hAnsiTheme="minorEastAsia" w:cstheme="minorEastAsia"/>
          <w:sz w:val="28"/>
          <w:szCs w:val="16"/>
          <w:lang w:val="en-US" w:eastAsia="zh-CN"/>
        </w:rPr>
        <w:t>六、</w:t>
      </w:r>
      <w:r>
        <w:rPr>
          <w:rFonts w:hint="eastAsia" w:asciiTheme="minorEastAsia" w:hAnsiTheme="minorEastAsia" w:eastAsiaTheme="minorEastAsia" w:cstheme="minorEastAsia"/>
          <w:sz w:val="28"/>
          <w:szCs w:val="16"/>
          <w:lang w:val="en-US" w:eastAsia="zh-CN"/>
        </w:rPr>
        <w:t>技术文件</w:t>
      </w:r>
    </w:p>
    <w:p>
      <w:pPr>
        <w:spacing w:line="360" w:lineRule="auto"/>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具有生产商出具的检验报告/合格证（或第三方检测报告），包括质检信息、生产批号/生产日期及质保期等信息。</w:t>
      </w:r>
    </w:p>
    <w:p>
      <w:pPr>
        <w:pStyle w:val="3"/>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eastAsiaTheme="minorEastAsia" w:cstheme="minorEastAsia"/>
          <w:sz w:val="28"/>
          <w:szCs w:val="16"/>
          <w:lang w:val="en-US" w:eastAsia="zh-CN"/>
        </w:rPr>
      </w:pPr>
      <w:r>
        <w:rPr>
          <w:rFonts w:hint="eastAsia" w:asciiTheme="minorEastAsia" w:hAnsiTheme="minorEastAsia" w:cstheme="minorEastAsia"/>
          <w:sz w:val="28"/>
          <w:szCs w:val="16"/>
          <w:lang w:val="en-US" w:eastAsia="zh-CN"/>
        </w:rPr>
        <w:t>七</w:t>
      </w:r>
      <w:r>
        <w:rPr>
          <w:rFonts w:hint="eastAsia" w:asciiTheme="minorEastAsia" w:hAnsiTheme="minorEastAsia" w:eastAsiaTheme="minorEastAsia" w:cstheme="minorEastAsia"/>
          <w:sz w:val="28"/>
          <w:szCs w:val="16"/>
          <w:lang w:val="en-US" w:eastAsia="zh-CN"/>
        </w:rPr>
        <w:t>、工作进度、监造和现场验收</w:t>
      </w:r>
    </w:p>
    <w:p>
      <w:pPr>
        <w:pStyle w:val="22"/>
        <w:keepNext w:val="0"/>
        <w:keepLines w:val="0"/>
        <w:pageBreakBefore w:val="0"/>
        <w:widowControl w:val="0"/>
        <w:kinsoku/>
        <w:wordWrap/>
        <w:overflowPunct/>
        <w:topLinePunct w:val="0"/>
        <w:autoSpaceDE w:val="0"/>
        <w:autoSpaceDN w:val="0"/>
        <w:bidi w:val="0"/>
        <w:adjustRightInd w:val="0"/>
        <w:snapToGrid/>
        <w:spacing w:before="120" w:after="120" w:line="360" w:lineRule="auto"/>
        <w:ind w:firstLine="480" w:firstLineChars="200"/>
        <w:textAlignment w:val="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产品交付时需提供产品说明书，交货地点：中海油常州环保涂料有限公司</w:t>
      </w:r>
      <w:r>
        <w:rPr>
          <w:rFonts w:hint="eastAsia" w:ascii="宋体" w:hAnsi="宋体" w:eastAsia="宋体" w:cs="宋体"/>
          <w:sz w:val="24"/>
          <w:szCs w:val="24"/>
          <w:lang w:val="en-US" w:eastAsia="zh-CN"/>
        </w:rPr>
        <w:t>北门</w:t>
      </w:r>
      <w:r>
        <w:rPr>
          <w:rFonts w:hint="eastAsia" w:ascii="宋体" w:hAnsi="宋体" w:eastAsia="宋体" w:cs="宋体"/>
          <w:sz w:val="24"/>
          <w:szCs w:val="24"/>
          <w:lang w:eastAsia="zh-CN"/>
        </w:rPr>
        <w:t>；按照中海油常州环保涂料有限公司有关规定进行验收。</w:t>
      </w:r>
    </w:p>
    <w:p>
      <w:pPr>
        <w:pStyle w:val="3"/>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cstheme="minorEastAsia"/>
          <w:sz w:val="28"/>
          <w:szCs w:val="16"/>
          <w:lang w:val="en-US" w:eastAsia="zh-CN"/>
        </w:rPr>
      </w:pPr>
      <w:r>
        <w:rPr>
          <w:rFonts w:hint="eastAsia" w:asciiTheme="minorEastAsia" w:hAnsiTheme="minorEastAsia" w:cstheme="minorEastAsia"/>
          <w:sz w:val="28"/>
          <w:szCs w:val="16"/>
          <w:lang w:val="en-US" w:eastAsia="zh-CN"/>
        </w:rPr>
        <w:t>八、其他要求</w:t>
      </w:r>
    </w:p>
    <w:p>
      <w:pPr>
        <w:pStyle w:val="22"/>
        <w:keepNext w:val="0"/>
        <w:keepLines w:val="0"/>
        <w:pageBreakBefore w:val="0"/>
        <w:widowControl w:val="0"/>
        <w:kinsoku/>
        <w:wordWrap/>
        <w:overflowPunct/>
        <w:topLinePunct w:val="0"/>
        <w:autoSpaceDE w:val="0"/>
        <w:autoSpaceDN w:val="0"/>
        <w:bidi w:val="0"/>
        <w:adjustRightInd w:val="0"/>
        <w:snapToGrid/>
        <w:spacing w:before="120" w:after="120" w:line="360" w:lineRule="auto"/>
        <w:ind w:firstLine="480" w:firstLineChars="200"/>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eastAsia="zh-CN"/>
        </w:rPr>
        <w:t>买方计量验收，若有损耗卖方承担。</w:t>
      </w:r>
    </w:p>
    <w:bookmarkEnd w:id="2"/>
    <w:bookmarkEnd w:id="3"/>
    <w:p>
      <w:pPr>
        <w:rPr>
          <w:rFonts w:hint="eastAsia"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br w:type="page"/>
      </w:r>
    </w:p>
    <w:p>
      <w:pPr>
        <w:keepNext w:val="0"/>
        <w:keepLines w:val="0"/>
        <w:pageBreakBefore w:val="0"/>
        <w:widowControl/>
        <w:kinsoku/>
        <w:wordWrap/>
        <w:overflowPunct/>
        <w:topLinePunct w:val="0"/>
        <w:autoSpaceDE/>
        <w:autoSpaceDN/>
        <w:bidi w:val="0"/>
        <w:adjustRightInd/>
        <w:snapToGrid/>
        <w:textAlignment w:val="auto"/>
        <w:outlineLvl w:val="9"/>
        <w:rPr>
          <w:rFonts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3： </w:t>
      </w:r>
      <w:r>
        <w:rPr>
          <w:rFonts w:hint="eastAsia" w:ascii="黑体" w:hAnsi="黑体" w:eastAsia="黑体"/>
          <w:b/>
          <w:bCs/>
          <w:color w:val="000000" w:themeColor="text1"/>
          <w:sz w:val="24"/>
          <w:szCs w:val="24"/>
          <w:highlight w:val="none"/>
          <w14:textFill>
            <w14:solidFill>
              <w14:schemeClr w14:val="tx1"/>
            </w14:solidFill>
          </w14:textFill>
        </w:rPr>
        <w:t>合同</w:t>
      </w:r>
      <w:r>
        <w:rPr>
          <w:rFonts w:ascii="黑体" w:hAnsi="黑体" w:eastAsia="黑体"/>
          <w:b/>
          <w:bCs/>
          <w:color w:val="000000" w:themeColor="text1"/>
          <w:sz w:val="24"/>
          <w:szCs w:val="24"/>
          <w:highlight w:val="none"/>
          <w14:textFill>
            <w14:solidFill>
              <w14:schemeClr w14:val="tx1"/>
            </w14:solidFill>
          </w14:textFill>
        </w:rPr>
        <w:t>文本</w:t>
      </w:r>
    </w:p>
    <w:p>
      <w:pPr>
        <w:autoSpaceDE w:val="0"/>
        <w:autoSpaceDN w:val="0"/>
        <w:adjustRightInd w:val="0"/>
        <w:spacing w:before="72" w:beforeLines="30" w:after="72" w:afterLines="30"/>
        <w:jc w:val="center"/>
        <w:textAlignment w:val="baseline"/>
        <w:rPr>
          <w:rFonts w:asciiTheme="minorEastAsia" w:hAnsiTheme="minorEastAsia"/>
          <w:b/>
          <w:bCs/>
          <w:sz w:val="48"/>
          <w:szCs w:val="48"/>
          <w:highlight w:val="none"/>
        </w:rPr>
      </w:pPr>
      <w:r>
        <w:rPr>
          <w:rFonts w:asciiTheme="minorEastAsia" w:hAnsiTheme="minorEastAsia"/>
          <w:b/>
          <w:bCs/>
          <w:sz w:val="48"/>
          <w:szCs w:val="48"/>
          <w:highlight w:val="none"/>
        </w:rPr>
        <w:drawing>
          <wp:anchor distT="0" distB="0" distL="114300" distR="114300" simplePos="0" relativeHeight="251659264" behindDoc="0" locked="1" layoutInCell="1" allowOverlap="1">
            <wp:simplePos x="0" y="0"/>
            <wp:positionH relativeFrom="character">
              <wp:posOffset>-2731135</wp:posOffset>
            </wp:positionH>
            <wp:positionV relativeFrom="line">
              <wp:posOffset>368935</wp:posOffset>
            </wp:positionV>
            <wp:extent cx="1152525" cy="1047750"/>
            <wp:effectExtent l="0" t="0" r="0" b="0"/>
            <wp:wrapNone/>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noChangeArrowheads="1"/>
                    </pic:cNvPicPr>
                  </pic:nvPicPr>
                  <pic:blipFill>
                    <a:blip r:embed="rId6" cstate="print"/>
                    <a:srcRect/>
                    <a:stretch>
                      <a:fillRect/>
                    </a:stretch>
                  </pic:blipFill>
                  <pic:spPr>
                    <a:xfrm>
                      <a:off x="0" y="0"/>
                      <a:ext cx="1152525" cy="1047750"/>
                    </a:xfrm>
                    <a:prstGeom prst="rect">
                      <a:avLst/>
                    </a:prstGeom>
                    <a:noFill/>
                    <a:ln w="9525">
                      <a:noFill/>
                      <a:miter lim="800000"/>
                      <a:headEnd/>
                      <a:tailEnd/>
                    </a:ln>
                  </pic:spPr>
                </pic:pic>
              </a:graphicData>
            </a:graphic>
          </wp:anchor>
        </w:drawing>
      </w:r>
    </w:p>
    <w:p>
      <w:pPr>
        <w:autoSpaceDE w:val="0"/>
        <w:autoSpaceDN w:val="0"/>
        <w:adjustRightInd w:val="0"/>
        <w:spacing w:before="72" w:beforeLines="30" w:after="72" w:afterLines="30"/>
        <w:jc w:val="center"/>
        <w:textAlignment w:val="baseline"/>
        <w:rPr>
          <w:rFonts w:ascii="宋体" w:hAnsi="宋体"/>
          <w:b/>
          <w:bCs/>
          <w:sz w:val="52"/>
          <w:szCs w:val="52"/>
          <w:highlight w:val="none"/>
        </w:rPr>
      </w:pPr>
    </w:p>
    <w:p>
      <w:pPr>
        <w:pStyle w:val="3"/>
      </w:pPr>
    </w:p>
    <w:p>
      <w:pPr>
        <w:pStyle w:val="26"/>
        <w:autoSpaceDE w:val="0"/>
        <w:autoSpaceDN w:val="0"/>
        <w:adjustRightInd w:val="0"/>
        <w:spacing w:line="360" w:lineRule="auto"/>
        <w:ind w:right="10"/>
        <w:jc w:val="center"/>
        <w:textAlignment w:val="baseline"/>
        <w:rPr>
          <w:rFonts w:cs="宋体"/>
          <w:b/>
          <w:bCs/>
          <w:color w:val="000000"/>
          <w:sz w:val="52"/>
          <w:szCs w:val="52"/>
          <w:highlight w:val="none"/>
        </w:rPr>
      </w:pPr>
    </w:p>
    <w:p>
      <w:pPr>
        <w:pStyle w:val="26"/>
        <w:ind w:right="10"/>
        <w:jc w:val="center"/>
        <w:rPr>
          <w:b/>
          <w:bCs/>
          <w:highlight w:val="none"/>
        </w:rPr>
      </w:pPr>
      <w:r>
        <w:rPr>
          <w:rFonts w:hint="eastAsia" w:cs="宋体"/>
          <w:b/>
          <w:bCs/>
          <w:color w:val="000000"/>
          <w:kern w:val="2"/>
          <w:sz w:val="48"/>
          <w:szCs w:val="48"/>
          <w:highlight w:val="none"/>
          <w:lang w:val="en-US" w:eastAsia="zh-CN" w:bidi="ar-SA"/>
        </w:rPr>
        <w:t>常州院异辛醇采购专有协议</w:t>
      </w:r>
    </w:p>
    <w:p>
      <w:pPr>
        <w:pStyle w:val="26"/>
        <w:ind w:right="10"/>
        <w:jc w:val="center"/>
        <w:rPr>
          <w:b/>
          <w:bCs/>
          <w:highlight w:val="none"/>
        </w:rPr>
      </w:pPr>
    </w:p>
    <w:p>
      <w:pPr>
        <w:pStyle w:val="26"/>
        <w:ind w:right="10"/>
        <w:jc w:val="center"/>
        <w:rPr>
          <w:b/>
          <w:bCs/>
          <w:sz w:val="28"/>
          <w:szCs w:val="28"/>
          <w:highlight w:val="none"/>
        </w:rPr>
      </w:pPr>
    </w:p>
    <w:p>
      <w:pPr>
        <w:pStyle w:val="26"/>
        <w:ind w:right="10"/>
        <w:jc w:val="center"/>
        <w:rPr>
          <w:b/>
          <w:bCs/>
          <w:sz w:val="30"/>
          <w:szCs w:val="30"/>
          <w:highlight w:val="none"/>
          <w:u w:val="single"/>
        </w:rPr>
      </w:pPr>
      <w:r>
        <w:rPr>
          <w:rFonts w:hint="eastAsia" w:hAnsi="宋体" w:cs="宋体"/>
          <w:b/>
          <w:bCs/>
          <w:color w:val="000000"/>
          <w:sz w:val="30"/>
          <w:szCs w:val="30"/>
          <w:highlight w:val="none"/>
        </w:rPr>
        <w:t>（合同编号：）</w:t>
      </w:r>
    </w:p>
    <w:p>
      <w:pPr>
        <w:pStyle w:val="26"/>
        <w:ind w:right="10" w:firstLine="3947" w:firstLineChars="756"/>
        <w:rPr>
          <w:b/>
          <w:bCs/>
          <w:sz w:val="52"/>
          <w:szCs w:val="52"/>
          <w:highlight w:val="none"/>
        </w:rPr>
      </w:pPr>
    </w:p>
    <w:p>
      <w:pPr>
        <w:pStyle w:val="26"/>
        <w:ind w:right="10"/>
        <w:rPr>
          <w:b/>
          <w:bCs/>
          <w:sz w:val="36"/>
          <w:szCs w:val="36"/>
          <w:highlight w:val="none"/>
        </w:rPr>
      </w:pPr>
    </w:p>
    <w:p>
      <w:pPr>
        <w:pStyle w:val="26"/>
        <w:spacing w:line="360" w:lineRule="auto"/>
        <w:ind w:right="10" w:firstLine="1433" w:firstLineChars="512"/>
        <w:rPr>
          <w:bCs/>
          <w:sz w:val="28"/>
          <w:szCs w:val="28"/>
          <w:highlight w:val="none"/>
        </w:rPr>
      </w:pPr>
      <w:r>
        <w:rPr>
          <w:rFonts w:hint="eastAsia"/>
          <w:bCs/>
          <w:sz w:val="28"/>
          <w:szCs w:val="28"/>
          <w:highlight w:val="none"/>
        </w:rPr>
        <w:t>买方：中海油能源发展股份有限公司</w:t>
      </w:r>
    </w:p>
    <w:p>
      <w:pPr>
        <w:pStyle w:val="26"/>
        <w:spacing w:line="360" w:lineRule="auto"/>
        <w:ind w:right="10" w:firstLine="1433" w:firstLineChars="512"/>
        <w:rPr>
          <w:rFonts w:hint="eastAsia"/>
          <w:bCs/>
          <w:sz w:val="28"/>
          <w:szCs w:val="28"/>
          <w:highlight w:val="none"/>
          <w:lang w:eastAsia="zh-CN"/>
        </w:rPr>
      </w:pPr>
      <w:r>
        <w:rPr>
          <w:rFonts w:hint="eastAsia"/>
          <w:bCs/>
          <w:sz w:val="28"/>
          <w:szCs w:val="28"/>
          <w:highlight w:val="none"/>
        </w:rPr>
        <w:t>买方执行方：</w:t>
      </w:r>
    </w:p>
    <w:p>
      <w:pPr>
        <w:pStyle w:val="26"/>
        <w:spacing w:line="360" w:lineRule="auto"/>
        <w:ind w:right="10" w:firstLine="1433" w:firstLineChars="512"/>
        <w:rPr>
          <w:rFonts w:hAnsi="宋体" w:cs="宋体"/>
          <w:bCs/>
          <w:color w:val="000000"/>
          <w:sz w:val="28"/>
          <w:szCs w:val="28"/>
          <w:highlight w:val="none"/>
        </w:rPr>
      </w:pPr>
    </w:p>
    <w:p>
      <w:pPr>
        <w:pStyle w:val="26"/>
        <w:spacing w:line="360" w:lineRule="auto"/>
        <w:ind w:right="10" w:firstLine="1433" w:firstLineChars="512"/>
        <w:rPr>
          <w:bCs/>
          <w:sz w:val="28"/>
          <w:szCs w:val="28"/>
          <w:highlight w:val="none"/>
        </w:rPr>
      </w:pPr>
      <w:r>
        <w:rPr>
          <w:rFonts w:hint="eastAsia" w:hAnsi="宋体" w:cs="宋体"/>
          <w:bCs/>
          <w:color w:val="000000"/>
          <w:sz w:val="28"/>
          <w:szCs w:val="28"/>
          <w:highlight w:val="none"/>
        </w:rPr>
        <w:t>卖方：</w:t>
      </w:r>
    </w:p>
    <w:p>
      <w:pPr>
        <w:pStyle w:val="26"/>
        <w:ind w:right="10"/>
        <w:rPr>
          <w:b/>
          <w:bCs/>
          <w:highlight w:val="none"/>
        </w:rPr>
      </w:pPr>
    </w:p>
    <w:p>
      <w:pPr>
        <w:pStyle w:val="26"/>
        <w:spacing w:line="360" w:lineRule="auto"/>
        <w:ind w:right="10" w:firstLine="1433" w:firstLineChars="512"/>
        <w:rPr>
          <w:rFonts w:hAnsi="宋体" w:cs="宋体"/>
          <w:bCs/>
          <w:color w:val="000000"/>
          <w:sz w:val="28"/>
          <w:szCs w:val="28"/>
          <w:highlight w:val="none"/>
        </w:rPr>
      </w:pPr>
      <w:r>
        <w:rPr>
          <w:rFonts w:hint="eastAsia" w:hAnsi="宋体" w:cs="宋体"/>
          <w:bCs/>
          <w:color w:val="000000"/>
          <w:sz w:val="28"/>
          <w:szCs w:val="28"/>
          <w:highlight w:val="none"/>
        </w:rPr>
        <w:t>签订地点：</w:t>
      </w:r>
    </w:p>
    <w:p>
      <w:pPr>
        <w:pStyle w:val="26"/>
        <w:spacing w:line="360" w:lineRule="auto"/>
        <w:ind w:right="10"/>
        <w:jc w:val="center"/>
        <w:rPr>
          <w:rFonts w:hAnsi="宋体" w:cs="宋体"/>
          <w:sz w:val="36"/>
          <w:szCs w:val="36"/>
          <w:highlight w:val="none"/>
        </w:rPr>
      </w:pPr>
      <w:r>
        <w:rPr>
          <w:highlight w:val="none"/>
        </w:rPr>
        <w:br w:type="page"/>
      </w:r>
      <w:bookmarkStart w:id="4" w:name="_Toc297106662"/>
      <w:bookmarkStart w:id="5" w:name="_Toc306354331"/>
      <w:bookmarkStart w:id="6" w:name="_Toc300671182"/>
      <w:bookmarkStart w:id="7" w:name="_Toc297055760"/>
      <w:bookmarkStart w:id="8" w:name="_Toc256000002"/>
      <w:r>
        <w:rPr>
          <w:rFonts w:hint="eastAsia" w:hAnsi="宋体" w:cs="宋体"/>
          <w:color w:val="000000"/>
          <w:sz w:val="36"/>
          <w:szCs w:val="36"/>
          <w:highlight w:val="none"/>
        </w:rPr>
        <w:t>第一部分合同书</w:t>
      </w:r>
      <w:bookmarkEnd w:id="4"/>
      <w:bookmarkEnd w:id="5"/>
      <w:bookmarkEnd w:id="6"/>
      <w:bookmarkEnd w:id="7"/>
      <w:bookmarkEnd w:id="8"/>
    </w:p>
    <w:p>
      <w:pPr>
        <w:pStyle w:val="26"/>
        <w:tabs>
          <w:tab w:val="left" w:pos="3060"/>
        </w:tabs>
        <w:adjustRightInd w:val="0"/>
        <w:snapToGrid w:val="0"/>
        <w:spacing w:line="360" w:lineRule="auto"/>
        <w:ind w:right="10"/>
        <w:rPr>
          <w:b/>
          <w:color w:val="000000"/>
          <w:highlight w:val="none"/>
        </w:rPr>
      </w:pPr>
    </w:p>
    <w:p>
      <w:pPr>
        <w:pStyle w:val="26"/>
        <w:tabs>
          <w:tab w:val="left" w:pos="3060"/>
        </w:tabs>
        <w:adjustRightInd w:val="0"/>
        <w:snapToGrid w:val="0"/>
        <w:spacing w:line="360" w:lineRule="auto"/>
        <w:ind w:right="10"/>
        <w:rPr>
          <w:b/>
          <w:color w:val="000000"/>
          <w:highlight w:val="none"/>
        </w:rPr>
      </w:pPr>
      <w:r>
        <w:rPr>
          <w:b/>
          <w:color w:val="000000"/>
          <w:highlight w:val="none"/>
        </w:rPr>
        <w:t>买方：</w:t>
      </w:r>
      <w:r>
        <w:rPr>
          <w:rFonts w:hint="eastAsia"/>
          <w:b/>
          <w:color w:val="000000"/>
          <w:highlight w:val="none"/>
        </w:rPr>
        <w:t>中海油能源发展股份有限公司</w:t>
      </w:r>
    </w:p>
    <w:p>
      <w:pPr>
        <w:pStyle w:val="26"/>
        <w:tabs>
          <w:tab w:val="left" w:pos="3060"/>
        </w:tabs>
        <w:adjustRightInd w:val="0"/>
        <w:snapToGrid w:val="0"/>
        <w:spacing w:line="360" w:lineRule="auto"/>
        <w:ind w:right="10"/>
        <w:rPr>
          <w:color w:val="000000"/>
          <w:highlight w:val="none"/>
        </w:rPr>
      </w:pPr>
      <w:r>
        <w:rPr>
          <w:rFonts w:hint="eastAsia"/>
          <w:color w:val="000000"/>
          <w:highlight w:val="none"/>
        </w:rPr>
        <w:t>注册地址：</w:t>
      </w:r>
      <w:r>
        <w:rPr>
          <w:color w:val="000000"/>
          <w:highlight w:val="none"/>
        </w:rPr>
        <w:t>北京市东城区东直门外小街6号</w:t>
      </w:r>
    </w:p>
    <w:p>
      <w:pPr>
        <w:pStyle w:val="26"/>
        <w:tabs>
          <w:tab w:val="left" w:pos="3060"/>
        </w:tabs>
        <w:adjustRightInd w:val="0"/>
        <w:snapToGrid w:val="0"/>
        <w:spacing w:line="360" w:lineRule="auto"/>
        <w:ind w:right="10"/>
        <w:rPr>
          <w:color w:val="000000"/>
          <w:highlight w:val="none"/>
        </w:rPr>
      </w:pPr>
      <w:r>
        <w:rPr>
          <w:rFonts w:hint="eastAsia"/>
          <w:color w:val="000000"/>
          <w:highlight w:val="none"/>
        </w:rPr>
        <w:t>统一社会信用代码：</w:t>
      </w:r>
      <w:r>
        <w:rPr>
          <w:color w:val="000000"/>
          <w:highlight w:val="none"/>
        </w:rPr>
        <w:t>91110101771554423Q</w:t>
      </w:r>
    </w:p>
    <w:p>
      <w:pPr>
        <w:pStyle w:val="26"/>
        <w:tabs>
          <w:tab w:val="left" w:pos="3060"/>
        </w:tabs>
        <w:adjustRightInd w:val="0"/>
        <w:snapToGrid w:val="0"/>
        <w:spacing w:line="360" w:lineRule="auto"/>
        <w:ind w:right="10"/>
        <w:rPr>
          <w:rFonts w:hint="eastAsia" w:eastAsia="宋体"/>
          <w:color w:val="000000"/>
          <w:highlight w:val="none"/>
          <w:lang w:eastAsia="zh-CN"/>
        </w:rPr>
      </w:pPr>
      <w:r>
        <w:rPr>
          <w:rFonts w:hint="eastAsia"/>
          <w:color w:val="000000"/>
          <w:highlight w:val="none"/>
        </w:rPr>
        <w:t>买方执行方：</w:t>
      </w:r>
    </w:p>
    <w:p>
      <w:pPr>
        <w:pStyle w:val="26"/>
        <w:tabs>
          <w:tab w:val="left" w:pos="3060"/>
        </w:tabs>
        <w:adjustRightInd w:val="0"/>
        <w:snapToGrid w:val="0"/>
        <w:spacing w:line="360" w:lineRule="auto"/>
        <w:ind w:right="10"/>
        <w:rPr>
          <w:b/>
          <w:color w:val="000000"/>
          <w:highlight w:val="none"/>
        </w:rPr>
      </w:pPr>
    </w:p>
    <w:p>
      <w:pPr>
        <w:pStyle w:val="26"/>
        <w:tabs>
          <w:tab w:val="left" w:pos="3060"/>
        </w:tabs>
        <w:adjustRightInd w:val="0"/>
        <w:snapToGrid w:val="0"/>
        <w:spacing w:line="360" w:lineRule="auto"/>
        <w:ind w:right="10"/>
        <w:rPr>
          <w:b/>
          <w:highlight w:val="none"/>
        </w:rPr>
      </w:pPr>
      <w:r>
        <w:rPr>
          <w:rFonts w:hint="eastAsia"/>
          <w:b/>
          <w:color w:val="000000"/>
          <w:highlight w:val="none"/>
        </w:rPr>
        <w:t>卖</w:t>
      </w:r>
      <w:r>
        <w:rPr>
          <w:b/>
          <w:color w:val="000000"/>
          <w:highlight w:val="none"/>
        </w:rPr>
        <w:t>方：</w:t>
      </w:r>
    </w:p>
    <w:p>
      <w:pPr>
        <w:pStyle w:val="26"/>
        <w:tabs>
          <w:tab w:val="left" w:pos="3060"/>
        </w:tabs>
        <w:adjustRightInd w:val="0"/>
        <w:snapToGrid w:val="0"/>
        <w:spacing w:line="360" w:lineRule="auto"/>
        <w:ind w:right="10"/>
        <w:rPr>
          <w:highlight w:val="none"/>
        </w:rPr>
      </w:pPr>
      <w:r>
        <w:rPr>
          <w:rFonts w:hint="eastAsia"/>
          <w:color w:val="000000"/>
          <w:highlight w:val="none"/>
        </w:rPr>
        <w:t>注册地址/住址：</w:t>
      </w:r>
    </w:p>
    <w:p>
      <w:pPr>
        <w:pStyle w:val="26"/>
        <w:spacing w:line="360" w:lineRule="auto"/>
        <w:ind w:right="10"/>
        <w:rPr>
          <w:highlight w:val="none"/>
        </w:rPr>
      </w:pPr>
    </w:p>
    <w:p>
      <w:pPr>
        <w:pStyle w:val="26"/>
        <w:snapToGrid w:val="0"/>
        <w:spacing w:line="360" w:lineRule="auto"/>
        <w:ind w:right="10" w:firstLine="660"/>
        <w:rPr>
          <w:highlight w:val="none"/>
        </w:rPr>
      </w:pPr>
      <w:r>
        <w:rPr>
          <w:rFonts w:hint="eastAsia" w:cs="宋体"/>
          <w:color w:val="000000"/>
          <w:highlight w:val="none"/>
        </w:rPr>
        <w:t>鉴于，买方是一家根据中华人民共和国法律合法设立并存续的企业，按照本合同约定的条件和采购订单,购买用于买方及其买方下属分公司、子公司（以下简称“</w:t>
      </w:r>
      <w:r>
        <w:rPr>
          <w:rFonts w:cs="宋体"/>
          <w:color w:val="000000"/>
          <w:highlight w:val="none"/>
        </w:rPr>
        <w:t>买方”</w:t>
      </w:r>
      <w:r>
        <w:rPr>
          <w:rFonts w:hint="eastAsia" w:cs="宋体"/>
          <w:color w:val="000000"/>
          <w:highlight w:val="none"/>
        </w:rPr>
        <w:t>），符合本合同要求的</w:t>
      </w:r>
      <w:r>
        <w:rPr>
          <w:rFonts w:hint="eastAsia" w:cs="宋体"/>
          <w:color w:val="000000"/>
          <w:highlight w:val="none"/>
          <w:lang w:val="en-US" w:eastAsia="zh-CN"/>
        </w:rPr>
        <w:t>XX</w:t>
      </w:r>
      <w:r>
        <w:rPr>
          <w:rFonts w:hint="eastAsia" w:cs="宋体"/>
          <w:color w:val="000000"/>
          <w:highlight w:val="none"/>
        </w:rPr>
        <w:t>（以下简称“货物”）；</w:t>
      </w:r>
    </w:p>
    <w:p>
      <w:pPr>
        <w:pStyle w:val="26"/>
        <w:tabs>
          <w:tab w:val="left" w:pos="3060"/>
        </w:tabs>
        <w:spacing w:line="360" w:lineRule="auto"/>
        <w:ind w:right="10" w:firstLine="420" w:firstLineChars="200"/>
        <w:rPr>
          <w:rFonts w:cs="宋体"/>
          <w:color w:val="000000"/>
          <w:highlight w:val="none"/>
        </w:rPr>
      </w:pPr>
      <w:r>
        <w:rPr>
          <w:rFonts w:hint="eastAsia" w:cs="宋体"/>
          <w:color w:val="000000"/>
          <w:highlight w:val="none"/>
        </w:rPr>
        <w:t>鉴于，卖方是一家根据中华人民共和国法律合法设立并存续的企业，具备提供符合本合同要求的货物的全部资质、资格和条件；</w:t>
      </w:r>
    </w:p>
    <w:p>
      <w:pPr>
        <w:pStyle w:val="26"/>
        <w:tabs>
          <w:tab w:val="left" w:pos="3060"/>
        </w:tabs>
        <w:spacing w:line="360" w:lineRule="auto"/>
        <w:ind w:right="10" w:firstLine="420" w:firstLineChars="200"/>
        <w:rPr>
          <w:rFonts w:cs="宋体"/>
          <w:color w:val="000000"/>
          <w:highlight w:val="none"/>
        </w:rPr>
      </w:pPr>
      <w:r>
        <w:rPr>
          <w:rFonts w:hint="eastAsia" w:cs="宋体"/>
          <w:color w:val="000000"/>
          <w:highlight w:val="none"/>
        </w:rPr>
        <w:t>鉴于，卖方在货物的制造、安装、质量保证、技术服务等方面具有较强的专业能力和良好信誉，愿意根据本合同的规定向买方提供货物；</w:t>
      </w:r>
    </w:p>
    <w:p>
      <w:pPr>
        <w:pStyle w:val="26"/>
        <w:tabs>
          <w:tab w:val="left" w:pos="3060"/>
        </w:tabs>
        <w:spacing w:line="360" w:lineRule="auto"/>
        <w:ind w:right="10" w:firstLine="420" w:firstLineChars="200"/>
        <w:rPr>
          <w:rFonts w:cs="宋体"/>
          <w:color w:val="000000"/>
          <w:highlight w:val="none"/>
        </w:rPr>
      </w:pPr>
      <w:r>
        <w:rPr>
          <w:rFonts w:hint="eastAsia" w:cs="宋体"/>
          <w:color w:val="000000"/>
          <w:highlight w:val="none"/>
        </w:rPr>
        <w:t>鉴于1.买方在生产上对本合同标的物有需求；2.买卖双方自愿按照本合同约束的各项条款，实施服务与被服务的商业贸易；3.本合同权利义务同样适用于买方及买方下属分公司、子公司。买方及买方子公司均为本合同的独立买方，均独立享有本合同的所有权利和义务，但互相之间不负有连带责任。卖方应分别向买方及买方子公司独立供货并履行相关义务和责任。</w:t>
      </w:r>
    </w:p>
    <w:p>
      <w:pPr>
        <w:pStyle w:val="26"/>
        <w:tabs>
          <w:tab w:val="left" w:pos="3060"/>
        </w:tabs>
        <w:spacing w:line="360" w:lineRule="auto"/>
        <w:ind w:right="10" w:firstLine="420" w:firstLineChars="200"/>
        <w:rPr>
          <w:highlight w:val="none"/>
        </w:rPr>
      </w:pPr>
      <w:r>
        <w:rPr>
          <w:rFonts w:hint="eastAsia" w:cs="宋体"/>
          <w:color w:val="000000"/>
          <w:highlight w:val="none"/>
        </w:rPr>
        <w:t>根据《中华人民共和国</w:t>
      </w:r>
      <w:r>
        <w:rPr>
          <w:rFonts w:hint="eastAsia" w:cs="宋体"/>
          <w:color w:val="000000"/>
          <w:highlight w:val="none"/>
          <w:lang w:val="en-US" w:eastAsia="zh-CN"/>
        </w:rPr>
        <w:t>民法典</w:t>
      </w:r>
      <w:r>
        <w:rPr>
          <w:rFonts w:hint="eastAsia" w:cs="宋体"/>
          <w:color w:val="000000"/>
          <w:highlight w:val="none"/>
        </w:rPr>
        <w:t>》及相关法律法规，在遵循平等、自愿、公平和诚实信用原则的基础上，经协商一致，双方订立本合同如下：</w:t>
      </w:r>
    </w:p>
    <w:p>
      <w:pPr>
        <w:pStyle w:val="27"/>
        <w:numPr>
          <w:ilvl w:val="1"/>
          <w:numId w:val="1"/>
        </w:numPr>
        <w:spacing w:before="360" w:after="360" w:line="240" w:lineRule="auto"/>
        <w:ind w:left="3685" w:right="11" w:rightChars="0" w:hanging="958"/>
        <w:jc w:val="both"/>
        <w:outlineLvl w:val="9"/>
        <w:rPr>
          <w:rFonts w:ascii="宋体"/>
          <w:iCs/>
          <w:sz w:val="24"/>
          <w:szCs w:val="24"/>
          <w:highlight w:val="none"/>
        </w:rPr>
      </w:pPr>
      <w:bookmarkStart w:id="9" w:name="_Toc275597818"/>
      <w:bookmarkStart w:id="10" w:name="_Toc287364267"/>
      <w:bookmarkStart w:id="11" w:name="_Toc300671183"/>
      <w:bookmarkStart w:id="12" w:name="_Toc274754019"/>
      <w:bookmarkStart w:id="13" w:name="_Toc276157510"/>
      <w:bookmarkStart w:id="14" w:name="_Toc274343600"/>
      <w:bookmarkStart w:id="15" w:name="_Toc288567127"/>
      <w:bookmarkStart w:id="16" w:name="_Toc274076141"/>
      <w:bookmarkStart w:id="17" w:name="_Toc306354332"/>
      <w:bookmarkStart w:id="18" w:name="_Toc287657099"/>
      <w:bookmarkStart w:id="19" w:name="_Toc274075952"/>
      <w:bookmarkStart w:id="20" w:name="_Toc276251151"/>
      <w:bookmarkStart w:id="21" w:name="_Toc274075953"/>
      <w:bookmarkStart w:id="22" w:name="_Toc274669313"/>
      <w:bookmarkStart w:id="23" w:name="_Toc274403529"/>
      <w:r>
        <w:rPr>
          <w:rFonts w:hint="eastAsia" w:ascii="宋体" w:hAnsi="宋体" w:cs="宋体"/>
          <w:iCs/>
          <w:color w:val="000000"/>
          <w:sz w:val="24"/>
          <w:szCs w:val="24"/>
          <w:highlight w:val="none"/>
        </w:rPr>
        <w:t>合同标的</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pPr>
        <w:pStyle w:val="26"/>
        <w:numPr>
          <w:ilvl w:val="1"/>
          <w:numId w:val="2"/>
        </w:numPr>
        <w:tabs>
          <w:tab w:val="left" w:pos="720"/>
        </w:tabs>
        <w:spacing w:line="360" w:lineRule="auto"/>
        <w:ind w:left="720" w:right="11" w:hanging="720"/>
        <w:rPr>
          <w:highlight w:val="none"/>
        </w:rPr>
      </w:pPr>
      <w:r>
        <w:rPr>
          <w:rFonts w:hint="eastAsia" w:cs="宋体"/>
          <w:color w:val="000000"/>
          <w:highlight w:val="none"/>
        </w:rPr>
        <w:t>卖方应根据本合同向买方销售货物，且就货物提供合同约定的培训、售后等相关服务。</w:t>
      </w:r>
    </w:p>
    <w:p>
      <w:pPr>
        <w:pStyle w:val="26"/>
        <w:numPr>
          <w:ilvl w:val="1"/>
          <w:numId w:val="2"/>
        </w:numPr>
        <w:tabs>
          <w:tab w:val="left" w:pos="709"/>
        </w:tabs>
        <w:spacing w:line="360" w:lineRule="auto"/>
        <w:ind w:left="720" w:right="11" w:hanging="720"/>
        <w:rPr>
          <w:highlight w:val="none"/>
        </w:rPr>
      </w:pPr>
      <w:r>
        <w:rPr>
          <w:rFonts w:hint="eastAsia" w:cs="宋体"/>
          <w:color w:val="000000"/>
          <w:highlight w:val="none"/>
        </w:rPr>
        <w:t>货物的型号、规格、数量、技术规范、指标、性能和要求等详见本合同附件一。</w:t>
      </w:r>
    </w:p>
    <w:p>
      <w:pPr>
        <w:pStyle w:val="26"/>
        <w:numPr>
          <w:ilvl w:val="1"/>
          <w:numId w:val="2"/>
        </w:numPr>
        <w:tabs>
          <w:tab w:val="left" w:pos="709"/>
        </w:tabs>
        <w:spacing w:line="360" w:lineRule="auto"/>
        <w:ind w:left="720" w:right="11" w:hanging="720"/>
        <w:rPr>
          <w:highlight w:val="none"/>
        </w:rPr>
      </w:pPr>
      <w:r>
        <w:rPr>
          <w:rFonts w:hint="eastAsia"/>
          <w:color w:val="000000"/>
          <w:highlight w:val="none"/>
        </w:rPr>
        <w:t>货物的供货范围和交货时间将根据双方另行签订的</w:t>
      </w:r>
      <w:r>
        <w:rPr>
          <w:rFonts w:hint="eastAsia" w:cs="宋体"/>
          <w:color w:val="000000"/>
          <w:highlight w:val="none"/>
        </w:rPr>
        <w:t>采购订单确定。</w:t>
      </w:r>
    </w:p>
    <w:p>
      <w:pPr>
        <w:pStyle w:val="26"/>
        <w:numPr>
          <w:ilvl w:val="1"/>
          <w:numId w:val="2"/>
        </w:numPr>
        <w:tabs>
          <w:tab w:val="left" w:pos="709"/>
        </w:tabs>
        <w:spacing w:line="360" w:lineRule="auto"/>
        <w:ind w:left="720" w:right="11" w:hanging="720"/>
        <w:rPr>
          <w:color w:val="000000"/>
          <w:highlight w:val="none"/>
        </w:rPr>
      </w:pPr>
      <w:r>
        <w:rPr>
          <w:rFonts w:hint="eastAsia" w:cs="宋体"/>
          <w:color w:val="000000"/>
          <w:highlight w:val="none"/>
        </w:rPr>
        <w:t>技术要求详见本合同附件二。</w:t>
      </w:r>
    </w:p>
    <w:p>
      <w:pPr>
        <w:pStyle w:val="27"/>
        <w:numPr>
          <w:ilvl w:val="1"/>
          <w:numId w:val="1"/>
        </w:numPr>
        <w:spacing w:before="360" w:after="360" w:line="240" w:lineRule="auto"/>
        <w:ind w:left="3685" w:right="11" w:rightChars="0" w:hanging="958"/>
        <w:jc w:val="both"/>
        <w:outlineLvl w:val="9"/>
        <w:rPr>
          <w:rFonts w:ascii="宋体" w:hAnsi="宋体" w:cs="宋体"/>
          <w:iCs/>
          <w:color w:val="000000"/>
          <w:sz w:val="24"/>
          <w:szCs w:val="24"/>
          <w:highlight w:val="none"/>
        </w:rPr>
      </w:pPr>
      <w:bookmarkStart w:id="24" w:name="_Toc296955842"/>
      <w:bookmarkStart w:id="25" w:name="_Toc288479378"/>
      <w:bookmarkStart w:id="26" w:name="_Toc296959304"/>
      <w:bookmarkStart w:id="27" w:name="_Toc306354333"/>
      <w:bookmarkStart w:id="28" w:name="_Toc300671184"/>
      <w:bookmarkStart w:id="29" w:name="_Toc274754020"/>
      <w:bookmarkStart w:id="30" w:name="_Toc291435828"/>
      <w:bookmarkStart w:id="31" w:name="_Toc274474905"/>
      <w:bookmarkStart w:id="32" w:name="_Toc278889775"/>
      <w:bookmarkStart w:id="33" w:name="_Toc274076142"/>
      <w:bookmarkStart w:id="34" w:name="_Toc274343601"/>
      <w:bookmarkStart w:id="35" w:name="_Toc274075954"/>
      <w:bookmarkStart w:id="36" w:name="_Toc273451829"/>
      <w:bookmarkStart w:id="37" w:name="_Toc274403530"/>
      <w:bookmarkStart w:id="38" w:name="_Toc274669314"/>
      <w:bookmarkStart w:id="39" w:name="_Toc273451896"/>
      <w:bookmarkStart w:id="40" w:name="_Toc274668316"/>
      <w:bookmarkStart w:id="41" w:name="_Toc291435895"/>
      <w:r>
        <w:rPr>
          <w:rFonts w:hint="eastAsia" w:ascii="宋体" w:hAnsi="宋体" w:cs="宋体"/>
          <w:iCs/>
          <w:color w:val="000000"/>
          <w:sz w:val="24"/>
          <w:szCs w:val="24"/>
          <w:highlight w:val="none"/>
        </w:rPr>
        <w:t>合同</w:t>
      </w:r>
      <w:bookmarkEnd w:id="24"/>
      <w:bookmarkEnd w:id="25"/>
      <w:bookmarkEnd w:id="26"/>
      <w:r>
        <w:rPr>
          <w:rFonts w:hint="eastAsia" w:ascii="宋体" w:hAnsi="宋体" w:cs="宋体"/>
          <w:iCs/>
          <w:color w:val="000000"/>
          <w:sz w:val="24"/>
          <w:szCs w:val="24"/>
          <w:highlight w:val="none"/>
        </w:rPr>
        <w:t>价款</w:t>
      </w:r>
      <w:bookmarkEnd w:id="27"/>
      <w:bookmarkEnd w:id="28"/>
    </w:p>
    <w:p>
      <w:pPr>
        <w:pStyle w:val="26"/>
        <w:numPr>
          <w:ilvl w:val="0"/>
          <w:numId w:val="3"/>
        </w:numPr>
        <w:tabs>
          <w:tab w:val="left" w:pos="720"/>
        </w:tabs>
        <w:spacing w:line="360" w:lineRule="auto"/>
        <w:ind w:left="542" w:right="11" w:hanging="540"/>
        <w:rPr>
          <w:highlight w:val="none"/>
        </w:rPr>
      </w:pPr>
      <w:r>
        <w:rPr>
          <w:rFonts w:hint="eastAsia" w:hAnsi="宋体" w:cs="宋体"/>
          <w:color w:val="000000"/>
          <w:highlight w:val="none"/>
        </w:rPr>
        <w:t>本合同项下货物的分项价格、单价、费率或组成详见本合同附件一。</w:t>
      </w:r>
    </w:p>
    <w:bookmarkEnd w:id="29"/>
    <w:bookmarkEnd w:id="30"/>
    <w:bookmarkEnd w:id="31"/>
    <w:bookmarkEnd w:id="32"/>
    <w:bookmarkEnd w:id="33"/>
    <w:bookmarkEnd w:id="34"/>
    <w:bookmarkEnd w:id="35"/>
    <w:bookmarkEnd w:id="36"/>
    <w:bookmarkEnd w:id="37"/>
    <w:bookmarkEnd w:id="38"/>
    <w:bookmarkEnd w:id="39"/>
    <w:bookmarkEnd w:id="40"/>
    <w:bookmarkEnd w:id="41"/>
    <w:p>
      <w:pPr>
        <w:pStyle w:val="27"/>
        <w:numPr>
          <w:ilvl w:val="1"/>
          <w:numId w:val="1"/>
        </w:numPr>
        <w:spacing w:before="360" w:after="360" w:line="240" w:lineRule="auto"/>
        <w:ind w:left="3685" w:right="11" w:rightChars="0" w:hanging="958"/>
        <w:jc w:val="both"/>
        <w:outlineLvl w:val="9"/>
        <w:rPr>
          <w:rFonts w:ascii="宋体" w:hAnsi="宋体" w:cs="宋体"/>
          <w:iCs/>
          <w:color w:val="000000"/>
          <w:sz w:val="24"/>
          <w:szCs w:val="24"/>
          <w:highlight w:val="none"/>
        </w:rPr>
      </w:pPr>
      <w:bookmarkStart w:id="42" w:name="_Toc300671185"/>
      <w:bookmarkStart w:id="43" w:name="_Toc306354334"/>
      <w:r>
        <w:rPr>
          <w:rFonts w:hint="eastAsia" w:ascii="宋体" w:hAnsi="宋体" w:cs="宋体"/>
          <w:iCs/>
          <w:color w:val="000000"/>
          <w:sz w:val="24"/>
          <w:szCs w:val="24"/>
          <w:highlight w:val="none"/>
        </w:rPr>
        <w:t>合同的构成和效力</w:t>
      </w:r>
      <w:bookmarkEnd w:id="42"/>
      <w:bookmarkEnd w:id="43"/>
    </w:p>
    <w:p>
      <w:pPr>
        <w:pStyle w:val="26"/>
        <w:numPr>
          <w:ilvl w:val="3"/>
          <w:numId w:val="4"/>
        </w:numPr>
        <w:tabs>
          <w:tab w:val="left" w:pos="720"/>
          <w:tab w:val="left" w:pos="3060"/>
          <w:tab w:val="clear" w:pos="1468"/>
        </w:tabs>
        <w:spacing w:line="360" w:lineRule="auto"/>
        <w:ind w:right="11" w:hanging="1468"/>
        <w:rPr>
          <w:highlight w:val="none"/>
        </w:rPr>
      </w:pPr>
      <w:r>
        <w:rPr>
          <w:rFonts w:hint="eastAsia" w:cs="宋体"/>
          <w:color w:val="000000"/>
          <w:highlight w:val="none"/>
        </w:rPr>
        <w:t>本合同由以下部分组成：</w:t>
      </w:r>
    </w:p>
    <w:p>
      <w:pPr>
        <w:pStyle w:val="26"/>
        <w:numPr>
          <w:ilvl w:val="5"/>
          <w:numId w:val="4"/>
        </w:numPr>
        <w:tabs>
          <w:tab w:val="left" w:pos="1260"/>
        </w:tabs>
        <w:autoSpaceDE w:val="0"/>
        <w:autoSpaceDN w:val="0"/>
        <w:spacing w:line="360" w:lineRule="auto"/>
        <w:ind w:left="1134" w:right="11" w:hanging="414"/>
        <w:textAlignment w:val="bottom"/>
        <w:rPr>
          <w:highlight w:val="none"/>
        </w:rPr>
      </w:pPr>
      <w:r>
        <w:rPr>
          <w:rFonts w:hint="eastAsia" w:cs="宋体"/>
          <w:color w:val="000000"/>
          <w:highlight w:val="none"/>
        </w:rPr>
        <w:t>第一部分：</w:t>
      </w:r>
      <w:r>
        <w:rPr>
          <w:rFonts w:hint="eastAsia" w:hAnsi="宋体" w:cs="宋体"/>
          <w:color w:val="000000"/>
          <w:highlight w:val="none"/>
        </w:rPr>
        <w:t>合同书</w:t>
      </w:r>
    </w:p>
    <w:p>
      <w:pPr>
        <w:pStyle w:val="26"/>
        <w:numPr>
          <w:ilvl w:val="5"/>
          <w:numId w:val="4"/>
        </w:numPr>
        <w:tabs>
          <w:tab w:val="left" w:pos="1260"/>
        </w:tabs>
        <w:autoSpaceDE w:val="0"/>
        <w:autoSpaceDN w:val="0"/>
        <w:spacing w:line="360" w:lineRule="auto"/>
        <w:ind w:left="1134" w:right="11" w:hanging="414"/>
        <w:textAlignment w:val="bottom"/>
        <w:rPr>
          <w:highlight w:val="none"/>
        </w:rPr>
      </w:pPr>
      <w:r>
        <w:rPr>
          <w:rFonts w:hint="eastAsia" w:cs="宋体"/>
          <w:color w:val="000000"/>
          <w:highlight w:val="none"/>
        </w:rPr>
        <w:t>第二部分：</w:t>
      </w:r>
      <w:r>
        <w:rPr>
          <w:rFonts w:hint="eastAsia" w:hAnsi="宋体" w:cs="宋体"/>
          <w:color w:val="000000"/>
          <w:highlight w:val="none"/>
        </w:rPr>
        <w:t>专用合同条款</w:t>
      </w:r>
    </w:p>
    <w:p>
      <w:pPr>
        <w:pStyle w:val="26"/>
        <w:numPr>
          <w:ilvl w:val="5"/>
          <w:numId w:val="4"/>
        </w:numPr>
        <w:tabs>
          <w:tab w:val="left" w:pos="1260"/>
        </w:tabs>
        <w:autoSpaceDE w:val="0"/>
        <w:autoSpaceDN w:val="0"/>
        <w:spacing w:line="360" w:lineRule="auto"/>
        <w:ind w:left="1134" w:right="11" w:hanging="414"/>
        <w:textAlignment w:val="bottom"/>
        <w:rPr>
          <w:highlight w:val="none"/>
        </w:rPr>
      </w:pPr>
      <w:r>
        <w:rPr>
          <w:rFonts w:hint="eastAsia" w:cs="宋体"/>
          <w:color w:val="000000"/>
          <w:highlight w:val="none"/>
        </w:rPr>
        <w:t>第三部分：</w:t>
      </w:r>
      <w:r>
        <w:rPr>
          <w:rFonts w:hint="eastAsia" w:hAnsi="宋体" w:cs="宋体"/>
          <w:color w:val="000000"/>
          <w:highlight w:val="none"/>
        </w:rPr>
        <w:t>通用合同条款</w:t>
      </w:r>
    </w:p>
    <w:p>
      <w:pPr>
        <w:pStyle w:val="26"/>
        <w:numPr>
          <w:ilvl w:val="5"/>
          <w:numId w:val="4"/>
        </w:numPr>
        <w:tabs>
          <w:tab w:val="left" w:pos="1260"/>
        </w:tabs>
        <w:autoSpaceDE w:val="0"/>
        <w:autoSpaceDN w:val="0"/>
        <w:spacing w:line="360" w:lineRule="auto"/>
        <w:ind w:left="1134" w:right="11" w:hanging="414"/>
        <w:textAlignment w:val="bottom"/>
        <w:rPr>
          <w:rFonts w:hAnsi="宋体"/>
          <w:highlight w:val="none"/>
        </w:rPr>
      </w:pPr>
      <w:r>
        <w:rPr>
          <w:rFonts w:hint="eastAsia" w:cs="宋体"/>
          <w:color w:val="000000"/>
          <w:highlight w:val="none"/>
        </w:rPr>
        <w:t>第四部分：</w:t>
      </w:r>
      <w:r>
        <w:rPr>
          <w:rFonts w:hint="eastAsia" w:hAnsi="宋体" w:cs="宋体"/>
          <w:color w:val="000000"/>
          <w:highlight w:val="none"/>
        </w:rPr>
        <w:t>附件</w:t>
      </w:r>
    </w:p>
    <w:p>
      <w:pPr>
        <w:pStyle w:val="26"/>
        <w:autoSpaceDE w:val="0"/>
        <w:autoSpaceDN w:val="0"/>
        <w:spacing w:line="360" w:lineRule="auto"/>
        <w:ind w:left="1153" w:leftChars="549" w:right="10"/>
        <w:textAlignment w:val="bottom"/>
        <w:rPr>
          <w:highlight w:val="none"/>
        </w:rPr>
      </w:pPr>
      <w:r>
        <w:rPr>
          <w:rFonts w:hint="eastAsia" w:cs="宋体"/>
          <w:color w:val="000000"/>
          <w:highlight w:val="none"/>
        </w:rPr>
        <w:t>附件一：货物清单及价格明细</w:t>
      </w:r>
    </w:p>
    <w:p>
      <w:pPr>
        <w:pStyle w:val="26"/>
        <w:autoSpaceDE w:val="0"/>
        <w:autoSpaceDN w:val="0"/>
        <w:spacing w:line="360" w:lineRule="auto"/>
        <w:ind w:left="1153" w:leftChars="549" w:right="10"/>
        <w:textAlignment w:val="bottom"/>
        <w:rPr>
          <w:highlight w:val="none"/>
        </w:rPr>
      </w:pPr>
      <w:r>
        <w:rPr>
          <w:rFonts w:hint="eastAsia" w:cs="宋体"/>
          <w:color w:val="000000"/>
          <w:highlight w:val="none"/>
        </w:rPr>
        <w:t>附件二：技术要求</w:t>
      </w:r>
    </w:p>
    <w:p>
      <w:pPr>
        <w:pStyle w:val="26"/>
        <w:autoSpaceDE w:val="0"/>
        <w:autoSpaceDN w:val="0"/>
        <w:spacing w:line="360" w:lineRule="auto"/>
        <w:ind w:left="1153" w:leftChars="549" w:right="10"/>
        <w:textAlignment w:val="bottom"/>
        <w:rPr>
          <w:highlight w:val="none"/>
        </w:rPr>
      </w:pPr>
      <w:r>
        <w:rPr>
          <w:rFonts w:hint="eastAsia" w:cs="宋体"/>
          <w:color w:val="000000"/>
          <w:highlight w:val="none"/>
        </w:rPr>
        <w:t>附件三：采购订单及发货清单（格式）</w:t>
      </w:r>
    </w:p>
    <w:p>
      <w:pPr>
        <w:pStyle w:val="26"/>
        <w:autoSpaceDE w:val="0"/>
        <w:autoSpaceDN w:val="0"/>
        <w:spacing w:line="360" w:lineRule="auto"/>
        <w:ind w:left="1153" w:leftChars="549" w:right="10"/>
        <w:textAlignment w:val="bottom"/>
        <w:rPr>
          <w:highlight w:val="none"/>
        </w:rPr>
      </w:pPr>
      <w:r>
        <w:rPr>
          <w:rFonts w:hint="eastAsia" w:cs="宋体"/>
          <w:color w:val="000000"/>
          <w:highlight w:val="none"/>
        </w:rPr>
        <w:t>附件四：送货单（格式）</w:t>
      </w:r>
    </w:p>
    <w:p>
      <w:pPr>
        <w:pStyle w:val="26"/>
        <w:spacing w:line="360" w:lineRule="auto"/>
        <w:ind w:left="1153" w:leftChars="549" w:right="10"/>
        <w:rPr>
          <w:rFonts w:cs="宋体"/>
          <w:color w:val="000000"/>
          <w:highlight w:val="none"/>
        </w:rPr>
      </w:pPr>
      <w:r>
        <w:rPr>
          <w:rFonts w:hint="eastAsia" w:cs="宋体"/>
          <w:color w:val="000000"/>
          <w:highlight w:val="none"/>
        </w:rPr>
        <w:t>附件五：廉洁备忘录</w:t>
      </w:r>
    </w:p>
    <w:p>
      <w:pPr>
        <w:pStyle w:val="26"/>
        <w:spacing w:line="360" w:lineRule="auto"/>
        <w:ind w:left="1153" w:leftChars="549" w:right="10"/>
        <w:rPr>
          <w:rFonts w:hint="eastAsia" w:cs="宋体"/>
          <w:color w:val="000000"/>
          <w:highlight w:val="none"/>
        </w:rPr>
      </w:pPr>
      <w:r>
        <w:rPr>
          <w:rFonts w:hint="eastAsia" w:cs="宋体"/>
          <w:color w:val="000000"/>
          <w:highlight w:val="none"/>
        </w:rPr>
        <w:t>附件六：疫情防控管理协议</w:t>
      </w:r>
    </w:p>
    <w:p>
      <w:pPr>
        <w:pStyle w:val="26"/>
        <w:numPr>
          <w:ilvl w:val="3"/>
          <w:numId w:val="4"/>
        </w:numPr>
        <w:tabs>
          <w:tab w:val="left" w:pos="720"/>
          <w:tab w:val="left" w:pos="3060"/>
          <w:tab w:val="clear" w:pos="1468"/>
        </w:tabs>
        <w:spacing w:line="360" w:lineRule="auto"/>
        <w:ind w:left="709" w:right="11" w:hanging="709"/>
        <w:rPr>
          <w:highlight w:val="none"/>
        </w:rPr>
      </w:pPr>
      <w:r>
        <w:rPr>
          <w:rFonts w:hint="eastAsia" w:cs="宋体"/>
          <w:color w:val="000000"/>
          <w:highlight w:val="none"/>
        </w:rPr>
        <w:t>合同书、专用合同条款、通用合同条款和各附件均构成本合同不可分割的组成部分，各部分之间的内容相互补充、说明，以便对合同予以完整理解。如合同各组成部分之间存在冲突或不一致，以上述序列作为优先顺序进行解释。</w:t>
      </w:r>
    </w:p>
    <w:p>
      <w:pPr>
        <w:pStyle w:val="26"/>
        <w:numPr>
          <w:ilvl w:val="3"/>
          <w:numId w:val="4"/>
        </w:numPr>
        <w:tabs>
          <w:tab w:val="left" w:pos="720"/>
          <w:tab w:val="left" w:pos="3060"/>
          <w:tab w:val="clear" w:pos="1468"/>
        </w:tabs>
        <w:spacing w:line="360" w:lineRule="auto"/>
        <w:ind w:left="709" w:right="11" w:hanging="709"/>
        <w:rPr>
          <w:highlight w:val="none"/>
        </w:rPr>
      </w:pPr>
      <w:r>
        <w:rPr>
          <w:rFonts w:hint="eastAsia" w:cs="宋体"/>
          <w:color w:val="000000"/>
          <w:highlight w:val="none"/>
        </w:rPr>
        <w:t>本合同构成双方就合同标的达成的全部理解和一致，</w:t>
      </w:r>
      <w:r>
        <w:rPr>
          <w:rFonts w:hint="eastAsia" w:hAnsi="宋体" w:cs="宋体"/>
          <w:color w:val="000000"/>
          <w:highlight w:val="none"/>
        </w:rPr>
        <w:t>本合同签署以前双方就</w:t>
      </w:r>
      <w:r>
        <w:rPr>
          <w:rFonts w:hint="eastAsia" w:cs="宋体"/>
          <w:color w:val="000000"/>
          <w:highlight w:val="none"/>
        </w:rPr>
        <w:t>合同标的</w:t>
      </w:r>
      <w:r>
        <w:rPr>
          <w:rFonts w:hint="eastAsia" w:hAnsi="宋体" w:cs="宋体"/>
          <w:color w:val="000000"/>
          <w:highlight w:val="none"/>
        </w:rPr>
        <w:t>达成的所有口头和</w:t>
      </w:r>
      <w:r>
        <w:rPr>
          <w:rFonts w:hAnsi="宋体"/>
          <w:color w:val="000000"/>
          <w:highlight w:val="none"/>
        </w:rPr>
        <w:t>/</w:t>
      </w:r>
      <w:r>
        <w:rPr>
          <w:rFonts w:hint="eastAsia" w:hAnsi="宋体" w:cs="宋体"/>
          <w:color w:val="000000"/>
          <w:highlight w:val="none"/>
        </w:rPr>
        <w:t>或书面的理解、声明、文件、信件及双方其它形式的通信在本合同生效后自动失效。</w:t>
      </w:r>
    </w:p>
    <w:p>
      <w:pPr>
        <w:pStyle w:val="27"/>
        <w:numPr>
          <w:ilvl w:val="1"/>
          <w:numId w:val="1"/>
        </w:numPr>
        <w:spacing w:before="360" w:after="360" w:line="240" w:lineRule="auto"/>
        <w:ind w:left="3685" w:right="11" w:rightChars="0" w:hanging="958"/>
        <w:jc w:val="both"/>
        <w:outlineLvl w:val="9"/>
        <w:rPr>
          <w:rFonts w:ascii="宋体" w:hAnsi="宋体" w:cs="宋体"/>
          <w:iCs/>
          <w:color w:val="000000"/>
          <w:sz w:val="24"/>
          <w:szCs w:val="24"/>
          <w:highlight w:val="none"/>
        </w:rPr>
      </w:pPr>
      <w:bookmarkStart w:id="44" w:name="_Toc306354335"/>
      <w:bookmarkStart w:id="45" w:name="_Toc300671186"/>
      <w:r>
        <w:rPr>
          <w:rFonts w:hint="eastAsia" w:ascii="宋体" w:hAnsi="宋体" w:cs="宋体"/>
          <w:iCs/>
          <w:color w:val="000000"/>
          <w:sz w:val="24"/>
          <w:szCs w:val="24"/>
          <w:highlight w:val="none"/>
        </w:rPr>
        <w:t>联系方式</w:t>
      </w:r>
      <w:bookmarkEnd w:id="44"/>
      <w:bookmarkEnd w:id="45"/>
    </w:p>
    <w:p>
      <w:pPr>
        <w:pStyle w:val="26"/>
        <w:numPr>
          <w:ilvl w:val="0"/>
          <w:numId w:val="5"/>
        </w:numPr>
        <w:tabs>
          <w:tab w:val="left" w:pos="720"/>
          <w:tab w:val="clear" w:pos="1468"/>
        </w:tabs>
        <w:spacing w:line="360" w:lineRule="auto"/>
        <w:ind w:left="720" w:right="11" w:hanging="720"/>
        <w:rPr>
          <w:highlight w:val="none"/>
        </w:rPr>
      </w:pPr>
      <w:r>
        <w:rPr>
          <w:rFonts w:hint="eastAsia" w:cs="宋体"/>
          <w:color w:val="000000"/>
          <w:highlight w:val="none"/>
        </w:rPr>
        <w:t>除非本合同另有明确规定或双方另行书面同意，任何一方根据本合同向另一方交付资料和发送通知的联系方式如下：</w:t>
      </w:r>
    </w:p>
    <w:p>
      <w:pPr>
        <w:numPr>
          <w:ilvl w:val="1"/>
          <w:numId w:val="6"/>
        </w:numPr>
        <w:tabs>
          <w:tab w:val="left" w:pos="1418"/>
        </w:tabs>
        <w:autoSpaceDE w:val="0"/>
        <w:autoSpaceDN w:val="0"/>
        <w:spacing w:line="360" w:lineRule="auto"/>
        <w:ind w:left="1418" w:hanging="709"/>
        <w:textAlignment w:val="bottom"/>
        <w:rPr>
          <w:highlight w:val="none"/>
        </w:rPr>
      </w:pPr>
      <w:r>
        <w:rPr>
          <w:rFonts w:hint="eastAsia"/>
          <w:highlight w:val="none"/>
        </w:rPr>
        <w:t>买方</w:t>
      </w:r>
      <w:r>
        <w:rPr>
          <w:highlight w:val="none"/>
        </w:rPr>
        <w:t>地址：</w:t>
      </w:r>
      <w:r>
        <w:rPr>
          <w:rFonts w:hint="eastAsia"/>
          <w:highlight w:val="none"/>
        </w:rPr>
        <w:t>天津市滨海新区塘沽渤海石油路688号</w:t>
      </w:r>
    </w:p>
    <w:p>
      <w:pPr>
        <w:tabs>
          <w:tab w:val="left" w:pos="1418"/>
        </w:tabs>
        <w:autoSpaceDE w:val="0"/>
        <w:autoSpaceDN w:val="0"/>
        <w:spacing w:line="360" w:lineRule="auto"/>
        <w:ind w:left="1237" w:leftChars="589" w:firstLine="2"/>
        <w:textAlignment w:val="bottom"/>
        <w:rPr>
          <w:highlight w:val="none"/>
        </w:rPr>
      </w:pPr>
      <w:r>
        <w:rPr>
          <w:highlight w:val="none"/>
        </w:rPr>
        <w:t>邮政编码：</w:t>
      </w:r>
      <w:r>
        <w:rPr>
          <w:rFonts w:hint="eastAsia"/>
          <w:highlight w:val="none"/>
        </w:rPr>
        <w:t>300452</w:t>
      </w:r>
    </w:p>
    <w:p>
      <w:pPr>
        <w:tabs>
          <w:tab w:val="left" w:pos="1418"/>
        </w:tabs>
        <w:autoSpaceDE w:val="0"/>
        <w:autoSpaceDN w:val="0"/>
        <w:spacing w:line="360" w:lineRule="auto"/>
        <w:ind w:left="1237" w:leftChars="589" w:firstLine="2"/>
        <w:textAlignment w:val="bottom"/>
        <w:rPr>
          <w:highlight w:val="none"/>
        </w:rPr>
      </w:pPr>
      <w:r>
        <w:rPr>
          <w:rFonts w:hint="eastAsia"/>
          <w:highlight w:val="none"/>
        </w:rPr>
        <w:t>联系人</w:t>
      </w:r>
      <w:r>
        <w:rPr>
          <w:highlight w:val="none"/>
        </w:rPr>
        <w:t>：</w:t>
      </w:r>
      <w:r>
        <w:rPr>
          <w:rFonts w:hint="eastAsia"/>
          <w:highlight w:val="none"/>
        </w:rPr>
        <w:t>于文超</w:t>
      </w:r>
    </w:p>
    <w:p>
      <w:pPr>
        <w:tabs>
          <w:tab w:val="left" w:pos="1418"/>
        </w:tabs>
        <w:autoSpaceDE w:val="0"/>
        <w:autoSpaceDN w:val="0"/>
        <w:spacing w:line="360" w:lineRule="auto"/>
        <w:ind w:left="1237" w:leftChars="589" w:firstLine="2"/>
        <w:textAlignment w:val="bottom"/>
        <w:rPr>
          <w:rFonts w:hint="eastAsia" w:eastAsiaTheme="minorEastAsia"/>
          <w:highlight w:val="none"/>
          <w:lang w:eastAsia="zh-CN"/>
        </w:rPr>
      </w:pPr>
      <w:r>
        <w:rPr>
          <w:rFonts w:hint="eastAsia"/>
          <w:highlight w:val="none"/>
        </w:rPr>
        <w:t>联系</w:t>
      </w:r>
      <w:r>
        <w:rPr>
          <w:highlight w:val="none"/>
        </w:rPr>
        <w:t>电话：</w:t>
      </w:r>
      <w:r>
        <w:rPr>
          <w:rFonts w:hint="eastAsia"/>
          <w:highlight w:val="none"/>
        </w:rPr>
        <w:t>022-2580227</w:t>
      </w:r>
      <w:r>
        <w:rPr>
          <w:rFonts w:hint="eastAsia"/>
          <w:highlight w:val="none"/>
          <w:lang w:val="en-US" w:eastAsia="zh-CN"/>
        </w:rPr>
        <w:t>1</w:t>
      </w:r>
    </w:p>
    <w:p>
      <w:pPr>
        <w:numPr>
          <w:ilvl w:val="1"/>
          <w:numId w:val="6"/>
        </w:numPr>
        <w:tabs>
          <w:tab w:val="left" w:pos="1418"/>
        </w:tabs>
        <w:autoSpaceDE w:val="0"/>
        <w:autoSpaceDN w:val="0"/>
        <w:spacing w:line="360" w:lineRule="auto"/>
        <w:ind w:left="1418" w:hanging="709"/>
        <w:textAlignment w:val="bottom"/>
        <w:rPr>
          <w:highlight w:val="none"/>
        </w:rPr>
      </w:pPr>
      <w:r>
        <w:rPr>
          <w:highlight w:val="none"/>
        </w:rPr>
        <w:t>卖方地址：</w:t>
      </w:r>
    </w:p>
    <w:p>
      <w:pPr>
        <w:pStyle w:val="26"/>
        <w:tabs>
          <w:tab w:val="left" w:pos="1418"/>
        </w:tabs>
        <w:autoSpaceDE w:val="0"/>
        <w:autoSpaceDN w:val="0"/>
        <w:spacing w:line="360" w:lineRule="auto"/>
        <w:ind w:left="1237" w:leftChars="589" w:right="10" w:firstLine="2"/>
        <w:textAlignment w:val="bottom"/>
        <w:rPr>
          <w:highlight w:val="none"/>
        </w:rPr>
      </w:pPr>
      <w:r>
        <w:rPr>
          <w:color w:val="000000"/>
          <w:highlight w:val="none"/>
        </w:rPr>
        <w:t>邮政编码：</w:t>
      </w:r>
    </w:p>
    <w:p>
      <w:pPr>
        <w:pStyle w:val="26"/>
        <w:tabs>
          <w:tab w:val="left" w:pos="1418"/>
        </w:tabs>
        <w:autoSpaceDE w:val="0"/>
        <w:autoSpaceDN w:val="0"/>
        <w:spacing w:line="360" w:lineRule="auto"/>
        <w:ind w:left="1237" w:leftChars="589" w:right="10" w:firstLine="2"/>
        <w:textAlignment w:val="bottom"/>
        <w:rPr>
          <w:highlight w:val="none"/>
        </w:rPr>
      </w:pPr>
      <w:r>
        <w:rPr>
          <w:rFonts w:hint="eastAsia"/>
          <w:color w:val="000000"/>
          <w:highlight w:val="none"/>
        </w:rPr>
        <w:t>联系人</w:t>
      </w:r>
      <w:r>
        <w:rPr>
          <w:color w:val="000000"/>
          <w:highlight w:val="none"/>
        </w:rPr>
        <w:t>：</w:t>
      </w:r>
    </w:p>
    <w:p>
      <w:pPr>
        <w:pStyle w:val="26"/>
        <w:tabs>
          <w:tab w:val="left" w:pos="1418"/>
        </w:tabs>
        <w:autoSpaceDE w:val="0"/>
        <w:autoSpaceDN w:val="0"/>
        <w:spacing w:line="360" w:lineRule="auto"/>
        <w:ind w:left="1237" w:leftChars="589" w:right="10" w:firstLine="2"/>
        <w:textAlignment w:val="bottom"/>
        <w:rPr>
          <w:highlight w:val="none"/>
        </w:rPr>
      </w:pPr>
      <w:r>
        <w:rPr>
          <w:rFonts w:hint="eastAsia"/>
          <w:color w:val="000000"/>
          <w:highlight w:val="none"/>
        </w:rPr>
        <w:t>联系</w:t>
      </w:r>
      <w:r>
        <w:rPr>
          <w:color w:val="000000"/>
          <w:highlight w:val="none"/>
        </w:rPr>
        <w:t>电话：</w:t>
      </w:r>
    </w:p>
    <w:p>
      <w:pPr>
        <w:pStyle w:val="26"/>
        <w:tabs>
          <w:tab w:val="left" w:pos="1418"/>
        </w:tabs>
        <w:autoSpaceDE w:val="0"/>
        <w:autoSpaceDN w:val="0"/>
        <w:spacing w:line="360" w:lineRule="auto"/>
        <w:ind w:left="1237" w:leftChars="589" w:right="10" w:firstLine="2"/>
        <w:textAlignment w:val="bottom"/>
        <w:rPr>
          <w:highlight w:val="none"/>
        </w:rPr>
      </w:pPr>
      <w:r>
        <w:rPr>
          <w:color w:val="000000"/>
          <w:highlight w:val="none"/>
        </w:rPr>
        <w:t>传真</w:t>
      </w:r>
      <w:r>
        <w:rPr>
          <w:rFonts w:hint="eastAsia"/>
          <w:color w:val="000000"/>
          <w:highlight w:val="none"/>
        </w:rPr>
        <w:t>号码</w:t>
      </w:r>
      <w:r>
        <w:rPr>
          <w:color w:val="000000"/>
          <w:highlight w:val="none"/>
        </w:rPr>
        <w:t>：</w:t>
      </w:r>
    </w:p>
    <w:p>
      <w:pPr>
        <w:pStyle w:val="27"/>
        <w:numPr>
          <w:ilvl w:val="1"/>
          <w:numId w:val="1"/>
        </w:numPr>
        <w:spacing w:before="360" w:after="360" w:line="240" w:lineRule="auto"/>
        <w:ind w:left="3685" w:right="11" w:rightChars="0" w:hanging="958"/>
        <w:jc w:val="both"/>
        <w:outlineLvl w:val="9"/>
        <w:rPr>
          <w:rFonts w:ascii="宋体" w:hAnsi="宋体" w:cs="宋体"/>
          <w:iCs/>
          <w:color w:val="000000"/>
          <w:sz w:val="24"/>
          <w:szCs w:val="24"/>
          <w:highlight w:val="none"/>
        </w:rPr>
      </w:pPr>
      <w:bookmarkStart w:id="46" w:name="_Toc306354336"/>
      <w:bookmarkStart w:id="47" w:name="_Toc300671187"/>
      <w:r>
        <w:rPr>
          <w:rFonts w:hint="eastAsia" w:ascii="宋体" w:hAnsi="宋体" w:cs="宋体"/>
          <w:iCs/>
          <w:color w:val="000000"/>
          <w:sz w:val="24"/>
          <w:szCs w:val="24"/>
          <w:highlight w:val="none"/>
        </w:rPr>
        <w:t>合同份数</w:t>
      </w:r>
      <w:bookmarkEnd w:id="46"/>
      <w:bookmarkEnd w:id="47"/>
    </w:p>
    <w:p>
      <w:pPr>
        <w:pStyle w:val="26"/>
        <w:numPr>
          <w:ilvl w:val="0"/>
          <w:numId w:val="7"/>
        </w:numPr>
        <w:tabs>
          <w:tab w:val="left" w:pos="720"/>
          <w:tab w:val="left" w:pos="1680"/>
          <w:tab w:val="clear" w:pos="1468"/>
        </w:tabs>
        <w:spacing w:line="360" w:lineRule="auto"/>
        <w:ind w:left="720" w:right="11" w:hanging="720"/>
        <w:rPr>
          <w:highlight w:val="none"/>
        </w:rPr>
      </w:pPr>
      <w:r>
        <w:rPr>
          <w:rFonts w:hint="eastAsia" w:cs="宋体"/>
          <w:color w:val="000000"/>
          <w:highlight w:val="none"/>
        </w:rPr>
        <w:t>本合同正本一式二份，买方执一份，卖方执一份，具有同等效力。</w:t>
      </w:r>
    </w:p>
    <w:p>
      <w:pPr>
        <w:pStyle w:val="27"/>
        <w:numPr>
          <w:ilvl w:val="1"/>
          <w:numId w:val="1"/>
        </w:numPr>
        <w:spacing w:before="360" w:after="360" w:line="240" w:lineRule="auto"/>
        <w:ind w:left="3685" w:right="11" w:rightChars="0" w:hanging="958"/>
        <w:jc w:val="both"/>
        <w:outlineLvl w:val="9"/>
        <w:rPr>
          <w:rFonts w:ascii="宋体" w:hAnsi="宋体" w:cs="宋体"/>
          <w:iCs/>
          <w:color w:val="000000"/>
          <w:sz w:val="24"/>
          <w:szCs w:val="24"/>
          <w:highlight w:val="none"/>
        </w:rPr>
      </w:pPr>
      <w:bookmarkStart w:id="48" w:name="_Toc298159080"/>
      <w:bookmarkStart w:id="49" w:name="_Toc299608974"/>
      <w:bookmarkStart w:id="50" w:name="_Toc299695678"/>
      <w:bookmarkStart w:id="51" w:name="_Toc306354337"/>
      <w:bookmarkStart w:id="52" w:name="_Toc300671188"/>
      <w:r>
        <w:rPr>
          <w:rFonts w:hint="eastAsia" w:ascii="宋体" w:hAnsi="宋体" w:cs="宋体"/>
          <w:iCs/>
          <w:color w:val="000000"/>
          <w:sz w:val="24"/>
          <w:szCs w:val="24"/>
          <w:highlight w:val="none"/>
        </w:rPr>
        <w:t>合同生效</w:t>
      </w:r>
      <w:bookmarkEnd w:id="48"/>
      <w:bookmarkEnd w:id="49"/>
      <w:bookmarkEnd w:id="50"/>
      <w:bookmarkEnd w:id="51"/>
      <w:bookmarkEnd w:id="52"/>
    </w:p>
    <w:p>
      <w:pPr>
        <w:pStyle w:val="26"/>
        <w:numPr>
          <w:ilvl w:val="0"/>
          <w:numId w:val="8"/>
        </w:numPr>
        <w:tabs>
          <w:tab w:val="left" w:pos="720"/>
          <w:tab w:val="left" w:pos="3060"/>
          <w:tab w:val="clear" w:pos="1468"/>
        </w:tabs>
        <w:spacing w:line="360" w:lineRule="auto"/>
        <w:ind w:left="720" w:right="11" w:hanging="720"/>
        <w:rPr>
          <w:highlight w:val="none"/>
        </w:rPr>
      </w:pPr>
      <w:r>
        <w:rPr>
          <w:rFonts w:hint="eastAsia"/>
          <w:color w:val="000000"/>
          <w:highlight w:val="none"/>
        </w:rPr>
        <w:t>本合同</w:t>
      </w:r>
      <w:r>
        <w:rPr>
          <w:rFonts w:hint="eastAsia"/>
          <w:iCs/>
          <w:color w:val="000000"/>
          <w:highlight w:val="none"/>
        </w:rPr>
        <w:t>在以下条件全部获得满足之后生效：</w:t>
      </w:r>
    </w:p>
    <w:p>
      <w:pPr>
        <w:pStyle w:val="28"/>
        <w:widowControl/>
        <w:numPr>
          <w:ilvl w:val="2"/>
          <w:numId w:val="9"/>
        </w:numPr>
        <w:spacing w:line="360" w:lineRule="auto"/>
        <w:ind w:left="1097" w:leftChars="354" w:hanging="354" w:hangingChars="177"/>
        <w:rPr>
          <w:highlight w:val="none"/>
        </w:rPr>
      </w:pPr>
      <w:r>
        <w:rPr>
          <w:rFonts w:hint="eastAsia"/>
          <w:color w:val="000000"/>
          <w:highlight w:val="none"/>
        </w:rPr>
        <w:t>双方法定代表人或授权代表签字并盖章；</w:t>
      </w:r>
    </w:p>
    <w:p>
      <w:pPr>
        <w:pStyle w:val="26"/>
        <w:numPr>
          <w:ilvl w:val="0"/>
          <w:numId w:val="8"/>
        </w:numPr>
        <w:tabs>
          <w:tab w:val="left" w:pos="720"/>
          <w:tab w:val="left" w:pos="3060"/>
          <w:tab w:val="clear" w:pos="1468"/>
        </w:tabs>
        <w:spacing w:line="360" w:lineRule="auto"/>
        <w:ind w:left="720" w:right="11" w:hanging="720"/>
        <w:rPr>
          <w:highlight w:val="none"/>
        </w:rPr>
      </w:pPr>
      <w:r>
        <w:rPr>
          <w:rFonts w:hint="eastAsia"/>
          <w:color w:val="000000"/>
          <w:highlight w:val="none"/>
        </w:rPr>
        <w:t>本合同至双方在本合同项下的全部义务履行完毕后失效。</w:t>
      </w:r>
    </w:p>
    <w:p>
      <w:pPr>
        <w:pStyle w:val="26"/>
        <w:numPr>
          <w:ilvl w:val="0"/>
          <w:numId w:val="8"/>
        </w:numPr>
        <w:tabs>
          <w:tab w:val="left" w:pos="720"/>
          <w:tab w:val="left" w:pos="3060"/>
          <w:tab w:val="clear" w:pos="1468"/>
        </w:tabs>
        <w:spacing w:line="360" w:lineRule="auto"/>
        <w:ind w:left="720" w:right="11" w:hanging="720"/>
        <w:rPr>
          <w:rFonts w:hint="eastAsia"/>
          <w:color w:val="000000"/>
          <w:highlight w:val="none"/>
          <w:lang w:val="en-US" w:eastAsia="zh-CN"/>
        </w:rPr>
      </w:pPr>
      <w:r>
        <w:rPr>
          <w:rFonts w:hint="eastAsia"/>
          <w:color w:val="000000"/>
          <w:highlight w:val="none"/>
        </w:rPr>
        <w:t>本合同有效期</w:t>
      </w:r>
      <w:r>
        <w:rPr>
          <w:rFonts w:hint="eastAsia" w:ascii="Times New Roman" w:hAnsi="Times New Roman" w:cs="Times New Roman"/>
          <w:color w:val="000000"/>
          <w:highlight w:val="none"/>
          <w:lang w:val="en-US" w:eastAsia="zh-CN"/>
        </w:rPr>
        <w:t>：</w:t>
      </w:r>
    </w:p>
    <w:p>
      <w:pPr>
        <w:pStyle w:val="26"/>
        <w:tabs>
          <w:tab w:val="left" w:pos="720"/>
          <w:tab w:val="left" w:pos="3060"/>
        </w:tabs>
        <w:spacing w:line="360" w:lineRule="auto"/>
        <w:ind w:left="720" w:right="11"/>
        <w:rPr>
          <w:color w:val="000000"/>
          <w:highlight w:val="none"/>
        </w:rPr>
      </w:pPr>
    </w:p>
    <w:p>
      <w:pPr>
        <w:pStyle w:val="26"/>
        <w:tabs>
          <w:tab w:val="left" w:pos="850"/>
        </w:tabs>
        <w:autoSpaceDE w:val="0"/>
        <w:autoSpaceDN w:val="0"/>
        <w:spacing w:line="360" w:lineRule="auto"/>
        <w:ind w:right="10"/>
        <w:jc w:val="center"/>
        <w:textAlignment w:val="bottom"/>
        <w:rPr>
          <w:b/>
          <w:bCs/>
          <w:highlight w:val="none"/>
        </w:rPr>
      </w:pPr>
      <w:r>
        <w:rPr>
          <w:b/>
          <w:bCs/>
          <w:color w:val="000000"/>
          <w:highlight w:val="none"/>
        </w:rPr>
        <w:br w:type="page"/>
      </w:r>
    </w:p>
    <w:p>
      <w:pPr>
        <w:pStyle w:val="26"/>
        <w:tabs>
          <w:tab w:val="left" w:pos="850"/>
        </w:tabs>
        <w:autoSpaceDE w:val="0"/>
        <w:autoSpaceDN w:val="0"/>
        <w:spacing w:line="360" w:lineRule="auto"/>
        <w:ind w:right="10"/>
        <w:jc w:val="center"/>
        <w:textAlignment w:val="bottom"/>
        <w:rPr>
          <w:b/>
          <w:bCs/>
          <w:highlight w:val="none"/>
        </w:rPr>
      </w:pPr>
      <w:r>
        <w:rPr>
          <w:rFonts w:hint="eastAsia" w:cs="宋体"/>
          <w:b/>
          <w:bCs/>
          <w:color w:val="000000"/>
          <w:highlight w:val="none"/>
        </w:rPr>
        <w:t>（本页无正文，为【填写合同编号】签章页）</w:t>
      </w:r>
    </w:p>
    <w:p>
      <w:pPr>
        <w:pStyle w:val="26"/>
        <w:tabs>
          <w:tab w:val="left" w:pos="850"/>
        </w:tabs>
        <w:autoSpaceDE w:val="0"/>
        <w:autoSpaceDN w:val="0"/>
        <w:spacing w:line="360" w:lineRule="auto"/>
        <w:ind w:right="10"/>
        <w:jc w:val="center"/>
        <w:textAlignment w:val="bottom"/>
        <w:rPr>
          <w:b/>
          <w:bCs/>
          <w:highlight w:val="none"/>
        </w:rPr>
      </w:pPr>
    </w:p>
    <w:p>
      <w:pPr>
        <w:pStyle w:val="26"/>
        <w:tabs>
          <w:tab w:val="left" w:pos="850"/>
        </w:tabs>
        <w:autoSpaceDE w:val="0"/>
        <w:autoSpaceDN w:val="0"/>
        <w:spacing w:line="360" w:lineRule="auto"/>
        <w:ind w:right="10"/>
        <w:jc w:val="center"/>
        <w:textAlignment w:val="bottom"/>
        <w:rPr>
          <w:b/>
          <w:bCs/>
          <w:highlight w:val="none"/>
        </w:rPr>
      </w:pPr>
    </w:p>
    <w:tbl>
      <w:tblPr>
        <w:tblStyle w:val="14"/>
        <w:tblW w:w="5000" w:type="pct"/>
        <w:tblInd w:w="-106" w:type="dxa"/>
        <w:tblLayout w:type="autofit"/>
        <w:tblCellMar>
          <w:top w:w="0" w:type="dxa"/>
          <w:left w:w="108" w:type="dxa"/>
          <w:bottom w:w="0" w:type="dxa"/>
          <w:right w:w="108" w:type="dxa"/>
        </w:tblCellMar>
      </w:tblPr>
      <w:tblGrid>
        <w:gridCol w:w="4437"/>
        <w:gridCol w:w="4085"/>
      </w:tblGrid>
      <w:tr>
        <w:tblPrEx>
          <w:tblCellMar>
            <w:top w:w="0" w:type="dxa"/>
            <w:left w:w="108" w:type="dxa"/>
            <w:bottom w:w="0" w:type="dxa"/>
            <w:right w:w="108" w:type="dxa"/>
          </w:tblCellMar>
        </w:tblPrEx>
        <w:trPr>
          <w:trHeight w:val="2653" w:hRule="atLeast"/>
        </w:trPr>
        <w:tc>
          <w:tcPr>
            <w:tcW w:w="2603" w:type="pct"/>
          </w:tcPr>
          <w:p>
            <w:pPr>
              <w:pStyle w:val="26"/>
              <w:tabs>
                <w:tab w:val="left" w:pos="850"/>
              </w:tabs>
              <w:autoSpaceDE w:val="0"/>
              <w:autoSpaceDN w:val="0"/>
              <w:spacing w:line="360" w:lineRule="auto"/>
              <w:ind w:right="10"/>
              <w:textAlignment w:val="bottom"/>
              <w:rPr>
                <w:highlight w:val="none"/>
              </w:rPr>
            </w:pPr>
            <w:r>
              <w:rPr>
                <w:rFonts w:hint="eastAsia" w:cs="宋体"/>
                <w:color w:val="000000"/>
                <w:highlight w:val="none"/>
              </w:rPr>
              <w:t>买方（盖章）</w:t>
            </w:r>
          </w:p>
        </w:tc>
        <w:tc>
          <w:tcPr>
            <w:tcW w:w="2397" w:type="pct"/>
          </w:tcPr>
          <w:p>
            <w:pPr>
              <w:pStyle w:val="26"/>
              <w:tabs>
                <w:tab w:val="left" w:pos="850"/>
              </w:tabs>
              <w:autoSpaceDE w:val="0"/>
              <w:autoSpaceDN w:val="0"/>
              <w:spacing w:line="360" w:lineRule="auto"/>
              <w:ind w:right="10"/>
              <w:textAlignment w:val="bottom"/>
              <w:rPr>
                <w:highlight w:val="none"/>
              </w:rPr>
            </w:pPr>
            <w:r>
              <w:rPr>
                <w:rFonts w:hint="eastAsia" w:cs="宋体"/>
                <w:color w:val="000000"/>
                <w:highlight w:val="none"/>
              </w:rPr>
              <w:t>卖方（盖章）</w:t>
            </w:r>
          </w:p>
          <w:p>
            <w:pPr>
              <w:pStyle w:val="26"/>
              <w:tabs>
                <w:tab w:val="left" w:pos="850"/>
              </w:tabs>
              <w:autoSpaceDE w:val="0"/>
              <w:autoSpaceDN w:val="0"/>
              <w:spacing w:line="360" w:lineRule="auto"/>
              <w:ind w:right="10"/>
              <w:textAlignment w:val="bottom"/>
              <w:rPr>
                <w:highlight w:val="none"/>
              </w:rPr>
            </w:pPr>
          </w:p>
        </w:tc>
      </w:tr>
      <w:tr>
        <w:tblPrEx>
          <w:tblCellMar>
            <w:top w:w="0" w:type="dxa"/>
            <w:left w:w="108" w:type="dxa"/>
            <w:bottom w:w="0" w:type="dxa"/>
            <w:right w:w="108" w:type="dxa"/>
          </w:tblCellMar>
        </w:tblPrEx>
        <w:trPr>
          <w:trHeight w:val="1084" w:hRule="atLeast"/>
        </w:trPr>
        <w:tc>
          <w:tcPr>
            <w:tcW w:w="2603" w:type="pct"/>
            <w:vAlign w:val="center"/>
          </w:tcPr>
          <w:p>
            <w:pPr>
              <w:pStyle w:val="26"/>
              <w:tabs>
                <w:tab w:val="left" w:pos="850"/>
              </w:tabs>
              <w:autoSpaceDE w:val="0"/>
              <w:autoSpaceDN w:val="0"/>
              <w:spacing w:line="360" w:lineRule="auto"/>
              <w:ind w:right="10"/>
              <w:textAlignment w:val="bottom"/>
              <w:rPr>
                <w:highlight w:val="none"/>
              </w:rPr>
            </w:pPr>
            <w:r>
              <w:rPr>
                <w:rFonts w:hint="eastAsia" w:cs="宋体"/>
                <w:color w:val="000000"/>
                <w:highlight w:val="none"/>
              </w:rPr>
              <w:t>法定代表人或授权代表签字：</w:t>
            </w:r>
          </w:p>
          <w:p>
            <w:pPr>
              <w:pStyle w:val="26"/>
              <w:tabs>
                <w:tab w:val="left" w:pos="850"/>
              </w:tabs>
              <w:autoSpaceDE w:val="0"/>
              <w:autoSpaceDN w:val="0"/>
              <w:spacing w:line="360" w:lineRule="auto"/>
              <w:ind w:right="10"/>
              <w:textAlignment w:val="bottom"/>
              <w:rPr>
                <w:highlight w:val="none"/>
              </w:rPr>
            </w:pPr>
          </w:p>
          <w:p>
            <w:pPr>
              <w:pStyle w:val="26"/>
              <w:tabs>
                <w:tab w:val="left" w:pos="850"/>
              </w:tabs>
              <w:autoSpaceDE w:val="0"/>
              <w:autoSpaceDN w:val="0"/>
              <w:spacing w:line="360" w:lineRule="auto"/>
              <w:ind w:right="10"/>
              <w:textAlignment w:val="bottom"/>
              <w:rPr>
                <w:highlight w:val="none"/>
              </w:rPr>
            </w:pPr>
          </w:p>
          <w:p>
            <w:pPr>
              <w:pStyle w:val="26"/>
              <w:tabs>
                <w:tab w:val="left" w:pos="850"/>
              </w:tabs>
              <w:autoSpaceDE w:val="0"/>
              <w:autoSpaceDN w:val="0"/>
              <w:spacing w:line="360" w:lineRule="auto"/>
              <w:ind w:right="10"/>
              <w:textAlignment w:val="bottom"/>
              <w:rPr>
                <w:highlight w:val="none"/>
              </w:rPr>
            </w:pPr>
          </w:p>
          <w:p>
            <w:pPr>
              <w:pStyle w:val="26"/>
              <w:tabs>
                <w:tab w:val="left" w:pos="850"/>
              </w:tabs>
              <w:autoSpaceDE w:val="0"/>
              <w:autoSpaceDN w:val="0"/>
              <w:spacing w:line="360" w:lineRule="auto"/>
              <w:ind w:right="10"/>
              <w:textAlignment w:val="bottom"/>
              <w:rPr>
                <w:highlight w:val="none"/>
              </w:rPr>
            </w:pPr>
          </w:p>
          <w:p>
            <w:pPr>
              <w:pStyle w:val="26"/>
              <w:tabs>
                <w:tab w:val="left" w:pos="850"/>
              </w:tabs>
              <w:autoSpaceDE w:val="0"/>
              <w:autoSpaceDN w:val="0"/>
              <w:spacing w:line="360" w:lineRule="auto"/>
              <w:ind w:right="10"/>
              <w:textAlignment w:val="bottom"/>
              <w:rPr>
                <w:highlight w:val="none"/>
              </w:rPr>
            </w:pPr>
          </w:p>
        </w:tc>
        <w:tc>
          <w:tcPr>
            <w:tcW w:w="2397" w:type="pct"/>
            <w:vAlign w:val="center"/>
          </w:tcPr>
          <w:p>
            <w:pPr>
              <w:pStyle w:val="26"/>
              <w:tabs>
                <w:tab w:val="left" w:pos="850"/>
              </w:tabs>
              <w:autoSpaceDE w:val="0"/>
              <w:autoSpaceDN w:val="0"/>
              <w:spacing w:line="360" w:lineRule="auto"/>
              <w:ind w:right="10"/>
              <w:textAlignment w:val="bottom"/>
              <w:rPr>
                <w:highlight w:val="none"/>
              </w:rPr>
            </w:pPr>
            <w:r>
              <w:rPr>
                <w:rFonts w:hint="eastAsia" w:cs="宋体"/>
                <w:color w:val="000000"/>
                <w:highlight w:val="none"/>
              </w:rPr>
              <w:t>法定代表人或授权代表签字：</w:t>
            </w:r>
          </w:p>
          <w:p>
            <w:pPr>
              <w:pStyle w:val="26"/>
              <w:tabs>
                <w:tab w:val="left" w:pos="850"/>
              </w:tabs>
              <w:autoSpaceDE w:val="0"/>
              <w:autoSpaceDN w:val="0"/>
              <w:spacing w:line="360" w:lineRule="auto"/>
              <w:ind w:right="10"/>
              <w:textAlignment w:val="bottom"/>
              <w:rPr>
                <w:highlight w:val="none"/>
              </w:rPr>
            </w:pPr>
          </w:p>
          <w:p>
            <w:pPr>
              <w:pStyle w:val="26"/>
              <w:tabs>
                <w:tab w:val="left" w:pos="850"/>
              </w:tabs>
              <w:autoSpaceDE w:val="0"/>
              <w:autoSpaceDN w:val="0"/>
              <w:spacing w:line="360" w:lineRule="auto"/>
              <w:ind w:right="10"/>
              <w:textAlignment w:val="bottom"/>
              <w:rPr>
                <w:highlight w:val="none"/>
              </w:rPr>
            </w:pPr>
          </w:p>
          <w:p>
            <w:pPr>
              <w:pStyle w:val="26"/>
              <w:tabs>
                <w:tab w:val="left" w:pos="850"/>
              </w:tabs>
              <w:autoSpaceDE w:val="0"/>
              <w:autoSpaceDN w:val="0"/>
              <w:spacing w:line="360" w:lineRule="auto"/>
              <w:ind w:right="10"/>
              <w:textAlignment w:val="bottom"/>
              <w:rPr>
                <w:highlight w:val="none"/>
              </w:rPr>
            </w:pPr>
          </w:p>
          <w:p>
            <w:pPr>
              <w:pStyle w:val="26"/>
              <w:tabs>
                <w:tab w:val="left" w:pos="850"/>
              </w:tabs>
              <w:autoSpaceDE w:val="0"/>
              <w:autoSpaceDN w:val="0"/>
              <w:spacing w:line="360" w:lineRule="auto"/>
              <w:ind w:right="10"/>
              <w:textAlignment w:val="bottom"/>
              <w:rPr>
                <w:highlight w:val="none"/>
              </w:rPr>
            </w:pPr>
          </w:p>
          <w:p>
            <w:pPr>
              <w:pStyle w:val="26"/>
              <w:tabs>
                <w:tab w:val="left" w:pos="850"/>
              </w:tabs>
              <w:autoSpaceDE w:val="0"/>
              <w:autoSpaceDN w:val="0"/>
              <w:spacing w:line="360" w:lineRule="auto"/>
              <w:ind w:right="10"/>
              <w:textAlignment w:val="bottom"/>
              <w:rPr>
                <w:highlight w:val="none"/>
              </w:rPr>
            </w:pPr>
          </w:p>
        </w:tc>
      </w:tr>
    </w:tbl>
    <w:p>
      <w:pPr>
        <w:pStyle w:val="30"/>
        <w:spacing w:line="360" w:lineRule="auto"/>
        <w:ind w:left="527" w:right="10" w:hanging="527"/>
        <w:jc w:val="center"/>
        <w:outlineLvl w:val="9"/>
        <w:rPr>
          <w:rFonts w:ascii="Times New Roman"/>
          <w:highlight w:val="none"/>
          <w:lang w:eastAsia="zh-CN"/>
        </w:rPr>
      </w:pPr>
      <w:r>
        <w:rPr>
          <w:color w:val="000000"/>
          <w:highlight w:val="none"/>
          <w:lang w:eastAsia="zh-CN"/>
        </w:rPr>
        <w:br w:type="page"/>
      </w:r>
      <w:bookmarkStart w:id="53" w:name="_Toc300671189"/>
      <w:bookmarkStart w:id="54" w:name="_Toc256000003"/>
      <w:bookmarkStart w:id="55" w:name="_Toc306354338"/>
      <w:bookmarkStart w:id="56" w:name="_Toc297106668"/>
      <w:bookmarkStart w:id="57" w:name="_Toc297055766"/>
      <w:r>
        <w:rPr>
          <w:rFonts w:hint="eastAsia" w:ascii="Times New Roman" w:hAnsi="宋体" w:cs="宋体"/>
          <w:color w:val="000000"/>
          <w:sz w:val="36"/>
          <w:szCs w:val="36"/>
          <w:highlight w:val="none"/>
          <w:lang w:eastAsia="zh-CN"/>
        </w:rPr>
        <w:t>第二部分专用合同条款</w:t>
      </w:r>
      <w:bookmarkEnd w:id="53"/>
      <w:bookmarkEnd w:id="54"/>
      <w:bookmarkEnd w:id="55"/>
      <w:bookmarkEnd w:id="56"/>
      <w:bookmarkEnd w:id="57"/>
    </w:p>
    <w:p>
      <w:pPr>
        <w:numPr>
          <w:ilvl w:val="0"/>
          <w:numId w:val="10"/>
        </w:numPr>
        <w:spacing w:before="360" w:after="360"/>
        <w:jc w:val="center"/>
        <w:rPr>
          <w:b/>
          <w:sz w:val="24"/>
          <w:szCs w:val="24"/>
          <w:highlight w:val="none"/>
        </w:rPr>
      </w:pPr>
      <w:bookmarkStart w:id="58" w:name="_Toc300671190"/>
      <w:bookmarkStart w:id="59" w:name="_Toc5889363"/>
      <w:bookmarkStart w:id="60" w:name="_Toc17390364"/>
      <w:bookmarkStart w:id="61" w:name="_Toc288567161"/>
      <w:r>
        <w:rPr>
          <w:rFonts w:hint="eastAsia"/>
          <w:b/>
          <w:sz w:val="24"/>
          <w:szCs w:val="24"/>
          <w:highlight w:val="none"/>
        </w:rPr>
        <w:t>付款</w:t>
      </w:r>
      <w:bookmarkEnd w:id="58"/>
      <w:bookmarkEnd w:id="59"/>
      <w:bookmarkEnd w:id="60"/>
    </w:p>
    <w:p>
      <w:pPr>
        <w:numPr>
          <w:ilvl w:val="0"/>
          <w:numId w:val="11"/>
        </w:numPr>
        <w:tabs>
          <w:tab w:val="left" w:pos="720"/>
          <w:tab w:val="left" w:pos="900"/>
          <w:tab w:val="left" w:pos="1080"/>
        </w:tabs>
        <w:spacing w:line="360" w:lineRule="auto"/>
        <w:ind w:left="720" w:hanging="720"/>
        <w:rPr>
          <w:rFonts w:hint="eastAsia" w:cs="宋体"/>
          <w:highlight w:val="none"/>
        </w:rPr>
      </w:pPr>
      <w:r>
        <w:rPr>
          <w:rFonts w:hint="eastAsia" w:cs="宋体"/>
          <w:highlight w:val="none"/>
        </w:rPr>
        <w:t>付款方式：</w:t>
      </w:r>
    </w:p>
    <w:p>
      <w:pPr>
        <w:numPr>
          <w:ilvl w:val="0"/>
          <w:numId w:val="11"/>
        </w:numPr>
        <w:tabs>
          <w:tab w:val="left" w:pos="720"/>
          <w:tab w:val="left" w:pos="900"/>
          <w:tab w:val="left" w:pos="1080"/>
        </w:tabs>
        <w:spacing w:line="360" w:lineRule="auto"/>
        <w:ind w:left="720" w:hanging="720"/>
        <w:rPr>
          <w:highlight w:val="none"/>
        </w:rPr>
      </w:pPr>
      <w:r>
        <w:rPr>
          <w:rFonts w:hint="eastAsia" w:cs="宋体"/>
          <w:highlight w:val="none"/>
        </w:rPr>
        <w:t>对于本合同的合同价款，双方同意按照以下方式予以支付：</w:t>
      </w:r>
    </w:p>
    <w:p>
      <w:pPr>
        <w:widowControl w:val="0"/>
        <w:tabs>
          <w:tab w:val="left" w:pos="1260"/>
        </w:tabs>
        <w:spacing w:line="360" w:lineRule="auto"/>
        <w:ind w:left="825"/>
        <w:jc w:val="both"/>
        <w:rPr>
          <w:rFonts w:hint="eastAsia" w:ascii="宋体" w:hAnsi="宋体" w:cs="宋体"/>
          <w:highlight w:val="none"/>
        </w:rPr>
      </w:pPr>
      <w:r>
        <w:rPr>
          <w:rFonts w:hint="eastAsia" w:ascii="宋体" w:hAnsi="宋体" w:cs="宋体"/>
          <w:highlight w:val="none"/>
        </w:rPr>
        <w:t>（1) 月度付款。卖方与买方执行方在每月第15日前确认上个月经买方执行方验收合格后的实际发生的采购订单量，自检验或验收合格之日起，卖方3日内向买方执行方提供与上个月度采购订单总价款相应的有效增值税专用发票及相关支持文件，买方执行方于</w:t>
      </w:r>
      <w:r>
        <w:rPr>
          <w:rFonts w:hint="eastAsia" w:ascii="宋体" w:hAnsi="宋体" w:cs="宋体"/>
          <w:highlight w:val="none"/>
          <w:lang w:val="en-US" w:eastAsia="zh-CN"/>
        </w:rPr>
        <w:t>45</w:t>
      </w:r>
      <w:r>
        <w:rPr>
          <w:rFonts w:hint="eastAsia" w:ascii="宋体" w:hAnsi="宋体" w:cs="宋体"/>
          <w:highlight w:val="none"/>
        </w:rPr>
        <w:t>日内支付上个月度的订单总价款（具体见买方执行用户下达的采购订单中的要求）。</w:t>
      </w:r>
    </w:p>
    <w:p>
      <w:pPr>
        <w:widowControl w:val="0"/>
        <w:tabs>
          <w:tab w:val="left" w:pos="1260"/>
        </w:tabs>
        <w:spacing w:line="360" w:lineRule="auto"/>
        <w:ind w:left="825"/>
        <w:jc w:val="both"/>
        <w:rPr>
          <w:rFonts w:ascii="宋体" w:hAnsi="宋体" w:cs="宋体"/>
          <w:highlight w:val="none"/>
        </w:rPr>
      </w:pPr>
      <w:r>
        <w:rPr>
          <w:rFonts w:hint="eastAsia" w:ascii="宋体" w:hAnsi="宋体" w:cs="宋体"/>
          <w:highlight w:val="none"/>
        </w:rPr>
        <w:t>（2)</w:t>
      </w:r>
      <w:r>
        <w:rPr>
          <w:rFonts w:ascii="宋体" w:hAnsi="宋体" w:cs="宋体"/>
          <w:highlight w:val="none"/>
        </w:rPr>
        <w:t xml:space="preserve"> </w:t>
      </w:r>
      <w:r>
        <w:rPr>
          <w:rFonts w:hint="eastAsia" w:ascii="宋体" w:hAnsi="宋体" w:cs="宋体"/>
          <w:highlight w:val="none"/>
        </w:rPr>
        <w:t>按照交货批次付款。卖方在每批次实际交付货物并经买方执行方验收合格之日起，卖方3日内向买方执行方提供有效增值税专用发票及相关支持文件，买方执行方于45</w:t>
      </w:r>
      <w:r>
        <w:rPr>
          <w:rFonts w:hint="eastAsia" w:ascii="宋体" w:hAnsi="宋体" w:cs="宋体"/>
          <w:highlight w:val="none"/>
          <w:lang w:val="en-US" w:eastAsia="zh-CN"/>
        </w:rPr>
        <w:t>日/个工作日</w:t>
      </w:r>
      <w:r>
        <w:rPr>
          <w:rFonts w:hint="eastAsia" w:ascii="宋体" w:hAnsi="宋体" w:cs="宋体"/>
          <w:highlight w:val="none"/>
        </w:rPr>
        <w:t>内支付款订单价款（具体见买方执行用户下达的采购订单中的要求）。</w:t>
      </w:r>
    </w:p>
    <w:p>
      <w:pPr>
        <w:numPr>
          <w:ilvl w:val="0"/>
          <w:numId w:val="11"/>
        </w:numPr>
        <w:tabs>
          <w:tab w:val="left" w:pos="720"/>
          <w:tab w:val="left" w:pos="1080"/>
        </w:tabs>
        <w:spacing w:line="360" w:lineRule="auto"/>
        <w:ind w:left="540" w:hanging="540"/>
        <w:rPr>
          <w:highlight w:val="none"/>
        </w:rPr>
      </w:pPr>
      <w:r>
        <w:rPr>
          <w:rFonts w:hint="eastAsia" w:cs="宋体"/>
          <w:highlight w:val="none"/>
        </w:rPr>
        <w:t>账户</w:t>
      </w:r>
    </w:p>
    <w:p>
      <w:pPr>
        <w:numPr>
          <w:ilvl w:val="0"/>
          <w:numId w:val="12"/>
        </w:numPr>
        <w:tabs>
          <w:tab w:val="left" w:pos="1260"/>
        </w:tabs>
        <w:spacing w:line="360" w:lineRule="auto"/>
        <w:ind w:hanging="116"/>
        <w:rPr>
          <w:rFonts w:cs="宋体"/>
          <w:highlight w:val="none"/>
        </w:rPr>
      </w:pPr>
      <w:r>
        <w:rPr>
          <w:rFonts w:cs="宋体"/>
          <w:highlight w:val="none"/>
        </w:rPr>
        <w:t>卖方</w:t>
      </w:r>
      <w:r>
        <w:rPr>
          <w:rFonts w:hint="eastAsia" w:cs="宋体"/>
          <w:highlight w:val="none"/>
        </w:rPr>
        <w:t>账户</w:t>
      </w:r>
      <w:r>
        <w:rPr>
          <w:rFonts w:cs="宋体"/>
          <w:highlight w:val="none"/>
        </w:rPr>
        <w:t>信息</w:t>
      </w:r>
    </w:p>
    <w:p>
      <w:pPr>
        <w:tabs>
          <w:tab w:val="left" w:pos="1260"/>
        </w:tabs>
        <w:spacing w:line="360" w:lineRule="auto"/>
        <w:ind w:left="825"/>
        <w:rPr>
          <w:rFonts w:cs="宋体"/>
          <w:highlight w:val="none"/>
        </w:rPr>
      </w:pPr>
      <w:r>
        <w:rPr>
          <w:rFonts w:hint="eastAsia" w:cs="宋体"/>
          <w:highlight w:val="none"/>
        </w:rPr>
        <w:t>卖方应通过如下账户收取合同价款及其它款项，并通过该账户向买方支付与合同有关的任何款项：</w:t>
      </w:r>
    </w:p>
    <w:p>
      <w:pPr>
        <w:tabs>
          <w:tab w:val="left" w:pos="709"/>
        </w:tabs>
        <w:spacing w:line="360" w:lineRule="auto"/>
        <w:ind w:left="708" w:leftChars="337"/>
        <w:rPr>
          <w:rFonts w:ascii="宋体" w:hAnsi="宋体"/>
          <w:b/>
          <w:szCs w:val="21"/>
          <w:highlight w:val="none"/>
        </w:rPr>
      </w:pPr>
      <w:r>
        <w:rPr>
          <w:rFonts w:hint="eastAsia" w:ascii="宋体" w:hAnsi="宋体"/>
          <w:b/>
          <w:szCs w:val="21"/>
          <w:highlight w:val="none"/>
        </w:rPr>
        <w:t>开户单位：</w:t>
      </w:r>
      <w:r>
        <w:rPr>
          <w:rFonts w:ascii="宋体" w:hAnsi="宋体"/>
          <w:b/>
          <w:szCs w:val="21"/>
          <w:highlight w:val="none"/>
        </w:rPr>
        <w:t xml:space="preserve"> </w:t>
      </w:r>
    </w:p>
    <w:p>
      <w:pPr>
        <w:tabs>
          <w:tab w:val="left" w:pos="709"/>
        </w:tabs>
        <w:spacing w:line="360" w:lineRule="auto"/>
        <w:ind w:left="708" w:leftChars="337"/>
        <w:rPr>
          <w:rFonts w:ascii="宋体" w:hAnsi="宋体"/>
          <w:b/>
          <w:szCs w:val="21"/>
          <w:highlight w:val="none"/>
        </w:rPr>
      </w:pPr>
      <w:r>
        <w:rPr>
          <w:rFonts w:hint="eastAsia" w:ascii="宋体" w:hAnsi="宋体"/>
          <w:b/>
          <w:szCs w:val="21"/>
          <w:highlight w:val="none"/>
        </w:rPr>
        <w:t xml:space="preserve">开户银行： </w:t>
      </w:r>
    </w:p>
    <w:p>
      <w:pPr>
        <w:tabs>
          <w:tab w:val="left" w:pos="709"/>
        </w:tabs>
        <w:spacing w:line="360" w:lineRule="auto"/>
        <w:ind w:left="708" w:leftChars="337"/>
        <w:rPr>
          <w:rFonts w:ascii="宋体" w:hAnsi="宋体"/>
          <w:b/>
          <w:szCs w:val="21"/>
          <w:highlight w:val="none"/>
        </w:rPr>
      </w:pPr>
      <w:r>
        <w:rPr>
          <w:rFonts w:hint="eastAsia" w:ascii="宋体" w:hAnsi="宋体"/>
          <w:b/>
          <w:szCs w:val="21"/>
          <w:highlight w:val="none"/>
        </w:rPr>
        <w:t>账号：</w:t>
      </w:r>
    </w:p>
    <w:p>
      <w:pPr>
        <w:tabs>
          <w:tab w:val="left" w:pos="709"/>
        </w:tabs>
        <w:spacing w:line="360" w:lineRule="auto"/>
        <w:ind w:left="708" w:leftChars="337"/>
        <w:rPr>
          <w:rFonts w:ascii="宋体" w:hAnsi="宋体"/>
          <w:b/>
          <w:szCs w:val="21"/>
          <w:highlight w:val="none"/>
        </w:rPr>
      </w:pPr>
      <w:r>
        <w:rPr>
          <w:rFonts w:hint="eastAsia" w:ascii="宋体" w:hAnsi="宋体"/>
          <w:b/>
          <w:szCs w:val="21"/>
          <w:highlight w:val="none"/>
        </w:rPr>
        <w:t>税号：</w:t>
      </w:r>
    </w:p>
    <w:p>
      <w:pPr>
        <w:numPr>
          <w:ilvl w:val="0"/>
          <w:numId w:val="12"/>
        </w:numPr>
        <w:tabs>
          <w:tab w:val="left" w:pos="1260"/>
        </w:tabs>
        <w:spacing w:line="360" w:lineRule="auto"/>
        <w:ind w:hanging="116"/>
        <w:rPr>
          <w:rFonts w:cs="宋体"/>
          <w:highlight w:val="none"/>
        </w:rPr>
      </w:pPr>
      <w:r>
        <w:rPr>
          <w:rFonts w:cs="宋体"/>
          <w:highlight w:val="none"/>
        </w:rPr>
        <w:t>买方开票信息</w:t>
      </w:r>
    </w:p>
    <w:p>
      <w:pPr>
        <w:tabs>
          <w:tab w:val="left" w:pos="3060"/>
        </w:tabs>
        <w:spacing w:line="360" w:lineRule="auto"/>
        <w:ind w:left="628" w:leftChars="299"/>
        <w:rPr>
          <w:highlight w:val="none"/>
        </w:rPr>
      </w:pPr>
      <w:r>
        <w:rPr>
          <w:highlight w:val="none"/>
        </w:rPr>
        <w:t>按照买方执行方开票信息执行</w:t>
      </w:r>
      <w:r>
        <w:rPr>
          <w:rFonts w:hint="eastAsia"/>
          <w:highlight w:val="none"/>
        </w:rPr>
        <w:t>，</w:t>
      </w:r>
      <w:r>
        <w:rPr>
          <w:highlight w:val="none"/>
        </w:rPr>
        <w:t>具体开票信息及相关要求详见《采购订单</w:t>
      </w:r>
      <w:r>
        <w:rPr>
          <w:rFonts w:hint="eastAsia"/>
          <w:highlight w:val="none"/>
        </w:rPr>
        <w:t>》</w:t>
      </w:r>
      <w:r>
        <w:rPr>
          <w:highlight w:val="none"/>
        </w:rPr>
        <w:t>的要求</w:t>
      </w:r>
      <w:r>
        <w:rPr>
          <w:rFonts w:hint="eastAsia"/>
          <w:highlight w:val="none"/>
        </w:rPr>
        <w:t>。</w:t>
      </w:r>
    </w:p>
    <w:p>
      <w:pPr>
        <w:numPr>
          <w:ilvl w:val="0"/>
          <w:numId w:val="10"/>
        </w:numPr>
        <w:spacing w:before="360" w:after="360"/>
        <w:jc w:val="center"/>
        <w:rPr>
          <w:b/>
          <w:sz w:val="24"/>
          <w:szCs w:val="24"/>
          <w:highlight w:val="none"/>
        </w:rPr>
      </w:pPr>
      <w:bookmarkStart w:id="62" w:name="_Toc5889364"/>
      <w:bookmarkStart w:id="63" w:name="_Toc300671191"/>
      <w:bookmarkStart w:id="64" w:name="_Toc287364269"/>
      <w:bookmarkStart w:id="65" w:name="_Toc17390365"/>
      <w:bookmarkStart w:id="66" w:name="_Toc287657101"/>
      <w:bookmarkStart w:id="67" w:name="_Toc288567129"/>
      <w:r>
        <w:rPr>
          <w:rFonts w:hint="eastAsia"/>
          <w:b/>
          <w:sz w:val="24"/>
          <w:szCs w:val="24"/>
          <w:highlight w:val="none"/>
        </w:rPr>
        <w:t>订货方式</w:t>
      </w:r>
      <w:bookmarkEnd w:id="62"/>
      <w:bookmarkEnd w:id="63"/>
      <w:bookmarkEnd w:id="64"/>
      <w:bookmarkEnd w:id="65"/>
      <w:bookmarkEnd w:id="66"/>
      <w:bookmarkEnd w:id="67"/>
    </w:p>
    <w:p>
      <w:pPr>
        <w:numPr>
          <w:ilvl w:val="0"/>
          <w:numId w:val="13"/>
        </w:numPr>
        <w:tabs>
          <w:tab w:val="left" w:pos="720"/>
          <w:tab w:val="left" w:pos="3060"/>
          <w:tab w:val="clear" w:pos="1468"/>
        </w:tabs>
        <w:spacing w:line="360" w:lineRule="auto"/>
        <w:ind w:left="720" w:hanging="720"/>
        <w:rPr>
          <w:highlight w:val="none"/>
        </w:rPr>
      </w:pPr>
      <w:r>
        <w:rPr>
          <w:rFonts w:hint="eastAsia" w:cs="宋体"/>
          <w:highlight w:val="none"/>
        </w:rPr>
        <w:t>本合同有效期内，买方执行方应以签署《采购订单》的形式一次或分批向卖方选购本合同约定范围内的货物。《采购订单》的格式（详见本合同附件三）；</w:t>
      </w:r>
    </w:p>
    <w:p>
      <w:pPr>
        <w:numPr>
          <w:ilvl w:val="0"/>
          <w:numId w:val="13"/>
        </w:numPr>
        <w:tabs>
          <w:tab w:val="left" w:pos="720"/>
          <w:tab w:val="left" w:pos="3060"/>
          <w:tab w:val="clear" w:pos="1468"/>
        </w:tabs>
        <w:spacing w:line="360" w:lineRule="auto"/>
        <w:ind w:left="720" w:hanging="720"/>
        <w:rPr>
          <w:rFonts w:cs="宋体"/>
          <w:highlight w:val="none"/>
        </w:rPr>
      </w:pPr>
      <w:r>
        <w:rPr>
          <w:rFonts w:hint="eastAsia" w:cs="宋体"/>
          <w:highlight w:val="none"/>
        </w:rPr>
        <w:t>买方执行方应至少</w:t>
      </w:r>
      <w:r>
        <w:rPr>
          <w:rFonts w:cs="宋体"/>
          <w:highlight w:val="none"/>
        </w:rPr>
        <w:t>提前</w:t>
      </w:r>
      <w:r>
        <w:rPr>
          <w:rFonts w:hint="eastAsia" w:cs="宋体"/>
          <w:highlight w:val="none"/>
        </w:rPr>
        <w:t>120小时下订单，如遇特殊情况，以买方执行方的实际要求为准；</w:t>
      </w:r>
    </w:p>
    <w:p>
      <w:pPr>
        <w:numPr>
          <w:ilvl w:val="0"/>
          <w:numId w:val="13"/>
        </w:numPr>
        <w:tabs>
          <w:tab w:val="left" w:pos="720"/>
          <w:tab w:val="left" w:pos="3060"/>
          <w:tab w:val="clear" w:pos="1468"/>
        </w:tabs>
        <w:spacing w:line="360" w:lineRule="auto"/>
        <w:ind w:left="720" w:hanging="720"/>
        <w:rPr>
          <w:highlight w:val="none"/>
        </w:rPr>
      </w:pPr>
      <w:r>
        <w:rPr>
          <w:rFonts w:hint="eastAsia" w:cs="宋体"/>
          <w:highlight w:val="none"/>
        </w:rPr>
        <w:t>卖方应当自收到采购订单之日起120小时</w:t>
      </w:r>
      <w:r>
        <w:rPr>
          <w:rFonts w:hint="eastAsia"/>
          <w:highlight w:val="none"/>
        </w:rPr>
        <w:t>内将</w:t>
      </w:r>
      <w:r>
        <w:rPr>
          <w:rFonts w:hint="eastAsia" w:cs="宋体"/>
          <w:highlight w:val="none"/>
        </w:rPr>
        <w:t>签字盖章的采购订单递送至买方执行方；</w:t>
      </w:r>
    </w:p>
    <w:p>
      <w:pPr>
        <w:numPr>
          <w:ilvl w:val="0"/>
          <w:numId w:val="13"/>
        </w:numPr>
        <w:tabs>
          <w:tab w:val="left" w:pos="720"/>
          <w:tab w:val="left" w:pos="3060"/>
          <w:tab w:val="clear" w:pos="1468"/>
        </w:tabs>
        <w:spacing w:line="360" w:lineRule="auto"/>
        <w:ind w:left="720" w:hanging="720"/>
        <w:rPr>
          <w:highlight w:val="none"/>
        </w:rPr>
      </w:pPr>
      <w:r>
        <w:rPr>
          <w:rFonts w:hint="eastAsia" w:cs="宋体"/>
          <w:highlight w:val="none"/>
        </w:rPr>
        <w:t>采购订单由双方签字盖章后即生效；</w:t>
      </w:r>
    </w:p>
    <w:p>
      <w:pPr>
        <w:numPr>
          <w:ilvl w:val="0"/>
          <w:numId w:val="13"/>
        </w:numPr>
        <w:tabs>
          <w:tab w:val="left" w:pos="720"/>
          <w:tab w:val="left" w:pos="3060"/>
          <w:tab w:val="clear" w:pos="1468"/>
        </w:tabs>
        <w:spacing w:line="360" w:lineRule="auto"/>
        <w:ind w:left="720" w:hanging="720"/>
        <w:rPr>
          <w:highlight w:val="none"/>
        </w:rPr>
      </w:pPr>
      <w:r>
        <w:rPr>
          <w:rFonts w:hint="eastAsia" w:cs="宋体"/>
          <w:highlight w:val="none"/>
        </w:rPr>
        <w:t>卖方按照采购订单的要求向买方执行方及时交付货物；</w:t>
      </w:r>
    </w:p>
    <w:p>
      <w:pPr>
        <w:numPr>
          <w:ilvl w:val="0"/>
          <w:numId w:val="13"/>
        </w:numPr>
        <w:tabs>
          <w:tab w:val="left" w:pos="720"/>
          <w:tab w:val="left" w:pos="3060"/>
          <w:tab w:val="clear" w:pos="1468"/>
        </w:tabs>
        <w:spacing w:line="360" w:lineRule="auto"/>
        <w:ind w:left="720" w:hanging="720"/>
        <w:rPr>
          <w:rFonts w:cs="宋体"/>
          <w:highlight w:val="none"/>
        </w:rPr>
      </w:pPr>
      <w:r>
        <w:rPr>
          <w:rFonts w:hint="eastAsia" w:cs="宋体"/>
          <w:highlight w:val="none"/>
        </w:rPr>
        <w:t>货物送到买方执行方指定地点后，买方执行方应及时组织验收。双方按照国家或行业有关标准或合同技术要求共同核实规格、数量、交验计量标准、检验或试验等项目；</w:t>
      </w:r>
    </w:p>
    <w:p>
      <w:pPr>
        <w:tabs>
          <w:tab w:val="left" w:pos="3060"/>
        </w:tabs>
        <w:spacing w:line="360" w:lineRule="auto"/>
        <w:ind w:left="720"/>
        <w:rPr>
          <w:rFonts w:cs="宋体"/>
          <w:highlight w:val="none"/>
        </w:rPr>
      </w:pPr>
      <w:r>
        <w:rPr>
          <w:rFonts w:hint="eastAsia" w:cs="宋体"/>
          <w:highlight w:val="none"/>
        </w:rPr>
        <w:t>买方执行方依据合同付款条款和</w:t>
      </w:r>
      <w:r>
        <w:rPr>
          <w:rFonts w:cs="宋体"/>
          <w:highlight w:val="none"/>
        </w:rPr>
        <w:t>《采购订单</w:t>
      </w:r>
      <w:r>
        <w:rPr>
          <w:rFonts w:hint="eastAsia" w:cs="宋体"/>
          <w:highlight w:val="none"/>
        </w:rPr>
        <w:t>》的具体要求为卖方办理付款手续。</w:t>
      </w:r>
    </w:p>
    <w:p>
      <w:pPr>
        <w:numPr>
          <w:ilvl w:val="0"/>
          <w:numId w:val="10"/>
        </w:numPr>
        <w:spacing w:before="360" w:after="360"/>
        <w:jc w:val="center"/>
        <w:rPr>
          <w:b/>
          <w:sz w:val="24"/>
          <w:szCs w:val="24"/>
          <w:highlight w:val="none"/>
        </w:rPr>
      </w:pPr>
      <w:bookmarkStart w:id="68" w:name="_Toc17390366"/>
      <w:bookmarkStart w:id="69" w:name="_Toc300671192"/>
      <w:bookmarkStart w:id="70" w:name="_Toc5889365"/>
      <w:r>
        <w:rPr>
          <w:rFonts w:hint="eastAsia"/>
          <w:b/>
          <w:sz w:val="24"/>
          <w:szCs w:val="24"/>
          <w:highlight w:val="none"/>
        </w:rPr>
        <w:t>交货和运输</w:t>
      </w:r>
      <w:bookmarkEnd w:id="68"/>
      <w:bookmarkEnd w:id="69"/>
      <w:bookmarkEnd w:id="70"/>
    </w:p>
    <w:p>
      <w:pPr>
        <w:numPr>
          <w:ilvl w:val="0"/>
          <w:numId w:val="14"/>
        </w:numPr>
        <w:tabs>
          <w:tab w:val="left" w:pos="720"/>
          <w:tab w:val="clear" w:pos="1468"/>
        </w:tabs>
        <w:spacing w:line="360" w:lineRule="auto"/>
        <w:ind w:left="720" w:hanging="720"/>
        <w:rPr>
          <w:highlight w:val="none"/>
        </w:rPr>
      </w:pPr>
      <w:r>
        <w:rPr>
          <w:rFonts w:hint="eastAsia" w:cs="宋体"/>
          <w:highlight w:val="none"/>
        </w:rPr>
        <w:t>本合同项下每批货物的供货范围、交货日期、交货地点等以采购订单为准。</w:t>
      </w:r>
    </w:p>
    <w:p>
      <w:pPr>
        <w:numPr>
          <w:ilvl w:val="0"/>
          <w:numId w:val="14"/>
        </w:numPr>
        <w:tabs>
          <w:tab w:val="left" w:pos="720"/>
          <w:tab w:val="clear" w:pos="1468"/>
        </w:tabs>
        <w:spacing w:line="360" w:lineRule="auto"/>
        <w:ind w:left="720" w:hanging="720"/>
        <w:rPr>
          <w:rFonts w:cs="宋体"/>
          <w:highlight w:val="none"/>
        </w:rPr>
      </w:pPr>
      <w:r>
        <w:rPr>
          <w:rFonts w:hint="eastAsia" w:cs="宋体"/>
          <w:highlight w:val="none"/>
        </w:rPr>
        <w:t>本合同项下的货物由卖方负责运输并承担与运输、包装等事项相关的全部费用。本合同项下货物的运输方式为：国内：汽车运输、船运、铁路等。</w:t>
      </w:r>
    </w:p>
    <w:p>
      <w:pPr>
        <w:numPr>
          <w:ilvl w:val="0"/>
          <w:numId w:val="14"/>
        </w:numPr>
        <w:tabs>
          <w:tab w:val="left" w:pos="720"/>
          <w:tab w:val="clear" w:pos="1468"/>
        </w:tabs>
        <w:spacing w:line="360" w:lineRule="auto"/>
        <w:ind w:left="720" w:hanging="720"/>
        <w:rPr>
          <w:rFonts w:cs="宋体"/>
          <w:highlight w:val="none"/>
        </w:rPr>
      </w:pPr>
      <w:r>
        <w:rPr>
          <w:rFonts w:hint="eastAsia" w:cs="宋体"/>
          <w:highlight w:val="none"/>
        </w:rPr>
        <w:t>本合同项下货物的包装方式为：</w:t>
      </w:r>
      <w:r>
        <w:rPr>
          <w:rFonts w:hint="eastAsia" w:cs="宋体"/>
          <w:b/>
          <w:highlight w:val="none"/>
        </w:rPr>
        <w:t>详</w:t>
      </w:r>
      <w:r>
        <w:rPr>
          <w:rFonts w:hint="eastAsia"/>
          <w:b/>
          <w:highlight w:val="none"/>
        </w:rPr>
        <w:t>见本合同附件二</w:t>
      </w:r>
      <w:r>
        <w:rPr>
          <w:rFonts w:hint="eastAsia" w:cs="宋体"/>
          <w:highlight w:val="none"/>
        </w:rPr>
        <w:t>。</w:t>
      </w:r>
    </w:p>
    <w:p>
      <w:pPr>
        <w:numPr>
          <w:ilvl w:val="0"/>
          <w:numId w:val="14"/>
        </w:numPr>
        <w:tabs>
          <w:tab w:val="left" w:pos="720"/>
          <w:tab w:val="clear" w:pos="1468"/>
        </w:tabs>
        <w:spacing w:line="360" w:lineRule="auto"/>
        <w:ind w:left="720" w:hanging="720"/>
        <w:rPr>
          <w:highlight w:val="none"/>
        </w:rPr>
      </w:pPr>
      <w:r>
        <w:rPr>
          <w:rFonts w:hint="eastAsia" w:cs="宋体"/>
          <w:highlight w:val="none"/>
        </w:rPr>
        <w:t>买方对交货日期及交货地点有特殊要求的，可以在采购订单中提出。</w:t>
      </w:r>
    </w:p>
    <w:p>
      <w:pPr>
        <w:numPr>
          <w:ilvl w:val="0"/>
          <w:numId w:val="14"/>
        </w:numPr>
        <w:tabs>
          <w:tab w:val="left" w:pos="720"/>
          <w:tab w:val="clear" w:pos="1468"/>
        </w:tabs>
        <w:spacing w:line="360" w:lineRule="auto"/>
        <w:ind w:left="720" w:hanging="720"/>
        <w:rPr>
          <w:highlight w:val="none"/>
        </w:rPr>
      </w:pPr>
      <w:r>
        <w:rPr>
          <w:rFonts w:hint="eastAsia" w:cs="宋体"/>
          <w:highlight w:val="none"/>
        </w:rPr>
        <w:t>在货物交付运输后2日内，卖方应通过（亲自递送、特快专递、传真、电子邮件等）向买方提供以下资料，具体以买方通知为准：</w:t>
      </w:r>
    </w:p>
    <w:p>
      <w:pPr>
        <w:numPr>
          <w:ilvl w:val="1"/>
          <w:numId w:val="14"/>
        </w:numPr>
        <w:tabs>
          <w:tab w:val="left" w:pos="993"/>
          <w:tab w:val="left" w:pos="1260"/>
        </w:tabs>
        <w:spacing w:line="360" w:lineRule="auto"/>
        <w:ind w:hanging="105"/>
        <w:rPr>
          <w:highlight w:val="none"/>
        </w:rPr>
      </w:pPr>
      <w:r>
        <w:rPr>
          <w:rFonts w:hint="eastAsia" w:cs="宋体"/>
          <w:highlight w:val="none"/>
        </w:rPr>
        <w:t>发货清单（发货清单的格式，详见本合同附件三）；</w:t>
      </w:r>
    </w:p>
    <w:p>
      <w:pPr>
        <w:numPr>
          <w:ilvl w:val="1"/>
          <w:numId w:val="14"/>
        </w:numPr>
        <w:tabs>
          <w:tab w:val="left" w:pos="993"/>
          <w:tab w:val="left" w:pos="1260"/>
        </w:tabs>
        <w:spacing w:line="360" w:lineRule="auto"/>
        <w:ind w:hanging="105"/>
        <w:rPr>
          <w:highlight w:val="none"/>
        </w:rPr>
      </w:pPr>
      <w:r>
        <w:rPr>
          <w:rFonts w:hint="eastAsia" w:cs="宋体"/>
          <w:highlight w:val="none"/>
        </w:rPr>
        <w:t>出厂合格证书；</w:t>
      </w:r>
    </w:p>
    <w:p>
      <w:pPr>
        <w:numPr>
          <w:ilvl w:val="1"/>
          <w:numId w:val="14"/>
        </w:numPr>
        <w:tabs>
          <w:tab w:val="left" w:pos="993"/>
          <w:tab w:val="left" w:pos="1260"/>
        </w:tabs>
        <w:spacing w:line="360" w:lineRule="auto"/>
        <w:ind w:hanging="105"/>
        <w:rPr>
          <w:highlight w:val="none"/>
        </w:rPr>
      </w:pPr>
      <w:r>
        <w:rPr>
          <w:rFonts w:hint="eastAsia" w:cs="宋体"/>
          <w:highlight w:val="none"/>
        </w:rPr>
        <w:t>相关证书、报告，如材质证、第三方检验合格证书及检验报告等；</w:t>
      </w:r>
    </w:p>
    <w:p>
      <w:pPr>
        <w:numPr>
          <w:ilvl w:val="1"/>
          <w:numId w:val="14"/>
        </w:numPr>
        <w:tabs>
          <w:tab w:val="left" w:pos="993"/>
          <w:tab w:val="left" w:pos="1260"/>
        </w:tabs>
        <w:spacing w:line="360" w:lineRule="auto"/>
        <w:ind w:hanging="105"/>
        <w:rPr>
          <w:highlight w:val="none"/>
        </w:rPr>
      </w:pPr>
      <w:r>
        <w:rPr>
          <w:rFonts w:hint="eastAsia" w:cs="宋体"/>
          <w:highlight w:val="none"/>
        </w:rPr>
        <w:t>安装／操作／维修使用说明书；</w:t>
      </w:r>
    </w:p>
    <w:p>
      <w:pPr>
        <w:numPr>
          <w:ilvl w:val="1"/>
          <w:numId w:val="14"/>
        </w:numPr>
        <w:tabs>
          <w:tab w:val="left" w:pos="993"/>
          <w:tab w:val="left" w:pos="1260"/>
        </w:tabs>
        <w:spacing w:line="360" w:lineRule="auto"/>
        <w:ind w:hanging="105"/>
        <w:rPr>
          <w:rFonts w:cs="宋体"/>
          <w:highlight w:val="none"/>
        </w:rPr>
      </w:pPr>
      <w:r>
        <w:rPr>
          <w:rFonts w:hint="eastAsia" w:cs="宋体"/>
          <w:highlight w:val="none"/>
        </w:rPr>
        <w:t>领货凭证；</w:t>
      </w:r>
    </w:p>
    <w:p>
      <w:pPr>
        <w:numPr>
          <w:ilvl w:val="1"/>
          <w:numId w:val="14"/>
        </w:numPr>
        <w:tabs>
          <w:tab w:val="left" w:pos="993"/>
          <w:tab w:val="left" w:pos="1260"/>
        </w:tabs>
        <w:spacing w:line="360" w:lineRule="auto"/>
        <w:ind w:hanging="105"/>
        <w:rPr>
          <w:highlight w:val="none"/>
        </w:rPr>
      </w:pPr>
      <w:r>
        <w:rPr>
          <w:rFonts w:hint="eastAsia" w:cs="宋体"/>
          <w:highlight w:val="none"/>
        </w:rPr>
        <w:t>相关证书、报告，如材质证、第三方检验合格证书及检验报告等；</w:t>
      </w:r>
    </w:p>
    <w:p>
      <w:pPr>
        <w:numPr>
          <w:ilvl w:val="1"/>
          <w:numId w:val="14"/>
        </w:numPr>
        <w:tabs>
          <w:tab w:val="left" w:pos="993"/>
          <w:tab w:val="left" w:pos="1260"/>
        </w:tabs>
        <w:spacing w:line="360" w:lineRule="auto"/>
        <w:ind w:hanging="105"/>
        <w:rPr>
          <w:rFonts w:cs="宋体"/>
          <w:highlight w:val="none"/>
        </w:rPr>
      </w:pPr>
      <w:r>
        <w:rPr>
          <w:rFonts w:hint="eastAsia" w:cs="宋体"/>
          <w:highlight w:val="none"/>
        </w:rPr>
        <w:t>产品MSDS一份；</w:t>
      </w:r>
    </w:p>
    <w:p>
      <w:pPr>
        <w:numPr>
          <w:ilvl w:val="1"/>
          <w:numId w:val="14"/>
        </w:numPr>
        <w:tabs>
          <w:tab w:val="left" w:pos="993"/>
          <w:tab w:val="left" w:pos="1260"/>
        </w:tabs>
        <w:spacing w:line="360" w:lineRule="auto"/>
        <w:ind w:hanging="105"/>
        <w:rPr>
          <w:rFonts w:cs="宋体"/>
          <w:highlight w:val="none"/>
        </w:rPr>
      </w:pPr>
      <w:r>
        <w:rPr>
          <w:rFonts w:hint="eastAsia" w:cs="宋体"/>
          <w:highlight w:val="none"/>
        </w:rPr>
        <w:t>合同技术要求中规定的</w:t>
      </w:r>
      <w:r>
        <w:rPr>
          <w:rFonts w:hint="eastAsia" w:cs="宋体"/>
          <w:highlight w:val="none"/>
          <w:lang w:eastAsia="zh-CN"/>
        </w:rPr>
        <w:t>其它</w:t>
      </w:r>
      <w:r>
        <w:rPr>
          <w:rFonts w:hint="eastAsia" w:cs="宋体"/>
          <w:highlight w:val="none"/>
        </w:rPr>
        <w:t>资料及证书一份。</w:t>
      </w:r>
    </w:p>
    <w:p>
      <w:pPr>
        <w:tabs>
          <w:tab w:val="left" w:pos="720"/>
          <w:tab w:val="left" w:pos="993"/>
        </w:tabs>
        <w:spacing w:line="360" w:lineRule="auto"/>
        <w:ind w:left="720"/>
        <w:rPr>
          <w:rFonts w:cs="宋体"/>
          <w:highlight w:val="none"/>
        </w:rPr>
      </w:pPr>
      <w:r>
        <w:rPr>
          <w:rFonts w:hint="eastAsia" w:cs="宋体"/>
          <w:highlight w:val="none"/>
        </w:rPr>
        <w:t>卖方交付的货物资料应完整、正确、整洁、书写明确、符合标准或行业惯例，并能满足买方正常使用与维护货物之所需。买方验收货物以卖方完整交付货物资料为前提。如买方发现货物资料存在任何错漏、短缺、损坏、遗失，买方应于收到之日起2日内通知卖方；卖方收到通知后2日内应自行承担费用将补充或替换的货物资料送达买方，并不得因此影响交货进度。</w:t>
      </w:r>
    </w:p>
    <w:p>
      <w:pPr>
        <w:numPr>
          <w:ilvl w:val="0"/>
          <w:numId w:val="14"/>
        </w:numPr>
        <w:tabs>
          <w:tab w:val="left" w:pos="720"/>
          <w:tab w:val="clear" w:pos="1468"/>
        </w:tabs>
        <w:spacing w:line="360" w:lineRule="auto"/>
        <w:ind w:left="720" w:hanging="720"/>
        <w:rPr>
          <w:highlight w:val="none"/>
        </w:rPr>
      </w:pPr>
      <w:r>
        <w:rPr>
          <w:rFonts w:hint="eastAsia" w:cs="宋体"/>
          <w:highlight w:val="none"/>
        </w:rPr>
        <w:t>在货物交付运输后2日内，卖方应通过（亲自递送、特快专递、传真、电子邮件等）向买方提供合同规定的技术资料。</w:t>
      </w:r>
    </w:p>
    <w:p>
      <w:pPr>
        <w:numPr>
          <w:ilvl w:val="0"/>
          <w:numId w:val="10"/>
        </w:numPr>
        <w:spacing w:before="360" w:after="360"/>
        <w:jc w:val="center"/>
        <w:rPr>
          <w:b/>
          <w:sz w:val="24"/>
          <w:szCs w:val="24"/>
          <w:highlight w:val="none"/>
        </w:rPr>
      </w:pPr>
      <w:bookmarkStart w:id="71" w:name="_Toc274075960"/>
      <w:bookmarkStart w:id="72" w:name="_Toc274669319"/>
      <w:bookmarkStart w:id="73" w:name="_Toc274403536"/>
      <w:bookmarkStart w:id="74" w:name="_Toc296959312"/>
      <w:bookmarkStart w:id="75" w:name="_Toc278889783"/>
      <w:bookmarkStart w:id="76" w:name="_Toc5889366"/>
      <w:bookmarkStart w:id="77" w:name="_Toc273451835"/>
      <w:bookmarkStart w:id="78" w:name="_Toc17390367"/>
      <w:bookmarkStart w:id="79" w:name="_Toc274343606"/>
      <w:bookmarkStart w:id="80" w:name="_Toc274668321"/>
      <w:bookmarkStart w:id="81" w:name="_Toc274474911"/>
      <w:bookmarkStart w:id="82" w:name="_Toc291435838"/>
      <w:bookmarkStart w:id="83" w:name="_Toc273451902"/>
      <w:bookmarkStart w:id="84" w:name="_Toc274754028"/>
      <w:bookmarkStart w:id="85" w:name="_Toc296955850"/>
      <w:bookmarkStart w:id="86" w:name="_Toc300671193"/>
      <w:bookmarkStart w:id="87" w:name="_Toc291435905"/>
      <w:bookmarkStart w:id="88" w:name="_Toc274076148"/>
      <w:r>
        <w:rPr>
          <w:rFonts w:hint="eastAsia"/>
          <w:b/>
          <w:sz w:val="24"/>
          <w:szCs w:val="24"/>
          <w:highlight w:val="none"/>
        </w:rPr>
        <w:t>包装与标记</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numPr>
          <w:ilvl w:val="0"/>
          <w:numId w:val="15"/>
        </w:numPr>
        <w:tabs>
          <w:tab w:val="left" w:pos="709"/>
        </w:tabs>
        <w:spacing w:line="360" w:lineRule="auto"/>
        <w:ind w:left="619" w:hanging="619" w:hangingChars="295"/>
        <w:rPr>
          <w:highlight w:val="none"/>
        </w:rPr>
      </w:pPr>
      <w:r>
        <w:rPr>
          <w:rFonts w:hint="eastAsia" w:cs="宋体"/>
          <w:highlight w:val="none"/>
        </w:rPr>
        <w:t>卖方应在每件货物包装箱的两个侧面（如货物没有包装箱，在货物的其它显著位置），用不褪色的油漆或其它醒目方式以明显易见的中文字样注明以下标记：</w:t>
      </w:r>
    </w:p>
    <w:p>
      <w:pPr>
        <w:widowControl/>
        <w:numPr>
          <w:ilvl w:val="0"/>
          <w:numId w:val="16"/>
        </w:numPr>
        <w:tabs>
          <w:tab w:val="left" w:pos="3060"/>
        </w:tabs>
        <w:spacing w:line="360" w:lineRule="auto"/>
        <w:ind w:hanging="431"/>
        <w:jc w:val="left"/>
        <w:rPr>
          <w:highlight w:val="none"/>
        </w:rPr>
      </w:pPr>
      <w:r>
        <w:rPr>
          <w:rFonts w:hint="eastAsia" w:cs="宋体"/>
          <w:highlight w:val="none"/>
        </w:rPr>
        <w:t>合同号；</w:t>
      </w:r>
    </w:p>
    <w:p>
      <w:pPr>
        <w:widowControl/>
        <w:numPr>
          <w:ilvl w:val="0"/>
          <w:numId w:val="16"/>
        </w:numPr>
        <w:tabs>
          <w:tab w:val="left" w:pos="3060"/>
        </w:tabs>
        <w:spacing w:line="360" w:lineRule="auto"/>
        <w:ind w:hanging="431"/>
        <w:jc w:val="left"/>
        <w:rPr>
          <w:highlight w:val="none"/>
        </w:rPr>
      </w:pPr>
      <w:r>
        <w:rPr>
          <w:rFonts w:hint="eastAsia" w:cs="宋体"/>
          <w:highlight w:val="none"/>
        </w:rPr>
        <w:t>目的站；</w:t>
      </w:r>
    </w:p>
    <w:p>
      <w:pPr>
        <w:widowControl/>
        <w:numPr>
          <w:ilvl w:val="0"/>
          <w:numId w:val="16"/>
        </w:numPr>
        <w:tabs>
          <w:tab w:val="left" w:pos="3060"/>
        </w:tabs>
        <w:spacing w:line="360" w:lineRule="auto"/>
        <w:ind w:hanging="431"/>
        <w:jc w:val="left"/>
        <w:rPr>
          <w:highlight w:val="none"/>
        </w:rPr>
      </w:pPr>
      <w:r>
        <w:rPr>
          <w:rFonts w:hint="eastAsia" w:cs="宋体"/>
          <w:highlight w:val="none"/>
        </w:rPr>
        <w:t>货物名称；</w:t>
      </w:r>
    </w:p>
    <w:p>
      <w:pPr>
        <w:widowControl/>
        <w:numPr>
          <w:ilvl w:val="0"/>
          <w:numId w:val="16"/>
        </w:numPr>
        <w:tabs>
          <w:tab w:val="left" w:pos="3060"/>
        </w:tabs>
        <w:spacing w:line="360" w:lineRule="auto"/>
        <w:ind w:hanging="431"/>
        <w:jc w:val="left"/>
        <w:rPr>
          <w:highlight w:val="none"/>
        </w:rPr>
      </w:pPr>
      <w:r>
        <w:rPr>
          <w:rFonts w:hint="eastAsia" w:cs="宋体"/>
          <w:highlight w:val="none"/>
        </w:rPr>
        <w:t>箱号</w:t>
      </w:r>
      <w:r>
        <w:rPr>
          <w:highlight w:val="none"/>
        </w:rPr>
        <w:t>/</w:t>
      </w:r>
      <w:r>
        <w:rPr>
          <w:rFonts w:hint="eastAsia" w:cs="宋体"/>
          <w:highlight w:val="none"/>
        </w:rPr>
        <w:t>件号；</w:t>
      </w:r>
    </w:p>
    <w:p>
      <w:pPr>
        <w:widowControl/>
        <w:numPr>
          <w:ilvl w:val="0"/>
          <w:numId w:val="16"/>
        </w:numPr>
        <w:tabs>
          <w:tab w:val="left" w:pos="3060"/>
        </w:tabs>
        <w:spacing w:line="360" w:lineRule="auto"/>
        <w:ind w:hanging="431"/>
        <w:jc w:val="left"/>
        <w:rPr>
          <w:highlight w:val="none"/>
        </w:rPr>
      </w:pPr>
      <w:r>
        <w:rPr>
          <w:rFonts w:hint="eastAsia" w:cs="宋体"/>
          <w:highlight w:val="none"/>
        </w:rPr>
        <w:t>毛重</w:t>
      </w:r>
      <w:r>
        <w:rPr>
          <w:highlight w:val="none"/>
        </w:rPr>
        <w:t>/</w:t>
      </w:r>
      <w:r>
        <w:rPr>
          <w:rFonts w:hint="eastAsia" w:cs="宋体"/>
          <w:highlight w:val="none"/>
        </w:rPr>
        <w:t>净重（公斤）；</w:t>
      </w:r>
    </w:p>
    <w:p>
      <w:pPr>
        <w:widowControl/>
        <w:numPr>
          <w:ilvl w:val="0"/>
          <w:numId w:val="16"/>
        </w:numPr>
        <w:tabs>
          <w:tab w:val="left" w:pos="3060"/>
        </w:tabs>
        <w:spacing w:line="360" w:lineRule="auto"/>
        <w:ind w:hanging="431"/>
        <w:jc w:val="left"/>
        <w:rPr>
          <w:highlight w:val="none"/>
        </w:rPr>
      </w:pPr>
      <w:r>
        <w:rPr>
          <w:rFonts w:hint="eastAsia" w:cs="宋体"/>
          <w:highlight w:val="none"/>
        </w:rPr>
        <w:t>体积（长</w:t>
      </w:r>
      <w:r>
        <w:rPr>
          <w:highlight w:val="none"/>
        </w:rPr>
        <w:t>×</w:t>
      </w:r>
      <w:r>
        <w:rPr>
          <w:rFonts w:hint="eastAsia" w:cs="宋体"/>
          <w:highlight w:val="none"/>
        </w:rPr>
        <w:t>宽</w:t>
      </w:r>
      <w:r>
        <w:rPr>
          <w:highlight w:val="none"/>
        </w:rPr>
        <w:t>×</w:t>
      </w:r>
      <w:r>
        <w:rPr>
          <w:rFonts w:hint="eastAsia" w:cs="宋体"/>
          <w:highlight w:val="none"/>
        </w:rPr>
        <w:t>高，以毫米表示）；</w:t>
      </w:r>
    </w:p>
    <w:p>
      <w:pPr>
        <w:widowControl/>
        <w:numPr>
          <w:ilvl w:val="0"/>
          <w:numId w:val="16"/>
        </w:numPr>
        <w:tabs>
          <w:tab w:val="left" w:pos="3060"/>
        </w:tabs>
        <w:spacing w:line="360" w:lineRule="auto"/>
        <w:ind w:hanging="431"/>
        <w:jc w:val="left"/>
        <w:rPr>
          <w:highlight w:val="none"/>
        </w:rPr>
      </w:pPr>
      <w:r>
        <w:rPr>
          <w:rFonts w:hint="eastAsia" w:cs="宋体"/>
          <w:highlight w:val="none"/>
        </w:rPr>
        <w:t>吊点；</w:t>
      </w:r>
    </w:p>
    <w:p>
      <w:pPr>
        <w:numPr>
          <w:ilvl w:val="0"/>
          <w:numId w:val="15"/>
        </w:numPr>
        <w:tabs>
          <w:tab w:val="left" w:pos="708"/>
        </w:tabs>
        <w:spacing w:line="360" w:lineRule="auto"/>
        <w:ind w:left="619" w:hanging="619" w:hangingChars="295"/>
        <w:rPr>
          <w:highlight w:val="none"/>
        </w:rPr>
      </w:pPr>
      <w:r>
        <w:rPr>
          <w:rFonts w:hint="eastAsia" w:cs="宋体"/>
          <w:highlight w:val="none"/>
        </w:rPr>
        <w:t>凡</w:t>
      </w:r>
      <w:r>
        <w:rPr>
          <w:rFonts w:hint="eastAsia"/>
          <w:highlight w:val="none"/>
        </w:rPr>
        <w:t>重量</w:t>
      </w:r>
      <w:r>
        <w:rPr>
          <w:rFonts w:hint="eastAsia" w:cs="宋体"/>
          <w:highlight w:val="none"/>
        </w:rPr>
        <w:t>超过</w:t>
      </w:r>
      <w:r>
        <w:rPr>
          <w:rFonts w:hint="eastAsia"/>
          <w:szCs w:val="21"/>
          <w:highlight w:val="none"/>
        </w:rPr>
        <w:t>2吨</w:t>
      </w:r>
      <w:r>
        <w:rPr>
          <w:szCs w:val="21"/>
          <w:highlight w:val="none"/>
        </w:rPr>
        <w:t>(包括二吨)</w:t>
      </w:r>
      <w:r>
        <w:rPr>
          <w:rFonts w:hint="eastAsia"/>
          <w:szCs w:val="21"/>
          <w:highlight w:val="none"/>
        </w:rPr>
        <w:t>或</w:t>
      </w:r>
      <w:r>
        <w:rPr>
          <w:szCs w:val="21"/>
          <w:highlight w:val="none"/>
        </w:rPr>
        <w:t>尺寸超过</w:t>
      </w:r>
      <w:r>
        <w:rPr>
          <w:rFonts w:hint="eastAsia"/>
          <w:szCs w:val="21"/>
          <w:highlight w:val="none"/>
        </w:rPr>
        <w:t>2</w:t>
      </w:r>
      <w:r>
        <w:rPr>
          <w:szCs w:val="21"/>
          <w:highlight w:val="none"/>
        </w:rPr>
        <w:t>米</w:t>
      </w:r>
      <w:r>
        <w:rPr>
          <w:rFonts w:hint="eastAsia"/>
          <w:szCs w:val="21"/>
          <w:highlight w:val="none"/>
        </w:rPr>
        <w:t>×2</w:t>
      </w:r>
      <w:r>
        <w:rPr>
          <w:szCs w:val="21"/>
          <w:highlight w:val="none"/>
        </w:rPr>
        <w:t>米</w:t>
      </w:r>
      <w:r>
        <w:rPr>
          <w:rFonts w:hint="eastAsia"/>
          <w:szCs w:val="21"/>
          <w:highlight w:val="none"/>
        </w:rPr>
        <w:t>×2</w:t>
      </w:r>
      <w:r>
        <w:rPr>
          <w:szCs w:val="21"/>
          <w:highlight w:val="none"/>
        </w:rPr>
        <w:t>米</w:t>
      </w:r>
      <w:r>
        <w:rPr>
          <w:rFonts w:hint="eastAsia" w:cs="宋体"/>
          <w:highlight w:val="none"/>
        </w:rPr>
        <w:t>的货物，应在包装箱的侧面以运输常用的标记和图案标明重心位置及起吊点。</w:t>
      </w:r>
    </w:p>
    <w:p>
      <w:pPr>
        <w:numPr>
          <w:ilvl w:val="0"/>
          <w:numId w:val="15"/>
        </w:numPr>
        <w:tabs>
          <w:tab w:val="left" w:pos="708"/>
        </w:tabs>
        <w:spacing w:line="360" w:lineRule="auto"/>
        <w:ind w:left="619" w:hanging="619" w:hangingChars="295"/>
        <w:rPr>
          <w:highlight w:val="none"/>
        </w:rPr>
      </w:pPr>
      <w:r>
        <w:rPr>
          <w:rFonts w:hint="eastAsia" w:cs="宋体"/>
          <w:highlight w:val="none"/>
        </w:rPr>
        <w:t>根据货物的特点和装卸、运输的不同要求，包装箱应显著标明“轻放”、“勿倒置”、“防潮”和“防雨”等字样。</w:t>
      </w:r>
    </w:p>
    <w:p>
      <w:pPr>
        <w:numPr>
          <w:ilvl w:val="0"/>
          <w:numId w:val="15"/>
        </w:numPr>
        <w:tabs>
          <w:tab w:val="left" w:pos="708"/>
        </w:tabs>
        <w:spacing w:line="360" w:lineRule="auto"/>
        <w:ind w:left="619" w:hanging="619" w:hangingChars="295"/>
        <w:rPr>
          <w:highlight w:val="none"/>
        </w:rPr>
      </w:pPr>
      <w:r>
        <w:rPr>
          <w:rFonts w:hint="eastAsia" w:cs="宋体"/>
          <w:highlight w:val="none"/>
        </w:rPr>
        <w:t>如果在一个包装箱内同时装有两件以上不同的货物，卖方应用显著标明主要货物的名称及货号。</w:t>
      </w:r>
    </w:p>
    <w:p>
      <w:pPr>
        <w:numPr>
          <w:ilvl w:val="0"/>
          <w:numId w:val="15"/>
        </w:numPr>
        <w:tabs>
          <w:tab w:val="left" w:pos="708"/>
        </w:tabs>
        <w:spacing w:line="360" w:lineRule="auto"/>
        <w:ind w:left="619" w:hanging="619" w:hangingChars="295"/>
        <w:rPr>
          <w:highlight w:val="none"/>
        </w:rPr>
      </w:pPr>
      <w:r>
        <w:rPr>
          <w:rFonts w:hint="eastAsia" w:cs="宋体"/>
          <w:highlight w:val="none"/>
        </w:rPr>
        <w:t>对裸装的大件货物，卖方应在每捆、每件上系上标签，标签应清晰标明：货物名称、规格型号、数量、装配图号、重心位置、起吊点、包装件号或系列号等。</w:t>
      </w:r>
    </w:p>
    <w:p>
      <w:pPr>
        <w:numPr>
          <w:ilvl w:val="0"/>
          <w:numId w:val="15"/>
        </w:numPr>
        <w:tabs>
          <w:tab w:val="left" w:pos="708"/>
        </w:tabs>
        <w:spacing w:line="360" w:lineRule="auto"/>
        <w:ind w:left="619" w:hanging="619" w:hangingChars="295"/>
        <w:rPr>
          <w:highlight w:val="none"/>
        </w:rPr>
      </w:pPr>
      <w:r>
        <w:rPr>
          <w:rFonts w:hint="eastAsia"/>
          <w:highlight w:val="none"/>
        </w:rPr>
        <w:t>卖方向买方提供的货物资料，应具有适合长途运输、多次装卸及搬运、防潮和防雨的包装，货物资料包装的封面上应注明下述内容：</w:t>
      </w:r>
    </w:p>
    <w:p>
      <w:pPr>
        <w:widowControl/>
        <w:numPr>
          <w:ilvl w:val="0"/>
          <w:numId w:val="17"/>
        </w:numPr>
        <w:tabs>
          <w:tab w:val="left" w:pos="1134"/>
        </w:tabs>
        <w:autoSpaceDE w:val="0"/>
        <w:autoSpaceDN w:val="0"/>
        <w:adjustRightInd w:val="0"/>
        <w:spacing w:line="360" w:lineRule="auto"/>
        <w:ind w:hanging="405"/>
        <w:jc w:val="left"/>
        <w:textAlignment w:val="bottom"/>
        <w:rPr>
          <w:highlight w:val="none"/>
        </w:rPr>
      </w:pPr>
      <w:r>
        <w:rPr>
          <w:rFonts w:hint="eastAsia"/>
          <w:highlight w:val="none"/>
        </w:rPr>
        <w:t>合同号；</w:t>
      </w:r>
    </w:p>
    <w:p>
      <w:pPr>
        <w:widowControl/>
        <w:numPr>
          <w:ilvl w:val="0"/>
          <w:numId w:val="17"/>
        </w:numPr>
        <w:tabs>
          <w:tab w:val="left" w:pos="1134"/>
          <w:tab w:val="left" w:pos="1260"/>
        </w:tabs>
        <w:autoSpaceDE w:val="0"/>
        <w:autoSpaceDN w:val="0"/>
        <w:adjustRightInd w:val="0"/>
        <w:spacing w:line="360" w:lineRule="auto"/>
        <w:ind w:hanging="405"/>
        <w:jc w:val="left"/>
        <w:textAlignment w:val="bottom"/>
        <w:rPr>
          <w:highlight w:val="none"/>
        </w:rPr>
      </w:pPr>
      <w:r>
        <w:rPr>
          <w:rFonts w:hint="eastAsia"/>
          <w:highlight w:val="none"/>
        </w:rPr>
        <w:t>收货人；</w:t>
      </w:r>
    </w:p>
    <w:p>
      <w:pPr>
        <w:widowControl/>
        <w:numPr>
          <w:ilvl w:val="0"/>
          <w:numId w:val="17"/>
        </w:numPr>
        <w:tabs>
          <w:tab w:val="left" w:pos="1134"/>
          <w:tab w:val="left" w:pos="1260"/>
        </w:tabs>
        <w:autoSpaceDE w:val="0"/>
        <w:autoSpaceDN w:val="0"/>
        <w:adjustRightInd w:val="0"/>
        <w:spacing w:line="360" w:lineRule="auto"/>
        <w:ind w:hanging="405"/>
        <w:jc w:val="left"/>
        <w:textAlignment w:val="bottom"/>
        <w:rPr>
          <w:highlight w:val="none"/>
        </w:rPr>
      </w:pPr>
      <w:r>
        <w:rPr>
          <w:rFonts w:hint="eastAsia"/>
          <w:highlight w:val="none"/>
        </w:rPr>
        <w:t>目的地；</w:t>
      </w:r>
    </w:p>
    <w:p>
      <w:pPr>
        <w:widowControl/>
        <w:numPr>
          <w:ilvl w:val="0"/>
          <w:numId w:val="17"/>
        </w:numPr>
        <w:tabs>
          <w:tab w:val="left" w:pos="1134"/>
          <w:tab w:val="left" w:pos="1260"/>
        </w:tabs>
        <w:autoSpaceDE w:val="0"/>
        <w:autoSpaceDN w:val="0"/>
        <w:adjustRightInd w:val="0"/>
        <w:spacing w:line="360" w:lineRule="auto"/>
        <w:ind w:hanging="405"/>
        <w:jc w:val="left"/>
        <w:textAlignment w:val="bottom"/>
        <w:rPr>
          <w:highlight w:val="none"/>
        </w:rPr>
      </w:pPr>
      <w:r>
        <w:rPr>
          <w:rFonts w:hint="eastAsia"/>
          <w:highlight w:val="none"/>
        </w:rPr>
        <w:t>毛重（公斤）；</w:t>
      </w:r>
    </w:p>
    <w:p>
      <w:pPr>
        <w:widowControl/>
        <w:numPr>
          <w:ilvl w:val="0"/>
          <w:numId w:val="17"/>
        </w:numPr>
        <w:tabs>
          <w:tab w:val="left" w:pos="1134"/>
          <w:tab w:val="left" w:pos="1260"/>
        </w:tabs>
        <w:autoSpaceDE w:val="0"/>
        <w:autoSpaceDN w:val="0"/>
        <w:adjustRightInd w:val="0"/>
        <w:spacing w:line="360" w:lineRule="auto"/>
        <w:ind w:hanging="405"/>
        <w:jc w:val="left"/>
        <w:textAlignment w:val="bottom"/>
        <w:rPr>
          <w:highlight w:val="none"/>
        </w:rPr>
      </w:pPr>
      <w:r>
        <w:rPr>
          <w:rFonts w:hint="eastAsia"/>
          <w:highlight w:val="none"/>
        </w:rPr>
        <w:t>箱号</w:t>
      </w:r>
      <w:r>
        <w:rPr>
          <w:highlight w:val="none"/>
        </w:rPr>
        <w:t>/</w:t>
      </w:r>
      <w:r>
        <w:rPr>
          <w:rFonts w:hint="eastAsia"/>
          <w:highlight w:val="none"/>
        </w:rPr>
        <w:t>件号。</w:t>
      </w:r>
    </w:p>
    <w:p>
      <w:pPr>
        <w:spacing w:line="360" w:lineRule="auto"/>
        <w:ind w:left="619" w:leftChars="295"/>
        <w:textAlignment w:val="bottom"/>
        <w:rPr>
          <w:highlight w:val="none"/>
        </w:rPr>
      </w:pPr>
      <w:r>
        <w:rPr>
          <w:rFonts w:hint="eastAsia"/>
          <w:highlight w:val="none"/>
        </w:rPr>
        <w:t>每一包货物资料内应附有货物资料的详细清单两份，标明货物资料的序号、代号、名称和页数。</w:t>
      </w:r>
    </w:p>
    <w:p>
      <w:pPr>
        <w:numPr>
          <w:ilvl w:val="0"/>
          <w:numId w:val="10"/>
        </w:numPr>
        <w:spacing w:before="360" w:after="360"/>
        <w:jc w:val="center"/>
        <w:rPr>
          <w:b/>
          <w:sz w:val="24"/>
          <w:szCs w:val="24"/>
          <w:highlight w:val="none"/>
        </w:rPr>
      </w:pPr>
      <w:bookmarkStart w:id="89" w:name="_Toc287364271"/>
      <w:bookmarkStart w:id="90" w:name="_Toc5889367"/>
      <w:bookmarkStart w:id="91" w:name="_Toc300671194"/>
      <w:bookmarkStart w:id="92" w:name="_Toc17390368"/>
      <w:bookmarkStart w:id="93" w:name="_Toc288567131"/>
      <w:bookmarkStart w:id="94" w:name="_Toc287657103"/>
      <w:r>
        <w:rPr>
          <w:rFonts w:hint="eastAsia"/>
          <w:b/>
          <w:sz w:val="24"/>
          <w:szCs w:val="24"/>
          <w:highlight w:val="none"/>
        </w:rPr>
        <w:t>验收</w:t>
      </w:r>
      <w:bookmarkEnd w:id="89"/>
      <w:bookmarkEnd w:id="90"/>
      <w:bookmarkEnd w:id="91"/>
      <w:bookmarkEnd w:id="92"/>
      <w:bookmarkEnd w:id="93"/>
      <w:bookmarkEnd w:id="94"/>
    </w:p>
    <w:p>
      <w:pPr>
        <w:numPr>
          <w:ilvl w:val="0"/>
          <w:numId w:val="18"/>
        </w:numPr>
        <w:tabs>
          <w:tab w:val="left" w:pos="720"/>
          <w:tab w:val="left" w:pos="1080"/>
          <w:tab w:val="clear" w:pos="1468"/>
        </w:tabs>
        <w:spacing w:line="360" w:lineRule="auto"/>
        <w:ind w:left="720" w:hanging="720"/>
        <w:rPr>
          <w:rFonts w:cs="宋体"/>
          <w:highlight w:val="none"/>
        </w:rPr>
      </w:pPr>
      <w:r>
        <w:rPr>
          <w:rFonts w:hint="eastAsia" w:cs="宋体"/>
          <w:highlight w:val="none"/>
        </w:rPr>
        <w:t>货物到达指定交货地点后，买方在2日内对货物进行验收。验收由买方组织并指派专人参加，卖方应当指派人员参加。验收标准详见本合同附件二。</w:t>
      </w:r>
    </w:p>
    <w:p>
      <w:pPr>
        <w:numPr>
          <w:ilvl w:val="0"/>
          <w:numId w:val="18"/>
        </w:numPr>
        <w:tabs>
          <w:tab w:val="left" w:pos="720"/>
          <w:tab w:val="left" w:pos="1080"/>
          <w:tab w:val="clear" w:pos="1468"/>
        </w:tabs>
        <w:spacing w:line="360" w:lineRule="auto"/>
        <w:ind w:left="720" w:hanging="720"/>
        <w:rPr>
          <w:rFonts w:cs="宋体"/>
          <w:highlight w:val="none"/>
        </w:rPr>
      </w:pPr>
      <w:r>
        <w:rPr>
          <w:rFonts w:hint="eastAsia" w:cs="宋体"/>
          <w:highlight w:val="none"/>
        </w:rPr>
        <w:t>买方按照本合同约定的标准进行验收，并将验收结果通知卖方。对于验收合格的，由参与验收的人员在送货单（一式四联）上签字确认，买卖双方各留（二）份。对于验收中买方发现的问题，卖方应当在0.5日内予以书面回复。对于验收中发现的质量问题，卖方应在验收后1日内根据买方的要求予以解决。</w:t>
      </w:r>
    </w:p>
    <w:p>
      <w:pPr>
        <w:numPr>
          <w:ilvl w:val="0"/>
          <w:numId w:val="18"/>
        </w:numPr>
        <w:tabs>
          <w:tab w:val="left" w:pos="720"/>
          <w:tab w:val="left" w:pos="1080"/>
          <w:tab w:val="clear" w:pos="1468"/>
        </w:tabs>
        <w:spacing w:line="360" w:lineRule="auto"/>
        <w:ind w:left="720" w:hanging="720"/>
        <w:rPr>
          <w:rFonts w:cs="宋体"/>
          <w:highlight w:val="none"/>
        </w:rPr>
      </w:pPr>
      <w:r>
        <w:rPr>
          <w:rFonts w:hint="eastAsia" w:cs="宋体"/>
          <w:highlight w:val="none"/>
        </w:rPr>
        <w:t>卖方对验收结果提出异议的，由买卖双方协商解决。买卖双方协商不成的，买卖双方同意委托双方协商的有资质的第三方权威</w:t>
      </w:r>
      <w:r>
        <w:rPr>
          <w:rFonts w:cs="宋体"/>
          <w:highlight w:val="none"/>
        </w:rPr>
        <w:t>机构</w:t>
      </w:r>
      <w:r>
        <w:rPr>
          <w:rFonts w:hint="eastAsia" w:cs="宋体"/>
          <w:highlight w:val="none"/>
        </w:rPr>
        <w:t>进行检验并以该检验机构的检验结果为准。委托检验所发生的费用由卖方承担。</w:t>
      </w:r>
    </w:p>
    <w:p>
      <w:pPr>
        <w:numPr>
          <w:ilvl w:val="0"/>
          <w:numId w:val="10"/>
        </w:numPr>
        <w:spacing w:before="360" w:after="360"/>
        <w:jc w:val="center"/>
        <w:rPr>
          <w:b/>
          <w:sz w:val="24"/>
          <w:szCs w:val="24"/>
          <w:highlight w:val="none"/>
        </w:rPr>
      </w:pPr>
      <w:bookmarkStart w:id="95" w:name="_Toc300671197"/>
      <w:bookmarkStart w:id="96" w:name="_Toc17390369"/>
      <w:bookmarkStart w:id="97" w:name="_Toc5889368"/>
      <w:r>
        <w:rPr>
          <w:rFonts w:hint="eastAsia"/>
          <w:b/>
          <w:sz w:val="24"/>
          <w:szCs w:val="24"/>
          <w:highlight w:val="none"/>
        </w:rPr>
        <w:t>卖方代表</w:t>
      </w:r>
      <w:bookmarkEnd w:id="95"/>
      <w:bookmarkEnd w:id="96"/>
      <w:bookmarkEnd w:id="97"/>
    </w:p>
    <w:p>
      <w:pPr>
        <w:numPr>
          <w:ilvl w:val="0"/>
          <w:numId w:val="19"/>
        </w:numPr>
        <w:tabs>
          <w:tab w:val="left" w:pos="708"/>
        </w:tabs>
        <w:spacing w:line="360" w:lineRule="auto"/>
        <w:ind w:left="720" w:hanging="720"/>
        <w:rPr>
          <w:highlight w:val="none"/>
        </w:rPr>
      </w:pPr>
      <w:r>
        <w:rPr>
          <w:rFonts w:hint="eastAsia" w:cs="宋体"/>
          <w:highlight w:val="none"/>
        </w:rPr>
        <w:t>卖方应于本合同生效后5日内指派一位项目经理作为卖方代表，全权代表卖方执行本合同，有权代表卖方接收和发出本合同项下的任何通知、同意、批准和决定等，有权代表卖方处理本合同项下需与买方沟通和协调的事项。</w:t>
      </w:r>
      <w:r>
        <w:rPr>
          <w:rFonts w:hint="eastAsia" w:cs="Arial"/>
          <w:szCs w:val="21"/>
          <w:highlight w:val="none"/>
          <w:lang w:val="en-GB"/>
        </w:rPr>
        <w:t>卖方</w:t>
      </w:r>
      <w:r>
        <w:rPr>
          <w:rFonts w:hint="eastAsia" w:cs="Arial"/>
          <w:szCs w:val="21"/>
          <w:highlight w:val="none"/>
          <w:lang w:val="en-GB" w:eastAsia="zh-TW"/>
        </w:rPr>
        <w:t>代表的任何</w:t>
      </w:r>
      <w:r>
        <w:rPr>
          <w:rFonts w:hint="eastAsia" w:cs="Arial"/>
          <w:szCs w:val="21"/>
          <w:highlight w:val="none"/>
          <w:lang w:val="en-GB"/>
        </w:rPr>
        <w:t>行为</w:t>
      </w:r>
      <w:r>
        <w:rPr>
          <w:rFonts w:hint="eastAsia" w:cs="Arial"/>
          <w:szCs w:val="21"/>
          <w:highlight w:val="none"/>
          <w:lang w:val="en-GB" w:eastAsia="zh-TW"/>
        </w:rPr>
        <w:t>、疏忽或不作为</w:t>
      </w:r>
      <w:r>
        <w:rPr>
          <w:rFonts w:hint="eastAsia" w:cs="Arial"/>
          <w:szCs w:val="21"/>
          <w:highlight w:val="none"/>
          <w:lang w:val="en-GB"/>
        </w:rPr>
        <w:t>应视同卖方的行为、疏忽或不作为，卖方</w:t>
      </w:r>
      <w:r>
        <w:rPr>
          <w:rFonts w:hint="eastAsia" w:cs="Arial"/>
          <w:szCs w:val="21"/>
          <w:highlight w:val="none"/>
          <w:lang w:val="en-GB" w:eastAsia="zh-TW"/>
        </w:rPr>
        <w:t>应对</w:t>
      </w:r>
      <w:r>
        <w:rPr>
          <w:rFonts w:hint="eastAsia" w:cs="Arial"/>
          <w:szCs w:val="21"/>
          <w:highlight w:val="none"/>
          <w:lang w:val="en-GB"/>
        </w:rPr>
        <w:t>此</w:t>
      </w:r>
      <w:r>
        <w:rPr>
          <w:rFonts w:hint="eastAsia" w:cs="Arial"/>
          <w:szCs w:val="21"/>
          <w:highlight w:val="none"/>
          <w:lang w:val="en-GB" w:eastAsia="zh-TW"/>
        </w:rPr>
        <w:t>承担</w:t>
      </w:r>
      <w:r>
        <w:rPr>
          <w:rFonts w:hint="eastAsia" w:cs="Arial"/>
          <w:szCs w:val="21"/>
          <w:highlight w:val="none"/>
          <w:lang w:val="en-GB"/>
        </w:rPr>
        <w:t>全部</w:t>
      </w:r>
      <w:r>
        <w:rPr>
          <w:rFonts w:hint="eastAsia" w:cs="Arial"/>
          <w:szCs w:val="21"/>
          <w:highlight w:val="none"/>
          <w:lang w:val="en-GB" w:eastAsia="zh-TW"/>
        </w:rPr>
        <w:t>责任</w:t>
      </w:r>
      <w:r>
        <w:rPr>
          <w:rFonts w:hint="eastAsia" w:cs="Arial"/>
          <w:szCs w:val="21"/>
          <w:highlight w:val="none"/>
          <w:lang w:val="en-GB"/>
        </w:rPr>
        <w:t>。</w:t>
      </w:r>
      <w:r>
        <w:rPr>
          <w:rFonts w:hint="eastAsia"/>
          <w:highlight w:val="none"/>
        </w:rPr>
        <w:t>卖方代表应具有丰富的经验和良好的沟通及协调能力。</w:t>
      </w:r>
    </w:p>
    <w:p>
      <w:pPr>
        <w:numPr>
          <w:ilvl w:val="0"/>
          <w:numId w:val="19"/>
        </w:numPr>
        <w:tabs>
          <w:tab w:val="left" w:pos="708"/>
        </w:tabs>
        <w:spacing w:line="360" w:lineRule="auto"/>
        <w:ind w:left="720" w:hanging="720"/>
        <w:rPr>
          <w:highlight w:val="none"/>
        </w:rPr>
      </w:pPr>
      <w:r>
        <w:rPr>
          <w:rFonts w:hint="eastAsia" w:cs="宋体"/>
          <w:highlight w:val="none"/>
        </w:rPr>
        <w:t>卖方应于指派卖方代表后将卖方代表的简历及联系方式提供给买方。未经买方事先书面同意，卖方不得更换卖方代表。</w:t>
      </w:r>
    </w:p>
    <w:p>
      <w:pPr>
        <w:numPr>
          <w:ilvl w:val="0"/>
          <w:numId w:val="19"/>
        </w:numPr>
        <w:tabs>
          <w:tab w:val="left" w:pos="720"/>
        </w:tabs>
        <w:spacing w:line="360" w:lineRule="auto"/>
        <w:ind w:left="720" w:hanging="720"/>
        <w:rPr>
          <w:highlight w:val="none"/>
        </w:rPr>
      </w:pPr>
      <w:r>
        <w:rPr>
          <w:rFonts w:hint="eastAsia" w:cs="宋体"/>
          <w:highlight w:val="none"/>
        </w:rPr>
        <w:t>本合同有效期内，如果买方认为卖方代表无法胜任其工作，经书面通知卖方后，卖方应于收到买方通知后5日内更换卖方代表。</w:t>
      </w:r>
      <w:r>
        <w:rPr>
          <w:rFonts w:hint="eastAsia"/>
          <w:highlight w:val="none"/>
        </w:rPr>
        <w:t>如果卖方未在买方要求的期限内更换卖方代表，买方有权立即解除本合同并无需为此承担任何责任。</w:t>
      </w:r>
      <w:bookmarkStart w:id="98" w:name="_Toc288567138"/>
      <w:bookmarkStart w:id="99" w:name="_Toc287364276"/>
      <w:bookmarkStart w:id="100" w:name="_Toc287657108"/>
    </w:p>
    <w:p>
      <w:pPr>
        <w:numPr>
          <w:ilvl w:val="0"/>
          <w:numId w:val="10"/>
        </w:numPr>
        <w:spacing w:before="360" w:after="360"/>
        <w:jc w:val="center"/>
        <w:rPr>
          <w:b/>
          <w:sz w:val="24"/>
          <w:szCs w:val="24"/>
          <w:highlight w:val="none"/>
        </w:rPr>
      </w:pPr>
      <w:bookmarkStart w:id="101" w:name="_Toc274076149"/>
      <w:bookmarkStart w:id="102" w:name="_Toc273451903"/>
      <w:bookmarkStart w:id="103" w:name="_Toc291435840"/>
      <w:bookmarkStart w:id="104" w:name="_Toc274474912"/>
      <w:bookmarkStart w:id="105" w:name="_Toc278889784"/>
      <w:bookmarkStart w:id="106" w:name="_Toc274669320"/>
      <w:bookmarkStart w:id="107" w:name="_Toc274754029"/>
      <w:bookmarkStart w:id="108" w:name="_Toc274075961"/>
      <w:bookmarkStart w:id="109" w:name="_Toc291435907"/>
      <w:bookmarkStart w:id="110" w:name="_Toc274343607"/>
      <w:bookmarkStart w:id="111" w:name="_Toc273451836"/>
      <w:bookmarkStart w:id="112" w:name="_Toc274668322"/>
      <w:bookmarkStart w:id="113" w:name="_Toc274403537"/>
      <w:bookmarkStart w:id="114" w:name="_Toc300671195"/>
      <w:bookmarkStart w:id="115" w:name="_Toc296955852"/>
      <w:bookmarkStart w:id="116" w:name="_Toc17390370"/>
      <w:bookmarkStart w:id="117" w:name="_Toc5889369"/>
      <w:bookmarkStart w:id="118" w:name="_Toc296959314"/>
      <w:r>
        <w:rPr>
          <w:rFonts w:hint="eastAsia"/>
          <w:b/>
          <w:sz w:val="24"/>
          <w:szCs w:val="24"/>
          <w:highlight w:val="none"/>
        </w:rPr>
        <w:t>技术服务</w:t>
      </w:r>
      <w:bookmarkEnd w:id="101"/>
      <w:bookmarkEnd w:id="102"/>
      <w:bookmarkEnd w:id="103"/>
      <w:bookmarkEnd w:id="104"/>
      <w:bookmarkEnd w:id="105"/>
      <w:bookmarkEnd w:id="106"/>
      <w:bookmarkEnd w:id="107"/>
      <w:bookmarkEnd w:id="108"/>
      <w:bookmarkEnd w:id="109"/>
      <w:bookmarkEnd w:id="110"/>
      <w:bookmarkEnd w:id="111"/>
      <w:bookmarkEnd w:id="112"/>
      <w:bookmarkEnd w:id="113"/>
      <w:r>
        <w:rPr>
          <w:rFonts w:hint="eastAsia"/>
          <w:b/>
          <w:sz w:val="24"/>
          <w:szCs w:val="24"/>
          <w:highlight w:val="none"/>
        </w:rPr>
        <w:t>和培训</w:t>
      </w:r>
      <w:bookmarkEnd w:id="114"/>
      <w:bookmarkEnd w:id="115"/>
      <w:bookmarkEnd w:id="116"/>
      <w:bookmarkEnd w:id="117"/>
      <w:bookmarkEnd w:id="118"/>
    </w:p>
    <w:p>
      <w:pPr>
        <w:numPr>
          <w:ilvl w:val="0"/>
          <w:numId w:val="20"/>
        </w:numPr>
        <w:tabs>
          <w:tab w:val="left" w:pos="709"/>
        </w:tabs>
        <w:spacing w:line="360" w:lineRule="auto"/>
        <w:ind w:left="720" w:hanging="720"/>
        <w:rPr>
          <w:highlight w:val="none"/>
        </w:rPr>
      </w:pPr>
      <w:r>
        <w:rPr>
          <w:rFonts w:hint="eastAsia" w:cs="宋体"/>
          <w:highlight w:val="none"/>
        </w:rPr>
        <w:t>卖方应根据本合同的规定提供技术服务，相关费用已经包含在合同价款内。技术服务的内容和具体要求（详见本合同附件二）。</w:t>
      </w:r>
    </w:p>
    <w:p>
      <w:pPr>
        <w:numPr>
          <w:ilvl w:val="0"/>
          <w:numId w:val="20"/>
        </w:numPr>
        <w:tabs>
          <w:tab w:val="left" w:pos="709"/>
        </w:tabs>
        <w:spacing w:line="360" w:lineRule="auto"/>
        <w:ind w:left="619" w:hanging="619" w:hangingChars="295"/>
        <w:rPr>
          <w:highlight w:val="none"/>
        </w:rPr>
      </w:pPr>
      <w:r>
        <w:rPr>
          <w:rFonts w:hint="eastAsia" w:cs="宋体"/>
          <w:highlight w:val="none"/>
        </w:rPr>
        <w:t>卖方应根据本合同的规定向买方人员提供培训服务，其相关费用已经包含在合同价款内，培训的范围、时间、方式等（详见本合同附件二）。</w:t>
      </w:r>
    </w:p>
    <w:p>
      <w:pPr>
        <w:numPr>
          <w:ilvl w:val="0"/>
          <w:numId w:val="10"/>
        </w:numPr>
        <w:spacing w:before="360" w:after="360"/>
        <w:jc w:val="center"/>
        <w:rPr>
          <w:b/>
          <w:sz w:val="24"/>
          <w:szCs w:val="24"/>
          <w:highlight w:val="none"/>
        </w:rPr>
      </w:pPr>
      <w:bookmarkStart w:id="119" w:name="_Toc5889370"/>
      <w:bookmarkStart w:id="120" w:name="_Toc300671196"/>
      <w:bookmarkStart w:id="121" w:name="_Toc17390371"/>
      <w:bookmarkStart w:id="122" w:name="_Toc288567132"/>
      <w:r>
        <w:rPr>
          <w:rFonts w:hint="eastAsia"/>
          <w:b/>
          <w:sz w:val="24"/>
          <w:szCs w:val="24"/>
          <w:highlight w:val="none"/>
        </w:rPr>
        <w:t>质保期</w:t>
      </w:r>
      <w:bookmarkEnd w:id="119"/>
      <w:bookmarkEnd w:id="120"/>
      <w:bookmarkEnd w:id="121"/>
      <w:bookmarkEnd w:id="122"/>
    </w:p>
    <w:p>
      <w:pPr>
        <w:numPr>
          <w:ilvl w:val="0"/>
          <w:numId w:val="21"/>
        </w:numPr>
        <w:tabs>
          <w:tab w:val="left" w:pos="709"/>
        </w:tabs>
        <w:spacing w:line="360" w:lineRule="auto"/>
        <w:ind w:left="709" w:hanging="709"/>
        <w:rPr>
          <w:highlight w:val="none"/>
        </w:rPr>
      </w:pPr>
      <w:r>
        <w:rPr>
          <w:rFonts w:hint="eastAsia" w:cs="宋体"/>
          <w:highlight w:val="none"/>
        </w:rPr>
        <w:t>本合同项下每批货物的质量保证期为卖方交付该批货物并经双方签署送货单后12个月。</w:t>
      </w:r>
    </w:p>
    <w:p>
      <w:pPr>
        <w:numPr>
          <w:ilvl w:val="0"/>
          <w:numId w:val="10"/>
        </w:numPr>
        <w:spacing w:before="360" w:after="360"/>
        <w:jc w:val="center"/>
        <w:rPr>
          <w:b/>
          <w:sz w:val="24"/>
          <w:szCs w:val="24"/>
          <w:highlight w:val="none"/>
        </w:rPr>
      </w:pPr>
      <w:bookmarkStart w:id="123" w:name="_Toc5889371"/>
      <w:bookmarkStart w:id="124" w:name="_Toc17390372"/>
      <w:bookmarkStart w:id="125" w:name="_Toc300671199"/>
      <w:r>
        <w:rPr>
          <w:rFonts w:hint="eastAsia"/>
          <w:b/>
          <w:sz w:val="24"/>
          <w:szCs w:val="24"/>
          <w:highlight w:val="none"/>
        </w:rPr>
        <w:t>保险</w:t>
      </w:r>
      <w:bookmarkEnd w:id="98"/>
      <w:bookmarkEnd w:id="99"/>
      <w:bookmarkEnd w:id="100"/>
      <w:bookmarkEnd w:id="123"/>
      <w:bookmarkEnd w:id="124"/>
      <w:bookmarkEnd w:id="125"/>
    </w:p>
    <w:p>
      <w:pPr>
        <w:numPr>
          <w:ilvl w:val="0"/>
          <w:numId w:val="22"/>
        </w:numPr>
        <w:tabs>
          <w:tab w:val="left" w:pos="720"/>
          <w:tab w:val="clear" w:pos="1468"/>
        </w:tabs>
        <w:spacing w:line="360" w:lineRule="auto"/>
        <w:ind w:left="709" w:hanging="709"/>
        <w:rPr>
          <w:highlight w:val="none"/>
        </w:rPr>
      </w:pPr>
      <w:r>
        <w:rPr>
          <w:rFonts w:hint="eastAsia" w:cs="宋体"/>
          <w:highlight w:val="none"/>
        </w:rPr>
        <w:t>对于本合同项下的货物，卖方应向买方认可的、拥有合法资质的著名保险公司投保以下第（1）项规定的保险金额和险种的保险，并将买方列为共同被保险人或受益人。保险保障区段为卖方制造厂存储货物的仓库到买方用于存储货物的仓库，投保的期限始于装货（含装货）止于卸货后30日：</w:t>
      </w:r>
    </w:p>
    <w:p>
      <w:pPr>
        <w:numPr>
          <w:ilvl w:val="0"/>
          <w:numId w:val="0"/>
        </w:numPr>
        <w:tabs>
          <w:tab w:val="left" w:pos="720"/>
        </w:tabs>
        <w:spacing w:line="360" w:lineRule="auto"/>
        <w:ind w:leftChars="0" w:firstLine="630" w:firstLineChars="300"/>
        <w:rPr>
          <w:rFonts w:hint="eastAsia" w:cs="宋体"/>
          <w:highlight w:val="none"/>
        </w:rPr>
      </w:pPr>
      <w:r>
        <w:rPr>
          <w:rFonts w:hint="eastAsia" w:cs="宋体"/>
          <w:highlight w:val="none"/>
          <w:lang w:eastAsia="zh-CN"/>
        </w:rPr>
        <w:t>（</w:t>
      </w:r>
      <w:r>
        <w:rPr>
          <w:rFonts w:hint="eastAsia" w:cs="宋体"/>
          <w:highlight w:val="none"/>
          <w:lang w:val="en-US" w:eastAsia="zh-CN"/>
        </w:rPr>
        <w:t>2</w:t>
      </w:r>
      <w:r>
        <w:rPr>
          <w:rFonts w:hint="eastAsia" w:cs="宋体"/>
          <w:highlight w:val="none"/>
          <w:lang w:eastAsia="zh-CN"/>
        </w:rPr>
        <w:t>）</w:t>
      </w:r>
      <w:r>
        <w:rPr>
          <w:rFonts w:hint="eastAsia" w:cs="宋体"/>
          <w:highlight w:val="none"/>
        </w:rPr>
        <w:t>保险金额为合同总价110%的运输保险；</w:t>
      </w:r>
    </w:p>
    <w:p>
      <w:pPr>
        <w:numPr>
          <w:ilvl w:val="0"/>
          <w:numId w:val="22"/>
        </w:numPr>
        <w:tabs>
          <w:tab w:val="left" w:pos="720"/>
          <w:tab w:val="clear" w:pos="1468"/>
        </w:tabs>
        <w:spacing w:line="360" w:lineRule="auto"/>
        <w:ind w:left="720" w:hanging="720"/>
        <w:rPr>
          <w:highlight w:val="none"/>
        </w:rPr>
      </w:pPr>
      <w:bookmarkStart w:id="126" w:name="_Toc274474916"/>
      <w:bookmarkStart w:id="127" w:name="_Toc276069955"/>
      <w:bookmarkStart w:id="128" w:name="_Toc274075968"/>
      <w:bookmarkStart w:id="129" w:name="_Toc274668325"/>
      <w:bookmarkStart w:id="130" w:name="_Toc275783105"/>
      <w:bookmarkStart w:id="131" w:name="_Toc288567137"/>
      <w:bookmarkStart w:id="132" w:name="_Toc274343611"/>
      <w:bookmarkStart w:id="133" w:name="_Toc274403541"/>
      <w:bookmarkStart w:id="134" w:name="_Toc274076156"/>
      <w:bookmarkStart w:id="135" w:name="_Toc287657107"/>
      <w:bookmarkStart w:id="136" w:name="_Toc274669323"/>
      <w:bookmarkStart w:id="137" w:name="_Toc287364275"/>
      <w:bookmarkStart w:id="138" w:name="_Toc274754032"/>
      <w:r>
        <w:rPr>
          <w:rFonts w:hint="eastAsia" w:cs="宋体"/>
          <w:highlight w:val="none"/>
        </w:rPr>
        <w:t>货物交付前5日内，卖方应向买方提交保险合同的复印件</w:t>
      </w:r>
      <w:r>
        <w:rPr>
          <w:rFonts w:hint="eastAsia"/>
          <w:highlight w:val="none"/>
        </w:rPr>
        <w:t>，并</w:t>
      </w:r>
      <w:r>
        <w:rPr>
          <w:rFonts w:hint="eastAsia" w:cs="Arial"/>
          <w:szCs w:val="21"/>
          <w:highlight w:val="none"/>
        </w:rPr>
        <w:t>应至少提前30日向买方通知所有保险的取消或内容的变更</w:t>
      </w:r>
      <w:r>
        <w:rPr>
          <w:rFonts w:hint="eastAsia" w:cs="宋体"/>
          <w:highlight w:val="none"/>
        </w:rPr>
        <w:t>。</w:t>
      </w:r>
    </w:p>
    <w:p>
      <w:pPr>
        <w:numPr>
          <w:ilvl w:val="0"/>
          <w:numId w:val="22"/>
        </w:numPr>
        <w:tabs>
          <w:tab w:val="left" w:pos="720"/>
          <w:tab w:val="clear" w:pos="1468"/>
        </w:tabs>
        <w:spacing w:line="360" w:lineRule="auto"/>
        <w:ind w:left="720" w:hanging="720"/>
        <w:rPr>
          <w:highlight w:val="none"/>
        </w:rPr>
      </w:pPr>
      <w:r>
        <w:rPr>
          <w:rFonts w:hint="eastAsia" w:cs="宋体"/>
          <w:highlight w:val="none"/>
        </w:rPr>
        <w:t>如果卖方未按照买方的上述要求对货物进行投保或无法提供保险合同的复印件，应自行承担货物在制造及运输过程中所产生的任何风险和费用。买方有权自行对货物进行投保并有权从合同价款中直接扣除因此产生的所有费用。</w:t>
      </w:r>
    </w:p>
    <w:p>
      <w:pPr>
        <w:numPr>
          <w:ilvl w:val="0"/>
          <w:numId w:val="22"/>
        </w:numPr>
        <w:tabs>
          <w:tab w:val="left" w:pos="709"/>
          <w:tab w:val="clear" w:pos="1468"/>
        </w:tabs>
        <w:spacing w:line="360" w:lineRule="auto"/>
        <w:ind w:left="720" w:hanging="720"/>
        <w:rPr>
          <w:rFonts w:cs="宋体"/>
          <w:highlight w:val="none"/>
        </w:rPr>
      </w:pPr>
      <w:r>
        <w:rPr>
          <w:rFonts w:hint="eastAsia" w:cs="宋体"/>
          <w:highlight w:val="none"/>
        </w:rPr>
        <w:t>卖方应根据合同规定的责任和义务购买其它保险（包括但不限于设计责任险、雇主责任险、员工意外伤害险、第三方责任险等）。卖方已购买的保险应足以覆盖本合同履行过程中可能产生的一切责任与风险，如果卖方未购买相应的保险，卖方应自行承担任何风险和损失。</w:t>
      </w:r>
    </w:p>
    <w:p>
      <w:pPr>
        <w:numPr>
          <w:ilvl w:val="0"/>
          <w:numId w:val="22"/>
        </w:numPr>
        <w:tabs>
          <w:tab w:val="left" w:pos="709"/>
          <w:tab w:val="clear" w:pos="1468"/>
        </w:tabs>
        <w:spacing w:line="360" w:lineRule="auto"/>
        <w:ind w:left="720" w:hanging="720"/>
        <w:rPr>
          <w:rFonts w:cs="宋体"/>
          <w:highlight w:val="none"/>
        </w:rPr>
      </w:pPr>
      <w:r>
        <w:rPr>
          <w:rFonts w:hint="eastAsia" w:cs="宋体"/>
          <w:highlight w:val="none"/>
        </w:rPr>
        <w:t>卖方在本合同项下购买的所有保险合同均应明确规定，承保人放弃任何可能因为卖方而产生的对买方的代位求偿权或任何形式的追索权。</w:t>
      </w:r>
    </w:p>
    <w:p>
      <w:pPr>
        <w:numPr>
          <w:ilvl w:val="0"/>
          <w:numId w:val="22"/>
        </w:numPr>
        <w:tabs>
          <w:tab w:val="left" w:pos="709"/>
          <w:tab w:val="clear" w:pos="1468"/>
        </w:tabs>
        <w:spacing w:line="360" w:lineRule="auto"/>
        <w:ind w:left="720" w:hanging="720"/>
        <w:rPr>
          <w:rFonts w:cs="宋体"/>
          <w:highlight w:val="none"/>
        </w:rPr>
      </w:pPr>
      <w:r>
        <w:rPr>
          <w:rFonts w:hint="eastAsia" w:cs="宋体"/>
          <w:highlight w:val="none"/>
        </w:rPr>
        <w:t>本第九条的规定不能限制并免除卖方在本合同项下的责任。</w:t>
      </w:r>
    </w:p>
    <w:p>
      <w:pPr>
        <w:numPr>
          <w:ilvl w:val="0"/>
          <w:numId w:val="10"/>
        </w:numPr>
        <w:spacing w:before="360" w:after="360"/>
        <w:jc w:val="center"/>
        <w:rPr>
          <w:b/>
          <w:sz w:val="24"/>
          <w:szCs w:val="24"/>
          <w:highlight w:val="none"/>
        </w:rPr>
      </w:pPr>
      <w:bookmarkStart w:id="139" w:name="_Toc5889372"/>
      <w:bookmarkStart w:id="140" w:name="_Toc300670331"/>
      <w:bookmarkStart w:id="141" w:name="_Toc17390373"/>
      <w:bookmarkStart w:id="142" w:name="_Toc300670403"/>
      <w:bookmarkStart w:id="143" w:name="_Toc300670799"/>
      <w:bookmarkStart w:id="144" w:name="_Toc296955855"/>
      <w:r>
        <w:rPr>
          <w:rFonts w:hint="eastAsia"/>
          <w:b/>
          <w:sz w:val="24"/>
          <w:szCs w:val="24"/>
          <w:highlight w:val="none"/>
        </w:rPr>
        <w:t>知识产权</w:t>
      </w:r>
      <w:bookmarkEnd w:id="139"/>
      <w:bookmarkEnd w:id="140"/>
      <w:bookmarkEnd w:id="141"/>
      <w:bookmarkEnd w:id="142"/>
      <w:bookmarkEnd w:id="143"/>
    </w:p>
    <w:p>
      <w:pPr>
        <w:widowControl/>
        <w:numPr>
          <w:ilvl w:val="0"/>
          <w:numId w:val="23"/>
        </w:numPr>
        <w:tabs>
          <w:tab w:val="left" w:pos="709"/>
        </w:tabs>
        <w:spacing w:line="360" w:lineRule="auto"/>
        <w:ind w:left="619" w:hanging="619" w:hangingChars="295"/>
        <w:jc w:val="left"/>
        <w:rPr>
          <w:highlight w:val="none"/>
        </w:rPr>
      </w:pPr>
      <w:r>
        <w:rPr>
          <w:rFonts w:hint="eastAsia"/>
          <w:highlight w:val="none"/>
        </w:rPr>
        <w:t>双方同意，货物交付且买方按照本合同约定支付合同价款之后，买方自动获得并拥有货物自身附有的和/或为拥有、使用及维护货物所需的全部知识产权。</w:t>
      </w:r>
    </w:p>
    <w:p>
      <w:pPr>
        <w:widowControl/>
        <w:numPr>
          <w:ilvl w:val="0"/>
          <w:numId w:val="23"/>
        </w:numPr>
        <w:tabs>
          <w:tab w:val="left" w:pos="709"/>
        </w:tabs>
        <w:spacing w:line="360" w:lineRule="auto"/>
        <w:ind w:left="619" w:hanging="619" w:hangingChars="295"/>
        <w:rPr>
          <w:highlight w:val="none"/>
        </w:rPr>
      </w:pPr>
      <w:r>
        <w:rPr>
          <w:rFonts w:hint="eastAsia"/>
          <w:highlight w:val="none"/>
        </w:rPr>
        <w:t>本合同有效期内，如卖方对所许可的专利和</w:t>
      </w:r>
      <w:r>
        <w:rPr>
          <w:highlight w:val="none"/>
        </w:rPr>
        <w:t>/</w:t>
      </w:r>
      <w:r>
        <w:rPr>
          <w:rFonts w:hint="eastAsia"/>
          <w:highlight w:val="none"/>
        </w:rPr>
        <w:t>或专有技术有所改进，则卖方应向买方免费提供技术支持以使该技术改进能顺利投入本合同项下货物的使用过程中。</w:t>
      </w:r>
    </w:p>
    <w:p>
      <w:pPr>
        <w:widowControl/>
        <w:numPr>
          <w:ilvl w:val="0"/>
          <w:numId w:val="23"/>
        </w:numPr>
        <w:tabs>
          <w:tab w:val="left" w:pos="709"/>
        </w:tabs>
        <w:spacing w:line="360" w:lineRule="auto"/>
        <w:ind w:left="619" w:hanging="619" w:hangingChars="295"/>
        <w:rPr>
          <w:highlight w:val="none"/>
        </w:rPr>
      </w:pPr>
      <w:r>
        <w:rPr>
          <w:rFonts w:hint="eastAsia"/>
          <w:highlight w:val="none"/>
        </w:rPr>
        <w:t>买方有权对卖方许可买方使用的专利和</w:t>
      </w:r>
      <w:r>
        <w:rPr>
          <w:highlight w:val="none"/>
        </w:rPr>
        <w:t>/</w:t>
      </w:r>
      <w:r>
        <w:rPr>
          <w:rFonts w:hint="eastAsia"/>
          <w:highlight w:val="none"/>
        </w:rPr>
        <w:t>或专有技术予以改进，买方所作的任何技术改进的专利申请权归买方所有。</w:t>
      </w:r>
    </w:p>
    <w:p>
      <w:pPr>
        <w:widowControl/>
        <w:numPr>
          <w:ilvl w:val="0"/>
          <w:numId w:val="23"/>
        </w:numPr>
        <w:tabs>
          <w:tab w:val="left" w:pos="709"/>
        </w:tabs>
        <w:spacing w:line="360" w:lineRule="auto"/>
        <w:ind w:left="619" w:hanging="619" w:hangingChars="295"/>
        <w:jc w:val="left"/>
        <w:rPr>
          <w:highlight w:val="none"/>
        </w:rPr>
      </w:pPr>
      <w:r>
        <w:rPr>
          <w:rFonts w:hint="eastAsia"/>
          <w:highlight w:val="none"/>
        </w:rPr>
        <w:t>在货物设计、制造、组装、调试及运行期间，如果买方为此提供任何</w:t>
      </w:r>
      <w:r>
        <w:rPr>
          <w:rFonts w:hint="eastAsia"/>
          <w:bCs/>
          <w:szCs w:val="18"/>
          <w:highlight w:val="none"/>
        </w:rPr>
        <w:t>构思、程序、软件、硬件、设计、图纸、技术、诀窍、发明、商标、专利及其它任何形式的保密信息或知识产权（“买方专有资料”），则无论该等买方专有资料是否构成货物不可分拆的一部分，且无论买方是否获得与货物有关的任何其它知识产权，买方应</w:t>
      </w:r>
      <w:r>
        <w:rPr>
          <w:rFonts w:hint="eastAsia"/>
          <w:highlight w:val="none"/>
        </w:rPr>
        <w:t>始终拥有该等买方专有资料的所有权及与之相关的知识产权。</w:t>
      </w:r>
    </w:p>
    <w:p>
      <w:pPr>
        <w:numPr>
          <w:ilvl w:val="0"/>
          <w:numId w:val="10"/>
        </w:numPr>
        <w:spacing w:before="360" w:after="360"/>
        <w:jc w:val="center"/>
        <w:rPr>
          <w:b/>
          <w:sz w:val="24"/>
          <w:szCs w:val="24"/>
          <w:highlight w:val="none"/>
        </w:rPr>
      </w:pPr>
      <w:bookmarkStart w:id="145" w:name="_Toc5889373"/>
      <w:bookmarkStart w:id="146" w:name="_Toc300670404"/>
      <w:bookmarkStart w:id="147" w:name="_Toc300670800"/>
      <w:bookmarkStart w:id="148" w:name="_Toc17390374"/>
      <w:bookmarkStart w:id="149" w:name="_Toc300670332"/>
      <w:r>
        <w:rPr>
          <w:rFonts w:hint="eastAsia"/>
          <w:b/>
          <w:sz w:val="24"/>
          <w:szCs w:val="24"/>
          <w:highlight w:val="none"/>
        </w:rPr>
        <w:t>违约责任</w:t>
      </w:r>
      <w:bookmarkEnd w:id="144"/>
      <w:bookmarkEnd w:id="145"/>
      <w:bookmarkEnd w:id="146"/>
      <w:bookmarkEnd w:id="147"/>
      <w:bookmarkEnd w:id="148"/>
      <w:bookmarkEnd w:id="149"/>
    </w:p>
    <w:bookmarkEnd w:id="126"/>
    <w:bookmarkEnd w:id="127"/>
    <w:bookmarkEnd w:id="128"/>
    <w:bookmarkEnd w:id="129"/>
    <w:bookmarkEnd w:id="130"/>
    <w:bookmarkEnd w:id="131"/>
    <w:bookmarkEnd w:id="132"/>
    <w:bookmarkEnd w:id="133"/>
    <w:bookmarkEnd w:id="134"/>
    <w:bookmarkEnd w:id="135"/>
    <w:bookmarkEnd w:id="136"/>
    <w:bookmarkEnd w:id="137"/>
    <w:bookmarkEnd w:id="138"/>
    <w:p>
      <w:pPr>
        <w:numPr>
          <w:ilvl w:val="1"/>
          <w:numId w:val="24"/>
        </w:numPr>
        <w:tabs>
          <w:tab w:val="clear" w:pos="420"/>
        </w:tabs>
        <w:spacing w:line="360" w:lineRule="auto"/>
        <w:ind w:left="709" w:hanging="709"/>
        <w:rPr>
          <w:rFonts w:ascii="宋体" w:hAnsi="宋体"/>
          <w:highlight w:val="none"/>
        </w:rPr>
      </w:pPr>
      <w:bookmarkStart w:id="150" w:name="_Toc274474918"/>
      <w:bookmarkStart w:id="151" w:name="_Toc274754033"/>
      <w:bookmarkStart w:id="152" w:name="_Toc274669325"/>
      <w:bookmarkStart w:id="153" w:name="_Toc300671200"/>
      <w:bookmarkStart w:id="154" w:name="_Toc275783106"/>
      <w:bookmarkStart w:id="155" w:name="_Toc274403543"/>
      <w:bookmarkStart w:id="156" w:name="_Toc276069956"/>
      <w:bookmarkStart w:id="157" w:name="_Toc287657109"/>
      <w:bookmarkStart w:id="158" w:name="_Toc17390375"/>
      <w:bookmarkStart w:id="159" w:name="_Toc274668327"/>
      <w:bookmarkStart w:id="160" w:name="_Toc287364277"/>
      <w:bookmarkStart w:id="161" w:name="_Toc288567140"/>
      <w:bookmarkStart w:id="162" w:name="_Toc5889374"/>
      <w:r>
        <w:rPr>
          <w:rFonts w:hint="eastAsia" w:ascii="宋体" w:hAnsi="宋体"/>
          <w:highlight w:val="none"/>
        </w:rPr>
        <w:t>如非因买方或不可抗力原因，卖方未按照合同规定的交货日期交货，每延期一日，卖方应按照延期交货货物对应订单价款</w:t>
      </w:r>
      <w:r>
        <w:rPr>
          <w:rFonts w:hint="eastAsia" w:ascii="宋体" w:hAnsi="宋体"/>
          <w:kern w:val="2"/>
          <w:highlight w:val="none"/>
        </w:rPr>
        <w:t>0.1%</w:t>
      </w:r>
      <w:r>
        <w:rPr>
          <w:rFonts w:hint="eastAsia" w:ascii="宋体" w:hAnsi="宋体"/>
          <w:highlight w:val="none"/>
        </w:rPr>
        <w:t>的比例，向买方支付违约金。如货物延期交付超过</w:t>
      </w:r>
      <w:r>
        <w:rPr>
          <w:rFonts w:hint="eastAsia" w:ascii="宋体" w:hAnsi="宋体"/>
          <w:kern w:val="2"/>
          <w:highlight w:val="none"/>
        </w:rPr>
        <w:t>30</w:t>
      </w:r>
      <w:r>
        <w:rPr>
          <w:rFonts w:hint="eastAsia" w:ascii="宋体" w:hAnsi="宋体"/>
          <w:highlight w:val="none"/>
        </w:rPr>
        <w:t>日，除要求卖方支付延期交货违约金外，买方有权解除本合同，并有权要求卖方赔偿买方因此遭受的全部损失，同时，卖方应偿还买方支付的预付款。</w:t>
      </w:r>
    </w:p>
    <w:p>
      <w:pPr>
        <w:numPr>
          <w:ilvl w:val="1"/>
          <w:numId w:val="24"/>
        </w:numPr>
        <w:tabs>
          <w:tab w:val="clear" w:pos="420"/>
        </w:tabs>
        <w:spacing w:line="360" w:lineRule="auto"/>
        <w:ind w:left="709" w:hanging="709"/>
        <w:rPr>
          <w:rFonts w:ascii="宋体" w:hAnsi="宋体"/>
          <w:highlight w:val="none"/>
        </w:rPr>
      </w:pPr>
      <w:r>
        <w:rPr>
          <w:rFonts w:hint="eastAsia" w:ascii="宋体" w:hAnsi="宋体"/>
          <w:highlight w:val="none"/>
        </w:rPr>
        <w:t>如非因买方或不可抗力原因，卖方未按时交付技术资料，每延期交付一日，卖方应按照延期交货货物对应订单价款</w:t>
      </w:r>
      <w:r>
        <w:rPr>
          <w:rFonts w:hint="eastAsia" w:ascii="宋体" w:hAnsi="宋体"/>
          <w:kern w:val="2"/>
          <w:highlight w:val="none"/>
        </w:rPr>
        <w:t>0.1%</w:t>
      </w:r>
      <w:r>
        <w:rPr>
          <w:rFonts w:hint="eastAsia" w:ascii="宋体" w:hAnsi="宋体"/>
          <w:highlight w:val="none"/>
        </w:rPr>
        <w:t>的比例，向买方支付违约金。如卖方延期交付技术资料超过</w:t>
      </w:r>
      <w:r>
        <w:rPr>
          <w:rFonts w:hint="eastAsia" w:ascii="宋体" w:hAnsi="宋体"/>
          <w:kern w:val="2"/>
          <w:highlight w:val="none"/>
        </w:rPr>
        <w:t>30</w:t>
      </w:r>
      <w:r>
        <w:rPr>
          <w:rFonts w:hint="eastAsia" w:ascii="宋体" w:hAnsi="宋体"/>
          <w:highlight w:val="none"/>
        </w:rPr>
        <w:t>日，卖方除应向买方支付该等延期违约金外，还应赔偿买方因此遭受的全部损失。</w:t>
      </w:r>
    </w:p>
    <w:p>
      <w:pPr>
        <w:numPr>
          <w:ilvl w:val="1"/>
          <w:numId w:val="24"/>
        </w:numPr>
        <w:tabs>
          <w:tab w:val="clear" w:pos="420"/>
        </w:tabs>
        <w:spacing w:line="360" w:lineRule="auto"/>
        <w:ind w:left="709" w:hanging="709"/>
        <w:rPr>
          <w:rFonts w:ascii="宋体" w:hAnsi="宋体"/>
          <w:highlight w:val="none"/>
        </w:rPr>
      </w:pPr>
      <w:r>
        <w:rPr>
          <w:rFonts w:hint="eastAsia" w:ascii="宋体" w:hAnsi="宋体"/>
          <w:highlight w:val="none"/>
        </w:rPr>
        <w:t>对于验收过程中发现的货物的任何损坏、缺陷、短缺，如卖方未能在买方发出修理、更换或补发通知后</w:t>
      </w:r>
      <w:r>
        <w:rPr>
          <w:rFonts w:hint="eastAsia" w:ascii="宋体" w:hAnsi="宋体"/>
          <w:kern w:val="2"/>
          <w:highlight w:val="none"/>
        </w:rPr>
        <w:t>7</w:t>
      </w:r>
      <w:r>
        <w:rPr>
          <w:rFonts w:hint="eastAsia" w:ascii="宋体" w:hAnsi="宋体"/>
          <w:highlight w:val="none"/>
        </w:rPr>
        <w:t>日内予以修理、更换或补发短缺部分，买方有权解除本合同，并要求卖方支付订单总价</w:t>
      </w:r>
      <w:r>
        <w:rPr>
          <w:rFonts w:hint="eastAsia" w:ascii="宋体" w:hAnsi="宋体"/>
          <w:kern w:val="2"/>
          <w:highlight w:val="none"/>
        </w:rPr>
        <w:t>10%</w:t>
      </w:r>
      <w:r>
        <w:rPr>
          <w:rFonts w:hint="eastAsia" w:ascii="宋体" w:hAnsi="宋体"/>
          <w:highlight w:val="none"/>
        </w:rPr>
        <w:t>的违约金，同时有权要求卖方赔偿因此遭受的全部损失并偿还买方支付的预付款。</w:t>
      </w:r>
    </w:p>
    <w:p>
      <w:pPr>
        <w:numPr>
          <w:ilvl w:val="1"/>
          <w:numId w:val="24"/>
        </w:numPr>
        <w:tabs>
          <w:tab w:val="clear" w:pos="420"/>
        </w:tabs>
        <w:spacing w:line="360" w:lineRule="auto"/>
        <w:ind w:left="709" w:hanging="709"/>
        <w:rPr>
          <w:rFonts w:ascii="宋体" w:hAnsi="宋体"/>
          <w:highlight w:val="none"/>
        </w:rPr>
      </w:pPr>
      <w:r>
        <w:rPr>
          <w:rFonts w:hint="eastAsia" w:ascii="宋体" w:hAnsi="宋体"/>
          <w:highlight w:val="none"/>
        </w:rPr>
        <w:t>如因包装或保护措施不妥引起货物、货物资料或技术资料损坏、遗失或锈蚀，卖方应予以修理、替换、补充并赔偿买方因此遭受的全部损失。卖方应尽快将修理、替换或补充的货物、货物资料或技术资料运达目的地，并承担因此发生的任何费用。</w:t>
      </w:r>
    </w:p>
    <w:p>
      <w:pPr>
        <w:numPr>
          <w:ilvl w:val="1"/>
          <w:numId w:val="24"/>
        </w:numPr>
        <w:tabs>
          <w:tab w:val="clear" w:pos="420"/>
        </w:tabs>
        <w:spacing w:line="360" w:lineRule="auto"/>
        <w:ind w:left="709" w:hanging="709"/>
        <w:rPr>
          <w:rFonts w:ascii="宋体" w:hAnsi="宋体"/>
          <w:highlight w:val="none"/>
        </w:rPr>
      </w:pPr>
      <w:r>
        <w:rPr>
          <w:rFonts w:hint="eastAsia" w:ascii="宋体" w:hAnsi="宋体"/>
          <w:highlight w:val="none"/>
        </w:rPr>
        <w:t>质保期内，如货物被发现存在任何缺陷，卖方未根据合同规定进行修理、更换或经修理、更换仍无法消除该等缺陷，除行使合同规定的其它权利外，买方有权要求卖方支付该货物之订单价款</w:t>
      </w:r>
      <w:r>
        <w:rPr>
          <w:rFonts w:hint="eastAsia" w:ascii="宋体" w:hAnsi="宋体"/>
          <w:kern w:val="2"/>
          <w:highlight w:val="none"/>
        </w:rPr>
        <w:t>10%</w:t>
      </w:r>
      <w:r>
        <w:rPr>
          <w:rFonts w:hint="eastAsia" w:ascii="宋体" w:hAnsi="宋体"/>
          <w:highlight w:val="none"/>
        </w:rPr>
        <w:t>的违约金，卖方应同时赔偿买方因此遭受的全部损失。</w:t>
      </w:r>
    </w:p>
    <w:p>
      <w:pPr>
        <w:numPr>
          <w:ilvl w:val="1"/>
          <w:numId w:val="24"/>
        </w:numPr>
        <w:tabs>
          <w:tab w:val="clear" w:pos="420"/>
        </w:tabs>
        <w:spacing w:line="360" w:lineRule="auto"/>
        <w:ind w:left="709" w:hanging="709"/>
        <w:rPr>
          <w:rFonts w:ascii="宋体" w:hAnsi="宋体"/>
          <w:highlight w:val="none"/>
        </w:rPr>
      </w:pPr>
      <w:r>
        <w:rPr>
          <w:rFonts w:hint="eastAsia" w:ascii="宋体" w:hAnsi="宋体"/>
          <w:highlight w:val="none"/>
        </w:rPr>
        <w:t>如卖方提供的技术服务发生延误或错误，每延期一日或发生一次错误，卖方应按照订单总价</w:t>
      </w:r>
      <w:r>
        <w:rPr>
          <w:rFonts w:hint="eastAsia" w:ascii="宋体" w:hAnsi="宋体"/>
          <w:kern w:val="2"/>
          <w:highlight w:val="none"/>
        </w:rPr>
        <w:t>0.1%</w:t>
      </w:r>
      <w:r>
        <w:rPr>
          <w:rFonts w:hint="eastAsia" w:ascii="宋体" w:hAnsi="宋体"/>
          <w:highlight w:val="none"/>
        </w:rPr>
        <w:t>向买方支付违约金。如卖方延误提供技术服务超过</w:t>
      </w:r>
      <w:r>
        <w:rPr>
          <w:rFonts w:hint="eastAsia" w:ascii="宋体" w:hAnsi="宋体"/>
          <w:kern w:val="2"/>
          <w:highlight w:val="none"/>
        </w:rPr>
        <w:t>7</w:t>
      </w:r>
      <w:r>
        <w:rPr>
          <w:rFonts w:hint="eastAsia" w:ascii="宋体" w:hAnsi="宋体"/>
          <w:highlight w:val="none"/>
        </w:rPr>
        <w:t>日，卖方除应向买方支付该等违约金外，还应赔偿买方因此遭受的全部损失。</w:t>
      </w:r>
    </w:p>
    <w:p>
      <w:pPr>
        <w:numPr>
          <w:ilvl w:val="1"/>
          <w:numId w:val="24"/>
        </w:numPr>
        <w:tabs>
          <w:tab w:val="clear" w:pos="420"/>
        </w:tabs>
        <w:spacing w:line="360" w:lineRule="auto"/>
        <w:ind w:left="709" w:hanging="709"/>
        <w:rPr>
          <w:rFonts w:ascii="宋体" w:hAnsi="宋体"/>
          <w:highlight w:val="none"/>
        </w:rPr>
      </w:pPr>
      <w:r>
        <w:rPr>
          <w:rFonts w:hint="eastAsia" w:ascii="宋体" w:hAnsi="宋体"/>
          <w:highlight w:val="none"/>
        </w:rPr>
        <w:t>未经买方同意，卖方擅自进行转让、分包，买方有权解除本合同，卖方应退还买方已支付的全部款项，并支付转让、分包货物之合同价款</w:t>
      </w:r>
      <w:r>
        <w:rPr>
          <w:rFonts w:hint="eastAsia" w:ascii="宋体" w:hAnsi="宋体"/>
          <w:kern w:val="2"/>
          <w:highlight w:val="none"/>
        </w:rPr>
        <w:t>20%</w:t>
      </w:r>
      <w:r>
        <w:rPr>
          <w:rFonts w:hint="eastAsia" w:ascii="宋体" w:hAnsi="宋体"/>
          <w:highlight w:val="none"/>
        </w:rPr>
        <w:t>的违约金，卖方应同时赔偿买方因此遭受的全部损失。</w:t>
      </w:r>
    </w:p>
    <w:p>
      <w:pPr>
        <w:numPr>
          <w:ilvl w:val="1"/>
          <w:numId w:val="24"/>
        </w:numPr>
        <w:tabs>
          <w:tab w:val="clear" w:pos="420"/>
        </w:tabs>
        <w:spacing w:line="360" w:lineRule="auto"/>
        <w:jc w:val="both"/>
        <w:rPr>
          <w:rFonts w:hint="eastAsia" w:ascii="宋体" w:hAnsi="宋体"/>
          <w:highlight w:val="none"/>
        </w:rPr>
      </w:pPr>
      <w:r>
        <w:rPr>
          <w:rFonts w:hint="eastAsia" w:ascii="宋体" w:hAnsi="宋体"/>
          <w:highlight w:val="none"/>
        </w:rPr>
        <w:t>如仅因买方原因，买方逾期向卖方付款，卖方应向买方发出书面催款通知，买方应在收到该等通知后30日内付款，否则，即应自该等30日期间结束之日起，按合同订立时1年期贷款市场报价利率计算并支付应付未付合同价款的利息，最高不超过相关应付未付合同价款的10%。双方同意，该等利息的支付是买方就未能如期支付相关合同价款所需承担的全部责任。</w:t>
      </w:r>
    </w:p>
    <w:p>
      <w:pPr>
        <w:numPr>
          <w:ilvl w:val="0"/>
          <w:numId w:val="10"/>
        </w:numPr>
        <w:spacing w:before="360" w:after="360"/>
        <w:jc w:val="center"/>
        <w:rPr>
          <w:b/>
          <w:sz w:val="24"/>
          <w:szCs w:val="24"/>
          <w:highlight w:val="none"/>
        </w:rPr>
      </w:pPr>
      <w:r>
        <w:rPr>
          <w:rFonts w:hint="eastAsia"/>
          <w:b/>
          <w:sz w:val="24"/>
          <w:szCs w:val="24"/>
          <w:highlight w:val="none"/>
        </w:rPr>
        <w:t>争议解决</w:t>
      </w:r>
      <w:bookmarkEnd w:id="150"/>
      <w:bookmarkEnd w:id="151"/>
      <w:bookmarkEnd w:id="152"/>
      <w:bookmarkEnd w:id="153"/>
      <w:bookmarkEnd w:id="154"/>
      <w:bookmarkEnd w:id="155"/>
      <w:bookmarkEnd w:id="156"/>
      <w:bookmarkEnd w:id="157"/>
      <w:bookmarkEnd w:id="158"/>
      <w:bookmarkEnd w:id="159"/>
      <w:bookmarkEnd w:id="160"/>
      <w:bookmarkEnd w:id="161"/>
      <w:bookmarkEnd w:id="162"/>
    </w:p>
    <w:p>
      <w:pPr>
        <w:widowControl/>
        <w:numPr>
          <w:ilvl w:val="0"/>
          <w:numId w:val="25"/>
        </w:numPr>
        <w:tabs>
          <w:tab w:val="left" w:pos="720"/>
          <w:tab w:val="left" w:pos="900"/>
        </w:tabs>
        <w:spacing w:line="360" w:lineRule="auto"/>
        <w:ind w:left="720" w:hanging="720"/>
        <w:rPr>
          <w:highlight w:val="none"/>
        </w:rPr>
      </w:pPr>
      <w:r>
        <w:rPr>
          <w:rFonts w:hint="eastAsia" w:cs="宋体"/>
          <w:highlight w:val="none"/>
        </w:rPr>
        <w:t>因履行本合同发生的或与本合同有关的一切争议，双方首先应友好协商解决，如经协商仍不能解决，双方同意选择以下第</w:t>
      </w:r>
      <w:r>
        <w:rPr>
          <w:rFonts w:hint="eastAsia"/>
          <w:highlight w:val="none"/>
        </w:rPr>
        <w:t>（2）</w:t>
      </w:r>
      <w:r>
        <w:rPr>
          <w:rFonts w:hint="eastAsia" w:cs="宋体"/>
          <w:highlight w:val="none"/>
        </w:rPr>
        <w:t>种方式予以解决：</w:t>
      </w:r>
    </w:p>
    <w:p>
      <w:pPr>
        <w:widowControl/>
        <w:numPr>
          <w:ilvl w:val="2"/>
          <w:numId w:val="26"/>
        </w:numPr>
        <w:tabs>
          <w:tab w:val="left" w:pos="648"/>
          <w:tab w:val="left" w:pos="1260"/>
        </w:tabs>
        <w:spacing w:line="360" w:lineRule="auto"/>
        <w:ind w:left="1134" w:hanging="414"/>
        <w:rPr>
          <w:highlight w:val="none"/>
        </w:rPr>
      </w:pPr>
      <w:r>
        <w:rPr>
          <w:rFonts w:hint="eastAsia" w:cs="宋体"/>
          <w:highlight w:val="none"/>
        </w:rPr>
        <w:t>向买方所在地人民法院起诉。</w:t>
      </w:r>
    </w:p>
    <w:p>
      <w:pPr>
        <w:widowControl/>
        <w:numPr>
          <w:ilvl w:val="2"/>
          <w:numId w:val="26"/>
        </w:numPr>
        <w:tabs>
          <w:tab w:val="left" w:pos="648"/>
          <w:tab w:val="left" w:pos="1260"/>
        </w:tabs>
        <w:spacing w:line="360" w:lineRule="auto"/>
        <w:ind w:left="1260" w:hanging="540"/>
        <w:rPr>
          <w:highlight w:val="none"/>
        </w:rPr>
      </w:pPr>
      <w:r>
        <w:rPr>
          <w:rFonts w:hint="eastAsia" w:cs="宋体"/>
          <w:highlight w:val="none"/>
        </w:rPr>
        <w:t>提交天津仲裁委员会进行仲裁。仲裁地点在</w:t>
      </w:r>
      <w:r>
        <w:rPr>
          <w:rFonts w:hint="eastAsia"/>
          <w:highlight w:val="none"/>
        </w:rPr>
        <w:t>天津</w:t>
      </w:r>
      <w:r>
        <w:rPr>
          <w:rFonts w:hint="eastAsia" w:cs="宋体"/>
          <w:highlight w:val="none"/>
        </w:rPr>
        <w:t>。仲裁应根据该仲裁委员会现行有效的仲裁规则进行。仲裁裁决是终局的，对双方均有约束力。除仲裁庭另有裁决外，仲裁费用由败诉方承担。</w:t>
      </w:r>
    </w:p>
    <w:p>
      <w:pPr>
        <w:widowControl/>
        <w:numPr>
          <w:ilvl w:val="0"/>
          <w:numId w:val="25"/>
        </w:numPr>
        <w:tabs>
          <w:tab w:val="left" w:pos="720"/>
          <w:tab w:val="left" w:pos="900"/>
        </w:tabs>
        <w:spacing w:line="360" w:lineRule="auto"/>
        <w:ind w:left="720" w:hanging="720"/>
        <w:rPr>
          <w:rFonts w:cs="宋体"/>
          <w:highlight w:val="none"/>
        </w:rPr>
      </w:pPr>
      <w:r>
        <w:rPr>
          <w:rFonts w:hint="eastAsia" w:cs="宋体"/>
          <w:highlight w:val="none"/>
        </w:rPr>
        <w:t>争议解决期间，除争议事项外，双方应继续履行本合同。</w:t>
      </w:r>
    </w:p>
    <w:p>
      <w:pPr>
        <w:pStyle w:val="30"/>
        <w:spacing w:line="360" w:lineRule="auto"/>
        <w:ind w:left="527" w:right="10" w:hanging="527"/>
        <w:jc w:val="center"/>
        <w:outlineLvl w:val="9"/>
        <w:rPr>
          <w:sz w:val="36"/>
          <w:szCs w:val="36"/>
          <w:highlight w:val="none"/>
        </w:rPr>
      </w:pPr>
      <w:r>
        <w:rPr>
          <w:highlight w:val="none"/>
          <w:lang w:eastAsia="zh-CN"/>
        </w:rPr>
        <w:br w:type="page"/>
      </w:r>
      <w:bookmarkStart w:id="163" w:name="_Toc17390376"/>
      <w:bookmarkStart w:id="164" w:name="_Toc300671201"/>
      <w:bookmarkStart w:id="165" w:name="_Toc5889375"/>
      <w:bookmarkStart w:id="166" w:name="_Toc297106680"/>
      <w:bookmarkStart w:id="167" w:name="_Toc297055778"/>
      <w:r>
        <w:rPr>
          <w:rFonts w:hint="eastAsia" w:ascii="Times New Roman" w:hAnsi="宋体" w:cs="宋体"/>
          <w:color w:val="000000"/>
          <w:sz w:val="36"/>
          <w:szCs w:val="36"/>
          <w:highlight w:val="none"/>
          <w:lang w:eastAsia="zh-CN"/>
        </w:rPr>
        <w:t>第三部分通用合同条款</w:t>
      </w:r>
      <w:bookmarkEnd w:id="163"/>
      <w:bookmarkEnd w:id="164"/>
      <w:bookmarkEnd w:id="165"/>
      <w:bookmarkEnd w:id="166"/>
      <w:bookmarkEnd w:id="167"/>
    </w:p>
    <w:p>
      <w:pPr>
        <w:numPr>
          <w:ilvl w:val="0"/>
          <w:numId w:val="27"/>
        </w:numPr>
        <w:spacing w:before="360" w:after="360"/>
        <w:jc w:val="center"/>
        <w:rPr>
          <w:b/>
          <w:sz w:val="24"/>
          <w:szCs w:val="24"/>
          <w:highlight w:val="none"/>
        </w:rPr>
      </w:pPr>
      <w:bookmarkStart w:id="168" w:name="_Toc300671202"/>
      <w:bookmarkStart w:id="169" w:name="_Toc291435914"/>
      <w:bookmarkStart w:id="170" w:name="_Toc296959321"/>
      <w:bookmarkStart w:id="171" w:name="_Toc291435847"/>
      <w:bookmarkStart w:id="172" w:name="_Toc17390377"/>
      <w:bookmarkStart w:id="173" w:name="_Toc5889376"/>
      <w:bookmarkStart w:id="174" w:name="_Toc296955859"/>
      <w:bookmarkStart w:id="175" w:name="_Toc288567142"/>
      <w:r>
        <w:rPr>
          <w:rFonts w:hint="eastAsia"/>
          <w:b/>
          <w:sz w:val="24"/>
          <w:szCs w:val="24"/>
          <w:highlight w:val="none"/>
        </w:rPr>
        <w:t>定义</w:t>
      </w:r>
      <w:bookmarkEnd w:id="168"/>
      <w:bookmarkEnd w:id="169"/>
      <w:bookmarkEnd w:id="170"/>
      <w:bookmarkEnd w:id="171"/>
      <w:bookmarkEnd w:id="172"/>
      <w:bookmarkEnd w:id="173"/>
      <w:bookmarkEnd w:id="174"/>
    </w:p>
    <w:p>
      <w:pPr>
        <w:widowControl/>
        <w:numPr>
          <w:ilvl w:val="1"/>
          <w:numId w:val="28"/>
        </w:numPr>
        <w:tabs>
          <w:tab w:val="left" w:pos="709"/>
        </w:tabs>
        <w:spacing w:line="360" w:lineRule="auto"/>
        <w:ind w:left="617" w:hanging="617" w:hangingChars="294"/>
        <w:jc w:val="left"/>
        <w:rPr>
          <w:szCs w:val="21"/>
          <w:highlight w:val="none"/>
        </w:rPr>
      </w:pPr>
      <w:r>
        <w:rPr>
          <w:rFonts w:hint="eastAsia"/>
          <w:szCs w:val="21"/>
          <w:highlight w:val="none"/>
        </w:rPr>
        <w:t>本合同相关词语的定义如下：</w:t>
      </w:r>
    </w:p>
    <w:p>
      <w:pPr>
        <w:pStyle w:val="31"/>
        <w:keepNext w:val="0"/>
        <w:keepLines w:val="0"/>
        <w:pageBreakBefore w:val="0"/>
        <w:widowControl/>
        <w:numPr>
          <w:ilvl w:val="0"/>
          <w:numId w:val="29"/>
        </w:numPr>
        <w:tabs>
          <w:tab w:val="left" w:pos="709"/>
        </w:tabs>
        <w:kinsoku/>
        <w:wordWrap/>
        <w:overflowPunct/>
        <w:topLinePunct w:val="0"/>
        <w:autoSpaceDE/>
        <w:autoSpaceDN/>
        <w:bidi w:val="0"/>
        <w:adjustRightInd/>
        <w:snapToGrid/>
        <w:spacing w:line="360" w:lineRule="auto"/>
        <w:ind w:left="567" w:hanging="567"/>
        <w:textAlignment w:val="auto"/>
        <w:rPr>
          <w:sz w:val="21"/>
          <w:szCs w:val="21"/>
          <w:highlight w:val="none"/>
        </w:rPr>
      </w:pPr>
      <w:r>
        <w:rPr>
          <w:rFonts w:hint="eastAsia"/>
          <w:b/>
          <w:sz w:val="21"/>
          <w:szCs w:val="21"/>
          <w:highlight w:val="none"/>
        </w:rPr>
        <w:t>“法律法规”</w:t>
      </w:r>
      <w:r>
        <w:rPr>
          <w:rFonts w:hint="eastAsia"/>
          <w:sz w:val="21"/>
          <w:szCs w:val="21"/>
          <w:highlight w:val="none"/>
        </w:rPr>
        <w:t>指中华人民共和国各级立法、行政机关不时颁布并生效的法律、法规、规章及其它规范性文件。</w:t>
      </w:r>
    </w:p>
    <w:p>
      <w:pPr>
        <w:pStyle w:val="31"/>
        <w:keepNext w:val="0"/>
        <w:keepLines w:val="0"/>
        <w:pageBreakBefore w:val="0"/>
        <w:widowControl/>
        <w:numPr>
          <w:ilvl w:val="0"/>
          <w:numId w:val="29"/>
        </w:numPr>
        <w:tabs>
          <w:tab w:val="left" w:pos="709"/>
        </w:tabs>
        <w:kinsoku/>
        <w:wordWrap/>
        <w:overflowPunct/>
        <w:topLinePunct w:val="0"/>
        <w:autoSpaceDE/>
        <w:autoSpaceDN/>
        <w:bidi w:val="0"/>
        <w:adjustRightInd/>
        <w:snapToGrid/>
        <w:spacing w:line="360" w:lineRule="auto"/>
        <w:ind w:left="567" w:hanging="567"/>
        <w:textAlignment w:val="auto"/>
        <w:rPr>
          <w:sz w:val="21"/>
          <w:szCs w:val="21"/>
          <w:highlight w:val="none"/>
        </w:rPr>
      </w:pPr>
      <w:r>
        <w:rPr>
          <w:rFonts w:hint="eastAsia"/>
          <w:b/>
          <w:sz w:val="21"/>
          <w:szCs w:val="21"/>
          <w:highlight w:val="none"/>
        </w:rPr>
        <w:t>“工作日”</w:t>
      </w:r>
      <w:r>
        <w:rPr>
          <w:rFonts w:hint="eastAsia"/>
          <w:sz w:val="21"/>
          <w:szCs w:val="21"/>
          <w:highlight w:val="none"/>
        </w:rPr>
        <w:t>是指除星期六、星期日和中华人民共和国法定节假日外的日历日。</w:t>
      </w:r>
    </w:p>
    <w:p>
      <w:pPr>
        <w:pStyle w:val="31"/>
        <w:keepNext w:val="0"/>
        <w:keepLines w:val="0"/>
        <w:pageBreakBefore w:val="0"/>
        <w:widowControl/>
        <w:numPr>
          <w:ilvl w:val="0"/>
          <w:numId w:val="29"/>
        </w:numPr>
        <w:tabs>
          <w:tab w:val="left" w:pos="709"/>
        </w:tabs>
        <w:kinsoku/>
        <w:wordWrap/>
        <w:overflowPunct/>
        <w:topLinePunct w:val="0"/>
        <w:autoSpaceDE/>
        <w:autoSpaceDN/>
        <w:bidi w:val="0"/>
        <w:adjustRightInd/>
        <w:snapToGrid/>
        <w:spacing w:line="360" w:lineRule="auto"/>
        <w:ind w:left="567" w:hanging="567"/>
        <w:textAlignment w:val="auto"/>
        <w:rPr>
          <w:sz w:val="21"/>
          <w:szCs w:val="21"/>
          <w:highlight w:val="none"/>
        </w:rPr>
      </w:pPr>
      <w:r>
        <w:rPr>
          <w:rFonts w:hint="eastAsia"/>
          <w:b/>
          <w:sz w:val="21"/>
          <w:szCs w:val="21"/>
          <w:highlight w:val="none"/>
        </w:rPr>
        <w:t>“关联企业”</w:t>
      </w:r>
      <w:r>
        <w:rPr>
          <w:rFonts w:hint="eastAsia"/>
          <w:sz w:val="21"/>
          <w:szCs w:val="21"/>
          <w:highlight w:val="none"/>
        </w:rPr>
        <w:t>对任何一方而言指，指</w:t>
      </w:r>
      <w:r>
        <w:rPr>
          <w:sz w:val="21"/>
          <w:szCs w:val="21"/>
          <w:highlight w:val="none"/>
        </w:rPr>
        <w:t>(i)</w:t>
      </w:r>
      <w:r>
        <w:rPr>
          <w:rFonts w:hint="eastAsia"/>
          <w:sz w:val="21"/>
          <w:szCs w:val="21"/>
          <w:highlight w:val="none"/>
        </w:rPr>
        <w:t>控制该方的公司、企业或实体；</w:t>
      </w:r>
      <w:r>
        <w:rPr>
          <w:sz w:val="21"/>
          <w:szCs w:val="21"/>
          <w:highlight w:val="none"/>
        </w:rPr>
        <w:t>(ii)</w:t>
      </w:r>
      <w:r>
        <w:rPr>
          <w:rFonts w:hint="eastAsia"/>
          <w:sz w:val="21"/>
          <w:szCs w:val="21"/>
          <w:highlight w:val="none"/>
        </w:rPr>
        <w:t>该方控制的公司、企业或实体；或</w:t>
      </w:r>
      <w:r>
        <w:rPr>
          <w:sz w:val="21"/>
          <w:szCs w:val="21"/>
          <w:highlight w:val="none"/>
        </w:rPr>
        <w:t>(iii)</w:t>
      </w:r>
      <w:r>
        <w:rPr>
          <w:rFonts w:hint="eastAsia"/>
          <w:sz w:val="21"/>
          <w:szCs w:val="21"/>
          <w:highlight w:val="none"/>
        </w:rPr>
        <w:t>与该方共受同一主体控制的公司、企业或实体。控制指直接或间接拥有</w:t>
      </w:r>
      <w:r>
        <w:rPr>
          <w:sz w:val="21"/>
          <w:szCs w:val="21"/>
          <w:highlight w:val="none"/>
        </w:rPr>
        <w:t>50%</w:t>
      </w:r>
      <w:r>
        <w:rPr>
          <w:rFonts w:hint="eastAsia"/>
          <w:sz w:val="21"/>
          <w:szCs w:val="21"/>
          <w:highlight w:val="none"/>
        </w:rPr>
        <w:t>以上股份，或有权直接或间接委派董事会或类似管理机构</w:t>
      </w:r>
      <w:r>
        <w:rPr>
          <w:sz w:val="21"/>
          <w:szCs w:val="21"/>
          <w:highlight w:val="none"/>
        </w:rPr>
        <w:t>1/2</w:t>
      </w:r>
      <w:r>
        <w:rPr>
          <w:rFonts w:hint="eastAsia"/>
          <w:sz w:val="21"/>
          <w:szCs w:val="21"/>
          <w:highlight w:val="none"/>
        </w:rPr>
        <w:t>以上成员，或通过其它方式决定其经营管理和决策。</w:t>
      </w:r>
    </w:p>
    <w:p>
      <w:pPr>
        <w:pStyle w:val="31"/>
        <w:keepNext w:val="0"/>
        <w:keepLines w:val="0"/>
        <w:pageBreakBefore w:val="0"/>
        <w:widowControl/>
        <w:numPr>
          <w:ilvl w:val="0"/>
          <w:numId w:val="29"/>
        </w:numPr>
        <w:tabs>
          <w:tab w:val="left" w:pos="709"/>
        </w:tabs>
        <w:kinsoku/>
        <w:wordWrap/>
        <w:overflowPunct/>
        <w:topLinePunct w:val="0"/>
        <w:autoSpaceDE/>
        <w:autoSpaceDN/>
        <w:bidi w:val="0"/>
        <w:adjustRightInd/>
        <w:snapToGrid/>
        <w:spacing w:line="360" w:lineRule="auto"/>
        <w:ind w:left="567" w:hanging="567"/>
        <w:textAlignment w:val="auto"/>
        <w:rPr>
          <w:sz w:val="21"/>
          <w:szCs w:val="21"/>
          <w:highlight w:val="none"/>
        </w:rPr>
      </w:pPr>
      <w:r>
        <w:rPr>
          <w:rFonts w:hint="eastAsia"/>
          <w:b/>
          <w:sz w:val="21"/>
          <w:szCs w:val="21"/>
          <w:highlight w:val="none"/>
        </w:rPr>
        <w:t>“合同价款”</w:t>
      </w:r>
      <w:r>
        <w:rPr>
          <w:rFonts w:hint="eastAsia"/>
          <w:sz w:val="21"/>
          <w:szCs w:val="21"/>
          <w:highlight w:val="none"/>
        </w:rPr>
        <w:t>是指买方根据本合同的规定应支付给卖方的价款。</w:t>
      </w:r>
    </w:p>
    <w:p>
      <w:pPr>
        <w:pStyle w:val="31"/>
        <w:keepNext w:val="0"/>
        <w:keepLines w:val="0"/>
        <w:pageBreakBefore w:val="0"/>
        <w:widowControl/>
        <w:numPr>
          <w:ilvl w:val="0"/>
          <w:numId w:val="29"/>
        </w:numPr>
        <w:tabs>
          <w:tab w:val="left" w:pos="709"/>
        </w:tabs>
        <w:kinsoku/>
        <w:wordWrap/>
        <w:overflowPunct/>
        <w:topLinePunct w:val="0"/>
        <w:autoSpaceDE/>
        <w:autoSpaceDN/>
        <w:bidi w:val="0"/>
        <w:adjustRightInd/>
        <w:snapToGrid/>
        <w:spacing w:line="360" w:lineRule="auto"/>
        <w:ind w:left="567" w:hanging="567"/>
        <w:textAlignment w:val="auto"/>
        <w:rPr>
          <w:sz w:val="21"/>
          <w:szCs w:val="21"/>
          <w:highlight w:val="none"/>
        </w:rPr>
      </w:pPr>
      <w:r>
        <w:rPr>
          <w:rFonts w:hint="eastAsia"/>
          <w:b/>
          <w:sz w:val="21"/>
          <w:szCs w:val="21"/>
          <w:highlight w:val="none"/>
        </w:rPr>
        <w:t>“货物”</w:t>
      </w:r>
      <w:r>
        <w:rPr>
          <w:rFonts w:hint="eastAsia"/>
          <w:sz w:val="21"/>
          <w:szCs w:val="21"/>
          <w:highlight w:val="none"/>
        </w:rPr>
        <w:t>是指卖方根据本合同的规定向买方提供的全部产品。</w:t>
      </w:r>
    </w:p>
    <w:p>
      <w:pPr>
        <w:pStyle w:val="31"/>
        <w:keepNext w:val="0"/>
        <w:keepLines w:val="0"/>
        <w:pageBreakBefore w:val="0"/>
        <w:widowControl/>
        <w:numPr>
          <w:ilvl w:val="0"/>
          <w:numId w:val="29"/>
        </w:numPr>
        <w:tabs>
          <w:tab w:val="left" w:pos="709"/>
        </w:tabs>
        <w:kinsoku/>
        <w:wordWrap/>
        <w:overflowPunct/>
        <w:topLinePunct w:val="0"/>
        <w:autoSpaceDE/>
        <w:autoSpaceDN/>
        <w:bidi w:val="0"/>
        <w:adjustRightInd/>
        <w:snapToGrid/>
        <w:spacing w:line="360" w:lineRule="auto"/>
        <w:ind w:left="567" w:hanging="567"/>
        <w:textAlignment w:val="auto"/>
        <w:rPr>
          <w:sz w:val="21"/>
          <w:szCs w:val="21"/>
          <w:highlight w:val="none"/>
        </w:rPr>
      </w:pPr>
      <w:r>
        <w:rPr>
          <w:rFonts w:hint="eastAsia"/>
          <w:b/>
          <w:sz w:val="21"/>
          <w:szCs w:val="21"/>
          <w:highlight w:val="none"/>
        </w:rPr>
        <w:t>“技术资料”</w:t>
      </w:r>
      <w:r>
        <w:rPr>
          <w:rFonts w:hint="eastAsia"/>
          <w:sz w:val="21"/>
          <w:szCs w:val="21"/>
          <w:highlight w:val="none"/>
        </w:rPr>
        <w:t>是指与货物的设计、制造、监造、检验、安装、调试、验收、操作、试运行、运行、检修、维护和技术指导等相关的文件（包括图纸、规格书、数据表、各种文字说明、标准、各种软件）。</w:t>
      </w:r>
    </w:p>
    <w:p>
      <w:pPr>
        <w:pStyle w:val="31"/>
        <w:keepNext w:val="0"/>
        <w:keepLines w:val="0"/>
        <w:pageBreakBefore w:val="0"/>
        <w:widowControl/>
        <w:numPr>
          <w:ilvl w:val="0"/>
          <w:numId w:val="29"/>
        </w:numPr>
        <w:tabs>
          <w:tab w:val="left" w:pos="709"/>
        </w:tabs>
        <w:kinsoku/>
        <w:wordWrap/>
        <w:overflowPunct/>
        <w:topLinePunct w:val="0"/>
        <w:autoSpaceDE/>
        <w:autoSpaceDN/>
        <w:bidi w:val="0"/>
        <w:adjustRightInd/>
        <w:snapToGrid/>
        <w:spacing w:line="360" w:lineRule="auto"/>
        <w:ind w:left="567" w:hanging="567"/>
        <w:textAlignment w:val="auto"/>
        <w:rPr>
          <w:sz w:val="21"/>
          <w:szCs w:val="21"/>
          <w:highlight w:val="none"/>
        </w:rPr>
      </w:pPr>
      <w:r>
        <w:rPr>
          <w:rFonts w:hint="eastAsia"/>
          <w:b/>
          <w:sz w:val="21"/>
          <w:szCs w:val="21"/>
          <w:highlight w:val="none"/>
        </w:rPr>
        <w:t>“技术服务”</w:t>
      </w:r>
      <w:r>
        <w:rPr>
          <w:rFonts w:hint="eastAsia"/>
          <w:sz w:val="21"/>
          <w:szCs w:val="21"/>
          <w:highlight w:val="none"/>
        </w:rPr>
        <w:t>是指卖方提供的与本货物的设计、监造、检验、安装、调试、验收、试运行、运行、操作、检修、维护等有关的指导、配合、协调、支持、培训等服务。</w:t>
      </w:r>
    </w:p>
    <w:p>
      <w:pPr>
        <w:pStyle w:val="31"/>
        <w:keepNext w:val="0"/>
        <w:keepLines w:val="0"/>
        <w:pageBreakBefore w:val="0"/>
        <w:widowControl/>
        <w:numPr>
          <w:ilvl w:val="0"/>
          <w:numId w:val="29"/>
        </w:numPr>
        <w:tabs>
          <w:tab w:val="left" w:pos="709"/>
        </w:tabs>
        <w:kinsoku/>
        <w:wordWrap/>
        <w:overflowPunct/>
        <w:topLinePunct w:val="0"/>
        <w:autoSpaceDE/>
        <w:autoSpaceDN/>
        <w:bidi w:val="0"/>
        <w:adjustRightInd/>
        <w:snapToGrid/>
        <w:spacing w:line="360" w:lineRule="auto"/>
        <w:ind w:left="567" w:hanging="567"/>
        <w:textAlignment w:val="auto"/>
        <w:rPr>
          <w:sz w:val="21"/>
          <w:szCs w:val="21"/>
          <w:highlight w:val="none"/>
        </w:rPr>
      </w:pPr>
      <w:r>
        <w:rPr>
          <w:rFonts w:hint="eastAsia"/>
          <w:b/>
          <w:sz w:val="21"/>
          <w:szCs w:val="21"/>
          <w:highlight w:val="none"/>
        </w:rPr>
        <w:t>“检验机构”</w:t>
      </w:r>
      <w:r>
        <w:rPr>
          <w:rFonts w:hint="eastAsia"/>
          <w:sz w:val="21"/>
          <w:szCs w:val="21"/>
          <w:highlight w:val="none"/>
        </w:rPr>
        <w:t>是指为确认货物符合技术规范的要求，买卖双方共同确定的第三方权威检验机构。</w:t>
      </w:r>
    </w:p>
    <w:p>
      <w:pPr>
        <w:pStyle w:val="31"/>
        <w:keepNext w:val="0"/>
        <w:keepLines w:val="0"/>
        <w:pageBreakBefore w:val="0"/>
        <w:widowControl/>
        <w:numPr>
          <w:ilvl w:val="0"/>
          <w:numId w:val="29"/>
        </w:numPr>
        <w:tabs>
          <w:tab w:val="left" w:pos="709"/>
        </w:tabs>
        <w:kinsoku/>
        <w:wordWrap/>
        <w:overflowPunct/>
        <w:topLinePunct w:val="0"/>
        <w:autoSpaceDE/>
        <w:autoSpaceDN/>
        <w:bidi w:val="0"/>
        <w:adjustRightInd/>
        <w:snapToGrid/>
        <w:spacing w:line="360" w:lineRule="auto"/>
        <w:ind w:left="567" w:hanging="567"/>
        <w:textAlignment w:val="auto"/>
        <w:rPr>
          <w:sz w:val="21"/>
          <w:szCs w:val="21"/>
          <w:highlight w:val="none"/>
        </w:rPr>
      </w:pPr>
      <w:r>
        <w:rPr>
          <w:rFonts w:hint="eastAsia"/>
          <w:b/>
          <w:sz w:val="21"/>
          <w:szCs w:val="21"/>
          <w:highlight w:val="none"/>
        </w:rPr>
        <w:t>“良好的行业惯例”</w:t>
      </w:r>
      <w:r>
        <w:rPr>
          <w:rFonts w:hint="eastAsia"/>
          <w:sz w:val="21"/>
          <w:szCs w:val="21"/>
          <w:highlight w:val="none"/>
        </w:rPr>
        <w:t>是指在履行本合同的过程中，卖方应遵守适用法律、法规、标准、商业惯例和诚实信用原则，采取一个经验丰富、合格的卖方在同等或类似条件应当采取的措施，并具备该等卖方应当具备的资质、技术、审慎、判断及其它方面的能力。</w:t>
      </w:r>
    </w:p>
    <w:p>
      <w:pPr>
        <w:pStyle w:val="31"/>
        <w:keepNext w:val="0"/>
        <w:keepLines w:val="0"/>
        <w:pageBreakBefore w:val="0"/>
        <w:widowControl/>
        <w:numPr>
          <w:ilvl w:val="0"/>
          <w:numId w:val="29"/>
        </w:numPr>
        <w:tabs>
          <w:tab w:val="left" w:pos="709"/>
        </w:tabs>
        <w:kinsoku/>
        <w:wordWrap/>
        <w:overflowPunct/>
        <w:topLinePunct w:val="0"/>
        <w:autoSpaceDE/>
        <w:autoSpaceDN/>
        <w:bidi w:val="0"/>
        <w:adjustRightInd/>
        <w:snapToGrid/>
        <w:spacing w:line="360" w:lineRule="auto"/>
        <w:ind w:left="567" w:hanging="567"/>
        <w:textAlignment w:val="auto"/>
        <w:rPr>
          <w:sz w:val="21"/>
          <w:szCs w:val="21"/>
          <w:highlight w:val="none"/>
        </w:rPr>
      </w:pPr>
      <w:r>
        <w:rPr>
          <w:rFonts w:hint="eastAsia"/>
          <w:b/>
          <w:sz w:val="21"/>
          <w:szCs w:val="21"/>
          <w:highlight w:val="none"/>
        </w:rPr>
        <w:t>“日、周、月”</w:t>
      </w:r>
      <w:r>
        <w:rPr>
          <w:rFonts w:hint="eastAsia"/>
          <w:sz w:val="21"/>
          <w:szCs w:val="21"/>
          <w:highlight w:val="none"/>
        </w:rPr>
        <w:t>是指日历日、日历周、日历月。</w:t>
      </w:r>
    </w:p>
    <w:p>
      <w:pPr>
        <w:pStyle w:val="31"/>
        <w:keepNext w:val="0"/>
        <w:keepLines w:val="0"/>
        <w:pageBreakBefore w:val="0"/>
        <w:widowControl/>
        <w:numPr>
          <w:ilvl w:val="0"/>
          <w:numId w:val="29"/>
        </w:numPr>
        <w:tabs>
          <w:tab w:val="left" w:pos="709"/>
        </w:tabs>
        <w:kinsoku/>
        <w:wordWrap/>
        <w:overflowPunct/>
        <w:topLinePunct w:val="0"/>
        <w:autoSpaceDE/>
        <w:autoSpaceDN/>
        <w:bidi w:val="0"/>
        <w:adjustRightInd/>
        <w:snapToGrid/>
        <w:spacing w:line="360" w:lineRule="auto"/>
        <w:ind w:left="567" w:hanging="567"/>
        <w:textAlignment w:val="auto"/>
        <w:rPr>
          <w:sz w:val="21"/>
          <w:szCs w:val="21"/>
          <w:highlight w:val="none"/>
        </w:rPr>
      </w:pPr>
      <w:r>
        <w:rPr>
          <w:rFonts w:hint="eastAsia"/>
          <w:b/>
          <w:sz w:val="21"/>
          <w:szCs w:val="21"/>
          <w:highlight w:val="none"/>
        </w:rPr>
        <w:t>“现场”</w:t>
      </w:r>
      <w:r>
        <w:rPr>
          <w:rFonts w:hint="eastAsia"/>
          <w:sz w:val="21"/>
          <w:szCs w:val="21"/>
          <w:highlight w:val="none"/>
        </w:rPr>
        <w:t>是指买方指定的货物安装、运行场所。</w:t>
      </w:r>
    </w:p>
    <w:p>
      <w:pPr>
        <w:pStyle w:val="31"/>
        <w:keepNext w:val="0"/>
        <w:keepLines w:val="0"/>
        <w:pageBreakBefore w:val="0"/>
        <w:widowControl/>
        <w:numPr>
          <w:ilvl w:val="0"/>
          <w:numId w:val="29"/>
        </w:numPr>
        <w:kinsoku/>
        <w:wordWrap/>
        <w:overflowPunct/>
        <w:topLinePunct w:val="0"/>
        <w:autoSpaceDE/>
        <w:autoSpaceDN/>
        <w:bidi w:val="0"/>
        <w:adjustRightInd/>
        <w:snapToGrid/>
        <w:spacing w:line="360" w:lineRule="auto"/>
        <w:ind w:left="567" w:hanging="567"/>
        <w:textAlignment w:val="auto"/>
        <w:rPr>
          <w:sz w:val="21"/>
          <w:szCs w:val="21"/>
          <w:highlight w:val="none"/>
        </w:rPr>
      </w:pPr>
      <w:r>
        <w:rPr>
          <w:rFonts w:hint="eastAsia"/>
          <w:b/>
          <w:bCs/>
          <w:sz w:val="21"/>
          <w:szCs w:val="21"/>
          <w:highlight w:val="none"/>
        </w:rPr>
        <w:t>“有效税务发票”</w:t>
      </w:r>
      <w:r>
        <w:rPr>
          <w:rFonts w:hint="eastAsia"/>
          <w:sz w:val="21"/>
          <w:szCs w:val="21"/>
          <w:highlight w:val="none"/>
        </w:rPr>
        <w:t>是指符合中国法律法规要求的发票。</w:t>
      </w:r>
    </w:p>
    <w:p>
      <w:pPr>
        <w:pStyle w:val="31"/>
        <w:keepNext w:val="0"/>
        <w:keepLines w:val="0"/>
        <w:pageBreakBefore w:val="0"/>
        <w:widowControl/>
        <w:numPr>
          <w:ilvl w:val="0"/>
          <w:numId w:val="29"/>
        </w:numPr>
        <w:tabs>
          <w:tab w:val="left" w:pos="709"/>
        </w:tabs>
        <w:kinsoku/>
        <w:wordWrap/>
        <w:overflowPunct/>
        <w:topLinePunct w:val="0"/>
        <w:autoSpaceDE/>
        <w:autoSpaceDN/>
        <w:bidi w:val="0"/>
        <w:adjustRightInd/>
        <w:snapToGrid/>
        <w:spacing w:line="360" w:lineRule="auto"/>
        <w:ind w:left="567" w:hanging="567"/>
        <w:textAlignment w:val="auto"/>
        <w:rPr>
          <w:sz w:val="21"/>
          <w:szCs w:val="21"/>
          <w:highlight w:val="none"/>
        </w:rPr>
      </w:pPr>
      <w:r>
        <w:rPr>
          <w:rFonts w:hint="eastAsia"/>
          <w:b/>
          <w:sz w:val="21"/>
          <w:szCs w:val="21"/>
          <w:highlight w:val="none"/>
        </w:rPr>
        <w:t>“知识产权”</w:t>
      </w:r>
      <w:r>
        <w:rPr>
          <w:rFonts w:hint="eastAsia"/>
          <w:sz w:val="21"/>
          <w:szCs w:val="21"/>
          <w:highlight w:val="none"/>
        </w:rPr>
        <w:t>指任何著作权、专利权、商标专用权、以及有关设计新型、商业秘密、服务标记、厂商名称、产地标记、原产地名称等其它知识产权。</w:t>
      </w:r>
    </w:p>
    <w:p>
      <w:pPr>
        <w:pStyle w:val="31"/>
        <w:keepNext w:val="0"/>
        <w:keepLines w:val="0"/>
        <w:pageBreakBefore w:val="0"/>
        <w:widowControl/>
        <w:numPr>
          <w:ilvl w:val="0"/>
          <w:numId w:val="29"/>
        </w:numPr>
        <w:tabs>
          <w:tab w:val="left" w:pos="709"/>
        </w:tabs>
        <w:kinsoku/>
        <w:wordWrap/>
        <w:overflowPunct/>
        <w:topLinePunct w:val="0"/>
        <w:autoSpaceDE/>
        <w:autoSpaceDN/>
        <w:bidi w:val="0"/>
        <w:adjustRightInd/>
        <w:snapToGrid/>
        <w:spacing w:line="360" w:lineRule="auto"/>
        <w:ind w:left="567" w:hanging="567"/>
        <w:textAlignment w:val="auto"/>
        <w:rPr>
          <w:sz w:val="21"/>
          <w:szCs w:val="21"/>
          <w:highlight w:val="none"/>
        </w:rPr>
      </w:pPr>
      <w:r>
        <w:rPr>
          <w:rFonts w:hint="eastAsia"/>
          <w:b/>
          <w:sz w:val="21"/>
          <w:szCs w:val="21"/>
          <w:highlight w:val="none"/>
        </w:rPr>
        <w:t>“中国”</w:t>
      </w:r>
      <w:r>
        <w:rPr>
          <w:rFonts w:hint="eastAsia"/>
          <w:sz w:val="21"/>
          <w:szCs w:val="21"/>
          <w:highlight w:val="none"/>
        </w:rPr>
        <w:t>指中华人民共和国，为本合同之目的，不包括香港特别行政区、澳门特别行政区和台湾地区。</w:t>
      </w:r>
    </w:p>
    <w:p>
      <w:pPr>
        <w:pStyle w:val="31"/>
        <w:keepNext w:val="0"/>
        <w:keepLines w:val="0"/>
        <w:pageBreakBefore w:val="0"/>
        <w:widowControl/>
        <w:numPr>
          <w:ilvl w:val="0"/>
          <w:numId w:val="29"/>
        </w:numPr>
        <w:tabs>
          <w:tab w:val="left" w:pos="709"/>
        </w:tabs>
        <w:kinsoku/>
        <w:wordWrap/>
        <w:overflowPunct/>
        <w:topLinePunct w:val="0"/>
        <w:autoSpaceDE/>
        <w:autoSpaceDN/>
        <w:bidi w:val="0"/>
        <w:adjustRightInd/>
        <w:snapToGrid/>
        <w:spacing w:line="360" w:lineRule="auto"/>
        <w:ind w:left="567" w:hanging="567"/>
        <w:textAlignment w:val="auto"/>
        <w:rPr>
          <w:sz w:val="21"/>
          <w:szCs w:val="21"/>
          <w:highlight w:val="none"/>
        </w:rPr>
      </w:pPr>
      <w:r>
        <w:rPr>
          <w:rFonts w:hint="eastAsia"/>
          <w:b/>
          <w:sz w:val="21"/>
          <w:szCs w:val="21"/>
          <w:highlight w:val="none"/>
        </w:rPr>
        <w:t>“最终接受证书”</w:t>
      </w:r>
      <w:r>
        <w:rPr>
          <w:rFonts w:hint="eastAsia"/>
          <w:sz w:val="21"/>
          <w:szCs w:val="21"/>
          <w:highlight w:val="none"/>
        </w:rPr>
        <w:t>是指买方在货物质保期结束后向卖方签发的旨在表明货物符合本合同相关要求的文件。</w:t>
      </w:r>
    </w:p>
    <w:p>
      <w:pPr>
        <w:numPr>
          <w:ilvl w:val="0"/>
          <w:numId w:val="27"/>
        </w:numPr>
        <w:spacing w:before="360" w:after="360"/>
        <w:jc w:val="center"/>
        <w:rPr>
          <w:b/>
          <w:sz w:val="24"/>
          <w:szCs w:val="24"/>
          <w:highlight w:val="none"/>
        </w:rPr>
      </w:pPr>
      <w:bookmarkStart w:id="176" w:name="_Toc300671203"/>
      <w:bookmarkStart w:id="177" w:name="_Toc5889377"/>
      <w:bookmarkStart w:id="178" w:name="_Toc17390378"/>
      <w:r>
        <w:rPr>
          <w:rFonts w:hint="eastAsia"/>
          <w:b/>
          <w:sz w:val="24"/>
          <w:szCs w:val="24"/>
          <w:highlight w:val="none"/>
        </w:rPr>
        <w:t>合同宗旨</w:t>
      </w:r>
      <w:bookmarkEnd w:id="175"/>
      <w:bookmarkEnd w:id="176"/>
      <w:bookmarkEnd w:id="177"/>
      <w:bookmarkEnd w:id="178"/>
    </w:p>
    <w:p>
      <w:pPr>
        <w:numPr>
          <w:ilvl w:val="1"/>
          <w:numId w:val="30"/>
        </w:numPr>
        <w:tabs>
          <w:tab w:val="left" w:pos="720"/>
          <w:tab w:val="left" w:pos="1620"/>
          <w:tab w:val="clear" w:pos="1468"/>
        </w:tabs>
        <w:spacing w:line="360" w:lineRule="auto"/>
        <w:ind w:left="720" w:hanging="720"/>
        <w:rPr>
          <w:highlight w:val="none"/>
        </w:rPr>
      </w:pPr>
      <w:r>
        <w:rPr>
          <w:rFonts w:hint="eastAsia" w:cs="宋体"/>
          <w:highlight w:val="none"/>
        </w:rPr>
        <w:t>双方之间是单纯的合同买卖关系。卖方不是买方的代理人和</w:t>
      </w:r>
      <w:r>
        <w:rPr>
          <w:highlight w:val="none"/>
        </w:rPr>
        <w:t>/</w:t>
      </w:r>
      <w:r>
        <w:rPr>
          <w:rFonts w:hint="eastAsia" w:cs="宋体"/>
          <w:highlight w:val="none"/>
        </w:rPr>
        <w:t>或买卖代表，也不是买方的雇员或合伙人。</w:t>
      </w:r>
    </w:p>
    <w:p>
      <w:pPr>
        <w:numPr>
          <w:ilvl w:val="1"/>
          <w:numId w:val="30"/>
        </w:numPr>
        <w:tabs>
          <w:tab w:val="left" w:pos="720"/>
          <w:tab w:val="left" w:pos="1620"/>
          <w:tab w:val="clear" w:pos="1468"/>
        </w:tabs>
        <w:spacing w:line="360" w:lineRule="auto"/>
        <w:ind w:left="720" w:hanging="720"/>
        <w:rPr>
          <w:highlight w:val="none"/>
        </w:rPr>
      </w:pPr>
      <w:r>
        <w:rPr>
          <w:rFonts w:hint="eastAsia" w:cs="宋体"/>
          <w:highlight w:val="none"/>
        </w:rPr>
        <w:t>卖方无权以买方的名义签订合同及其它法律文件，使买方在任何方面对任何第三人承担任何责任，或由买方负担任何费用、履行任何义务。</w:t>
      </w:r>
    </w:p>
    <w:p>
      <w:pPr>
        <w:numPr>
          <w:ilvl w:val="1"/>
          <w:numId w:val="30"/>
        </w:numPr>
        <w:tabs>
          <w:tab w:val="left" w:pos="720"/>
          <w:tab w:val="left" w:pos="1620"/>
          <w:tab w:val="clear" w:pos="1468"/>
        </w:tabs>
        <w:spacing w:line="360" w:lineRule="auto"/>
        <w:ind w:left="720" w:hanging="720"/>
        <w:rPr>
          <w:highlight w:val="none"/>
        </w:rPr>
      </w:pPr>
      <w:r>
        <w:rPr>
          <w:rFonts w:hint="eastAsia" w:cs="宋体"/>
          <w:highlight w:val="none"/>
        </w:rPr>
        <w:t>本合同只是双方买卖关系的证明，任何一方不得超出此范围而使用本合同，或将本合同作为任何其它方面的证明。</w:t>
      </w:r>
    </w:p>
    <w:p>
      <w:pPr>
        <w:numPr>
          <w:ilvl w:val="1"/>
          <w:numId w:val="30"/>
        </w:numPr>
        <w:tabs>
          <w:tab w:val="left" w:pos="720"/>
          <w:tab w:val="left" w:pos="1620"/>
          <w:tab w:val="clear" w:pos="1468"/>
        </w:tabs>
        <w:spacing w:line="360" w:lineRule="auto"/>
        <w:ind w:left="720" w:hanging="720"/>
        <w:rPr>
          <w:highlight w:val="none"/>
        </w:rPr>
      </w:pPr>
      <w:r>
        <w:rPr>
          <w:rFonts w:hint="eastAsia" w:cs="宋体"/>
          <w:highlight w:val="none"/>
        </w:rPr>
        <w:t>双方应本着诚实、信用原则解释、履行本合同。双方在履行本合同的过程中，应遵守中国法律法规的相关规定。</w:t>
      </w:r>
    </w:p>
    <w:p>
      <w:pPr>
        <w:numPr>
          <w:ilvl w:val="0"/>
          <w:numId w:val="27"/>
        </w:numPr>
        <w:spacing w:before="360" w:after="360"/>
        <w:jc w:val="center"/>
        <w:rPr>
          <w:b/>
          <w:sz w:val="24"/>
          <w:szCs w:val="24"/>
          <w:highlight w:val="none"/>
        </w:rPr>
      </w:pPr>
      <w:bookmarkStart w:id="179" w:name="_Toc17390379"/>
      <w:bookmarkStart w:id="180" w:name="_Toc300671204"/>
      <w:bookmarkStart w:id="181" w:name="_Toc5889378"/>
      <w:r>
        <w:rPr>
          <w:rFonts w:hint="eastAsia"/>
          <w:b/>
          <w:sz w:val="24"/>
          <w:szCs w:val="24"/>
          <w:highlight w:val="none"/>
        </w:rPr>
        <w:t>合同标的</w:t>
      </w:r>
      <w:bookmarkEnd w:id="179"/>
      <w:bookmarkEnd w:id="180"/>
      <w:bookmarkEnd w:id="181"/>
    </w:p>
    <w:p>
      <w:pPr>
        <w:numPr>
          <w:ilvl w:val="0"/>
          <w:numId w:val="31"/>
        </w:numPr>
        <w:tabs>
          <w:tab w:val="left" w:pos="720"/>
          <w:tab w:val="clear" w:pos="1468"/>
        </w:tabs>
        <w:spacing w:line="360" w:lineRule="auto"/>
        <w:ind w:left="720" w:hanging="720"/>
        <w:rPr>
          <w:highlight w:val="none"/>
        </w:rPr>
      </w:pPr>
      <w:r>
        <w:rPr>
          <w:rFonts w:hint="eastAsia" w:cs="宋体"/>
          <w:highlight w:val="none"/>
        </w:rPr>
        <w:t>买方同意根据需要向卖方购买本合同附件中所列的全部或部分货物。在本合同有效期内，若本合同附件货物清单发生变化，卖方应立即以书面形式通报买方。如本合同附件货物清单所列货物发生断货、停产等影响交易的情况，卖方应当立即书面通知买方并提供相关有效证明，以便买方及时做出安排。</w:t>
      </w:r>
    </w:p>
    <w:p>
      <w:pPr>
        <w:numPr>
          <w:ilvl w:val="0"/>
          <w:numId w:val="31"/>
        </w:numPr>
        <w:tabs>
          <w:tab w:val="left" w:pos="720"/>
          <w:tab w:val="clear" w:pos="1468"/>
        </w:tabs>
        <w:spacing w:line="360" w:lineRule="auto"/>
        <w:ind w:left="720" w:hanging="720"/>
        <w:rPr>
          <w:highlight w:val="none"/>
        </w:rPr>
      </w:pPr>
      <w:r>
        <w:rPr>
          <w:rFonts w:hint="eastAsia" w:cs="宋体"/>
          <w:highlight w:val="none"/>
        </w:rPr>
        <w:t>本合同附件的货物清单仅供买方选择购买货物的清单，买方没有义务必须购买货物清单所列的全部或部分货物。买方有权向任何第三方购买与货物清单所列货物相同的货物。买方一旦选购了货物清单所列的货物，卖方必须按本合同约定的交易条件，将买方选购的货物出售给买方。</w:t>
      </w:r>
    </w:p>
    <w:p>
      <w:pPr>
        <w:numPr>
          <w:ilvl w:val="0"/>
          <w:numId w:val="31"/>
        </w:numPr>
        <w:tabs>
          <w:tab w:val="left" w:pos="720"/>
          <w:tab w:val="clear" w:pos="1468"/>
        </w:tabs>
        <w:spacing w:line="360" w:lineRule="auto"/>
        <w:ind w:left="720" w:hanging="720"/>
        <w:rPr>
          <w:highlight w:val="none"/>
        </w:rPr>
      </w:pPr>
      <w:r>
        <w:rPr>
          <w:rFonts w:hint="eastAsia" w:cs="宋体"/>
          <w:highlight w:val="none"/>
        </w:rPr>
        <w:t>如果买方需要选购本合同附件的货物清单约定范围之外的卖方生产或者销售的其它产品，卖方同意以不高于卖方向任何第三方销售价的优惠价格提供给买方。</w:t>
      </w:r>
    </w:p>
    <w:p>
      <w:pPr>
        <w:numPr>
          <w:ilvl w:val="0"/>
          <w:numId w:val="31"/>
        </w:numPr>
        <w:tabs>
          <w:tab w:val="left" w:pos="720"/>
          <w:tab w:val="clear" w:pos="1468"/>
        </w:tabs>
        <w:spacing w:line="360" w:lineRule="auto"/>
        <w:ind w:left="720" w:hanging="720"/>
        <w:rPr>
          <w:highlight w:val="none"/>
        </w:rPr>
      </w:pPr>
      <w:r>
        <w:rPr>
          <w:rFonts w:hint="eastAsia" w:cs="宋体"/>
          <w:highlight w:val="none"/>
        </w:rPr>
        <w:t>双方可以通过补充协议的方式对本合同项下货物清单的部分或全部内容进行修改：</w:t>
      </w:r>
    </w:p>
    <w:p>
      <w:pPr>
        <w:pStyle w:val="32"/>
        <w:numPr>
          <w:ilvl w:val="0"/>
          <w:numId w:val="32"/>
        </w:numPr>
        <w:tabs>
          <w:tab w:val="left" w:pos="709"/>
          <w:tab w:val="left" w:pos="1260"/>
        </w:tabs>
        <w:overflowPunct/>
        <w:autoSpaceDE/>
        <w:autoSpaceDN/>
        <w:adjustRightInd/>
        <w:spacing w:line="360" w:lineRule="auto"/>
        <w:ind w:firstLineChars="0"/>
        <w:textAlignment w:val="auto"/>
        <w:rPr>
          <w:highlight w:val="none"/>
        </w:rPr>
      </w:pPr>
      <w:r>
        <w:rPr>
          <w:rFonts w:hint="eastAsia" w:cs="宋体"/>
          <w:highlight w:val="none"/>
        </w:rPr>
        <w:t>增加或减少货物种类；</w:t>
      </w:r>
    </w:p>
    <w:p>
      <w:pPr>
        <w:pStyle w:val="32"/>
        <w:numPr>
          <w:ilvl w:val="0"/>
          <w:numId w:val="32"/>
        </w:numPr>
        <w:tabs>
          <w:tab w:val="left" w:pos="709"/>
          <w:tab w:val="left" w:pos="1260"/>
        </w:tabs>
        <w:overflowPunct/>
        <w:autoSpaceDE/>
        <w:autoSpaceDN/>
        <w:adjustRightInd/>
        <w:spacing w:line="360" w:lineRule="auto"/>
        <w:ind w:firstLineChars="0"/>
        <w:textAlignment w:val="auto"/>
        <w:rPr>
          <w:highlight w:val="none"/>
        </w:rPr>
      </w:pPr>
      <w:r>
        <w:rPr>
          <w:rFonts w:hint="eastAsia" w:cs="宋体"/>
          <w:highlight w:val="none"/>
        </w:rPr>
        <w:t>调整货物价格；</w:t>
      </w:r>
    </w:p>
    <w:p>
      <w:pPr>
        <w:pStyle w:val="32"/>
        <w:numPr>
          <w:ilvl w:val="0"/>
          <w:numId w:val="32"/>
        </w:numPr>
        <w:tabs>
          <w:tab w:val="left" w:pos="720"/>
          <w:tab w:val="left" w:pos="1260"/>
        </w:tabs>
        <w:overflowPunct/>
        <w:autoSpaceDE/>
        <w:autoSpaceDN/>
        <w:adjustRightInd/>
        <w:spacing w:line="360" w:lineRule="auto"/>
        <w:ind w:firstLineChars="0"/>
        <w:textAlignment w:val="auto"/>
        <w:rPr>
          <w:highlight w:val="none"/>
          <w:lang w:eastAsia="zh-CN"/>
        </w:rPr>
      </w:pPr>
      <w:r>
        <w:rPr>
          <w:rFonts w:hint="eastAsia" w:cs="宋体"/>
          <w:highlight w:val="none"/>
          <w:lang w:eastAsia="zh-CN"/>
        </w:rPr>
        <w:t>与货物有关的其它事项。</w:t>
      </w:r>
    </w:p>
    <w:p>
      <w:pPr>
        <w:numPr>
          <w:ilvl w:val="0"/>
          <w:numId w:val="27"/>
        </w:numPr>
        <w:spacing w:before="360" w:after="360"/>
        <w:jc w:val="center"/>
        <w:rPr>
          <w:b/>
          <w:sz w:val="24"/>
          <w:szCs w:val="24"/>
          <w:highlight w:val="none"/>
        </w:rPr>
      </w:pPr>
      <w:bookmarkStart w:id="182" w:name="_Toc5889379"/>
      <w:bookmarkStart w:id="183" w:name="_Toc17390380"/>
      <w:r>
        <w:rPr>
          <w:rFonts w:hint="eastAsia"/>
          <w:b/>
          <w:sz w:val="24"/>
          <w:szCs w:val="24"/>
          <w:highlight w:val="none"/>
        </w:rPr>
        <w:t>采购订单</w:t>
      </w:r>
      <w:bookmarkEnd w:id="182"/>
      <w:bookmarkEnd w:id="183"/>
    </w:p>
    <w:p>
      <w:pPr>
        <w:numPr>
          <w:ilvl w:val="0"/>
          <w:numId w:val="33"/>
        </w:numPr>
        <w:tabs>
          <w:tab w:val="left" w:pos="720"/>
          <w:tab w:val="clear" w:pos="1468"/>
        </w:tabs>
        <w:spacing w:line="360" w:lineRule="auto"/>
        <w:ind w:left="720" w:hanging="720"/>
        <w:rPr>
          <w:highlight w:val="none"/>
        </w:rPr>
      </w:pPr>
      <w:r>
        <w:rPr>
          <w:rFonts w:hint="eastAsia" w:cs="宋体"/>
          <w:highlight w:val="none"/>
        </w:rPr>
        <w:t>采购订单的效力</w:t>
      </w:r>
    </w:p>
    <w:p>
      <w:pPr>
        <w:numPr>
          <w:ilvl w:val="1"/>
          <w:numId w:val="33"/>
        </w:numPr>
        <w:tabs>
          <w:tab w:val="left" w:pos="1260"/>
        </w:tabs>
        <w:spacing w:line="360" w:lineRule="auto"/>
        <w:ind w:left="1260" w:hanging="540"/>
        <w:rPr>
          <w:highlight w:val="none"/>
        </w:rPr>
      </w:pPr>
      <w:r>
        <w:rPr>
          <w:rFonts w:hint="eastAsia" w:cs="宋体"/>
          <w:highlight w:val="none"/>
        </w:rPr>
        <w:t>采购订单是本合同的有效组成部分，是对本合同及其附件的有效补充、解释，同本合同及其附件具有同等效力。</w:t>
      </w:r>
    </w:p>
    <w:p>
      <w:pPr>
        <w:numPr>
          <w:ilvl w:val="1"/>
          <w:numId w:val="33"/>
        </w:numPr>
        <w:tabs>
          <w:tab w:val="left" w:pos="1260"/>
        </w:tabs>
        <w:spacing w:line="360" w:lineRule="auto"/>
        <w:ind w:left="1260" w:hanging="540"/>
        <w:rPr>
          <w:highlight w:val="none"/>
        </w:rPr>
      </w:pPr>
      <w:r>
        <w:rPr>
          <w:rFonts w:hint="eastAsia" w:cs="宋体"/>
          <w:highlight w:val="none"/>
        </w:rPr>
        <w:t>买方有权分批次就一定数量的货物向卖方发送采购订单。</w:t>
      </w:r>
    </w:p>
    <w:p>
      <w:pPr>
        <w:numPr>
          <w:ilvl w:val="0"/>
          <w:numId w:val="33"/>
        </w:numPr>
        <w:tabs>
          <w:tab w:val="left" w:pos="720"/>
          <w:tab w:val="clear" w:pos="1468"/>
        </w:tabs>
        <w:spacing w:line="360" w:lineRule="auto"/>
        <w:ind w:left="720" w:hanging="720"/>
        <w:rPr>
          <w:highlight w:val="none"/>
        </w:rPr>
      </w:pPr>
      <w:r>
        <w:rPr>
          <w:rFonts w:hint="eastAsia" w:cs="宋体"/>
          <w:highlight w:val="none"/>
        </w:rPr>
        <w:t>采购订单的送达</w:t>
      </w:r>
    </w:p>
    <w:p>
      <w:pPr>
        <w:numPr>
          <w:ilvl w:val="1"/>
          <w:numId w:val="33"/>
        </w:numPr>
        <w:tabs>
          <w:tab w:val="left" w:pos="1260"/>
        </w:tabs>
        <w:spacing w:line="360" w:lineRule="auto"/>
        <w:ind w:left="1260" w:hanging="540"/>
        <w:rPr>
          <w:highlight w:val="none"/>
        </w:rPr>
      </w:pPr>
      <w:r>
        <w:rPr>
          <w:rFonts w:hint="eastAsia" w:cs="宋体"/>
          <w:highlight w:val="none"/>
        </w:rPr>
        <w:t>买方有权根据需要，通过发送采购订单的方式，定期或不定期分批向卖方选购本合同附件货物清单所列货物。</w:t>
      </w:r>
    </w:p>
    <w:p>
      <w:pPr>
        <w:numPr>
          <w:ilvl w:val="1"/>
          <w:numId w:val="33"/>
        </w:numPr>
        <w:tabs>
          <w:tab w:val="left" w:pos="1260"/>
        </w:tabs>
        <w:spacing w:line="360" w:lineRule="auto"/>
        <w:ind w:left="1260" w:hanging="540"/>
        <w:rPr>
          <w:highlight w:val="none"/>
        </w:rPr>
      </w:pPr>
      <w:r>
        <w:rPr>
          <w:rFonts w:hint="eastAsia" w:cs="宋体"/>
          <w:highlight w:val="none"/>
        </w:rPr>
        <w:t>采购订单可以特快专递、传真、电子邮件或者双方另行书面同意的其它方式送达卖方。</w:t>
      </w:r>
    </w:p>
    <w:p>
      <w:pPr>
        <w:numPr>
          <w:ilvl w:val="0"/>
          <w:numId w:val="33"/>
        </w:numPr>
        <w:tabs>
          <w:tab w:val="left" w:pos="720"/>
          <w:tab w:val="clear" w:pos="1468"/>
        </w:tabs>
        <w:spacing w:line="360" w:lineRule="auto"/>
        <w:ind w:left="720" w:hanging="720"/>
        <w:rPr>
          <w:highlight w:val="none"/>
        </w:rPr>
      </w:pPr>
      <w:r>
        <w:rPr>
          <w:rFonts w:hint="eastAsia" w:cs="宋体"/>
          <w:highlight w:val="none"/>
        </w:rPr>
        <w:t>采购订单的修改</w:t>
      </w:r>
    </w:p>
    <w:p>
      <w:pPr>
        <w:numPr>
          <w:ilvl w:val="1"/>
          <w:numId w:val="33"/>
        </w:numPr>
        <w:tabs>
          <w:tab w:val="left" w:pos="1260"/>
        </w:tabs>
        <w:spacing w:line="360" w:lineRule="auto"/>
        <w:ind w:left="1260" w:hanging="540"/>
        <w:rPr>
          <w:highlight w:val="none"/>
        </w:rPr>
      </w:pPr>
      <w:r>
        <w:rPr>
          <w:rFonts w:hint="eastAsia" w:cs="宋体"/>
          <w:highlight w:val="none"/>
        </w:rPr>
        <w:t>因买方原因需对采购订单规定的交货时间、数量等内容进行修改的，买方应当在卖方发货前（</w:t>
      </w:r>
      <w:r>
        <w:rPr>
          <w:highlight w:val="none"/>
        </w:rPr>
        <w:t>3</w:t>
      </w:r>
      <w:r>
        <w:rPr>
          <w:rFonts w:hint="eastAsia" w:cs="宋体"/>
          <w:highlight w:val="none"/>
        </w:rPr>
        <w:t>）日将采购订单修改的内容以书面形式通知卖方，以便卖方在合理时间内准备货物。</w:t>
      </w:r>
    </w:p>
    <w:p>
      <w:pPr>
        <w:tabs>
          <w:tab w:val="left" w:pos="1260"/>
        </w:tabs>
        <w:spacing w:line="360" w:lineRule="auto"/>
        <w:ind w:left="1200"/>
        <w:rPr>
          <w:highlight w:val="none"/>
        </w:rPr>
      </w:pPr>
      <w:r>
        <w:rPr>
          <w:rFonts w:hint="eastAsia" w:cs="宋体"/>
          <w:highlight w:val="none"/>
        </w:rPr>
        <w:t>买方无法在前款规定的时间内将采购订单修改情况书面通知卖方的，卖方在接到买方对采购订单修改的口头通知后应当采取必要措施，保证按照修改后的采购订单交货。</w:t>
      </w:r>
    </w:p>
    <w:p>
      <w:pPr>
        <w:numPr>
          <w:ilvl w:val="1"/>
          <w:numId w:val="33"/>
        </w:numPr>
        <w:tabs>
          <w:tab w:val="left" w:pos="1260"/>
        </w:tabs>
        <w:spacing w:line="360" w:lineRule="auto"/>
        <w:ind w:left="1260" w:hanging="540"/>
        <w:rPr>
          <w:highlight w:val="none"/>
        </w:rPr>
      </w:pPr>
      <w:r>
        <w:rPr>
          <w:rFonts w:hint="eastAsia" w:cs="宋体"/>
          <w:highlight w:val="none"/>
        </w:rPr>
        <w:t>经双方协商一致，可以对采购订单的相关条款进行修改，修改应当以书面形式进行。</w:t>
      </w:r>
    </w:p>
    <w:p>
      <w:pPr>
        <w:numPr>
          <w:ilvl w:val="0"/>
          <w:numId w:val="33"/>
        </w:numPr>
        <w:tabs>
          <w:tab w:val="left" w:pos="720"/>
          <w:tab w:val="clear" w:pos="1468"/>
        </w:tabs>
        <w:spacing w:line="360" w:lineRule="auto"/>
        <w:ind w:left="720" w:hanging="720"/>
        <w:rPr>
          <w:highlight w:val="none"/>
        </w:rPr>
      </w:pPr>
      <w:r>
        <w:rPr>
          <w:rFonts w:hint="eastAsia" w:cs="宋体"/>
          <w:highlight w:val="none"/>
        </w:rPr>
        <w:t>采购订单的确认</w:t>
      </w:r>
    </w:p>
    <w:p>
      <w:pPr>
        <w:numPr>
          <w:ilvl w:val="1"/>
          <w:numId w:val="33"/>
        </w:numPr>
        <w:tabs>
          <w:tab w:val="left" w:pos="1260"/>
        </w:tabs>
        <w:spacing w:line="360" w:lineRule="auto"/>
        <w:ind w:left="1260" w:hanging="540"/>
        <w:rPr>
          <w:highlight w:val="none"/>
        </w:rPr>
      </w:pPr>
      <w:r>
        <w:rPr>
          <w:rFonts w:hint="eastAsia" w:cs="宋体"/>
          <w:highlight w:val="none"/>
        </w:rPr>
        <w:t>除非双方另有约定，卖方在收到采购订单后，如果同意采购订单上的实质性条款（包括但不限于货物的数量、质量、交货日期、交货方式、价款等），须以书面形式向买方表示确认；如卖方在收到采购订单后（</w:t>
      </w:r>
      <w:r>
        <w:rPr>
          <w:highlight w:val="none"/>
        </w:rPr>
        <w:t>2</w:t>
      </w:r>
      <w:r>
        <w:rPr>
          <w:rFonts w:hint="eastAsia" w:cs="宋体"/>
          <w:highlight w:val="none"/>
        </w:rPr>
        <w:t>）个工作日内未以书面形式通知买方，则将视为卖方已确认并接受采购订单的全部条款。</w:t>
      </w:r>
    </w:p>
    <w:p>
      <w:pPr>
        <w:numPr>
          <w:ilvl w:val="1"/>
          <w:numId w:val="33"/>
        </w:numPr>
        <w:tabs>
          <w:tab w:val="left" w:pos="1260"/>
        </w:tabs>
        <w:spacing w:line="360" w:lineRule="auto"/>
        <w:ind w:left="1260" w:hanging="540"/>
        <w:rPr>
          <w:rFonts w:cs="宋体"/>
          <w:highlight w:val="none"/>
        </w:rPr>
      </w:pPr>
      <w:r>
        <w:rPr>
          <w:rFonts w:hint="eastAsia" w:cs="宋体"/>
          <w:highlight w:val="none"/>
        </w:rPr>
        <w:t>除非买卖双方另有约定，卖方对采购订单的确认可以采用单独出具书面确认书的方式，也可以采用在采购订单上直接确认后以特快专递、电子邮件、传真等方式或者双方另行书面同意的其它方式送达买方的方式。</w:t>
      </w:r>
    </w:p>
    <w:p>
      <w:pPr>
        <w:numPr>
          <w:ilvl w:val="1"/>
          <w:numId w:val="33"/>
        </w:numPr>
        <w:tabs>
          <w:tab w:val="left" w:pos="1260"/>
        </w:tabs>
        <w:spacing w:line="360" w:lineRule="auto"/>
        <w:ind w:left="1260" w:hanging="540"/>
        <w:rPr>
          <w:highlight w:val="none"/>
        </w:rPr>
      </w:pPr>
      <w:r>
        <w:rPr>
          <w:rFonts w:hint="eastAsia" w:cs="宋体"/>
          <w:highlight w:val="none"/>
        </w:rPr>
        <w:t>卖方在确认书中修改了买方采购订单的条款的（包括但不限于货物的数量、质量、交货日期、交货方式、价款等），视为卖方未就买方的采购订单进行确认。</w:t>
      </w:r>
    </w:p>
    <w:p>
      <w:pPr>
        <w:numPr>
          <w:ilvl w:val="1"/>
          <w:numId w:val="33"/>
        </w:numPr>
        <w:tabs>
          <w:tab w:val="left" w:pos="1260"/>
        </w:tabs>
        <w:spacing w:line="360" w:lineRule="auto"/>
        <w:ind w:left="1260" w:hanging="540"/>
        <w:rPr>
          <w:highlight w:val="none"/>
        </w:rPr>
      </w:pPr>
      <w:r>
        <w:rPr>
          <w:rFonts w:hint="eastAsia" w:cs="宋体"/>
          <w:highlight w:val="none"/>
        </w:rPr>
        <w:t>除买方按照本条的规定对采购订单进行修改外，采购订单的内容以买方发出时的内容为准。</w:t>
      </w:r>
    </w:p>
    <w:p>
      <w:pPr>
        <w:numPr>
          <w:ilvl w:val="0"/>
          <w:numId w:val="27"/>
        </w:numPr>
        <w:spacing w:before="360" w:after="360"/>
        <w:jc w:val="center"/>
        <w:rPr>
          <w:b/>
          <w:sz w:val="24"/>
          <w:szCs w:val="24"/>
          <w:highlight w:val="none"/>
        </w:rPr>
      </w:pPr>
      <w:bookmarkStart w:id="184" w:name="_Toc274754036"/>
      <w:bookmarkStart w:id="185" w:name="_Toc273388606"/>
      <w:bookmarkStart w:id="186" w:name="_Toc273458606"/>
      <w:bookmarkStart w:id="187" w:name="_Toc288567150"/>
      <w:bookmarkStart w:id="188" w:name="_Toc274669167"/>
      <w:bookmarkStart w:id="189" w:name="_Toc274344102"/>
      <w:bookmarkStart w:id="190" w:name="_Toc273388507"/>
      <w:bookmarkStart w:id="191" w:name="_Toc273451792"/>
      <w:bookmarkStart w:id="192" w:name="_Toc274343570"/>
      <w:bookmarkStart w:id="193" w:name="_Toc274668226"/>
      <w:bookmarkStart w:id="194" w:name="_Toc300671209"/>
      <w:bookmarkStart w:id="195" w:name="_Toc17390381"/>
      <w:bookmarkStart w:id="196" w:name="_Toc274403501"/>
      <w:bookmarkStart w:id="197" w:name="_Toc274075972"/>
      <w:bookmarkStart w:id="198" w:name="_Toc276069961"/>
      <w:bookmarkStart w:id="199" w:name="_Toc5889380"/>
      <w:r>
        <w:rPr>
          <w:rFonts w:hint="eastAsia"/>
          <w:b/>
          <w:sz w:val="24"/>
          <w:szCs w:val="24"/>
          <w:highlight w:val="none"/>
        </w:rPr>
        <w:t>质量标准</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pPr>
        <w:numPr>
          <w:ilvl w:val="0"/>
          <w:numId w:val="34"/>
        </w:numPr>
        <w:tabs>
          <w:tab w:val="left" w:pos="720"/>
          <w:tab w:val="clear" w:pos="1468"/>
        </w:tabs>
        <w:spacing w:line="360" w:lineRule="auto"/>
        <w:ind w:left="720" w:hanging="720"/>
        <w:rPr>
          <w:highlight w:val="none"/>
        </w:rPr>
      </w:pPr>
      <w:r>
        <w:rPr>
          <w:rFonts w:hint="eastAsia" w:cs="宋体"/>
          <w:highlight w:val="none"/>
        </w:rPr>
        <w:t>卖方按照本合同约定提供的货物应当符合本合同和合同附件中约定的规范、标准。如果本合同或合同附件中没有约定规范、标准的，应当适用货物交货前中国颁布并生效的最新标准作为执行的标准。标准的适用顺序为：</w:t>
      </w:r>
    </w:p>
    <w:p>
      <w:pPr>
        <w:numPr>
          <w:ilvl w:val="1"/>
          <w:numId w:val="35"/>
        </w:numPr>
        <w:tabs>
          <w:tab w:val="left" w:pos="1260"/>
        </w:tabs>
        <w:spacing w:line="360" w:lineRule="auto"/>
        <w:ind w:left="1134" w:hanging="414"/>
        <w:rPr>
          <w:highlight w:val="none"/>
        </w:rPr>
      </w:pPr>
      <w:r>
        <w:rPr>
          <w:rFonts w:hint="eastAsia" w:cs="宋体"/>
          <w:highlight w:val="none"/>
        </w:rPr>
        <w:t>本合同规定的标准和规范；</w:t>
      </w:r>
    </w:p>
    <w:p>
      <w:pPr>
        <w:numPr>
          <w:ilvl w:val="1"/>
          <w:numId w:val="35"/>
        </w:numPr>
        <w:tabs>
          <w:tab w:val="left" w:pos="1260"/>
        </w:tabs>
        <w:spacing w:line="360" w:lineRule="auto"/>
        <w:ind w:left="1134" w:hanging="414"/>
        <w:rPr>
          <w:highlight w:val="none"/>
        </w:rPr>
      </w:pPr>
      <w:r>
        <w:rPr>
          <w:rFonts w:hint="eastAsia" w:cs="宋体"/>
          <w:highlight w:val="none"/>
        </w:rPr>
        <w:t>中国最新颁布的相关标准和规范；</w:t>
      </w:r>
    </w:p>
    <w:p>
      <w:pPr>
        <w:numPr>
          <w:ilvl w:val="1"/>
          <w:numId w:val="35"/>
        </w:numPr>
        <w:tabs>
          <w:tab w:val="left" w:pos="1260"/>
        </w:tabs>
        <w:spacing w:line="360" w:lineRule="auto"/>
        <w:ind w:left="1134" w:hanging="414"/>
        <w:rPr>
          <w:highlight w:val="none"/>
        </w:rPr>
      </w:pPr>
      <w:r>
        <w:rPr>
          <w:rFonts w:hint="eastAsia" w:cs="宋体"/>
          <w:highlight w:val="none"/>
        </w:rPr>
        <w:t>如果没有中国国家标准，适用最新的行业标准；</w:t>
      </w:r>
    </w:p>
    <w:p>
      <w:pPr>
        <w:numPr>
          <w:ilvl w:val="1"/>
          <w:numId w:val="35"/>
        </w:numPr>
        <w:tabs>
          <w:tab w:val="left" w:pos="1260"/>
        </w:tabs>
        <w:spacing w:line="360" w:lineRule="auto"/>
        <w:ind w:left="1134" w:hanging="414"/>
        <w:rPr>
          <w:highlight w:val="none"/>
        </w:rPr>
      </w:pPr>
      <w:r>
        <w:rPr>
          <w:rFonts w:hint="eastAsia" w:cs="宋体"/>
          <w:highlight w:val="none"/>
        </w:rPr>
        <w:t>如果没有中国国家和行业标准，适用符合合同目的的标准。</w:t>
      </w:r>
    </w:p>
    <w:p>
      <w:pPr>
        <w:numPr>
          <w:ilvl w:val="0"/>
          <w:numId w:val="27"/>
        </w:numPr>
        <w:spacing w:before="360" w:after="360"/>
        <w:jc w:val="center"/>
        <w:rPr>
          <w:b/>
          <w:sz w:val="24"/>
          <w:szCs w:val="24"/>
          <w:highlight w:val="none"/>
        </w:rPr>
      </w:pPr>
      <w:bookmarkStart w:id="200" w:name="_Toc274344104"/>
      <w:bookmarkStart w:id="201" w:name="_Toc274343572"/>
      <w:bookmarkStart w:id="202" w:name="_Toc274668228"/>
      <w:bookmarkStart w:id="203" w:name="_Toc288567152"/>
      <w:bookmarkStart w:id="204" w:name="_Toc5889381"/>
      <w:bookmarkStart w:id="205" w:name="_Toc300671211"/>
      <w:bookmarkStart w:id="206" w:name="_Toc274669169"/>
      <w:bookmarkStart w:id="207" w:name="_Toc274754038"/>
      <w:bookmarkStart w:id="208" w:name="_Toc274403503"/>
      <w:bookmarkStart w:id="209" w:name="_Toc276069962"/>
      <w:bookmarkStart w:id="210" w:name="_Toc17390382"/>
      <w:r>
        <w:rPr>
          <w:rFonts w:hint="eastAsia"/>
          <w:b/>
          <w:sz w:val="24"/>
          <w:szCs w:val="24"/>
          <w:highlight w:val="none"/>
        </w:rPr>
        <w:t>合同价款</w:t>
      </w:r>
      <w:bookmarkEnd w:id="200"/>
      <w:bookmarkEnd w:id="201"/>
      <w:bookmarkEnd w:id="202"/>
      <w:bookmarkEnd w:id="203"/>
      <w:bookmarkEnd w:id="204"/>
      <w:bookmarkEnd w:id="205"/>
      <w:bookmarkEnd w:id="206"/>
      <w:bookmarkEnd w:id="207"/>
      <w:bookmarkEnd w:id="208"/>
      <w:bookmarkEnd w:id="209"/>
      <w:bookmarkEnd w:id="210"/>
    </w:p>
    <w:p>
      <w:pPr>
        <w:numPr>
          <w:ilvl w:val="0"/>
          <w:numId w:val="36"/>
        </w:numPr>
        <w:tabs>
          <w:tab w:val="left" w:pos="720"/>
          <w:tab w:val="clear" w:pos="1468"/>
        </w:tabs>
        <w:spacing w:line="360" w:lineRule="auto"/>
        <w:ind w:left="720" w:hanging="720"/>
        <w:rPr>
          <w:highlight w:val="none"/>
        </w:rPr>
      </w:pPr>
      <w:r>
        <w:rPr>
          <w:rFonts w:hint="eastAsia" w:cs="宋体"/>
          <w:highlight w:val="none"/>
        </w:rPr>
        <w:t>合同价款将根据附件货物清单所列明的货物单价和买方在合同有效期内实际购买的货物数量计算后确定。</w:t>
      </w:r>
    </w:p>
    <w:p>
      <w:pPr>
        <w:numPr>
          <w:ilvl w:val="0"/>
          <w:numId w:val="36"/>
        </w:numPr>
        <w:tabs>
          <w:tab w:val="left" w:pos="720"/>
          <w:tab w:val="clear" w:pos="1468"/>
        </w:tabs>
        <w:spacing w:line="360" w:lineRule="auto"/>
        <w:ind w:left="720" w:hanging="720"/>
        <w:rPr>
          <w:highlight w:val="none"/>
        </w:rPr>
      </w:pPr>
      <w:r>
        <w:rPr>
          <w:rFonts w:hint="eastAsia" w:cs="宋体"/>
          <w:highlight w:val="none"/>
        </w:rPr>
        <w:t>双方同意，除非本合同另有明确规定，在本合同有效期内，本合同附件中所列的货物单价为</w:t>
      </w:r>
      <w:r>
        <w:rPr>
          <w:rFonts w:hint="eastAsia" w:cs="宋体"/>
          <w:highlight w:val="none"/>
          <w:lang w:val="en-US" w:eastAsia="zh-CN"/>
        </w:rPr>
        <w:t>浮动</w:t>
      </w:r>
      <w:r>
        <w:rPr>
          <w:rFonts w:hint="eastAsia" w:cs="宋体"/>
          <w:highlight w:val="none"/>
        </w:rPr>
        <w:t>价格。</w:t>
      </w:r>
    </w:p>
    <w:p>
      <w:pPr>
        <w:numPr>
          <w:ilvl w:val="0"/>
          <w:numId w:val="36"/>
        </w:numPr>
        <w:tabs>
          <w:tab w:val="left" w:pos="720"/>
          <w:tab w:val="clear" w:pos="1468"/>
        </w:tabs>
        <w:spacing w:line="360" w:lineRule="auto"/>
        <w:ind w:left="720" w:hanging="720"/>
        <w:rPr>
          <w:highlight w:val="none"/>
        </w:rPr>
      </w:pPr>
      <w:bookmarkStart w:id="211" w:name="_Toc274343573"/>
      <w:bookmarkStart w:id="212" w:name="_Toc274344105"/>
      <w:bookmarkStart w:id="213" w:name="_Toc300671212"/>
      <w:bookmarkStart w:id="214" w:name="_Toc276069964"/>
      <w:bookmarkStart w:id="215" w:name="_Toc288567154"/>
      <w:bookmarkStart w:id="216" w:name="_Toc274754039"/>
      <w:bookmarkStart w:id="217" w:name="_Toc274669170"/>
      <w:bookmarkStart w:id="218" w:name="_Toc274668229"/>
      <w:bookmarkStart w:id="219" w:name="_Toc274403504"/>
      <w:r>
        <w:rPr>
          <w:rFonts w:hint="eastAsia"/>
          <w:highlight w:val="none"/>
        </w:rPr>
        <w:t>合同总价是本合同项下买方向卖方支付的全部款项。</w:t>
      </w:r>
      <w:r>
        <w:rPr>
          <w:rFonts w:hint="eastAsia" w:cs="Arial"/>
          <w:highlight w:val="none"/>
        </w:rPr>
        <w:t>除非合同另有规定，卖方应承担其在履行合同义务时所产生的全部费用和税费。卖方确认，其在同意合同价格前已经获得了所有的信息并已考虑了所有可能影响成本和费用的因素。为避免歧义，</w:t>
      </w:r>
      <w:r>
        <w:rPr>
          <w:rFonts w:hint="eastAsia"/>
          <w:highlight w:val="none"/>
        </w:rPr>
        <w:t>合同总价包括物资成本、易耗品和易耗材料费用；税费（包括关税、增值税等）；运输、储存、包装、维修、搬运、交付费用；管理费和利润；直接成本、间接成本、人力成本；技术服务费用；质保期费用；或有费用及合同没有列明但系为实现合同目的所必需的工作和服务的费用；</w:t>
      </w:r>
      <w:r>
        <w:rPr>
          <w:rFonts w:hint="eastAsia" w:cs="Arial"/>
          <w:highlight w:val="none"/>
        </w:rPr>
        <w:t>卖方所有的风险、义务和责任，以及合同中明确说明由卖方承担的成本与费用</w:t>
      </w:r>
      <w:r>
        <w:rPr>
          <w:rFonts w:hint="eastAsia"/>
          <w:highlight w:val="none"/>
        </w:rPr>
        <w:t>等。除买方同意某项费用属于额外的工作项目需另行支付费用外，买方不向卖方支付任何超出合同总价的款项。</w:t>
      </w:r>
    </w:p>
    <w:p>
      <w:pPr>
        <w:numPr>
          <w:ilvl w:val="0"/>
          <w:numId w:val="27"/>
        </w:numPr>
        <w:spacing w:before="360" w:after="360"/>
        <w:jc w:val="center"/>
        <w:rPr>
          <w:b/>
          <w:sz w:val="24"/>
          <w:szCs w:val="24"/>
          <w:highlight w:val="none"/>
        </w:rPr>
      </w:pPr>
      <w:bookmarkStart w:id="220" w:name="_Toc5889382"/>
      <w:bookmarkStart w:id="221" w:name="_Toc17390383"/>
      <w:r>
        <w:rPr>
          <w:rFonts w:hint="eastAsia"/>
          <w:b/>
          <w:sz w:val="24"/>
          <w:szCs w:val="24"/>
          <w:highlight w:val="none"/>
        </w:rPr>
        <w:t>付款</w:t>
      </w:r>
      <w:bookmarkEnd w:id="211"/>
      <w:bookmarkEnd w:id="212"/>
      <w:bookmarkEnd w:id="213"/>
      <w:bookmarkEnd w:id="214"/>
      <w:bookmarkEnd w:id="215"/>
      <w:bookmarkEnd w:id="216"/>
      <w:bookmarkEnd w:id="217"/>
      <w:bookmarkEnd w:id="218"/>
      <w:bookmarkEnd w:id="219"/>
      <w:bookmarkEnd w:id="220"/>
      <w:bookmarkEnd w:id="221"/>
    </w:p>
    <w:p>
      <w:pPr>
        <w:numPr>
          <w:ilvl w:val="0"/>
          <w:numId w:val="37"/>
        </w:numPr>
        <w:tabs>
          <w:tab w:val="left" w:pos="720"/>
          <w:tab w:val="clear" w:pos="1468"/>
        </w:tabs>
        <w:spacing w:line="360" w:lineRule="auto"/>
        <w:ind w:left="720" w:hanging="720"/>
        <w:rPr>
          <w:highlight w:val="none"/>
        </w:rPr>
      </w:pPr>
      <w:r>
        <w:rPr>
          <w:rFonts w:hint="eastAsia" w:cs="宋体"/>
          <w:highlight w:val="none"/>
        </w:rPr>
        <w:t>卖方应根据合同规定的付款条件和进度，向买方开具有效税务发票并提供相关支持文件，其发票信息见本合同附件三采购订单。如卖方未开具有效税务发票并提供相关支持文件，买方有权拒付相关合同价款。</w:t>
      </w:r>
    </w:p>
    <w:p>
      <w:pPr>
        <w:numPr>
          <w:ilvl w:val="0"/>
          <w:numId w:val="37"/>
        </w:numPr>
        <w:tabs>
          <w:tab w:val="left" w:pos="720"/>
          <w:tab w:val="clear" w:pos="1468"/>
        </w:tabs>
        <w:spacing w:line="360" w:lineRule="auto"/>
        <w:ind w:left="720" w:hanging="720"/>
        <w:rPr>
          <w:highlight w:val="none"/>
        </w:rPr>
      </w:pPr>
      <w:r>
        <w:rPr>
          <w:rFonts w:hint="eastAsia"/>
          <w:highlight w:val="none"/>
        </w:rPr>
        <w:t>如果买方对卖方出具的有效税务发票和提供的相关支持文件无异议，应于收到该等发票和相关支持文件之日起四十五日内向卖方付款。</w:t>
      </w:r>
    </w:p>
    <w:p>
      <w:pPr>
        <w:numPr>
          <w:ilvl w:val="0"/>
          <w:numId w:val="27"/>
        </w:numPr>
        <w:spacing w:before="360" w:after="360"/>
        <w:jc w:val="center"/>
        <w:rPr>
          <w:b/>
          <w:sz w:val="24"/>
          <w:szCs w:val="24"/>
          <w:highlight w:val="none"/>
        </w:rPr>
      </w:pPr>
      <w:bookmarkStart w:id="222" w:name="_Toc296955864"/>
      <w:bookmarkStart w:id="223" w:name="_Toc278889794"/>
      <w:bookmarkStart w:id="224" w:name="_Toc300671213"/>
      <w:bookmarkStart w:id="225" w:name="_Toc291435854"/>
      <w:bookmarkStart w:id="226" w:name="_Toc17390384"/>
      <w:bookmarkStart w:id="227" w:name="_Toc291435921"/>
      <w:bookmarkStart w:id="228" w:name="_Toc296959326"/>
      <w:bookmarkStart w:id="229" w:name="_Toc5889383"/>
      <w:bookmarkStart w:id="230" w:name="_Toc273388508"/>
      <w:bookmarkStart w:id="231" w:name="_Toc273451793"/>
      <w:bookmarkStart w:id="232" w:name="_Toc274754040"/>
      <w:bookmarkStart w:id="233" w:name="_Toc274669171"/>
      <w:bookmarkStart w:id="234" w:name="_Toc274344106"/>
      <w:bookmarkStart w:id="235" w:name="_Toc273458607"/>
      <w:bookmarkStart w:id="236" w:name="_Toc274403505"/>
      <w:bookmarkStart w:id="237" w:name="_Toc274343574"/>
      <w:bookmarkStart w:id="238" w:name="_Toc288567155"/>
      <w:bookmarkStart w:id="239" w:name="_Toc276069965"/>
      <w:bookmarkStart w:id="240" w:name="_Toc274075973"/>
      <w:bookmarkStart w:id="241" w:name="_Toc274668230"/>
      <w:bookmarkStart w:id="242" w:name="_Toc273388607"/>
      <w:r>
        <w:rPr>
          <w:rFonts w:hint="eastAsia"/>
          <w:b/>
          <w:sz w:val="24"/>
          <w:szCs w:val="24"/>
          <w:highlight w:val="none"/>
        </w:rPr>
        <w:t>权利保证</w:t>
      </w:r>
      <w:bookmarkEnd w:id="222"/>
      <w:bookmarkEnd w:id="223"/>
      <w:bookmarkEnd w:id="224"/>
      <w:bookmarkEnd w:id="225"/>
      <w:bookmarkEnd w:id="226"/>
      <w:bookmarkEnd w:id="227"/>
      <w:bookmarkEnd w:id="228"/>
      <w:bookmarkEnd w:id="229"/>
    </w:p>
    <w:p>
      <w:pPr>
        <w:widowControl/>
        <w:numPr>
          <w:ilvl w:val="0"/>
          <w:numId w:val="38"/>
        </w:numPr>
        <w:tabs>
          <w:tab w:val="left" w:pos="709"/>
        </w:tabs>
        <w:spacing w:line="360" w:lineRule="auto"/>
        <w:ind w:left="619" w:hanging="619" w:hangingChars="295"/>
        <w:jc w:val="left"/>
        <w:rPr>
          <w:highlight w:val="none"/>
        </w:rPr>
      </w:pPr>
      <w:r>
        <w:rPr>
          <w:rFonts w:hint="eastAsia"/>
          <w:highlight w:val="none"/>
        </w:rPr>
        <w:t>卖方保证，货物未侵犯任何专利权、商标权或其它知识产权；货物包含的或为买方使用及维护货物所需的全部专利、商标及其它知识产权均为卖方合法拥有或已获得第三方的合法有效授权。如卖方违反前述保证，导致买方遭受任何要求、禁令、处罚、索赔或诉讼，卖方应在收到买方通知后代理买方尽快予以妥善处理或应诉，或在买方书面同意的情况下与声称被货物侵权的任何第三方达成和解方案，因此产生的全部责任、义务及费用（包括但不限于律师费用、诉讼费用、鉴定费用、罚款和赔偿金等）均由卖方承担。如卖方拒绝或怠于处理或应诉，买方有权自行处理或应诉，或与声称被货物侵权的任何第三方达成和解方案，卖方应承担买方因此发生的全部责任、义务和费用（包括但不限于律师费用、诉讼费用、鉴定费用、罚款和赔偿金等），买方有权从合同总价余额中直接扣除该等费用及履行上述责任和义务所需承担的费用，不足部分由卖方予以补偿。</w:t>
      </w:r>
    </w:p>
    <w:p>
      <w:pPr>
        <w:widowControl/>
        <w:numPr>
          <w:ilvl w:val="0"/>
          <w:numId w:val="38"/>
        </w:numPr>
        <w:tabs>
          <w:tab w:val="left" w:pos="709"/>
        </w:tabs>
        <w:spacing w:line="360" w:lineRule="auto"/>
        <w:ind w:left="619" w:hanging="619" w:hangingChars="295"/>
        <w:jc w:val="left"/>
        <w:rPr>
          <w:highlight w:val="none"/>
        </w:rPr>
      </w:pPr>
      <w:r>
        <w:rPr>
          <w:rFonts w:hint="eastAsia"/>
          <w:highlight w:val="none"/>
        </w:rPr>
        <w:t>卖方保证，在货物交付前，卖方对其提供的货物享有完整的所有权，且货物上不存在任何形式的担保物权及其它任何权利负担，亦未侵犯任何第三方的权利。如卖方违反前述保证，买方有权解除本合同，并要求卖方赔偿买方因此遭受的全部损失。如卖方违反前述保证，导致买方遭受任何要求、禁令、处罚、索赔或诉讼，卖方应在收到买方通知后代理买方尽快予以妥善处理或应诉，</w:t>
      </w:r>
      <w:bookmarkStart w:id="243" w:name="_DV_C680"/>
      <w:r>
        <w:rPr>
          <w:rFonts w:hint="eastAsia"/>
          <w:highlight w:val="none"/>
        </w:rPr>
        <w:t>或在买方书面同意的情况下与声称被货物侵权的任何第三方达成和解方案，</w:t>
      </w:r>
      <w:bookmarkEnd w:id="243"/>
      <w:r>
        <w:rPr>
          <w:rFonts w:hint="eastAsia"/>
          <w:highlight w:val="none"/>
        </w:rPr>
        <w:t>因此发生的全部责任、义务和费用（包括但不限于律师费用、诉讼费用、鉴定费用、罚款和赔偿金等）均由卖方承担。如卖方拒绝或怠于处理或应诉，买方有权自行处理或应诉，或与声称被货物侵权的任何第三方达成和解方案，卖方应承担买方因此发生的全部责任、义务和费用（包括但不限于律师费用、诉讼费用、鉴定费用、罚款和赔偿金等），买方有权从合同总价余额中直接扣除该等费用及履行上述责任和义务所需承担的费用，不足部分由卖方予以补偿。</w:t>
      </w:r>
    </w:p>
    <w:p>
      <w:pPr>
        <w:widowControl/>
        <w:numPr>
          <w:ilvl w:val="0"/>
          <w:numId w:val="38"/>
        </w:numPr>
        <w:tabs>
          <w:tab w:val="left" w:pos="709"/>
        </w:tabs>
        <w:spacing w:line="360" w:lineRule="auto"/>
        <w:ind w:left="619" w:hanging="619" w:hangingChars="295"/>
        <w:jc w:val="left"/>
        <w:rPr>
          <w:highlight w:val="none"/>
        </w:rPr>
      </w:pPr>
      <w:r>
        <w:rPr>
          <w:rFonts w:hint="eastAsia"/>
          <w:highlight w:val="none"/>
        </w:rPr>
        <w:t>如根据法院判决或仲裁裁决或按照上述规定与声称被侵权的任何第三方之间达成的和解方案，</w:t>
      </w:r>
      <w:r>
        <w:rPr>
          <w:rFonts w:hint="eastAsia"/>
          <w:spacing w:val="-2"/>
          <w:highlight w:val="none"/>
        </w:rPr>
        <w:t>卖方提供的货物侵犯任何第三方的权益或货物采用的技术、工艺、方法等</w:t>
      </w:r>
      <w:r>
        <w:rPr>
          <w:rFonts w:hint="eastAsia"/>
          <w:highlight w:val="none"/>
        </w:rPr>
        <w:t>侵犯任何知识产权，卖方应根据买方要求采取如下措施</w:t>
      </w:r>
      <w:r>
        <w:rPr>
          <w:rFonts w:hint="eastAsia"/>
          <w:spacing w:val="-2"/>
          <w:highlight w:val="none"/>
        </w:rPr>
        <w:t>：</w:t>
      </w:r>
    </w:p>
    <w:p>
      <w:pPr>
        <w:widowControl/>
        <w:numPr>
          <w:ilvl w:val="0"/>
          <w:numId w:val="39"/>
        </w:numPr>
        <w:tabs>
          <w:tab w:val="left" w:pos="1134"/>
          <w:tab w:val="left" w:pos="3060"/>
          <w:tab w:val="clear" w:pos="900"/>
        </w:tabs>
        <w:spacing w:line="360" w:lineRule="auto"/>
        <w:ind w:left="1044" w:leftChars="295" w:hanging="425"/>
        <w:jc w:val="left"/>
        <w:rPr>
          <w:highlight w:val="none"/>
        </w:rPr>
      </w:pPr>
      <w:r>
        <w:rPr>
          <w:rFonts w:hint="eastAsia"/>
          <w:highlight w:val="none"/>
        </w:rPr>
        <w:t>自行承担费用采取一切措施确保买方获得继续使用货物的权利，包括为买方的利益购买货物的全部权益（包括但不限于知识产权等）；</w:t>
      </w:r>
    </w:p>
    <w:p>
      <w:pPr>
        <w:widowControl/>
        <w:numPr>
          <w:ilvl w:val="0"/>
          <w:numId w:val="39"/>
        </w:numPr>
        <w:tabs>
          <w:tab w:val="left" w:pos="1134"/>
          <w:tab w:val="left" w:pos="3060"/>
          <w:tab w:val="clear" w:pos="900"/>
        </w:tabs>
        <w:spacing w:line="360" w:lineRule="auto"/>
        <w:ind w:left="1044" w:leftChars="295" w:hanging="425"/>
        <w:jc w:val="left"/>
        <w:rPr>
          <w:highlight w:val="none"/>
        </w:rPr>
      </w:pPr>
      <w:r>
        <w:rPr>
          <w:rFonts w:hint="eastAsia"/>
          <w:highlight w:val="none"/>
        </w:rPr>
        <w:t>采用不侵权的设备、材料、零部件、设计、技术、工艺、方法对货物进行变更，使得其不再构成任何侵权，且变更后货物的功能、品质和水平应符合本合同的规定，且不低于变更前的货物。</w:t>
      </w:r>
    </w:p>
    <w:p>
      <w:pPr>
        <w:tabs>
          <w:tab w:val="left" w:pos="1134"/>
          <w:tab w:val="left" w:pos="3060"/>
        </w:tabs>
        <w:spacing w:line="360" w:lineRule="auto"/>
        <w:ind w:left="708"/>
        <w:rPr>
          <w:highlight w:val="none"/>
        </w:rPr>
      </w:pPr>
      <w:r>
        <w:rPr>
          <w:rFonts w:hint="eastAsia"/>
          <w:highlight w:val="none"/>
        </w:rPr>
        <w:t>卖方依据本款采取的措施不影响买方的任何其它权利或补救措施。</w:t>
      </w:r>
    </w:p>
    <w:p>
      <w:pPr>
        <w:widowControl/>
        <w:numPr>
          <w:ilvl w:val="0"/>
          <w:numId w:val="38"/>
        </w:numPr>
        <w:tabs>
          <w:tab w:val="left" w:pos="709"/>
        </w:tabs>
        <w:spacing w:line="360" w:lineRule="auto"/>
        <w:ind w:left="619" w:hanging="619" w:hangingChars="295"/>
        <w:jc w:val="left"/>
        <w:rPr>
          <w:highlight w:val="none"/>
        </w:rPr>
      </w:pPr>
      <w:r>
        <w:rPr>
          <w:rFonts w:hint="eastAsia"/>
          <w:highlight w:val="none"/>
        </w:rPr>
        <w:t>卖方无权因本条的适用而获得额外的履约时间或合同价款。</w:t>
      </w:r>
    </w:p>
    <w:p>
      <w:pPr>
        <w:widowControl/>
        <w:numPr>
          <w:ilvl w:val="0"/>
          <w:numId w:val="38"/>
        </w:numPr>
        <w:tabs>
          <w:tab w:val="left" w:pos="709"/>
        </w:tabs>
        <w:spacing w:line="360" w:lineRule="auto"/>
        <w:ind w:left="619" w:hanging="619" w:hangingChars="295"/>
        <w:jc w:val="left"/>
        <w:rPr>
          <w:highlight w:val="none"/>
        </w:rPr>
      </w:pPr>
      <w:r>
        <w:rPr>
          <w:rFonts w:hint="eastAsia"/>
          <w:highlight w:val="none"/>
        </w:rPr>
        <w:t>卖方应无条件向附件五中买方执行用户提供本合同项下，全部或部分货物。</w:t>
      </w:r>
    </w:p>
    <w:p>
      <w:pPr>
        <w:numPr>
          <w:ilvl w:val="0"/>
          <w:numId w:val="27"/>
        </w:numPr>
        <w:spacing w:before="360" w:after="360"/>
        <w:jc w:val="center"/>
        <w:rPr>
          <w:b/>
          <w:sz w:val="24"/>
          <w:szCs w:val="24"/>
          <w:highlight w:val="none"/>
        </w:rPr>
      </w:pPr>
      <w:bookmarkStart w:id="244" w:name="_Toc5889384"/>
      <w:bookmarkStart w:id="245" w:name="_Toc300671214"/>
      <w:bookmarkStart w:id="246" w:name="_Toc17390385"/>
      <w:bookmarkStart w:id="247" w:name="_Toc296959327"/>
      <w:bookmarkStart w:id="248" w:name="_Toc296955865"/>
      <w:r>
        <w:rPr>
          <w:rFonts w:hint="eastAsia"/>
          <w:b/>
          <w:sz w:val="24"/>
          <w:szCs w:val="24"/>
          <w:highlight w:val="none"/>
        </w:rPr>
        <w:t>保密</w:t>
      </w:r>
      <w:bookmarkEnd w:id="244"/>
      <w:bookmarkEnd w:id="245"/>
      <w:bookmarkEnd w:id="246"/>
      <w:bookmarkEnd w:id="247"/>
      <w:bookmarkEnd w:id="248"/>
    </w:p>
    <w:p>
      <w:pPr>
        <w:widowControl/>
        <w:numPr>
          <w:ilvl w:val="0"/>
          <w:numId w:val="40"/>
        </w:numPr>
        <w:tabs>
          <w:tab w:val="left" w:pos="709"/>
          <w:tab w:val="clear" w:pos="0"/>
        </w:tabs>
        <w:spacing w:line="360" w:lineRule="auto"/>
        <w:ind w:left="709" w:hanging="709"/>
        <w:jc w:val="left"/>
        <w:rPr>
          <w:highlight w:val="none"/>
        </w:rPr>
      </w:pPr>
      <w:r>
        <w:rPr>
          <w:rFonts w:hint="eastAsia"/>
          <w:highlight w:val="none"/>
        </w:rPr>
        <w:t>未经买方同意，卖方不得将买方保密信息披露给任何第三方（包括与合同无关的卖方员工和政府部门），亦不得将该等信息用于与本合同无关的用途。买方保密信息包括但不限于：</w:t>
      </w:r>
    </w:p>
    <w:p>
      <w:pPr>
        <w:widowControl/>
        <w:numPr>
          <w:ilvl w:val="0"/>
          <w:numId w:val="41"/>
        </w:numPr>
        <w:tabs>
          <w:tab w:val="left" w:pos="1134"/>
          <w:tab w:val="left" w:pos="3060"/>
          <w:tab w:val="clear" w:pos="900"/>
        </w:tabs>
        <w:spacing w:line="360" w:lineRule="auto"/>
        <w:ind w:left="1134" w:hanging="425"/>
        <w:jc w:val="left"/>
        <w:rPr>
          <w:highlight w:val="none"/>
        </w:rPr>
      </w:pPr>
      <w:r>
        <w:rPr>
          <w:rFonts w:hint="eastAsia"/>
          <w:highlight w:val="none"/>
        </w:rPr>
        <w:t>本合同的内容；</w:t>
      </w:r>
    </w:p>
    <w:p>
      <w:pPr>
        <w:widowControl/>
        <w:numPr>
          <w:ilvl w:val="0"/>
          <w:numId w:val="41"/>
        </w:numPr>
        <w:tabs>
          <w:tab w:val="left" w:pos="1134"/>
          <w:tab w:val="left" w:pos="3060"/>
          <w:tab w:val="clear" w:pos="900"/>
        </w:tabs>
        <w:spacing w:line="360" w:lineRule="auto"/>
        <w:ind w:left="1134" w:hanging="425"/>
        <w:jc w:val="left"/>
        <w:rPr>
          <w:highlight w:val="none"/>
        </w:rPr>
      </w:pPr>
      <w:r>
        <w:rPr>
          <w:rFonts w:hint="eastAsia"/>
          <w:highlight w:val="none"/>
        </w:rPr>
        <w:t>与本合同相关的谈判内容；</w:t>
      </w:r>
    </w:p>
    <w:p>
      <w:pPr>
        <w:widowControl/>
        <w:numPr>
          <w:ilvl w:val="0"/>
          <w:numId w:val="41"/>
        </w:numPr>
        <w:tabs>
          <w:tab w:val="left" w:pos="1134"/>
          <w:tab w:val="left" w:pos="3060"/>
          <w:tab w:val="clear" w:pos="900"/>
        </w:tabs>
        <w:spacing w:line="360" w:lineRule="auto"/>
        <w:ind w:left="1134" w:hanging="425"/>
        <w:jc w:val="left"/>
        <w:rPr>
          <w:highlight w:val="none"/>
        </w:rPr>
      </w:pPr>
      <w:r>
        <w:rPr>
          <w:rFonts w:hint="eastAsia"/>
          <w:highlight w:val="none"/>
        </w:rPr>
        <w:t>买方提供的与本合同有关的任何技术信息、图纸、样本、资料等；</w:t>
      </w:r>
    </w:p>
    <w:p>
      <w:pPr>
        <w:widowControl/>
        <w:numPr>
          <w:ilvl w:val="0"/>
          <w:numId w:val="41"/>
        </w:numPr>
        <w:tabs>
          <w:tab w:val="left" w:pos="1134"/>
          <w:tab w:val="left" w:pos="3060"/>
          <w:tab w:val="clear" w:pos="900"/>
        </w:tabs>
        <w:spacing w:line="360" w:lineRule="auto"/>
        <w:ind w:left="1134" w:hanging="425"/>
        <w:jc w:val="left"/>
        <w:rPr>
          <w:highlight w:val="none"/>
        </w:rPr>
      </w:pPr>
      <w:r>
        <w:rPr>
          <w:rFonts w:hint="eastAsia"/>
          <w:highlight w:val="none"/>
        </w:rPr>
        <w:t>本合同的履行情况；</w:t>
      </w:r>
    </w:p>
    <w:p>
      <w:pPr>
        <w:widowControl/>
        <w:numPr>
          <w:ilvl w:val="0"/>
          <w:numId w:val="41"/>
        </w:numPr>
        <w:tabs>
          <w:tab w:val="left" w:pos="1134"/>
          <w:tab w:val="left" w:pos="3060"/>
          <w:tab w:val="clear" w:pos="900"/>
        </w:tabs>
        <w:spacing w:line="360" w:lineRule="auto"/>
        <w:ind w:left="1134" w:hanging="425"/>
        <w:jc w:val="left"/>
        <w:rPr>
          <w:highlight w:val="none"/>
        </w:rPr>
      </w:pPr>
      <w:r>
        <w:rPr>
          <w:rFonts w:hint="eastAsia"/>
          <w:highlight w:val="none"/>
        </w:rPr>
        <w:t>买方提供的或履行合同过程中卖方获得的与项目或买方有关的任何技术和商务信息。</w:t>
      </w:r>
    </w:p>
    <w:p>
      <w:pPr>
        <w:widowControl/>
        <w:numPr>
          <w:ilvl w:val="0"/>
          <w:numId w:val="40"/>
        </w:numPr>
        <w:tabs>
          <w:tab w:val="left" w:pos="709"/>
          <w:tab w:val="clear" w:pos="0"/>
        </w:tabs>
        <w:spacing w:line="360" w:lineRule="auto"/>
        <w:ind w:left="709" w:hanging="709"/>
        <w:jc w:val="left"/>
        <w:rPr>
          <w:highlight w:val="none"/>
        </w:rPr>
      </w:pPr>
      <w:r>
        <w:rPr>
          <w:rFonts w:hint="eastAsia"/>
          <w:highlight w:val="none"/>
        </w:rPr>
        <w:t>除非买方正常生产经营所致，未经卖方同意，买方不得将卖方保密信息披露给任何第三方（包括与合同无关的买方员工和政府部门），亦不得将该等信息用于与本合同无关的用途，卖方保密信息包括：</w:t>
      </w:r>
    </w:p>
    <w:p>
      <w:pPr>
        <w:widowControl/>
        <w:numPr>
          <w:ilvl w:val="0"/>
          <w:numId w:val="42"/>
        </w:numPr>
        <w:tabs>
          <w:tab w:val="left" w:pos="1134"/>
          <w:tab w:val="left" w:pos="3060"/>
          <w:tab w:val="clear" w:pos="900"/>
        </w:tabs>
        <w:spacing w:line="360" w:lineRule="auto"/>
        <w:ind w:left="1134"/>
        <w:jc w:val="left"/>
        <w:rPr>
          <w:highlight w:val="none"/>
        </w:rPr>
      </w:pPr>
      <w:r>
        <w:rPr>
          <w:rFonts w:hint="eastAsia"/>
          <w:highlight w:val="none"/>
        </w:rPr>
        <w:t>本合同的内容；</w:t>
      </w:r>
    </w:p>
    <w:p>
      <w:pPr>
        <w:widowControl/>
        <w:numPr>
          <w:ilvl w:val="0"/>
          <w:numId w:val="42"/>
        </w:numPr>
        <w:tabs>
          <w:tab w:val="left" w:pos="1134"/>
          <w:tab w:val="left" w:pos="3060"/>
          <w:tab w:val="clear" w:pos="900"/>
        </w:tabs>
        <w:spacing w:line="360" w:lineRule="auto"/>
        <w:ind w:left="1134"/>
        <w:jc w:val="left"/>
        <w:rPr>
          <w:highlight w:val="none"/>
        </w:rPr>
      </w:pPr>
      <w:r>
        <w:rPr>
          <w:rFonts w:hint="eastAsia"/>
          <w:highlight w:val="none"/>
        </w:rPr>
        <w:t>卖方提供的与本合同有关的任何技术信息、图纸、样本、资料；</w:t>
      </w:r>
    </w:p>
    <w:p>
      <w:pPr>
        <w:widowControl/>
        <w:numPr>
          <w:ilvl w:val="0"/>
          <w:numId w:val="42"/>
        </w:numPr>
        <w:tabs>
          <w:tab w:val="left" w:pos="1134"/>
          <w:tab w:val="left" w:pos="3060"/>
          <w:tab w:val="clear" w:pos="900"/>
        </w:tabs>
        <w:spacing w:line="360" w:lineRule="auto"/>
        <w:ind w:left="1134"/>
        <w:jc w:val="left"/>
        <w:rPr>
          <w:highlight w:val="none"/>
        </w:rPr>
      </w:pPr>
      <w:r>
        <w:rPr>
          <w:rFonts w:hint="eastAsia"/>
          <w:highlight w:val="none"/>
        </w:rPr>
        <w:t>卖方提供的或履行合同过程中买方获得的任何与卖方有关的任何技术和商务信息。</w:t>
      </w:r>
    </w:p>
    <w:p>
      <w:pPr>
        <w:tabs>
          <w:tab w:val="left" w:pos="3060"/>
        </w:tabs>
        <w:spacing w:line="360" w:lineRule="auto"/>
        <w:ind w:left="619" w:leftChars="295"/>
        <w:rPr>
          <w:highlight w:val="none"/>
        </w:rPr>
      </w:pPr>
      <w:r>
        <w:rPr>
          <w:rFonts w:hint="eastAsia"/>
          <w:highlight w:val="none"/>
        </w:rPr>
        <w:t>买方有权将上述卖方保密信息提供给实施相关项目或为买方提供相关服务的第三方，买方向第三方披露卖方保密信息以第三方必须获得相关信息并对信息承担保密义务为前提条件。</w:t>
      </w:r>
    </w:p>
    <w:p>
      <w:pPr>
        <w:widowControl/>
        <w:numPr>
          <w:ilvl w:val="0"/>
          <w:numId w:val="40"/>
        </w:numPr>
        <w:tabs>
          <w:tab w:val="left" w:pos="709"/>
          <w:tab w:val="clear" w:pos="0"/>
        </w:tabs>
        <w:spacing w:line="360" w:lineRule="auto"/>
        <w:ind w:left="709" w:hanging="709"/>
        <w:jc w:val="left"/>
        <w:rPr>
          <w:highlight w:val="none"/>
        </w:rPr>
      </w:pPr>
      <w:r>
        <w:rPr>
          <w:rFonts w:hint="eastAsia"/>
          <w:highlight w:val="none"/>
        </w:rPr>
        <w:t>任何一方可在下列情况及范围内披露本属于保密的信息：</w:t>
      </w:r>
    </w:p>
    <w:p>
      <w:pPr>
        <w:widowControl/>
        <w:numPr>
          <w:ilvl w:val="1"/>
          <w:numId w:val="43"/>
        </w:numPr>
        <w:tabs>
          <w:tab w:val="left" w:pos="1134"/>
        </w:tabs>
        <w:spacing w:line="360" w:lineRule="auto"/>
        <w:ind w:left="1134" w:hanging="425"/>
        <w:jc w:val="left"/>
        <w:rPr>
          <w:highlight w:val="none"/>
        </w:rPr>
      </w:pPr>
      <w:r>
        <w:rPr>
          <w:rFonts w:hint="eastAsia"/>
          <w:highlight w:val="none"/>
        </w:rPr>
        <w:t>为履行其在本合同下义务之需要披露给一方员工，但仅限于有合理需要并已作出本条第9.1款或第9.2款承诺的员工；</w:t>
      </w:r>
    </w:p>
    <w:p>
      <w:pPr>
        <w:widowControl/>
        <w:numPr>
          <w:ilvl w:val="1"/>
          <w:numId w:val="43"/>
        </w:numPr>
        <w:tabs>
          <w:tab w:val="left" w:pos="1134"/>
        </w:tabs>
        <w:spacing w:line="360" w:lineRule="auto"/>
        <w:ind w:hanging="839"/>
        <w:jc w:val="left"/>
        <w:rPr>
          <w:highlight w:val="none"/>
        </w:rPr>
      </w:pPr>
      <w:r>
        <w:rPr>
          <w:rFonts w:hint="eastAsia"/>
          <w:highlight w:val="none"/>
        </w:rPr>
        <w:t>任何对披露信息有管辖权的法律法规或政府机关强制要求的披露；</w:t>
      </w:r>
    </w:p>
    <w:p>
      <w:pPr>
        <w:widowControl/>
        <w:numPr>
          <w:ilvl w:val="1"/>
          <w:numId w:val="43"/>
        </w:numPr>
        <w:tabs>
          <w:tab w:val="left" w:pos="1134"/>
        </w:tabs>
        <w:spacing w:line="360" w:lineRule="auto"/>
        <w:ind w:left="1134" w:hanging="425"/>
        <w:jc w:val="left"/>
        <w:rPr>
          <w:highlight w:val="none"/>
        </w:rPr>
      </w:pPr>
      <w:r>
        <w:rPr>
          <w:rFonts w:hint="eastAsia"/>
          <w:highlight w:val="none"/>
        </w:rPr>
        <w:t>为本合同或与本合同有关的索赔而透露给其专业顾问、或其审计人员、或该方的任何实际或潜在的银行或融资方，或向法院、仲裁庭或其它争议解决机构披露；</w:t>
      </w:r>
    </w:p>
    <w:p>
      <w:pPr>
        <w:widowControl/>
        <w:numPr>
          <w:ilvl w:val="1"/>
          <w:numId w:val="43"/>
        </w:numPr>
        <w:tabs>
          <w:tab w:val="left" w:pos="1134"/>
        </w:tabs>
        <w:spacing w:line="360" w:lineRule="auto"/>
        <w:ind w:left="1134" w:hanging="425"/>
        <w:jc w:val="left"/>
        <w:rPr>
          <w:highlight w:val="none"/>
        </w:rPr>
      </w:pPr>
      <w:r>
        <w:rPr>
          <w:rFonts w:hint="eastAsia"/>
          <w:highlight w:val="none"/>
        </w:rPr>
        <w:t>另一方已对此等披露事先给予明确的批准。</w:t>
      </w:r>
    </w:p>
    <w:p>
      <w:pPr>
        <w:widowControl/>
        <w:numPr>
          <w:ilvl w:val="0"/>
          <w:numId w:val="40"/>
        </w:numPr>
        <w:tabs>
          <w:tab w:val="left" w:pos="709"/>
          <w:tab w:val="clear" w:pos="0"/>
        </w:tabs>
        <w:spacing w:line="360" w:lineRule="auto"/>
        <w:ind w:left="709" w:hanging="709"/>
        <w:jc w:val="left"/>
        <w:rPr>
          <w:highlight w:val="none"/>
        </w:rPr>
      </w:pPr>
      <w:r>
        <w:rPr>
          <w:rFonts w:hint="eastAsia"/>
          <w:highlight w:val="none"/>
        </w:rPr>
        <w:t>本条第9.1款和第9.2款不应适用于任何由一方披露的本属于保密的信息，但该信息在被披露时：</w:t>
      </w:r>
    </w:p>
    <w:p>
      <w:pPr>
        <w:widowControl/>
        <w:numPr>
          <w:ilvl w:val="1"/>
          <w:numId w:val="44"/>
        </w:numPr>
        <w:tabs>
          <w:tab w:val="left" w:pos="1134"/>
        </w:tabs>
        <w:spacing w:line="360" w:lineRule="auto"/>
        <w:ind w:left="709" w:firstLine="0"/>
        <w:jc w:val="left"/>
        <w:rPr>
          <w:highlight w:val="none"/>
        </w:rPr>
      </w:pPr>
      <w:r>
        <w:rPr>
          <w:rFonts w:hint="eastAsia"/>
          <w:highlight w:val="none"/>
        </w:rPr>
        <w:t>已进入公众领域；</w:t>
      </w:r>
    </w:p>
    <w:p>
      <w:pPr>
        <w:widowControl/>
        <w:numPr>
          <w:ilvl w:val="1"/>
          <w:numId w:val="44"/>
        </w:numPr>
        <w:tabs>
          <w:tab w:val="left" w:pos="1134"/>
        </w:tabs>
        <w:spacing w:line="360" w:lineRule="auto"/>
        <w:ind w:left="990" w:leftChars="295" w:hanging="371" w:hangingChars="177"/>
        <w:jc w:val="left"/>
        <w:rPr>
          <w:highlight w:val="none"/>
        </w:rPr>
      </w:pPr>
      <w:r>
        <w:rPr>
          <w:rFonts w:hint="eastAsia"/>
          <w:highlight w:val="none"/>
        </w:rPr>
        <w:t>披露方事前已从非另一方的合法途径获得，且对其使用及披露无任何限制；</w:t>
      </w:r>
    </w:p>
    <w:p>
      <w:pPr>
        <w:widowControl/>
        <w:numPr>
          <w:ilvl w:val="1"/>
          <w:numId w:val="44"/>
        </w:numPr>
        <w:tabs>
          <w:tab w:val="left" w:pos="1134"/>
        </w:tabs>
        <w:spacing w:line="360" w:lineRule="auto"/>
        <w:ind w:left="990" w:leftChars="295" w:hanging="371" w:hangingChars="177"/>
        <w:jc w:val="left"/>
        <w:rPr>
          <w:highlight w:val="none"/>
        </w:rPr>
      </w:pPr>
      <w:r>
        <w:rPr>
          <w:rFonts w:hint="eastAsia"/>
          <w:highlight w:val="none"/>
        </w:rPr>
        <w:t>由第三方合法、独立地提供给披露方，且该第三方不受任何对该信息使用或披露的限制。</w:t>
      </w:r>
    </w:p>
    <w:p>
      <w:pPr>
        <w:numPr>
          <w:ilvl w:val="0"/>
          <w:numId w:val="27"/>
        </w:numPr>
        <w:spacing w:before="360" w:after="360"/>
        <w:jc w:val="center"/>
        <w:rPr>
          <w:b/>
          <w:sz w:val="24"/>
          <w:szCs w:val="24"/>
          <w:highlight w:val="none"/>
        </w:rPr>
      </w:pPr>
      <w:bookmarkStart w:id="249" w:name="_Toc278889797"/>
      <w:bookmarkStart w:id="250" w:name="_Toc274344109"/>
      <w:bookmarkStart w:id="251" w:name="_Toc300670815"/>
      <w:bookmarkStart w:id="252" w:name="_Toc291435925"/>
      <w:bookmarkStart w:id="253" w:name="_Toc274343577"/>
      <w:bookmarkStart w:id="254" w:name="_Toc300670419"/>
      <w:bookmarkStart w:id="255" w:name="_Toc274668234"/>
      <w:bookmarkStart w:id="256" w:name="_Toc274075974"/>
      <w:bookmarkStart w:id="257" w:name="_Toc17390386"/>
      <w:bookmarkStart w:id="258" w:name="_Toc273388509"/>
      <w:bookmarkStart w:id="259" w:name="_Toc5889385"/>
      <w:bookmarkStart w:id="260" w:name="_Toc273451794"/>
      <w:bookmarkStart w:id="261" w:name="_Toc273458608"/>
      <w:bookmarkStart w:id="262" w:name="_Toc296955869"/>
      <w:bookmarkStart w:id="263" w:name="_Toc274403508"/>
      <w:bookmarkStart w:id="264" w:name="_Toc273388608"/>
      <w:bookmarkStart w:id="265" w:name="_Toc291435858"/>
      <w:bookmarkStart w:id="266" w:name="_Toc274669175"/>
      <w:bookmarkStart w:id="267" w:name="_Toc274754044"/>
      <w:bookmarkStart w:id="268" w:name="_Toc300670347"/>
      <w:r>
        <w:rPr>
          <w:rFonts w:hint="eastAsia"/>
          <w:b/>
          <w:sz w:val="24"/>
          <w:szCs w:val="24"/>
          <w:highlight w:val="none"/>
        </w:rPr>
        <w:t>技术资料</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pPr>
        <w:widowControl/>
        <w:numPr>
          <w:ilvl w:val="0"/>
          <w:numId w:val="45"/>
        </w:numPr>
        <w:tabs>
          <w:tab w:val="left" w:pos="709"/>
        </w:tabs>
        <w:spacing w:line="360" w:lineRule="auto"/>
        <w:ind w:left="619" w:hanging="619" w:hangingChars="295"/>
        <w:jc w:val="left"/>
        <w:rPr>
          <w:highlight w:val="none"/>
        </w:rPr>
      </w:pPr>
      <w:r>
        <w:rPr>
          <w:rFonts w:hint="eastAsia"/>
          <w:highlight w:val="none"/>
        </w:rPr>
        <w:t>卖方应根据本合同的要求和进度交付技术资料。如技术资料不满足合同的要求或交付不符合合同规定的交付进度，卖方应承担违约责任。</w:t>
      </w:r>
    </w:p>
    <w:p>
      <w:pPr>
        <w:widowControl/>
        <w:numPr>
          <w:ilvl w:val="0"/>
          <w:numId w:val="45"/>
        </w:numPr>
        <w:tabs>
          <w:tab w:val="left" w:pos="709"/>
        </w:tabs>
        <w:spacing w:line="360" w:lineRule="auto"/>
        <w:ind w:left="619" w:hanging="619" w:hangingChars="295"/>
        <w:jc w:val="left"/>
        <w:rPr>
          <w:highlight w:val="none"/>
        </w:rPr>
      </w:pPr>
      <w:r>
        <w:rPr>
          <w:rFonts w:hint="eastAsia"/>
          <w:highlight w:val="none"/>
        </w:rPr>
        <w:t>如技术资料缺少、丢失或损坏，卖方应在收到买方通知后七日内补发，因此产生的全部费用由卖方承担。</w:t>
      </w:r>
    </w:p>
    <w:p>
      <w:pPr>
        <w:widowControl/>
        <w:numPr>
          <w:ilvl w:val="0"/>
          <w:numId w:val="45"/>
        </w:numPr>
        <w:tabs>
          <w:tab w:val="left" w:pos="709"/>
        </w:tabs>
        <w:spacing w:line="360" w:lineRule="auto"/>
        <w:ind w:left="619" w:hanging="619" w:hangingChars="295"/>
        <w:jc w:val="left"/>
        <w:rPr>
          <w:highlight w:val="none"/>
        </w:rPr>
      </w:pPr>
      <w:r>
        <w:rPr>
          <w:rFonts w:hint="eastAsia"/>
          <w:highlight w:val="none"/>
        </w:rPr>
        <w:t>卖方应对技术资料的充分性、完整性和准确性负责，并保证技术资料符合本合同规定。如果技术资料包含有非中文内容，买方有权要求卖方提供中文译本。如果卖方提供技术资料中文译本的，卖方应对翻译文本的准确性负责。</w:t>
      </w:r>
    </w:p>
    <w:p>
      <w:pPr>
        <w:numPr>
          <w:ilvl w:val="0"/>
          <w:numId w:val="27"/>
        </w:numPr>
        <w:spacing w:before="360" w:after="360"/>
        <w:jc w:val="center"/>
        <w:rPr>
          <w:b/>
          <w:sz w:val="24"/>
          <w:szCs w:val="24"/>
          <w:highlight w:val="none"/>
        </w:rPr>
      </w:pPr>
      <w:bookmarkStart w:id="269" w:name="_Toc274669177"/>
      <w:bookmarkStart w:id="270" w:name="_Toc291435926"/>
      <w:bookmarkStart w:id="271" w:name="_Toc274344111"/>
      <w:bookmarkStart w:id="272" w:name="_Toc273458611"/>
      <w:bookmarkStart w:id="273" w:name="_Toc300670348"/>
      <w:bookmarkStart w:id="274" w:name="_Toc273388512"/>
      <w:bookmarkStart w:id="275" w:name="_Toc300670816"/>
      <w:bookmarkStart w:id="276" w:name="_Toc274403510"/>
      <w:bookmarkStart w:id="277" w:name="_Toc274668236"/>
      <w:bookmarkStart w:id="278" w:name="_Toc278889798"/>
      <w:bookmarkStart w:id="279" w:name="_Toc296955870"/>
      <w:bookmarkStart w:id="280" w:name="_Toc274754046"/>
      <w:bookmarkStart w:id="281" w:name="_Toc17390387"/>
      <w:bookmarkStart w:id="282" w:name="_Toc273388611"/>
      <w:bookmarkStart w:id="283" w:name="_Toc5889386"/>
      <w:bookmarkStart w:id="284" w:name="_Toc291435859"/>
      <w:bookmarkStart w:id="285" w:name="_Toc273451797"/>
      <w:bookmarkStart w:id="286" w:name="_Toc300670420"/>
      <w:bookmarkStart w:id="287" w:name="_Toc274075978"/>
      <w:bookmarkStart w:id="288" w:name="_Toc274343579"/>
      <w:r>
        <w:rPr>
          <w:rFonts w:hint="eastAsia"/>
          <w:b/>
          <w:sz w:val="24"/>
          <w:szCs w:val="24"/>
          <w:highlight w:val="none"/>
        </w:rPr>
        <w:t>包装和标识</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pPr>
        <w:widowControl/>
        <w:numPr>
          <w:ilvl w:val="0"/>
          <w:numId w:val="46"/>
        </w:numPr>
        <w:tabs>
          <w:tab w:val="left" w:pos="709"/>
        </w:tabs>
        <w:spacing w:line="360" w:lineRule="auto"/>
        <w:ind w:left="709" w:hanging="709"/>
        <w:jc w:val="left"/>
        <w:rPr>
          <w:highlight w:val="none"/>
        </w:rPr>
      </w:pPr>
      <w:r>
        <w:rPr>
          <w:rFonts w:hint="eastAsia"/>
          <w:highlight w:val="none"/>
        </w:rPr>
        <w:t>卖方应提供货物运至交货地点所需要的包装，防止货物在运输过程中损坏。货物的包装应采用防潮、防晒、防锈、防腐蚀、防震动、防野蛮装卸及防止其它损坏的必要保护措施，保护货物能够经受多次搬运、装卸和远距离运输</w:t>
      </w:r>
      <w:bookmarkStart w:id="289" w:name="_DV_M380"/>
      <w:bookmarkEnd w:id="289"/>
      <w:r>
        <w:rPr>
          <w:rFonts w:hint="eastAsia"/>
          <w:highlight w:val="none"/>
        </w:rPr>
        <w:t>。</w:t>
      </w:r>
    </w:p>
    <w:p>
      <w:pPr>
        <w:widowControl/>
        <w:numPr>
          <w:ilvl w:val="0"/>
          <w:numId w:val="46"/>
        </w:numPr>
        <w:tabs>
          <w:tab w:val="left" w:pos="709"/>
        </w:tabs>
        <w:spacing w:line="360" w:lineRule="auto"/>
        <w:ind w:left="709" w:hanging="709"/>
        <w:jc w:val="left"/>
        <w:rPr>
          <w:highlight w:val="none"/>
        </w:rPr>
      </w:pPr>
      <w:r>
        <w:rPr>
          <w:rFonts w:hint="eastAsia"/>
          <w:highlight w:val="none"/>
        </w:rPr>
        <w:t>各种货物的备品备件和散装零部件应采用与其形状和性质相适应的包装方式，装入尺寸适当的包装箱。发送货物时，应将该等备品备件和散装零部件一并发送。</w:t>
      </w:r>
    </w:p>
    <w:p>
      <w:pPr>
        <w:widowControl/>
        <w:numPr>
          <w:ilvl w:val="0"/>
          <w:numId w:val="46"/>
        </w:numPr>
        <w:tabs>
          <w:tab w:val="left" w:pos="709"/>
        </w:tabs>
        <w:spacing w:line="360" w:lineRule="auto"/>
        <w:ind w:left="709" w:hanging="709"/>
        <w:jc w:val="left"/>
        <w:rPr>
          <w:highlight w:val="none"/>
        </w:rPr>
      </w:pPr>
      <w:r>
        <w:rPr>
          <w:rFonts w:hint="eastAsia"/>
          <w:highlight w:val="none"/>
        </w:rPr>
        <w:t>卖方对包装箱内或包装捆内的各散装部件应在装配图中将部件号、零件号相应标记清楚。</w:t>
      </w:r>
      <w:bookmarkStart w:id="290" w:name="_DV_C668"/>
      <w:r>
        <w:rPr>
          <w:rFonts w:hint="eastAsia"/>
          <w:highlight w:val="none"/>
        </w:rPr>
        <w:t>备件和工具除注明上述内容外，应注明“备件”和“工具”字样。</w:t>
      </w:r>
      <w:bookmarkEnd w:id="290"/>
    </w:p>
    <w:p>
      <w:pPr>
        <w:widowControl/>
        <w:numPr>
          <w:ilvl w:val="0"/>
          <w:numId w:val="46"/>
        </w:numPr>
        <w:tabs>
          <w:tab w:val="left" w:pos="709"/>
        </w:tabs>
        <w:spacing w:line="360" w:lineRule="auto"/>
        <w:ind w:left="709" w:hanging="709"/>
        <w:jc w:val="left"/>
        <w:rPr>
          <w:highlight w:val="none"/>
        </w:rPr>
      </w:pPr>
      <w:r>
        <w:rPr>
          <w:rFonts w:hint="eastAsia"/>
          <w:highlight w:val="none"/>
        </w:rPr>
        <w:t>除铁路专用包装箱外，其它包装物不再返还卖方。如果卖方要求返还铁路专用包装箱，相关费用由卖方承担。</w:t>
      </w:r>
    </w:p>
    <w:p>
      <w:pPr>
        <w:widowControl/>
        <w:numPr>
          <w:ilvl w:val="0"/>
          <w:numId w:val="46"/>
        </w:numPr>
        <w:tabs>
          <w:tab w:val="left" w:pos="709"/>
        </w:tabs>
        <w:spacing w:line="360" w:lineRule="auto"/>
        <w:ind w:left="709" w:hanging="709"/>
        <w:jc w:val="left"/>
        <w:rPr>
          <w:highlight w:val="none"/>
        </w:rPr>
      </w:pPr>
      <w:r>
        <w:rPr>
          <w:rFonts w:hint="eastAsia"/>
          <w:highlight w:val="none"/>
        </w:rPr>
        <w:t>对于无包装的裸装货物，卖方应配备充足的货物支架或垫木，并应采取必要的防潮、防晒、防锈、防腐蚀、防震动、防野蛮装卸及其它损坏的必要保护措施，确保货物能够经受多次搬运、装卸及远洋和内陆长途运输。</w:t>
      </w:r>
    </w:p>
    <w:p>
      <w:pPr>
        <w:numPr>
          <w:ilvl w:val="0"/>
          <w:numId w:val="27"/>
        </w:numPr>
        <w:spacing w:before="360" w:after="360"/>
        <w:jc w:val="center"/>
        <w:rPr>
          <w:b/>
          <w:sz w:val="24"/>
          <w:szCs w:val="24"/>
          <w:highlight w:val="none"/>
        </w:rPr>
      </w:pPr>
      <w:bookmarkStart w:id="291" w:name="_Toc291435927"/>
      <w:bookmarkEnd w:id="291"/>
      <w:bookmarkStart w:id="292" w:name="_Toc291435860"/>
      <w:bookmarkEnd w:id="292"/>
      <w:bookmarkStart w:id="293" w:name="_Toc291436344"/>
      <w:bookmarkEnd w:id="293"/>
      <w:bookmarkStart w:id="294" w:name="_Toc291436283"/>
      <w:bookmarkEnd w:id="294"/>
      <w:bookmarkStart w:id="295" w:name="_Toc274403511"/>
      <w:bookmarkStart w:id="296" w:name="_Toc300670817"/>
      <w:bookmarkStart w:id="297" w:name="_Toc274669178"/>
      <w:bookmarkStart w:id="298" w:name="_Toc274668237"/>
      <w:bookmarkStart w:id="299" w:name="_Toc274754047"/>
      <w:bookmarkStart w:id="300" w:name="_Toc274344112"/>
      <w:bookmarkStart w:id="301" w:name="_Toc300670421"/>
      <w:bookmarkStart w:id="302" w:name="_Toc291435928"/>
      <w:bookmarkStart w:id="303" w:name="_Toc278889799"/>
      <w:bookmarkStart w:id="304" w:name="_Toc17390388"/>
      <w:bookmarkStart w:id="305" w:name="_Toc291435861"/>
      <w:bookmarkStart w:id="306" w:name="_Toc274343580"/>
      <w:bookmarkStart w:id="307" w:name="_Toc300670349"/>
      <w:bookmarkStart w:id="308" w:name="_Toc5889387"/>
      <w:bookmarkStart w:id="309" w:name="_Toc296955871"/>
      <w:r>
        <w:rPr>
          <w:rFonts w:hint="eastAsia"/>
          <w:b/>
          <w:sz w:val="24"/>
          <w:szCs w:val="24"/>
          <w:highlight w:val="none"/>
        </w:rPr>
        <w:t>技术服务</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pPr>
        <w:widowControl/>
        <w:numPr>
          <w:ilvl w:val="0"/>
          <w:numId w:val="47"/>
        </w:numPr>
        <w:tabs>
          <w:tab w:val="left" w:pos="709"/>
        </w:tabs>
        <w:spacing w:line="360" w:lineRule="auto"/>
        <w:ind w:left="709" w:hanging="709"/>
        <w:jc w:val="left"/>
        <w:rPr>
          <w:highlight w:val="none"/>
        </w:rPr>
      </w:pPr>
      <w:r>
        <w:rPr>
          <w:rFonts w:hint="eastAsia"/>
          <w:highlight w:val="none"/>
        </w:rPr>
        <w:t>卖方应及时、有效、准确提供技术服务，及时回复、解决买方提出的与货物有关的技术问题。卖方应承担因提供技术服务发生的全部费用。</w:t>
      </w:r>
    </w:p>
    <w:p>
      <w:pPr>
        <w:widowControl/>
        <w:numPr>
          <w:ilvl w:val="0"/>
          <w:numId w:val="47"/>
        </w:numPr>
        <w:tabs>
          <w:tab w:val="left" w:pos="709"/>
        </w:tabs>
        <w:spacing w:line="360" w:lineRule="auto"/>
        <w:ind w:left="709" w:hanging="709"/>
        <w:jc w:val="left"/>
        <w:rPr>
          <w:highlight w:val="none"/>
        </w:rPr>
      </w:pPr>
      <w:r>
        <w:rPr>
          <w:rFonts w:hint="eastAsia"/>
          <w:highlight w:val="none"/>
        </w:rPr>
        <w:t>卖方应根据买方要求，指派服务人员到现场或买方指定的其它地点提供技术服务，包括货物的安装、试运行、调试和启动，解决货物在安装、调试、试运行中发现的质量、性能等问题。卖方指派服务人员的差旅费、食宿费、通信费、报酬等由卖方自行承担。</w:t>
      </w:r>
    </w:p>
    <w:p>
      <w:pPr>
        <w:widowControl/>
        <w:numPr>
          <w:ilvl w:val="0"/>
          <w:numId w:val="47"/>
        </w:numPr>
        <w:tabs>
          <w:tab w:val="left" w:pos="709"/>
        </w:tabs>
        <w:spacing w:line="360" w:lineRule="auto"/>
        <w:ind w:left="709" w:hanging="709"/>
        <w:jc w:val="left"/>
        <w:rPr>
          <w:highlight w:val="none"/>
        </w:rPr>
      </w:pPr>
      <w:r>
        <w:rPr>
          <w:rFonts w:hint="eastAsia"/>
          <w:highlight w:val="none"/>
        </w:rPr>
        <w:t>卖方应对与本合同有关的供货、设备及技术接口、技术资料、技术服务等全部问题负责。</w:t>
      </w:r>
    </w:p>
    <w:p>
      <w:pPr>
        <w:numPr>
          <w:ilvl w:val="0"/>
          <w:numId w:val="47"/>
        </w:numPr>
        <w:tabs>
          <w:tab w:val="left" w:pos="709"/>
        </w:tabs>
        <w:autoSpaceDE w:val="0"/>
        <w:autoSpaceDN w:val="0"/>
        <w:adjustRightInd w:val="0"/>
        <w:spacing w:line="360" w:lineRule="auto"/>
        <w:ind w:left="709" w:hanging="709"/>
        <w:rPr>
          <w:highlight w:val="none"/>
        </w:rPr>
      </w:pPr>
      <w:bookmarkStart w:id="310" w:name="_DV_C687"/>
      <w:r>
        <w:rPr>
          <w:rFonts w:hint="eastAsia"/>
          <w:highlight w:val="none"/>
        </w:rPr>
        <w:t>如果买方认为卖方指派的服务人员提供的技术服务无法满足本合同的要求，卖方应无条件立即更换服务人员，由此产生的额外费用由卖方承担。</w:t>
      </w:r>
      <w:bookmarkEnd w:id="310"/>
      <w:r>
        <w:rPr>
          <w:rFonts w:hint="eastAsia"/>
          <w:highlight w:val="none"/>
        </w:rPr>
        <w:t>如果卖方未在买方要求的期限内更换服务人员，买方有权立即解除本合同并无须承担任何责任。</w:t>
      </w:r>
    </w:p>
    <w:p>
      <w:pPr>
        <w:numPr>
          <w:ilvl w:val="0"/>
          <w:numId w:val="27"/>
        </w:numPr>
        <w:spacing w:before="360" w:after="360"/>
        <w:jc w:val="center"/>
        <w:rPr>
          <w:b/>
          <w:sz w:val="24"/>
          <w:szCs w:val="24"/>
          <w:highlight w:val="none"/>
        </w:rPr>
      </w:pPr>
      <w:bookmarkStart w:id="311" w:name="_Toc296804725"/>
      <w:bookmarkEnd w:id="311"/>
      <w:bookmarkStart w:id="312" w:name="_Toc17390389"/>
      <w:bookmarkStart w:id="313" w:name="_Toc300671210"/>
      <w:bookmarkStart w:id="314" w:name="_Toc288567151"/>
      <w:bookmarkStart w:id="315" w:name="_Toc5889388"/>
      <w:r>
        <w:rPr>
          <w:rFonts w:hint="eastAsia"/>
          <w:b/>
          <w:sz w:val="24"/>
          <w:szCs w:val="24"/>
          <w:highlight w:val="none"/>
        </w:rPr>
        <w:t>调试和测试</w:t>
      </w:r>
      <w:bookmarkEnd w:id="312"/>
      <w:bookmarkEnd w:id="313"/>
      <w:bookmarkEnd w:id="314"/>
      <w:bookmarkEnd w:id="315"/>
    </w:p>
    <w:p>
      <w:pPr>
        <w:numPr>
          <w:ilvl w:val="0"/>
          <w:numId w:val="48"/>
        </w:numPr>
        <w:tabs>
          <w:tab w:val="left" w:pos="720"/>
          <w:tab w:val="clear" w:pos="1468"/>
        </w:tabs>
        <w:spacing w:line="360" w:lineRule="auto"/>
        <w:ind w:left="720" w:hanging="720"/>
        <w:rPr>
          <w:highlight w:val="none"/>
        </w:rPr>
      </w:pPr>
      <w:r>
        <w:rPr>
          <w:rFonts w:hint="eastAsia" w:cs="宋体"/>
          <w:highlight w:val="none"/>
        </w:rPr>
        <w:t>买方有权根据具体情况要求卖方为本合同项下货物提供一定期限的调试和测试期。调试和测试期自买方对货物进行验收后开始，具体的调试和测试期由双方根据货物情况协商确定。</w:t>
      </w:r>
    </w:p>
    <w:p>
      <w:pPr>
        <w:numPr>
          <w:ilvl w:val="0"/>
          <w:numId w:val="48"/>
        </w:numPr>
        <w:tabs>
          <w:tab w:val="left" w:pos="720"/>
          <w:tab w:val="clear" w:pos="1468"/>
        </w:tabs>
        <w:spacing w:line="360" w:lineRule="auto"/>
        <w:ind w:left="720" w:hanging="720"/>
        <w:rPr>
          <w:highlight w:val="none"/>
        </w:rPr>
      </w:pPr>
      <w:r>
        <w:rPr>
          <w:rFonts w:hint="eastAsia" w:cs="宋体"/>
          <w:highlight w:val="none"/>
        </w:rPr>
        <w:t>根据买方要求，卖方应当自行承担费用派出合格的专业技术人员到买方指定的设备调试和测试现场，配合买方人员对货物进行调试和测试。卖方专业技术人员在调试和测试过程中所发生的一切费用（包括但不限于办理“健康证”、“油气田准入证”等买方要求办理的证照的费用）和风险由卖方承担，但是，买方书面表示同意分担费用的除外。</w:t>
      </w:r>
    </w:p>
    <w:p>
      <w:pPr>
        <w:numPr>
          <w:ilvl w:val="0"/>
          <w:numId w:val="48"/>
        </w:numPr>
        <w:tabs>
          <w:tab w:val="left" w:pos="720"/>
          <w:tab w:val="clear" w:pos="1468"/>
        </w:tabs>
        <w:spacing w:line="360" w:lineRule="auto"/>
        <w:ind w:left="720" w:hanging="720"/>
        <w:rPr>
          <w:highlight w:val="none"/>
        </w:rPr>
      </w:pPr>
      <w:r>
        <w:rPr>
          <w:rFonts w:hint="eastAsia" w:cs="宋体"/>
          <w:highlight w:val="none"/>
        </w:rPr>
        <w:t>调试和测试过程中，如发现卖方提供的货物有质量问题或不符合买方对该货物的特殊要求的，买方有权要求卖方负责更换、修理不合格的货物或其部件，直至退还全部合同价款。</w:t>
      </w:r>
    </w:p>
    <w:bookmarkEnd w:id="230"/>
    <w:bookmarkEnd w:id="231"/>
    <w:bookmarkEnd w:id="232"/>
    <w:bookmarkEnd w:id="233"/>
    <w:bookmarkEnd w:id="234"/>
    <w:bookmarkEnd w:id="235"/>
    <w:bookmarkEnd w:id="236"/>
    <w:bookmarkEnd w:id="237"/>
    <w:bookmarkEnd w:id="238"/>
    <w:bookmarkEnd w:id="239"/>
    <w:bookmarkEnd w:id="240"/>
    <w:bookmarkEnd w:id="241"/>
    <w:bookmarkEnd w:id="242"/>
    <w:p>
      <w:pPr>
        <w:numPr>
          <w:ilvl w:val="0"/>
          <w:numId w:val="27"/>
        </w:numPr>
        <w:spacing w:before="360" w:after="360"/>
        <w:jc w:val="center"/>
        <w:rPr>
          <w:b/>
          <w:sz w:val="24"/>
          <w:szCs w:val="24"/>
          <w:highlight w:val="none"/>
        </w:rPr>
      </w:pPr>
      <w:bookmarkStart w:id="316" w:name="_Toc300671216"/>
      <w:bookmarkStart w:id="317" w:name="_Toc276160326"/>
      <w:bookmarkStart w:id="318" w:name="_Toc273458613"/>
      <w:bookmarkStart w:id="319" w:name="_Toc274343583"/>
      <w:bookmarkStart w:id="320" w:name="_Toc274344115"/>
      <w:bookmarkStart w:id="321" w:name="_Toc273388613"/>
      <w:bookmarkStart w:id="322" w:name="_Toc5889389"/>
      <w:bookmarkStart w:id="323" w:name="_Toc288567157"/>
      <w:bookmarkStart w:id="324" w:name="_Toc273388514"/>
      <w:bookmarkStart w:id="325" w:name="_Toc273451799"/>
      <w:bookmarkStart w:id="326" w:name="_Toc274075980"/>
      <w:bookmarkStart w:id="327" w:name="_Toc274403515"/>
      <w:bookmarkStart w:id="328" w:name="_Toc17390390"/>
      <w:r>
        <w:rPr>
          <w:rFonts w:hint="eastAsia"/>
          <w:b/>
          <w:sz w:val="24"/>
          <w:szCs w:val="24"/>
          <w:highlight w:val="none"/>
        </w:rPr>
        <w:t>风险和所有权的转移</w:t>
      </w:r>
      <w:bookmarkEnd w:id="316"/>
      <w:bookmarkEnd w:id="317"/>
      <w:bookmarkEnd w:id="318"/>
      <w:bookmarkEnd w:id="319"/>
      <w:bookmarkEnd w:id="320"/>
      <w:bookmarkEnd w:id="321"/>
      <w:bookmarkEnd w:id="322"/>
      <w:bookmarkEnd w:id="323"/>
      <w:bookmarkEnd w:id="324"/>
      <w:bookmarkEnd w:id="325"/>
      <w:bookmarkEnd w:id="326"/>
      <w:bookmarkEnd w:id="327"/>
      <w:bookmarkEnd w:id="328"/>
    </w:p>
    <w:p>
      <w:pPr>
        <w:widowControl/>
        <w:numPr>
          <w:ilvl w:val="0"/>
          <w:numId w:val="49"/>
        </w:numPr>
        <w:tabs>
          <w:tab w:val="left" w:pos="709"/>
        </w:tabs>
        <w:spacing w:line="360" w:lineRule="auto"/>
        <w:ind w:left="619" w:hanging="619" w:hangingChars="295"/>
        <w:jc w:val="left"/>
        <w:rPr>
          <w:highlight w:val="none"/>
        </w:rPr>
      </w:pPr>
      <w:r>
        <w:rPr>
          <w:rFonts w:hint="eastAsia"/>
          <w:highlight w:val="none"/>
        </w:rPr>
        <w:t>除非本合同另有明确规定，卖方在指定交货地点将货物交付给买方前，货物的一切风险（包括但不限于货物在制造、储存和自发货地点至指定交货地点运输及装卸货过程中毁损、灭失的风险）由卖方承担。卖方在指定交货地点将货物交付买方后，货物的毁损及灭失的风险由买方承担。未经买方同意，卖方将货物留置或自行处置，不得视为货物合法、有效地交付买方。未经合法、有效交付，货物的一切风险仍由卖方承担。</w:t>
      </w:r>
    </w:p>
    <w:p>
      <w:pPr>
        <w:widowControl/>
        <w:numPr>
          <w:ilvl w:val="0"/>
          <w:numId w:val="49"/>
        </w:numPr>
        <w:tabs>
          <w:tab w:val="left" w:pos="709"/>
        </w:tabs>
        <w:spacing w:line="360" w:lineRule="auto"/>
        <w:ind w:left="619" w:hanging="619" w:hangingChars="295"/>
        <w:jc w:val="left"/>
        <w:rPr>
          <w:highlight w:val="none"/>
        </w:rPr>
      </w:pPr>
      <w:r>
        <w:rPr>
          <w:rFonts w:hint="eastAsia"/>
          <w:highlight w:val="none"/>
        </w:rPr>
        <w:t>卖方在约定交货地点交货后，货物的所有权转移至买方。如果货物的风险系因卖方违反合同规定、卖方的过错或者其它可归咎于卖方的原因造成的，货物的风险由卖方承担。</w:t>
      </w:r>
    </w:p>
    <w:p>
      <w:pPr>
        <w:numPr>
          <w:ilvl w:val="0"/>
          <w:numId w:val="27"/>
        </w:numPr>
        <w:spacing w:before="360" w:after="360"/>
        <w:jc w:val="center"/>
        <w:rPr>
          <w:b/>
          <w:sz w:val="24"/>
          <w:szCs w:val="24"/>
          <w:highlight w:val="none"/>
        </w:rPr>
      </w:pPr>
      <w:bookmarkStart w:id="329" w:name="_Toc5889390"/>
      <w:bookmarkStart w:id="330" w:name="_Toc288567158"/>
      <w:bookmarkStart w:id="331" w:name="_Toc17390391"/>
      <w:bookmarkStart w:id="332" w:name="_Toc276160327"/>
      <w:bookmarkStart w:id="333" w:name="_Toc300671217"/>
      <w:r>
        <w:rPr>
          <w:rFonts w:hint="eastAsia"/>
          <w:b/>
          <w:sz w:val="24"/>
          <w:szCs w:val="24"/>
          <w:highlight w:val="none"/>
        </w:rPr>
        <w:t>质量保证</w:t>
      </w:r>
      <w:bookmarkEnd w:id="329"/>
      <w:bookmarkEnd w:id="330"/>
      <w:bookmarkEnd w:id="331"/>
      <w:bookmarkEnd w:id="332"/>
      <w:bookmarkEnd w:id="333"/>
    </w:p>
    <w:p>
      <w:pPr>
        <w:numPr>
          <w:ilvl w:val="0"/>
          <w:numId w:val="50"/>
        </w:numPr>
        <w:tabs>
          <w:tab w:val="left" w:pos="720"/>
          <w:tab w:val="clear" w:pos="1468"/>
        </w:tabs>
        <w:spacing w:line="360" w:lineRule="auto"/>
        <w:ind w:left="720" w:hanging="720"/>
        <w:rPr>
          <w:highlight w:val="none"/>
        </w:rPr>
      </w:pPr>
      <w:r>
        <w:rPr>
          <w:rFonts w:hint="eastAsia" w:cs="宋体"/>
          <w:highlight w:val="none"/>
        </w:rPr>
        <w:t>卖方特此保证：</w:t>
      </w:r>
    </w:p>
    <w:p>
      <w:pPr>
        <w:widowControl/>
        <w:numPr>
          <w:ilvl w:val="1"/>
          <w:numId w:val="50"/>
        </w:numPr>
        <w:tabs>
          <w:tab w:val="left" w:pos="960"/>
          <w:tab w:val="clear" w:pos="840"/>
        </w:tabs>
        <w:autoSpaceDE w:val="0"/>
        <w:autoSpaceDN w:val="0"/>
        <w:adjustRightInd w:val="0"/>
        <w:spacing w:line="360" w:lineRule="auto"/>
        <w:ind w:left="1050" w:leftChars="300" w:hangingChars="200"/>
        <w:jc w:val="left"/>
        <w:rPr>
          <w:highlight w:val="none"/>
        </w:rPr>
      </w:pPr>
      <w:r>
        <w:rPr>
          <w:rFonts w:hint="eastAsia" w:cs="宋体"/>
          <w:highlight w:val="none"/>
        </w:rPr>
        <w:t>货物符合本合同规定的技术、规范、质量、设计、标准、规格、材料、计算、参数、性能值、数据等要求，性能稳定、可靠，达到承诺的性能保证值，不存在任何缺陷；</w:t>
      </w:r>
    </w:p>
    <w:p>
      <w:pPr>
        <w:widowControl/>
        <w:numPr>
          <w:ilvl w:val="1"/>
          <w:numId w:val="50"/>
        </w:numPr>
        <w:tabs>
          <w:tab w:val="left" w:pos="960"/>
          <w:tab w:val="clear" w:pos="840"/>
        </w:tabs>
        <w:autoSpaceDE w:val="0"/>
        <w:autoSpaceDN w:val="0"/>
        <w:adjustRightInd w:val="0"/>
        <w:spacing w:line="360" w:lineRule="auto"/>
        <w:ind w:left="1050" w:leftChars="300" w:hangingChars="200"/>
        <w:jc w:val="left"/>
        <w:rPr>
          <w:highlight w:val="none"/>
        </w:rPr>
      </w:pPr>
      <w:r>
        <w:rPr>
          <w:rFonts w:hint="eastAsia" w:cs="宋体"/>
          <w:highlight w:val="none"/>
        </w:rPr>
        <w:t>货物采用先进技术制造，具备优良的制造工艺和水平，其设计、制造不存在任何缺陷；</w:t>
      </w:r>
    </w:p>
    <w:p>
      <w:pPr>
        <w:widowControl/>
        <w:numPr>
          <w:ilvl w:val="1"/>
          <w:numId w:val="50"/>
        </w:numPr>
        <w:tabs>
          <w:tab w:val="left" w:pos="960"/>
          <w:tab w:val="clear" w:pos="840"/>
        </w:tabs>
        <w:autoSpaceDE w:val="0"/>
        <w:autoSpaceDN w:val="0"/>
        <w:adjustRightInd w:val="0"/>
        <w:spacing w:line="360" w:lineRule="auto"/>
        <w:ind w:left="1050" w:leftChars="300" w:hangingChars="200"/>
        <w:jc w:val="left"/>
        <w:rPr>
          <w:highlight w:val="none"/>
        </w:rPr>
      </w:pPr>
      <w:r>
        <w:rPr>
          <w:rFonts w:hint="eastAsia" w:cs="宋体"/>
          <w:highlight w:val="none"/>
        </w:rPr>
        <w:t>货物是崭新、从未使用过的货物，其材质不存在任何缺陷。</w:t>
      </w:r>
    </w:p>
    <w:p>
      <w:pPr>
        <w:numPr>
          <w:ilvl w:val="0"/>
          <w:numId w:val="50"/>
        </w:numPr>
        <w:tabs>
          <w:tab w:val="left" w:pos="720"/>
          <w:tab w:val="clear" w:pos="1468"/>
        </w:tabs>
        <w:spacing w:line="360" w:lineRule="auto"/>
        <w:ind w:left="720" w:hanging="720"/>
        <w:rPr>
          <w:highlight w:val="none"/>
        </w:rPr>
      </w:pPr>
      <w:r>
        <w:rPr>
          <w:rFonts w:hint="eastAsia" w:cs="宋体"/>
          <w:highlight w:val="none"/>
        </w:rPr>
        <w:t>卖方对货物的质保责任</w:t>
      </w:r>
    </w:p>
    <w:p>
      <w:pPr>
        <w:widowControl/>
        <w:numPr>
          <w:ilvl w:val="1"/>
          <w:numId w:val="51"/>
        </w:numPr>
        <w:spacing w:line="360" w:lineRule="auto"/>
        <w:ind w:left="1200" w:hanging="425"/>
        <w:jc w:val="left"/>
        <w:rPr>
          <w:highlight w:val="none"/>
        </w:rPr>
      </w:pPr>
      <w:r>
        <w:rPr>
          <w:rFonts w:hint="eastAsia" w:cs="宋体"/>
          <w:highlight w:val="none"/>
        </w:rPr>
        <w:t>质保期内，如发现货物违反本条项下任何保证或存在任何缺陷，买方应及时书面通知卖方，卖方应：</w:t>
      </w:r>
    </w:p>
    <w:p>
      <w:pPr>
        <w:widowControl/>
        <w:numPr>
          <w:ilvl w:val="0"/>
          <w:numId w:val="52"/>
        </w:numPr>
        <w:tabs>
          <w:tab w:val="clear" w:pos="780"/>
        </w:tabs>
        <w:autoSpaceDE w:val="0"/>
        <w:autoSpaceDN w:val="0"/>
        <w:adjustRightInd w:val="0"/>
        <w:spacing w:line="360" w:lineRule="auto"/>
        <w:ind w:left="1701" w:hanging="501"/>
        <w:jc w:val="left"/>
        <w:textAlignment w:val="bottom"/>
        <w:rPr>
          <w:highlight w:val="none"/>
        </w:rPr>
      </w:pPr>
      <w:r>
        <w:rPr>
          <w:rFonts w:hint="eastAsia" w:cs="宋体"/>
          <w:highlight w:val="none"/>
        </w:rPr>
        <w:t>在一日内提出合理的紧急处理建议；</w:t>
      </w:r>
    </w:p>
    <w:p>
      <w:pPr>
        <w:widowControl/>
        <w:numPr>
          <w:ilvl w:val="0"/>
          <w:numId w:val="52"/>
        </w:numPr>
        <w:tabs>
          <w:tab w:val="clear" w:pos="780"/>
        </w:tabs>
        <w:autoSpaceDE w:val="0"/>
        <w:autoSpaceDN w:val="0"/>
        <w:adjustRightInd w:val="0"/>
        <w:spacing w:line="360" w:lineRule="auto"/>
        <w:ind w:left="1701" w:hanging="501"/>
        <w:jc w:val="left"/>
        <w:textAlignment w:val="bottom"/>
        <w:rPr>
          <w:highlight w:val="none"/>
        </w:rPr>
      </w:pPr>
      <w:r>
        <w:rPr>
          <w:rFonts w:hint="eastAsia" w:cs="宋体"/>
          <w:highlight w:val="none"/>
        </w:rPr>
        <w:t>在二日内派遣合格的技术人员到现场进行免费检查；</w:t>
      </w:r>
    </w:p>
    <w:p>
      <w:pPr>
        <w:widowControl/>
        <w:numPr>
          <w:ilvl w:val="0"/>
          <w:numId w:val="52"/>
        </w:numPr>
        <w:tabs>
          <w:tab w:val="clear" w:pos="780"/>
        </w:tabs>
        <w:autoSpaceDE w:val="0"/>
        <w:autoSpaceDN w:val="0"/>
        <w:adjustRightInd w:val="0"/>
        <w:spacing w:line="360" w:lineRule="auto"/>
        <w:ind w:left="1701" w:hanging="501"/>
        <w:jc w:val="left"/>
        <w:textAlignment w:val="bottom"/>
        <w:rPr>
          <w:highlight w:val="none"/>
        </w:rPr>
      </w:pPr>
      <w:r>
        <w:rPr>
          <w:rFonts w:hint="eastAsia" w:cs="宋体"/>
          <w:highlight w:val="none"/>
        </w:rPr>
        <w:t>在三日内采取合理的临时紧急措施防止缺陷或损害扩大；</w:t>
      </w:r>
    </w:p>
    <w:p>
      <w:pPr>
        <w:widowControl/>
        <w:numPr>
          <w:ilvl w:val="0"/>
          <w:numId w:val="52"/>
        </w:numPr>
        <w:tabs>
          <w:tab w:val="clear" w:pos="780"/>
        </w:tabs>
        <w:autoSpaceDE w:val="0"/>
        <w:autoSpaceDN w:val="0"/>
        <w:adjustRightInd w:val="0"/>
        <w:spacing w:line="360" w:lineRule="auto"/>
        <w:ind w:left="1701" w:hanging="501"/>
        <w:jc w:val="left"/>
        <w:textAlignment w:val="bottom"/>
        <w:rPr>
          <w:highlight w:val="none"/>
        </w:rPr>
      </w:pPr>
      <w:r>
        <w:rPr>
          <w:rFonts w:hint="eastAsia" w:cs="宋体"/>
          <w:highlight w:val="none"/>
        </w:rPr>
        <w:t>对有缺陷的部分或全部货物，根据买方要求，采用符合本合同规定的规格、质量、性能要求的新设备、材料、零部件等无偿进行修复、更换。</w:t>
      </w:r>
    </w:p>
    <w:p>
      <w:pPr>
        <w:widowControl/>
        <w:numPr>
          <w:ilvl w:val="1"/>
          <w:numId w:val="51"/>
        </w:numPr>
        <w:spacing w:line="360" w:lineRule="auto"/>
        <w:ind w:left="1200" w:hanging="425"/>
        <w:jc w:val="left"/>
        <w:rPr>
          <w:highlight w:val="none"/>
        </w:rPr>
      </w:pPr>
      <w:r>
        <w:rPr>
          <w:rFonts w:hint="eastAsia" w:cs="宋体"/>
          <w:highlight w:val="none"/>
        </w:rPr>
        <w:t>对于任何在现场进行的修复或更换，卖方应在收到货物缺陷通知后十五日内完成。如货物缺陷无法在现场修复，经买方同意后，卖方应自行承担费用将相关货物或者货物部件运输到现场以外的地点修复，卖方应承担该等货物或者货物部件在运输和修理过程中的风险</w:t>
      </w:r>
      <w:bookmarkStart w:id="334" w:name="_DV_M436"/>
      <w:bookmarkEnd w:id="334"/>
      <w:r>
        <w:rPr>
          <w:rFonts w:hint="eastAsia" w:cs="宋体"/>
          <w:highlight w:val="none"/>
        </w:rPr>
        <w:t>。如相关货物或者货物部件的制造或修复周期较长，买卖双方应协商确定修复或更换期限；如双方无法就期限达成一致，买方有权自行决定合理的修复或更换期限。</w:t>
      </w:r>
    </w:p>
    <w:p>
      <w:pPr>
        <w:widowControl/>
        <w:numPr>
          <w:ilvl w:val="1"/>
          <w:numId w:val="51"/>
        </w:numPr>
        <w:spacing w:line="360" w:lineRule="auto"/>
        <w:ind w:left="1200" w:hanging="425"/>
        <w:jc w:val="left"/>
        <w:rPr>
          <w:highlight w:val="none"/>
        </w:rPr>
      </w:pPr>
      <w:r>
        <w:rPr>
          <w:rFonts w:hint="eastAsia" w:cs="宋体"/>
          <w:highlight w:val="none"/>
        </w:rPr>
        <w:t>如</w:t>
      </w:r>
      <w:r>
        <w:rPr>
          <w:highlight w:val="none"/>
        </w:rPr>
        <w:t>(i)</w:t>
      </w:r>
      <w:r>
        <w:rPr>
          <w:rFonts w:hint="eastAsia" w:cs="宋体"/>
          <w:highlight w:val="none"/>
        </w:rPr>
        <w:t>卖方收到货物缺陷通知后三日内未进行任何回复；</w:t>
      </w:r>
      <w:r>
        <w:rPr>
          <w:highlight w:val="none"/>
        </w:rPr>
        <w:t>(ii)</w:t>
      </w:r>
      <w:r>
        <w:rPr>
          <w:rFonts w:hint="eastAsia" w:cs="宋体"/>
          <w:highlight w:val="none"/>
        </w:rPr>
        <w:t>卖方未在上述规定的时间内完成修复或更换；或</w:t>
      </w:r>
      <w:r>
        <w:rPr>
          <w:highlight w:val="none"/>
        </w:rPr>
        <w:t>(iii)</w:t>
      </w:r>
      <w:r>
        <w:rPr>
          <w:rFonts w:hint="eastAsia" w:cs="宋体"/>
          <w:highlight w:val="none"/>
        </w:rPr>
        <w:t>经修复或更换的货物仍存在缺陷或不符合合同规定，买方有权自行决定采取以下措施：</w:t>
      </w:r>
    </w:p>
    <w:p>
      <w:pPr>
        <w:widowControl/>
        <w:numPr>
          <w:ilvl w:val="0"/>
          <w:numId w:val="53"/>
        </w:numPr>
        <w:tabs>
          <w:tab w:val="left" w:pos="1680"/>
          <w:tab w:val="clear" w:pos="780"/>
        </w:tabs>
        <w:autoSpaceDE w:val="0"/>
        <w:autoSpaceDN w:val="0"/>
        <w:adjustRightInd w:val="0"/>
        <w:spacing w:line="360" w:lineRule="auto"/>
        <w:ind w:left="1680" w:hanging="480"/>
        <w:jc w:val="left"/>
        <w:textAlignment w:val="bottom"/>
        <w:rPr>
          <w:highlight w:val="none"/>
        </w:rPr>
      </w:pPr>
      <w:r>
        <w:rPr>
          <w:rFonts w:hint="eastAsia" w:cs="宋体"/>
          <w:highlight w:val="none"/>
        </w:rPr>
        <w:t>自行（包括聘请第三方）消除货物缺陷，但买方对此不承担任何责任。卖方应承担因此发生的全部费用，包括但不限于向任何第三方支付的费用、设备费用、材料费用、零部件费用等。</w:t>
      </w:r>
    </w:p>
    <w:p>
      <w:pPr>
        <w:widowControl/>
        <w:numPr>
          <w:ilvl w:val="0"/>
          <w:numId w:val="53"/>
        </w:numPr>
        <w:tabs>
          <w:tab w:val="left" w:pos="1680"/>
          <w:tab w:val="clear" w:pos="780"/>
        </w:tabs>
        <w:autoSpaceDE w:val="0"/>
        <w:autoSpaceDN w:val="0"/>
        <w:adjustRightInd w:val="0"/>
        <w:spacing w:line="360" w:lineRule="auto"/>
        <w:ind w:left="1680" w:hanging="480"/>
        <w:jc w:val="left"/>
        <w:textAlignment w:val="bottom"/>
        <w:rPr>
          <w:highlight w:val="none"/>
        </w:rPr>
      </w:pPr>
      <w:bookmarkStart w:id="335" w:name="_DV_C746"/>
      <w:r>
        <w:rPr>
          <w:rFonts w:hint="eastAsia" w:cs="宋体"/>
          <w:highlight w:val="none"/>
        </w:rPr>
        <w:t>直接扣减合同价款或要求卖方退还部分合同价款。</w:t>
      </w:r>
      <w:bookmarkEnd w:id="335"/>
    </w:p>
    <w:p>
      <w:pPr>
        <w:widowControl/>
        <w:numPr>
          <w:ilvl w:val="0"/>
          <w:numId w:val="53"/>
        </w:numPr>
        <w:tabs>
          <w:tab w:val="left" w:pos="1680"/>
          <w:tab w:val="clear" w:pos="780"/>
        </w:tabs>
        <w:autoSpaceDE w:val="0"/>
        <w:autoSpaceDN w:val="0"/>
        <w:adjustRightInd w:val="0"/>
        <w:spacing w:line="360" w:lineRule="auto"/>
        <w:ind w:left="1680" w:hanging="480"/>
        <w:jc w:val="left"/>
        <w:textAlignment w:val="bottom"/>
        <w:rPr>
          <w:highlight w:val="none"/>
        </w:rPr>
      </w:pPr>
      <w:r>
        <w:rPr>
          <w:rFonts w:hint="eastAsia" w:cs="宋体"/>
          <w:highlight w:val="none"/>
        </w:rPr>
        <w:t>要求退货，卖方应退还买方已经支付的全部合同价款，并赔偿买方因此遭受的全部损失。</w:t>
      </w:r>
    </w:p>
    <w:p>
      <w:pPr>
        <w:widowControl/>
        <w:numPr>
          <w:ilvl w:val="1"/>
          <w:numId w:val="51"/>
        </w:numPr>
        <w:spacing w:line="360" w:lineRule="auto"/>
        <w:ind w:left="1200" w:hanging="425"/>
        <w:jc w:val="left"/>
        <w:rPr>
          <w:highlight w:val="none"/>
        </w:rPr>
      </w:pPr>
      <w:r>
        <w:rPr>
          <w:rFonts w:hint="eastAsia" w:cs="宋体"/>
          <w:highlight w:val="none"/>
        </w:rPr>
        <w:t>修复、更换后的货物应根据本合同的标准进行检测，并符合本合同规定的规范、技术、质量和性能等要求。</w:t>
      </w:r>
    </w:p>
    <w:p>
      <w:pPr>
        <w:widowControl/>
        <w:numPr>
          <w:ilvl w:val="1"/>
          <w:numId w:val="51"/>
        </w:numPr>
        <w:spacing w:line="360" w:lineRule="auto"/>
        <w:ind w:left="1200" w:hanging="425"/>
        <w:jc w:val="left"/>
        <w:rPr>
          <w:highlight w:val="none"/>
        </w:rPr>
      </w:pPr>
      <w:r>
        <w:rPr>
          <w:rFonts w:hint="eastAsia" w:cs="宋体"/>
          <w:highlight w:val="none"/>
        </w:rPr>
        <w:t>经修复或更换的货物的设备、零部件或材料的质保期应从修复或更换完成之日起重新计算。质保期内，如因货物缺陷造成任何设备停机，该等设备的质保期期应相应延长。</w:t>
      </w:r>
    </w:p>
    <w:p>
      <w:pPr>
        <w:widowControl/>
        <w:numPr>
          <w:ilvl w:val="1"/>
          <w:numId w:val="51"/>
        </w:numPr>
        <w:spacing w:line="360" w:lineRule="auto"/>
        <w:ind w:left="1200" w:hanging="425"/>
        <w:jc w:val="left"/>
        <w:rPr>
          <w:highlight w:val="none"/>
        </w:rPr>
      </w:pPr>
      <w:r>
        <w:rPr>
          <w:rFonts w:hint="eastAsia" w:cs="宋体"/>
          <w:highlight w:val="none"/>
        </w:rPr>
        <w:t>如买方在质保期届满后三十日内发出货物缺陷通知，应视为在质保期内发出的有效通知。</w:t>
      </w:r>
    </w:p>
    <w:p>
      <w:pPr>
        <w:widowControl/>
        <w:numPr>
          <w:ilvl w:val="1"/>
          <w:numId w:val="51"/>
        </w:numPr>
        <w:spacing w:line="360" w:lineRule="auto"/>
        <w:ind w:left="1200" w:hanging="425"/>
        <w:jc w:val="left"/>
        <w:rPr>
          <w:highlight w:val="none"/>
        </w:rPr>
      </w:pPr>
      <w:r>
        <w:rPr>
          <w:rFonts w:hint="eastAsia" w:cs="宋体"/>
          <w:highlight w:val="none"/>
        </w:rPr>
        <w:t>卖方应承担买方因货物缺陷进行修复、更换发生的一切费用和损失，包括但不限于人员、设备、材料、零部件费用、运输费、保险费、检测费、仓储费、装卸费、修理费、税费等。</w:t>
      </w:r>
    </w:p>
    <w:p>
      <w:pPr>
        <w:numPr>
          <w:ilvl w:val="0"/>
          <w:numId w:val="50"/>
        </w:numPr>
        <w:tabs>
          <w:tab w:val="left" w:pos="720"/>
          <w:tab w:val="clear" w:pos="1468"/>
        </w:tabs>
        <w:spacing w:line="360" w:lineRule="auto"/>
        <w:ind w:left="720" w:hanging="720"/>
        <w:rPr>
          <w:highlight w:val="none"/>
        </w:rPr>
      </w:pPr>
      <w:r>
        <w:rPr>
          <w:rFonts w:hint="eastAsia" w:cs="宋体"/>
          <w:highlight w:val="none"/>
        </w:rPr>
        <w:t>卖方保证，全部货物资料和技术资料清晰、完整、准确，能够满足货物的设计、检验、安装、现场调试、性能测试、运行和维修的要求，符合本合同的规定。如货物资料和技术资料欠完整、正确、清晰，或不能满足货物的设计、安装、现场调试、性能测试、运行和维修的要求，或不符合本合同规定，或存在其它缺陷，卖方应当立即纠正该等缺陷，提供符合要求的货物资料和技术资料，并赔偿买方因此遭受的任何损失。</w:t>
      </w:r>
    </w:p>
    <w:p>
      <w:pPr>
        <w:numPr>
          <w:ilvl w:val="0"/>
          <w:numId w:val="50"/>
        </w:numPr>
        <w:tabs>
          <w:tab w:val="left" w:pos="720"/>
          <w:tab w:val="clear" w:pos="1468"/>
        </w:tabs>
        <w:spacing w:line="360" w:lineRule="auto"/>
        <w:ind w:left="720" w:hanging="720"/>
        <w:rPr>
          <w:highlight w:val="none"/>
        </w:rPr>
      </w:pPr>
      <w:r>
        <w:rPr>
          <w:rFonts w:hint="eastAsia" w:cs="宋体"/>
          <w:highlight w:val="none"/>
        </w:rPr>
        <w:t>质保期结束后三十日内，买方应向卖方签发该批货物的最终接受证书。</w:t>
      </w:r>
    </w:p>
    <w:p>
      <w:pPr>
        <w:numPr>
          <w:ilvl w:val="0"/>
          <w:numId w:val="27"/>
        </w:numPr>
        <w:spacing w:before="360" w:after="360"/>
        <w:jc w:val="center"/>
        <w:rPr>
          <w:b/>
          <w:sz w:val="24"/>
          <w:szCs w:val="24"/>
          <w:highlight w:val="none"/>
        </w:rPr>
      </w:pPr>
      <w:bookmarkStart w:id="336" w:name="_Toc291435868"/>
      <w:bookmarkStart w:id="337" w:name="_Toc5889391"/>
      <w:bookmarkStart w:id="338" w:name="_Toc278889804"/>
      <w:bookmarkStart w:id="339" w:name="_Toc296959338"/>
      <w:bookmarkStart w:id="340" w:name="_Toc291435935"/>
      <w:bookmarkStart w:id="341" w:name="_Toc296955876"/>
      <w:bookmarkStart w:id="342" w:name="_Toc300671219"/>
      <w:bookmarkStart w:id="343" w:name="_Toc17390392"/>
      <w:r>
        <w:rPr>
          <w:rFonts w:hint="eastAsia"/>
          <w:b/>
          <w:sz w:val="24"/>
          <w:szCs w:val="24"/>
          <w:highlight w:val="none"/>
        </w:rPr>
        <w:t>违约责任</w:t>
      </w:r>
      <w:bookmarkEnd w:id="336"/>
      <w:bookmarkEnd w:id="337"/>
      <w:bookmarkEnd w:id="338"/>
      <w:bookmarkEnd w:id="339"/>
      <w:bookmarkEnd w:id="340"/>
      <w:bookmarkEnd w:id="341"/>
      <w:bookmarkEnd w:id="342"/>
      <w:bookmarkEnd w:id="343"/>
    </w:p>
    <w:p>
      <w:pPr>
        <w:widowControl/>
        <w:numPr>
          <w:ilvl w:val="0"/>
          <w:numId w:val="54"/>
        </w:numPr>
        <w:tabs>
          <w:tab w:val="left" w:pos="709"/>
        </w:tabs>
        <w:spacing w:line="360" w:lineRule="auto"/>
        <w:ind w:left="619" w:hanging="619" w:hangingChars="295"/>
        <w:jc w:val="left"/>
        <w:rPr>
          <w:highlight w:val="none"/>
        </w:rPr>
      </w:pPr>
      <w:r>
        <w:rPr>
          <w:rFonts w:hint="eastAsia" w:cs="宋体"/>
          <w:highlight w:val="none"/>
        </w:rPr>
        <w:t>因卖方违约而解除本合同时，如卖方支付的违约金无法补偿买方因此遭受的全部损失，卖方应向买方另行支付赔偿金。本合同项下的损失包括生产延期的损失、生产暂停的损失、工期延误的损失、买方可获得的商业利润、因为卖方违约导致买方向第三方支付的违约金和赔偿金、买方因第三方索赔而发生的全部费用（包括但不限于律师费用、诉讼费用、鉴定费用和赔偿金等）。</w:t>
      </w:r>
    </w:p>
    <w:p>
      <w:pPr>
        <w:widowControl/>
        <w:numPr>
          <w:ilvl w:val="0"/>
          <w:numId w:val="54"/>
        </w:numPr>
        <w:tabs>
          <w:tab w:val="left" w:pos="709"/>
        </w:tabs>
        <w:spacing w:line="360" w:lineRule="auto"/>
        <w:ind w:left="619" w:hanging="619" w:hangingChars="295"/>
        <w:jc w:val="left"/>
        <w:rPr>
          <w:highlight w:val="none"/>
        </w:rPr>
      </w:pPr>
      <w:r>
        <w:rPr>
          <w:rFonts w:hint="eastAsia" w:cs="宋体"/>
          <w:highlight w:val="none"/>
        </w:rPr>
        <w:t>卖方根据本合同规定应承担违约金或赔偿责任的，买方有权从合同价款余额中直接扣除或凭履约保函要求银行支付该等违约金或赔偿款项。</w:t>
      </w:r>
    </w:p>
    <w:p>
      <w:pPr>
        <w:numPr>
          <w:ilvl w:val="0"/>
          <w:numId w:val="27"/>
        </w:numPr>
        <w:spacing w:before="360" w:after="360"/>
        <w:jc w:val="center"/>
        <w:rPr>
          <w:b/>
          <w:sz w:val="24"/>
          <w:szCs w:val="24"/>
          <w:highlight w:val="none"/>
        </w:rPr>
      </w:pPr>
      <w:bookmarkStart w:id="344" w:name="_Toc291435936"/>
      <w:bookmarkStart w:id="345" w:name="_Toc278889805"/>
      <w:bookmarkStart w:id="346" w:name="_Toc291435869"/>
      <w:bookmarkStart w:id="347" w:name="_Toc300671220"/>
      <w:bookmarkStart w:id="348" w:name="_Toc17390393"/>
      <w:bookmarkStart w:id="349" w:name="_Toc296959339"/>
      <w:bookmarkStart w:id="350" w:name="_Toc5889392"/>
      <w:bookmarkStart w:id="351" w:name="_Toc296955877"/>
      <w:r>
        <w:rPr>
          <w:rFonts w:hint="eastAsia"/>
          <w:b/>
          <w:sz w:val="24"/>
          <w:szCs w:val="24"/>
          <w:highlight w:val="none"/>
        </w:rPr>
        <w:t>质量、健康、安全和环保</w:t>
      </w:r>
      <w:bookmarkEnd w:id="344"/>
      <w:bookmarkEnd w:id="345"/>
      <w:bookmarkEnd w:id="346"/>
      <w:bookmarkEnd w:id="347"/>
      <w:bookmarkEnd w:id="348"/>
      <w:bookmarkEnd w:id="349"/>
      <w:bookmarkEnd w:id="350"/>
      <w:bookmarkEnd w:id="351"/>
    </w:p>
    <w:p>
      <w:pPr>
        <w:widowControl/>
        <w:numPr>
          <w:ilvl w:val="0"/>
          <w:numId w:val="55"/>
        </w:numPr>
        <w:tabs>
          <w:tab w:val="left" w:pos="709"/>
        </w:tabs>
        <w:spacing w:line="360" w:lineRule="auto"/>
        <w:ind w:left="619" w:hanging="619" w:hangingChars="295"/>
        <w:jc w:val="left"/>
        <w:rPr>
          <w:highlight w:val="none"/>
        </w:rPr>
      </w:pPr>
      <w:r>
        <w:rPr>
          <w:rFonts w:hint="eastAsia" w:cs="宋体"/>
          <w:highlight w:val="none"/>
        </w:rPr>
        <w:t>卖方应确保货物制造使用的材料和制作工艺符合国家标准，保证货物制造现场符合法律法规的要求。</w:t>
      </w:r>
    </w:p>
    <w:p>
      <w:pPr>
        <w:widowControl/>
        <w:numPr>
          <w:ilvl w:val="0"/>
          <w:numId w:val="55"/>
        </w:numPr>
        <w:tabs>
          <w:tab w:val="left" w:pos="709"/>
        </w:tabs>
        <w:spacing w:line="360" w:lineRule="auto"/>
        <w:ind w:left="619" w:hanging="619" w:hangingChars="295"/>
        <w:jc w:val="left"/>
        <w:rPr>
          <w:highlight w:val="none"/>
        </w:rPr>
      </w:pPr>
      <w:r>
        <w:rPr>
          <w:rFonts w:hint="eastAsia" w:cs="宋体"/>
          <w:highlight w:val="none"/>
        </w:rPr>
        <w:t>卖方向买方提供的货物必须符合中国有关质量、健康、安全和环保法律法规的规定。对于根据有关法律法规必须持证生产或经营的物资，卖方在生产或经营时应持有全套有效的生产许可证或经营许可证。</w:t>
      </w:r>
    </w:p>
    <w:p>
      <w:pPr>
        <w:widowControl/>
        <w:numPr>
          <w:ilvl w:val="0"/>
          <w:numId w:val="55"/>
        </w:numPr>
        <w:tabs>
          <w:tab w:val="left" w:pos="709"/>
        </w:tabs>
        <w:spacing w:line="360" w:lineRule="auto"/>
        <w:ind w:left="619" w:hanging="619" w:hangingChars="295"/>
        <w:jc w:val="left"/>
        <w:rPr>
          <w:highlight w:val="none"/>
        </w:rPr>
      </w:pPr>
      <w:r>
        <w:rPr>
          <w:rFonts w:hint="eastAsia" w:cs="宋体"/>
          <w:highlight w:val="none"/>
        </w:rPr>
        <w:t>卖方</w:t>
      </w:r>
      <w:bookmarkStart w:id="352" w:name="_DV_C793"/>
      <w:r>
        <w:rPr>
          <w:rFonts w:hint="eastAsia" w:cs="宋体"/>
          <w:highlight w:val="none"/>
        </w:rPr>
        <w:t>指派的服务人员不得以现场环境为由拒绝到现场提供技术服务，卖方指派的服务</w:t>
      </w:r>
      <w:bookmarkEnd w:id="352"/>
      <w:r>
        <w:rPr>
          <w:rFonts w:hint="eastAsia" w:cs="宋体"/>
          <w:highlight w:val="none"/>
        </w:rPr>
        <w:t>人员在买方现场提供技术服务时，应遵守买方现场的健康、安全、环境管理规定，服从买方现场管理人员的指挥。</w:t>
      </w:r>
    </w:p>
    <w:p>
      <w:pPr>
        <w:widowControl/>
        <w:numPr>
          <w:ilvl w:val="0"/>
          <w:numId w:val="55"/>
        </w:numPr>
        <w:tabs>
          <w:tab w:val="left" w:pos="709"/>
          <w:tab w:val="left" w:pos="900"/>
          <w:tab w:val="left" w:pos="1080"/>
        </w:tabs>
        <w:spacing w:line="360" w:lineRule="auto"/>
        <w:ind w:left="619" w:hanging="619" w:hangingChars="295"/>
        <w:jc w:val="left"/>
        <w:rPr>
          <w:highlight w:val="none"/>
        </w:rPr>
      </w:pPr>
      <w:r>
        <w:rPr>
          <w:rFonts w:hint="eastAsia" w:cs="宋体"/>
          <w:highlight w:val="none"/>
        </w:rPr>
        <w:t>卖方用于货物的包装材料应是符合环保要求的包装材料。</w:t>
      </w:r>
    </w:p>
    <w:p>
      <w:pPr>
        <w:widowControl/>
        <w:numPr>
          <w:ilvl w:val="0"/>
          <w:numId w:val="55"/>
        </w:numPr>
        <w:tabs>
          <w:tab w:val="left" w:pos="360"/>
          <w:tab w:val="left" w:pos="709"/>
        </w:tabs>
        <w:spacing w:line="360" w:lineRule="auto"/>
        <w:ind w:left="619" w:hanging="619" w:hangingChars="295"/>
        <w:jc w:val="left"/>
        <w:rPr>
          <w:highlight w:val="none"/>
        </w:rPr>
      </w:pPr>
      <w:r>
        <w:rPr>
          <w:rFonts w:hint="eastAsia" w:cs="宋体"/>
          <w:highlight w:val="none"/>
        </w:rPr>
        <w:t>卖方负责货物运输时应采取有效措施，确保不对沿途环境和买方的厂区、现场或其它场所造成不良影响。因货物运输对沿途环境和买方厂区、现场或其它场所造成不良影响而导致的经济损失和法律责任，由卖方承担。</w:t>
      </w:r>
    </w:p>
    <w:p>
      <w:pPr>
        <w:numPr>
          <w:ilvl w:val="0"/>
          <w:numId w:val="27"/>
        </w:numPr>
        <w:spacing w:before="360" w:after="360"/>
        <w:jc w:val="center"/>
        <w:rPr>
          <w:b/>
          <w:sz w:val="24"/>
          <w:szCs w:val="24"/>
          <w:highlight w:val="none"/>
        </w:rPr>
      </w:pPr>
      <w:bookmarkStart w:id="353" w:name="_DV_M472"/>
      <w:bookmarkEnd w:id="353"/>
      <w:bookmarkStart w:id="354" w:name="_Toc296804734"/>
      <w:bookmarkEnd w:id="354"/>
      <w:bookmarkStart w:id="355" w:name="_Toc17390394"/>
      <w:bookmarkStart w:id="356" w:name="_Toc278889807"/>
      <w:bookmarkStart w:id="357" w:name="_Toc273388625"/>
      <w:bookmarkStart w:id="358" w:name="_Toc274344120"/>
      <w:bookmarkStart w:id="359" w:name="_Toc296959341"/>
      <w:bookmarkStart w:id="360" w:name="_Toc291435870"/>
      <w:bookmarkStart w:id="361" w:name="_Toc274403519"/>
      <w:bookmarkStart w:id="362" w:name="_Toc273451810"/>
      <w:bookmarkStart w:id="363" w:name="_Toc291435937"/>
      <w:bookmarkStart w:id="364" w:name="_Toc274754054"/>
      <w:bookmarkStart w:id="365" w:name="_Toc273388526"/>
      <w:bookmarkStart w:id="366" w:name="_Toc5889393"/>
      <w:bookmarkStart w:id="367" w:name="_Toc274075991"/>
      <w:bookmarkStart w:id="368" w:name="_Toc274343588"/>
      <w:bookmarkStart w:id="369" w:name="_Toc274669185"/>
      <w:bookmarkStart w:id="370" w:name="_Toc273458624"/>
      <w:bookmarkStart w:id="371" w:name="_Toc274668244"/>
      <w:bookmarkStart w:id="372" w:name="_Toc300671221"/>
      <w:bookmarkStart w:id="373" w:name="_Toc296955879"/>
      <w:r>
        <w:rPr>
          <w:rFonts w:hint="eastAsia"/>
          <w:b/>
          <w:sz w:val="24"/>
          <w:szCs w:val="24"/>
          <w:highlight w:val="none"/>
        </w:rPr>
        <w:t>转让</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pPr>
        <w:widowControl/>
        <w:numPr>
          <w:ilvl w:val="0"/>
          <w:numId w:val="56"/>
        </w:numPr>
        <w:tabs>
          <w:tab w:val="left" w:pos="709"/>
        </w:tabs>
        <w:spacing w:line="360" w:lineRule="auto"/>
        <w:ind w:left="619" w:hanging="619" w:hangingChars="295"/>
        <w:jc w:val="left"/>
        <w:rPr>
          <w:highlight w:val="none"/>
        </w:rPr>
      </w:pPr>
      <w:r>
        <w:rPr>
          <w:rFonts w:hint="eastAsia" w:cs="宋体"/>
          <w:highlight w:val="none"/>
        </w:rPr>
        <w:t>未经买方事先书面同意，卖方不得将其在本合同项下的任何权利和义务全部或部分转让给任何第三方，包括卖方的关联企业。</w:t>
      </w:r>
    </w:p>
    <w:p>
      <w:pPr>
        <w:widowControl/>
        <w:numPr>
          <w:ilvl w:val="0"/>
          <w:numId w:val="56"/>
        </w:numPr>
        <w:tabs>
          <w:tab w:val="left" w:pos="709"/>
        </w:tabs>
        <w:spacing w:line="360" w:lineRule="auto"/>
        <w:ind w:left="619" w:hanging="619" w:hangingChars="295"/>
        <w:jc w:val="left"/>
        <w:rPr>
          <w:highlight w:val="none"/>
        </w:rPr>
      </w:pPr>
      <w:r>
        <w:rPr>
          <w:rFonts w:hint="eastAsia" w:cs="宋体"/>
          <w:highlight w:val="none"/>
        </w:rPr>
        <w:t>买方可以将其在本合同项下的权利和义务全部或部分转让给其关联企业，且无需事先征得卖方的同意，但应书面通知卖方。买方应保证所转让的那部分义务将得到履行，并且该转让不得使本合同的履行受到妨碍。</w:t>
      </w:r>
    </w:p>
    <w:p>
      <w:pPr>
        <w:numPr>
          <w:ilvl w:val="0"/>
          <w:numId w:val="27"/>
        </w:numPr>
        <w:spacing w:before="360" w:after="360"/>
        <w:jc w:val="center"/>
        <w:rPr>
          <w:b/>
          <w:sz w:val="24"/>
          <w:szCs w:val="24"/>
          <w:highlight w:val="none"/>
        </w:rPr>
      </w:pPr>
      <w:bookmarkStart w:id="374" w:name="_Toc274403520"/>
      <w:bookmarkStart w:id="375" w:name="_Toc291435938"/>
      <w:bookmarkStart w:id="376" w:name="_Toc273451811"/>
      <w:bookmarkStart w:id="377" w:name="_Toc274075992"/>
      <w:bookmarkStart w:id="378" w:name="_Toc278889808"/>
      <w:bookmarkStart w:id="379" w:name="_Toc274669186"/>
      <w:bookmarkStart w:id="380" w:name="_Toc5889394"/>
      <w:bookmarkStart w:id="381" w:name="_Toc17390395"/>
      <w:bookmarkStart w:id="382" w:name="_Toc274343589"/>
      <w:bookmarkStart w:id="383" w:name="_Toc273388527"/>
      <w:bookmarkStart w:id="384" w:name="_Toc273458625"/>
      <w:bookmarkStart w:id="385" w:name="_Toc296959342"/>
      <w:bookmarkStart w:id="386" w:name="_Toc274344121"/>
      <w:bookmarkStart w:id="387" w:name="_Toc274754055"/>
      <w:bookmarkStart w:id="388" w:name="_Toc300671222"/>
      <w:bookmarkStart w:id="389" w:name="_Toc291435871"/>
      <w:bookmarkStart w:id="390" w:name="_Toc296955880"/>
      <w:bookmarkStart w:id="391" w:name="_Toc274668245"/>
      <w:bookmarkStart w:id="392" w:name="_Toc273388626"/>
      <w:r>
        <w:rPr>
          <w:rFonts w:hint="eastAsia"/>
          <w:b/>
          <w:sz w:val="24"/>
          <w:szCs w:val="24"/>
          <w:highlight w:val="none"/>
        </w:rPr>
        <w:t>分包</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pPr>
        <w:widowControl/>
        <w:numPr>
          <w:ilvl w:val="0"/>
          <w:numId w:val="57"/>
        </w:numPr>
        <w:tabs>
          <w:tab w:val="left" w:pos="709"/>
          <w:tab w:val="left" w:pos="3060"/>
          <w:tab w:val="clear" w:pos="420"/>
        </w:tabs>
        <w:spacing w:line="360" w:lineRule="auto"/>
        <w:ind w:left="720" w:hanging="720"/>
        <w:jc w:val="left"/>
        <w:rPr>
          <w:highlight w:val="none"/>
        </w:rPr>
      </w:pPr>
      <w:r>
        <w:rPr>
          <w:rFonts w:hint="eastAsia" w:cs="宋体"/>
          <w:highlight w:val="none"/>
        </w:rPr>
        <w:t>卖方应利用自身的人力资源、设备、技术履行本合同，未经买方事先书面同意，卖方不得将其在本合同项下的任何义务分包给任何第三方，包括卖方的关联企业。</w:t>
      </w:r>
    </w:p>
    <w:p>
      <w:pPr>
        <w:widowControl/>
        <w:numPr>
          <w:ilvl w:val="0"/>
          <w:numId w:val="57"/>
        </w:numPr>
        <w:tabs>
          <w:tab w:val="left" w:pos="709"/>
          <w:tab w:val="left" w:pos="3060"/>
          <w:tab w:val="clear" w:pos="420"/>
        </w:tabs>
        <w:spacing w:line="360" w:lineRule="auto"/>
        <w:ind w:left="720" w:hanging="720"/>
        <w:jc w:val="left"/>
        <w:rPr>
          <w:highlight w:val="none"/>
        </w:rPr>
      </w:pPr>
      <w:r>
        <w:rPr>
          <w:rFonts w:hint="eastAsia" w:cs="宋体"/>
          <w:highlight w:val="none"/>
        </w:rPr>
        <w:t>即使买方批准卖方将其在本合同项下的任何部分义务分包给第三方，卖方应对分包商工作负责，并承担本合同项下的全部责任和义务，其合同项下责任和义务不因分包而减轻或免除。</w:t>
      </w:r>
    </w:p>
    <w:p>
      <w:pPr>
        <w:widowControl/>
        <w:numPr>
          <w:ilvl w:val="0"/>
          <w:numId w:val="57"/>
        </w:numPr>
        <w:tabs>
          <w:tab w:val="left" w:pos="709"/>
          <w:tab w:val="left" w:pos="3060"/>
          <w:tab w:val="clear" w:pos="420"/>
        </w:tabs>
        <w:spacing w:line="360" w:lineRule="auto"/>
        <w:ind w:left="720" w:hanging="720"/>
        <w:jc w:val="left"/>
        <w:rPr>
          <w:highlight w:val="none"/>
        </w:rPr>
      </w:pPr>
      <w:r>
        <w:rPr>
          <w:rFonts w:hint="eastAsia" w:cs="宋体"/>
          <w:highlight w:val="none"/>
        </w:rPr>
        <w:t>买方有权对分包商进行资格审查，审查内容包括但不限于资质、能力、经验、设备、设施、业绩、管理、人力等。买方有权拒绝其认为不合格的分包商。</w:t>
      </w:r>
    </w:p>
    <w:p>
      <w:pPr>
        <w:widowControl/>
        <w:numPr>
          <w:ilvl w:val="0"/>
          <w:numId w:val="57"/>
        </w:numPr>
        <w:tabs>
          <w:tab w:val="left" w:pos="709"/>
          <w:tab w:val="left" w:pos="3060"/>
          <w:tab w:val="clear" w:pos="420"/>
        </w:tabs>
        <w:spacing w:line="360" w:lineRule="auto"/>
        <w:ind w:left="720" w:hanging="720"/>
        <w:jc w:val="left"/>
        <w:rPr>
          <w:rFonts w:cs="宋体"/>
          <w:highlight w:val="none"/>
        </w:rPr>
      </w:pPr>
      <w:r>
        <w:rPr>
          <w:rFonts w:hint="eastAsia" w:cs="宋体"/>
          <w:highlight w:val="none"/>
        </w:rPr>
        <w:t>卖方分包部分工作时，应要向买方提供分包商清单以及资质等相关证明文件；买方有权随时查阅卖方与分包商签订的合同文件（不包括价格部分）。买方有权推荐分包商。如果卖方不能继续履行本合同或本合同终止时，经买方要求，卖方应向买方转让所有分包合同，保证工作的继续执行。</w:t>
      </w:r>
    </w:p>
    <w:p>
      <w:pPr>
        <w:widowControl/>
        <w:numPr>
          <w:ilvl w:val="0"/>
          <w:numId w:val="57"/>
        </w:numPr>
        <w:tabs>
          <w:tab w:val="left" w:pos="709"/>
          <w:tab w:val="left" w:pos="3060"/>
          <w:tab w:val="clear" w:pos="420"/>
        </w:tabs>
        <w:spacing w:line="360" w:lineRule="auto"/>
        <w:ind w:left="720" w:hanging="720"/>
        <w:jc w:val="left"/>
        <w:rPr>
          <w:highlight w:val="none"/>
        </w:rPr>
      </w:pPr>
      <w:bookmarkStart w:id="393" w:name="_DV_C858"/>
      <w:r>
        <w:rPr>
          <w:rFonts w:hint="eastAsia" w:cs="宋体"/>
          <w:highlight w:val="none"/>
        </w:rPr>
        <w:t>如果分包商的工作不符合本合同的规定，买方有权要求卖方终止分包合同，因分包合同终止产生的纠纷或责任，卖方承担全部责任，买方不承担任何责任。</w:t>
      </w:r>
      <w:bookmarkEnd w:id="393"/>
    </w:p>
    <w:p>
      <w:pPr>
        <w:widowControl/>
        <w:numPr>
          <w:ilvl w:val="0"/>
          <w:numId w:val="57"/>
        </w:numPr>
        <w:tabs>
          <w:tab w:val="left" w:pos="709"/>
          <w:tab w:val="left" w:pos="3060"/>
          <w:tab w:val="clear" w:pos="420"/>
        </w:tabs>
        <w:spacing w:line="360" w:lineRule="auto"/>
        <w:ind w:left="720" w:hanging="720"/>
        <w:jc w:val="left"/>
        <w:rPr>
          <w:highlight w:val="none"/>
        </w:rPr>
      </w:pPr>
      <w:r>
        <w:rPr>
          <w:rFonts w:hint="eastAsia" w:cs="宋体"/>
          <w:highlight w:val="none"/>
        </w:rPr>
        <w:t>买方有权选择直接向分包方付款，并从合同价款余额中直接扣除该等款项。但是，买方的上述行为不得视为买方取代卖方成为分包合同的当事人，分包合同的权利与义务仍由卖方和相应的第三方承担。</w:t>
      </w:r>
    </w:p>
    <w:p>
      <w:pPr>
        <w:widowControl/>
        <w:numPr>
          <w:ilvl w:val="0"/>
          <w:numId w:val="57"/>
        </w:numPr>
        <w:tabs>
          <w:tab w:val="left" w:pos="709"/>
          <w:tab w:val="left" w:pos="3060"/>
          <w:tab w:val="clear" w:pos="420"/>
        </w:tabs>
        <w:spacing w:line="360" w:lineRule="auto"/>
        <w:ind w:left="720" w:hanging="720"/>
        <w:jc w:val="left"/>
        <w:rPr>
          <w:highlight w:val="none"/>
        </w:rPr>
      </w:pPr>
      <w:bookmarkStart w:id="394" w:name="_DV_C867"/>
      <w:r>
        <w:rPr>
          <w:rFonts w:hint="eastAsia" w:cs="宋体"/>
          <w:highlight w:val="none"/>
        </w:rPr>
        <w:t>卖方不得将本合同转包给任何第三方，包括其关联企业。</w:t>
      </w:r>
      <w:bookmarkEnd w:id="394"/>
    </w:p>
    <w:p>
      <w:pPr>
        <w:numPr>
          <w:ilvl w:val="0"/>
          <w:numId w:val="27"/>
        </w:numPr>
        <w:spacing w:before="360" w:after="360"/>
        <w:jc w:val="center"/>
        <w:rPr>
          <w:b/>
          <w:sz w:val="24"/>
          <w:szCs w:val="24"/>
          <w:highlight w:val="none"/>
        </w:rPr>
      </w:pPr>
      <w:bookmarkStart w:id="395" w:name="_Toc296804737"/>
      <w:bookmarkEnd w:id="395"/>
      <w:bookmarkStart w:id="396" w:name="_Toc291435872"/>
      <w:bookmarkStart w:id="397" w:name="_Toc274403521"/>
      <w:bookmarkStart w:id="398" w:name="_Toc274669187"/>
      <w:bookmarkStart w:id="399" w:name="_Toc278889809"/>
      <w:bookmarkStart w:id="400" w:name="_Toc296955882"/>
      <w:bookmarkStart w:id="401" w:name="_Toc274668246"/>
      <w:bookmarkStart w:id="402" w:name="_Toc291435939"/>
      <w:bookmarkStart w:id="403" w:name="_Toc274343590"/>
      <w:bookmarkStart w:id="404" w:name="_Toc274754056"/>
      <w:bookmarkStart w:id="405" w:name="_Toc274344122"/>
      <w:bookmarkStart w:id="406" w:name="_Toc296959344"/>
      <w:bookmarkStart w:id="407" w:name="_Toc300671223"/>
      <w:bookmarkStart w:id="408" w:name="_Toc5889395"/>
      <w:bookmarkStart w:id="409" w:name="_Toc17390396"/>
      <w:r>
        <w:rPr>
          <w:rFonts w:hint="eastAsia"/>
          <w:b/>
          <w:sz w:val="24"/>
          <w:szCs w:val="24"/>
          <w:highlight w:val="none"/>
        </w:rPr>
        <w:t>合同的解除</w:t>
      </w:r>
      <w:bookmarkEnd w:id="396"/>
      <w:bookmarkEnd w:id="397"/>
      <w:bookmarkEnd w:id="398"/>
      <w:bookmarkEnd w:id="399"/>
      <w:bookmarkEnd w:id="400"/>
      <w:bookmarkEnd w:id="401"/>
      <w:bookmarkEnd w:id="402"/>
      <w:bookmarkEnd w:id="403"/>
      <w:bookmarkEnd w:id="404"/>
      <w:bookmarkEnd w:id="405"/>
      <w:r>
        <w:rPr>
          <w:rFonts w:hint="eastAsia"/>
          <w:b/>
          <w:sz w:val="24"/>
          <w:szCs w:val="24"/>
          <w:highlight w:val="none"/>
        </w:rPr>
        <w:t>和终止</w:t>
      </w:r>
      <w:bookmarkEnd w:id="406"/>
      <w:bookmarkEnd w:id="407"/>
      <w:bookmarkEnd w:id="408"/>
      <w:bookmarkEnd w:id="409"/>
    </w:p>
    <w:p>
      <w:pPr>
        <w:widowControl/>
        <w:numPr>
          <w:ilvl w:val="0"/>
          <w:numId w:val="58"/>
        </w:numPr>
        <w:tabs>
          <w:tab w:val="left" w:pos="709"/>
        </w:tabs>
        <w:spacing w:line="360" w:lineRule="auto"/>
        <w:jc w:val="left"/>
        <w:rPr>
          <w:highlight w:val="none"/>
        </w:rPr>
      </w:pPr>
      <w:r>
        <w:rPr>
          <w:rFonts w:hint="eastAsia" w:cs="宋体"/>
          <w:highlight w:val="none"/>
        </w:rPr>
        <w:t>如发生以下任一情形，经书面通知卖方，买方有权解除本合同：</w:t>
      </w:r>
    </w:p>
    <w:p>
      <w:pPr>
        <w:widowControl/>
        <w:numPr>
          <w:ilvl w:val="0"/>
          <w:numId w:val="59"/>
        </w:numPr>
        <w:tabs>
          <w:tab w:val="left" w:pos="1260"/>
          <w:tab w:val="clear" w:pos="840"/>
        </w:tabs>
        <w:spacing w:line="360" w:lineRule="auto"/>
        <w:ind w:left="1113" w:leftChars="299" w:hanging="485" w:hangingChars="231"/>
        <w:jc w:val="left"/>
        <w:rPr>
          <w:rFonts w:cs="宋体"/>
          <w:highlight w:val="none"/>
        </w:rPr>
      </w:pPr>
      <w:r>
        <w:rPr>
          <w:rFonts w:hint="eastAsia" w:cs="宋体"/>
          <w:highlight w:val="none"/>
        </w:rPr>
        <w:t>本合同明确规定买方有权解除合同的情形；</w:t>
      </w:r>
    </w:p>
    <w:p>
      <w:pPr>
        <w:widowControl/>
        <w:numPr>
          <w:ilvl w:val="0"/>
          <w:numId w:val="59"/>
        </w:numPr>
        <w:tabs>
          <w:tab w:val="left" w:pos="1260"/>
          <w:tab w:val="clear" w:pos="840"/>
        </w:tabs>
        <w:spacing w:line="360" w:lineRule="auto"/>
        <w:ind w:left="1113" w:leftChars="299" w:hanging="485" w:hangingChars="231"/>
        <w:jc w:val="left"/>
        <w:rPr>
          <w:rFonts w:cs="宋体"/>
          <w:highlight w:val="none"/>
        </w:rPr>
      </w:pPr>
      <w:r>
        <w:rPr>
          <w:rFonts w:hint="eastAsia" w:cs="宋体"/>
          <w:highlight w:val="none"/>
        </w:rPr>
        <w:t>卖方未按合同规定提供预付款保函或履约保函；</w:t>
      </w:r>
    </w:p>
    <w:p>
      <w:pPr>
        <w:widowControl/>
        <w:numPr>
          <w:ilvl w:val="0"/>
          <w:numId w:val="59"/>
        </w:numPr>
        <w:tabs>
          <w:tab w:val="left" w:pos="1276"/>
          <w:tab w:val="clear" w:pos="840"/>
        </w:tabs>
        <w:spacing w:line="360" w:lineRule="auto"/>
        <w:ind w:left="1113" w:leftChars="299" w:hanging="485" w:hangingChars="231"/>
        <w:jc w:val="left"/>
        <w:rPr>
          <w:rFonts w:cs="宋体"/>
          <w:highlight w:val="none"/>
        </w:rPr>
      </w:pPr>
      <w:r>
        <w:rPr>
          <w:rFonts w:hint="eastAsia" w:cs="宋体"/>
          <w:highlight w:val="none"/>
        </w:rPr>
        <w:t>卖方破产、资不抵债、停业、清算、解散、被兼并、被查封；</w:t>
      </w:r>
    </w:p>
    <w:p>
      <w:pPr>
        <w:widowControl/>
        <w:numPr>
          <w:ilvl w:val="0"/>
          <w:numId w:val="59"/>
        </w:numPr>
        <w:tabs>
          <w:tab w:val="left" w:pos="1260"/>
          <w:tab w:val="clear" w:pos="840"/>
        </w:tabs>
        <w:spacing w:line="360" w:lineRule="auto"/>
        <w:ind w:left="1113" w:leftChars="299" w:hanging="485" w:hangingChars="231"/>
        <w:jc w:val="left"/>
        <w:rPr>
          <w:rFonts w:cs="宋体"/>
          <w:highlight w:val="none"/>
        </w:rPr>
      </w:pPr>
      <w:r>
        <w:rPr>
          <w:rFonts w:hint="eastAsia" w:cs="宋体"/>
          <w:highlight w:val="none"/>
        </w:rPr>
        <w:t>卖方发生其它严重违约，且未在买方要求的合同期限内纠正；</w:t>
      </w:r>
    </w:p>
    <w:p>
      <w:pPr>
        <w:widowControl/>
        <w:numPr>
          <w:ilvl w:val="0"/>
          <w:numId w:val="59"/>
        </w:numPr>
        <w:tabs>
          <w:tab w:val="left" w:pos="1260"/>
          <w:tab w:val="clear" w:pos="840"/>
        </w:tabs>
        <w:spacing w:line="360" w:lineRule="auto"/>
        <w:ind w:left="1113" w:leftChars="299" w:hanging="485" w:hangingChars="231"/>
        <w:jc w:val="left"/>
        <w:rPr>
          <w:rFonts w:cs="宋体"/>
          <w:highlight w:val="none"/>
        </w:rPr>
      </w:pPr>
      <w:r>
        <w:rPr>
          <w:rFonts w:hint="eastAsia" w:cs="宋体"/>
          <w:highlight w:val="none"/>
        </w:rPr>
        <w:t>不可抗力持续超过六十日。</w:t>
      </w:r>
    </w:p>
    <w:p>
      <w:pPr>
        <w:widowControl/>
        <w:numPr>
          <w:ilvl w:val="0"/>
          <w:numId w:val="58"/>
        </w:numPr>
        <w:tabs>
          <w:tab w:val="left" w:pos="709"/>
          <w:tab w:val="clear" w:pos="0"/>
        </w:tabs>
        <w:spacing w:line="360" w:lineRule="auto"/>
        <w:ind w:left="619" w:hanging="619" w:hangingChars="295"/>
        <w:jc w:val="left"/>
        <w:rPr>
          <w:highlight w:val="none"/>
        </w:rPr>
      </w:pPr>
      <w:r>
        <w:rPr>
          <w:rFonts w:hint="eastAsia" w:cs="宋体"/>
          <w:highlight w:val="none"/>
        </w:rPr>
        <w:t>如因卖方违约买方解除本合同，卖方应退回买方已经支付的全部款项，并根据本合同规定支付违约金，并且买方有权要求卖方赔偿其因此遭受的全部损失。买方有权以适当的条件和方式购买同等货物，卖方应承担买方购买同等货物的差额费用。</w:t>
      </w:r>
    </w:p>
    <w:p>
      <w:pPr>
        <w:widowControl/>
        <w:numPr>
          <w:ilvl w:val="0"/>
          <w:numId w:val="58"/>
        </w:numPr>
        <w:tabs>
          <w:tab w:val="left" w:pos="709"/>
          <w:tab w:val="clear" w:pos="0"/>
        </w:tabs>
        <w:spacing w:line="360" w:lineRule="auto"/>
        <w:ind w:left="619" w:hanging="619" w:hangingChars="295"/>
        <w:jc w:val="left"/>
        <w:rPr>
          <w:highlight w:val="none"/>
        </w:rPr>
      </w:pPr>
      <w:r>
        <w:rPr>
          <w:rFonts w:hint="eastAsia" w:cs="宋体"/>
          <w:highlight w:val="none"/>
        </w:rPr>
        <w:t>无论基于何种原因，经提前三十日书面通知卖方，买方有权随时终止合同。卖方收到买方终止合同的书面通知后，应立即停止实施与本合同有关的工作，并对已履行的部分进行结算。买方收到卖方的结算要求后，应与卖方协商结算数额、因买方终止合同需向卖方支付的补偿款等事项。买方因终止合同向卖方支付的补偿款以卖方为履行合同已实际发生的直接、合理费用为限。如买方已支付的合同价款不足以涵盖该等费用，经卖方提供证明文件后，买方应向卖方支付差额部分。但是，如买方已支付的合同价款超过该等费用，卖方应向买方返还超额部分。买方向卖方支付的该等补偿款系买方根据本款规定终止合同时，卖方可获得的全部赔偿。任何时候卖方均无权要求买方赔偿因合同终止而引起的预期利润的损失或损害。</w:t>
      </w:r>
    </w:p>
    <w:p>
      <w:pPr>
        <w:widowControl/>
        <w:numPr>
          <w:ilvl w:val="0"/>
          <w:numId w:val="58"/>
        </w:numPr>
        <w:tabs>
          <w:tab w:val="left" w:pos="709"/>
          <w:tab w:val="clear" w:pos="0"/>
        </w:tabs>
        <w:spacing w:line="360" w:lineRule="auto"/>
        <w:ind w:left="619" w:hanging="619" w:hangingChars="295"/>
        <w:jc w:val="left"/>
        <w:rPr>
          <w:rFonts w:cs="宋体"/>
          <w:highlight w:val="none"/>
        </w:rPr>
      </w:pPr>
      <w:bookmarkStart w:id="410" w:name="_DV_C932"/>
      <w:r>
        <w:rPr>
          <w:rFonts w:hint="eastAsia"/>
          <w:highlight w:val="none"/>
        </w:rPr>
        <w:t>如果本合同根据本条</w:t>
      </w:r>
      <w:r>
        <w:rPr>
          <w:rFonts w:cs="宋体"/>
          <w:highlight w:val="none"/>
        </w:rPr>
        <w:t>第21.3款</w:t>
      </w:r>
      <w:r>
        <w:rPr>
          <w:rFonts w:hint="eastAsia"/>
          <w:highlight w:val="none"/>
        </w:rPr>
        <w:t>终止，对于合同终止前买方已经支付合同价款或提供补偿费用的货物，卖方应立即移交给买方，买方拥有相关货物的全部权益。</w:t>
      </w:r>
      <w:bookmarkEnd w:id="410"/>
    </w:p>
    <w:p>
      <w:pPr>
        <w:widowControl/>
        <w:numPr>
          <w:ilvl w:val="0"/>
          <w:numId w:val="58"/>
        </w:numPr>
        <w:tabs>
          <w:tab w:val="left" w:pos="709"/>
          <w:tab w:val="clear" w:pos="0"/>
        </w:tabs>
        <w:spacing w:line="360" w:lineRule="auto"/>
        <w:ind w:left="619" w:hanging="619" w:hangingChars="295"/>
        <w:jc w:val="left"/>
        <w:rPr>
          <w:rFonts w:cs="宋体"/>
          <w:highlight w:val="none"/>
        </w:rPr>
      </w:pPr>
      <w:r>
        <w:rPr>
          <w:rFonts w:hint="eastAsia"/>
          <w:highlight w:val="none"/>
        </w:rPr>
        <w:t>卖方应确保分包合同（如有）包含与本条项下规定相对应的终止条款。</w:t>
      </w:r>
    </w:p>
    <w:p>
      <w:pPr>
        <w:numPr>
          <w:ilvl w:val="0"/>
          <w:numId w:val="27"/>
        </w:numPr>
        <w:spacing w:before="360" w:after="360"/>
        <w:jc w:val="center"/>
        <w:rPr>
          <w:b/>
          <w:sz w:val="24"/>
          <w:szCs w:val="24"/>
          <w:highlight w:val="none"/>
        </w:rPr>
      </w:pPr>
      <w:bookmarkStart w:id="411" w:name="_Toc296955883"/>
      <w:bookmarkStart w:id="412" w:name="_Toc296959345"/>
      <w:bookmarkStart w:id="413" w:name="_Toc274403522"/>
      <w:bookmarkStart w:id="414" w:name="_Toc274754057"/>
      <w:bookmarkStart w:id="415" w:name="_Toc273451813"/>
      <w:bookmarkStart w:id="416" w:name="_Toc274669188"/>
      <w:bookmarkStart w:id="417" w:name="_Toc291435940"/>
      <w:bookmarkStart w:id="418" w:name="_Toc5889396"/>
      <w:bookmarkStart w:id="419" w:name="_Toc274344123"/>
      <w:bookmarkStart w:id="420" w:name="_Toc274343591"/>
      <w:bookmarkStart w:id="421" w:name="_Toc273388529"/>
      <w:bookmarkStart w:id="422" w:name="_Toc274668247"/>
      <w:bookmarkStart w:id="423" w:name="_Toc274075994"/>
      <w:bookmarkStart w:id="424" w:name="_Toc17390397"/>
      <w:bookmarkStart w:id="425" w:name="_Toc273388628"/>
      <w:bookmarkStart w:id="426" w:name="_Toc300671224"/>
      <w:bookmarkStart w:id="427" w:name="_Toc291435873"/>
      <w:bookmarkStart w:id="428" w:name="_Toc278889810"/>
      <w:bookmarkStart w:id="429" w:name="_Toc273458627"/>
      <w:r>
        <w:rPr>
          <w:rFonts w:hint="eastAsia"/>
          <w:b/>
          <w:sz w:val="24"/>
          <w:szCs w:val="24"/>
          <w:highlight w:val="none"/>
        </w:rPr>
        <w:t>不可抗力</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pPr>
        <w:widowControl/>
        <w:numPr>
          <w:ilvl w:val="0"/>
          <w:numId w:val="58"/>
        </w:numPr>
        <w:tabs>
          <w:tab w:val="left" w:pos="709"/>
          <w:tab w:val="clear" w:pos="0"/>
        </w:tabs>
        <w:spacing w:line="360" w:lineRule="auto"/>
        <w:ind w:left="619" w:hanging="619" w:hangingChars="295"/>
        <w:jc w:val="left"/>
        <w:rPr>
          <w:highlight w:val="none"/>
        </w:rPr>
      </w:pPr>
      <w:bookmarkStart w:id="430" w:name="_DV_C952"/>
      <w:bookmarkStart w:id="431" w:name="_Toc296955884"/>
      <w:bookmarkStart w:id="432" w:name="_Toc300671225"/>
      <w:bookmarkStart w:id="433" w:name="_Toc287945410"/>
      <w:bookmarkStart w:id="434" w:name="_Toc296959346"/>
      <w:bookmarkStart w:id="435" w:name="_Toc288479435"/>
      <w:bookmarkStart w:id="436" w:name="_Toc287945666"/>
      <w:bookmarkStart w:id="437" w:name="_Toc287977557"/>
      <w:r>
        <w:rPr>
          <w:rFonts w:hint="eastAsia"/>
          <w:highlight w:val="none"/>
        </w:rPr>
        <w:t>不可抗力系指本合同的履行过程中，任何一方经合理努力仍不可预见、不可避免并不能克服的客观情况。</w:t>
      </w:r>
    </w:p>
    <w:p>
      <w:pPr>
        <w:widowControl/>
        <w:numPr>
          <w:ilvl w:val="0"/>
          <w:numId w:val="58"/>
        </w:numPr>
        <w:tabs>
          <w:tab w:val="left" w:pos="709"/>
          <w:tab w:val="clear" w:pos="0"/>
        </w:tabs>
        <w:spacing w:line="360" w:lineRule="auto"/>
        <w:ind w:left="619" w:hanging="619" w:hangingChars="295"/>
        <w:jc w:val="left"/>
        <w:rPr>
          <w:highlight w:val="none"/>
        </w:rPr>
      </w:pPr>
      <w:r>
        <w:rPr>
          <w:highlight w:val="none"/>
        </w:rPr>
        <w:t>任何一方因不可抗力不能或延迟履行本合同，不承担违约责任。</w:t>
      </w:r>
    </w:p>
    <w:p>
      <w:pPr>
        <w:widowControl/>
        <w:numPr>
          <w:ilvl w:val="0"/>
          <w:numId w:val="58"/>
        </w:numPr>
        <w:tabs>
          <w:tab w:val="left" w:pos="709"/>
          <w:tab w:val="clear" w:pos="0"/>
        </w:tabs>
        <w:spacing w:line="360" w:lineRule="auto"/>
        <w:ind w:left="619" w:hanging="619" w:hangingChars="295"/>
        <w:jc w:val="left"/>
        <w:rPr>
          <w:highlight w:val="none"/>
        </w:rPr>
      </w:pPr>
      <w:r>
        <w:rPr>
          <w:highlight w:val="none"/>
        </w:rPr>
        <w:t>如果一方遭受不可抗力，应立即（不迟于24小时内）通知另一方，并采取一切合理、必要的措施减少损失及不可抗力的影响，恢复合同的履行。</w:t>
      </w:r>
      <w:r>
        <w:rPr>
          <w:rFonts w:hint="eastAsia"/>
          <w:highlight w:val="none"/>
        </w:rPr>
        <w:t>不可抗力结束后</w:t>
      </w:r>
      <w:r>
        <w:rPr>
          <w:highlight w:val="none"/>
        </w:rPr>
        <w:t>48</w:t>
      </w:r>
      <w:r>
        <w:rPr>
          <w:rFonts w:hint="eastAsia"/>
          <w:highlight w:val="none"/>
        </w:rPr>
        <w:t>小时内，遭受不可抗力的一方应向另一方通报不可抗力的情况，包括不可抗力造成的损害、延续时间、货物受影响的范围、补救措施等，如不可抗力持续发生，遭受不可抗力的一方应及时更新该等信息。</w:t>
      </w:r>
    </w:p>
    <w:p>
      <w:pPr>
        <w:widowControl/>
        <w:numPr>
          <w:ilvl w:val="0"/>
          <w:numId w:val="58"/>
        </w:numPr>
        <w:tabs>
          <w:tab w:val="left" w:pos="709"/>
          <w:tab w:val="clear" w:pos="0"/>
        </w:tabs>
        <w:spacing w:line="360" w:lineRule="auto"/>
        <w:ind w:left="619" w:hanging="619" w:hangingChars="295"/>
        <w:jc w:val="left"/>
        <w:rPr>
          <w:highlight w:val="none"/>
        </w:rPr>
      </w:pPr>
      <w:r>
        <w:rPr>
          <w:rFonts w:hint="eastAsia"/>
          <w:highlight w:val="none"/>
        </w:rPr>
        <w:t>如发生不可抗力，双方各自承担其人员和财产损失。一旦不可抗力停止或者影响消除，双方应立即履行其义务，合同的期限应该相应顺延。如果不可抗力的影响持续超过1</w:t>
      </w:r>
      <w:r>
        <w:rPr>
          <w:highlight w:val="none"/>
        </w:rPr>
        <w:t>5</w:t>
      </w:r>
      <w:r>
        <w:rPr>
          <w:rFonts w:hint="eastAsia"/>
          <w:highlight w:val="none"/>
        </w:rPr>
        <w:t>日，双方应该共同商议应对措施。</w:t>
      </w:r>
    </w:p>
    <w:p>
      <w:pPr>
        <w:widowControl/>
        <w:numPr>
          <w:ilvl w:val="0"/>
          <w:numId w:val="58"/>
        </w:numPr>
        <w:tabs>
          <w:tab w:val="left" w:pos="709"/>
          <w:tab w:val="clear" w:pos="0"/>
        </w:tabs>
        <w:spacing w:line="360" w:lineRule="auto"/>
        <w:ind w:left="619" w:hanging="619" w:hangingChars="295"/>
        <w:jc w:val="left"/>
        <w:rPr>
          <w:highlight w:val="none"/>
        </w:rPr>
      </w:pPr>
      <w:r>
        <w:rPr>
          <w:rFonts w:hint="eastAsia"/>
          <w:highlight w:val="none"/>
        </w:rPr>
        <w:t>任何一方迟延履行合同后遭受不可抗力的，不得减少、免除该方在本合同项下的任何义务和责任。</w:t>
      </w:r>
    </w:p>
    <w:p>
      <w:pPr>
        <w:widowControl/>
        <w:numPr>
          <w:ilvl w:val="0"/>
          <w:numId w:val="58"/>
        </w:numPr>
        <w:tabs>
          <w:tab w:val="left" w:pos="709"/>
          <w:tab w:val="clear" w:pos="0"/>
        </w:tabs>
        <w:spacing w:line="360" w:lineRule="auto"/>
        <w:ind w:left="619" w:hanging="619" w:hangingChars="295"/>
        <w:jc w:val="left"/>
        <w:rPr>
          <w:highlight w:val="none"/>
        </w:rPr>
      </w:pPr>
      <w:r>
        <w:rPr>
          <w:rFonts w:hint="eastAsia"/>
          <w:highlight w:val="none"/>
        </w:rPr>
        <w:t>不可抗力的发生不能造成任何一方支付额外款项、赔偿或其它救济方式，双方放弃对任何此类事项进行索赔的权利。</w:t>
      </w:r>
    </w:p>
    <w:p>
      <w:pPr>
        <w:numPr>
          <w:ilvl w:val="0"/>
          <w:numId w:val="27"/>
        </w:numPr>
        <w:spacing w:before="360" w:after="360"/>
        <w:jc w:val="center"/>
        <w:rPr>
          <w:b/>
          <w:sz w:val="24"/>
          <w:szCs w:val="24"/>
          <w:highlight w:val="none"/>
        </w:rPr>
      </w:pPr>
      <w:bookmarkStart w:id="438" w:name="_Toc17390398"/>
      <w:bookmarkStart w:id="439" w:name="_Toc5889397"/>
      <w:r>
        <w:rPr>
          <w:rFonts w:hint="eastAsia"/>
          <w:b/>
          <w:sz w:val="24"/>
          <w:szCs w:val="24"/>
          <w:highlight w:val="none"/>
        </w:rPr>
        <w:t>责任</w:t>
      </w:r>
      <w:bookmarkEnd w:id="430"/>
      <w:bookmarkEnd w:id="431"/>
      <w:bookmarkEnd w:id="432"/>
      <w:bookmarkEnd w:id="433"/>
      <w:bookmarkEnd w:id="434"/>
      <w:bookmarkEnd w:id="435"/>
      <w:bookmarkEnd w:id="436"/>
      <w:bookmarkEnd w:id="437"/>
      <w:bookmarkEnd w:id="438"/>
      <w:bookmarkEnd w:id="439"/>
    </w:p>
    <w:p>
      <w:pPr>
        <w:widowControl/>
        <w:numPr>
          <w:ilvl w:val="0"/>
          <w:numId w:val="60"/>
        </w:numPr>
        <w:tabs>
          <w:tab w:val="left" w:pos="720"/>
          <w:tab w:val="clear" w:pos="420"/>
        </w:tabs>
        <w:spacing w:line="360" w:lineRule="auto"/>
        <w:ind w:left="720" w:hanging="720"/>
        <w:jc w:val="left"/>
        <w:rPr>
          <w:rFonts w:cs="Arial"/>
          <w:highlight w:val="none"/>
        </w:rPr>
      </w:pPr>
      <w:bookmarkStart w:id="440" w:name="_DV_C956"/>
      <w:r>
        <w:rPr>
          <w:rFonts w:hint="eastAsia" w:cs="Arial"/>
          <w:highlight w:val="none"/>
        </w:rPr>
        <w:t>无论时间、地点、方式和原因，卖方、卖方代理或分包商（如有）因履行本合同或因货物存在缺陷造成任何第三方财产损失、损坏、人身伤亡或疾病，卖方应承担全部责任，并应确保买方免于所有相关的索赔、损失、损害、费用和责任，包括但不限于在买方因此需向第三方支付任何赔偿时，卖方均应全额予以补偿。</w:t>
      </w:r>
      <w:bookmarkEnd w:id="440"/>
      <w:bookmarkStart w:id="441" w:name="_DV_C957"/>
    </w:p>
    <w:bookmarkEnd w:id="441"/>
    <w:p>
      <w:pPr>
        <w:widowControl/>
        <w:numPr>
          <w:ilvl w:val="0"/>
          <w:numId w:val="60"/>
        </w:numPr>
        <w:tabs>
          <w:tab w:val="left" w:pos="720"/>
          <w:tab w:val="clear" w:pos="420"/>
        </w:tabs>
        <w:spacing w:line="360" w:lineRule="auto"/>
        <w:ind w:left="720" w:hanging="720"/>
        <w:jc w:val="left"/>
        <w:rPr>
          <w:rFonts w:cs="Arial"/>
          <w:highlight w:val="none"/>
        </w:rPr>
      </w:pPr>
      <w:bookmarkStart w:id="442" w:name="_DV_C958"/>
      <w:r>
        <w:rPr>
          <w:rFonts w:hint="eastAsia" w:cs="Arial"/>
          <w:highlight w:val="none"/>
        </w:rPr>
        <w:t>无论时间、地点、方式和原因，如因履行本合同，卖方及其人员、卖方代理、分包商及其人员（如有）的任何财产（包括但不限于设备、装置、器材等，且无论该等财产属于自有、租用、租赁或以其它方式提供）发生毁损、灭失或其它损失，除非该等损失系因买方故意或重大过失所致，卖方应自行承担全部损失，并应确保买方免于所有相关的索赔、损失、损害、费用和责任</w:t>
      </w:r>
      <w:bookmarkEnd w:id="442"/>
      <w:bookmarkStart w:id="443" w:name="_DV_C959"/>
      <w:r>
        <w:rPr>
          <w:rFonts w:hint="eastAsia" w:cs="Arial"/>
          <w:highlight w:val="none"/>
        </w:rPr>
        <w:t>。</w:t>
      </w:r>
    </w:p>
    <w:bookmarkEnd w:id="443"/>
    <w:p>
      <w:pPr>
        <w:widowControl/>
        <w:numPr>
          <w:ilvl w:val="0"/>
          <w:numId w:val="60"/>
        </w:numPr>
        <w:tabs>
          <w:tab w:val="left" w:pos="720"/>
          <w:tab w:val="clear" w:pos="420"/>
        </w:tabs>
        <w:spacing w:line="360" w:lineRule="auto"/>
        <w:ind w:left="720" w:hanging="720"/>
        <w:jc w:val="left"/>
        <w:rPr>
          <w:rFonts w:cs="Arial"/>
          <w:highlight w:val="none"/>
        </w:rPr>
      </w:pPr>
      <w:bookmarkStart w:id="444" w:name="_DV_C960"/>
      <w:r>
        <w:rPr>
          <w:rFonts w:hint="eastAsia" w:cs="Arial"/>
          <w:highlight w:val="none"/>
        </w:rPr>
        <w:t>无论时间、地点、方式和原因，如因履行本合同而发生的或与履行本合同有关的卖方、卖方代理及分包商（如有）的人员发生人身伤亡或疾病，除非该等人身伤亡或疾病系因买方故意或重大过失所致，卖方应对上述人员的人身伤亡或疾病负责，并应确保买方免于所有相关的索赔、损失、损害、费用和责任，包括但不限于在买方因此需要支付任何赔偿时，卖方均应全额予以补偿。</w:t>
      </w:r>
      <w:bookmarkEnd w:id="444"/>
      <w:bookmarkStart w:id="445" w:name="_DV_C961"/>
    </w:p>
    <w:bookmarkEnd w:id="445"/>
    <w:p>
      <w:pPr>
        <w:widowControl/>
        <w:numPr>
          <w:ilvl w:val="0"/>
          <w:numId w:val="60"/>
        </w:numPr>
        <w:tabs>
          <w:tab w:val="left" w:pos="720"/>
          <w:tab w:val="clear" w:pos="420"/>
        </w:tabs>
        <w:spacing w:line="360" w:lineRule="auto"/>
        <w:ind w:left="720" w:hanging="720"/>
        <w:jc w:val="left"/>
        <w:rPr>
          <w:rFonts w:cs="Arial"/>
          <w:highlight w:val="none"/>
        </w:rPr>
      </w:pPr>
      <w:bookmarkStart w:id="446" w:name="_DV_C962"/>
      <w:r>
        <w:rPr>
          <w:rFonts w:hint="eastAsia" w:cs="Arial"/>
          <w:highlight w:val="none"/>
        </w:rPr>
        <w:t>无论时间、地点、方式和原因，如因履行本合同或货物存在缺陷，卖方造成任何江、河、湖、海、陆地、大气及其它环境污染，卖方应单独承担全部责任，包括消除污染源、赔偿污染造成的损失、承担污染产生的法律责任和污染造成的停工损失等，并应确保买方免于所有相关的索赔、损失、损害、费用和责任，包括但不限于在买方因此需要支付任何赔偿时，卖方均应全额予以补偿。</w:t>
      </w:r>
      <w:bookmarkEnd w:id="446"/>
    </w:p>
    <w:p>
      <w:pPr>
        <w:numPr>
          <w:ilvl w:val="0"/>
          <w:numId w:val="27"/>
        </w:numPr>
        <w:spacing w:before="360" w:after="360"/>
        <w:jc w:val="center"/>
        <w:rPr>
          <w:b/>
          <w:sz w:val="24"/>
          <w:szCs w:val="24"/>
          <w:highlight w:val="none"/>
        </w:rPr>
      </w:pPr>
      <w:bookmarkStart w:id="447" w:name="_Toc296804743"/>
      <w:bookmarkEnd w:id="447"/>
      <w:bookmarkStart w:id="448" w:name="_Toc274344125"/>
      <w:bookmarkStart w:id="449" w:name="_Toc273458630"/>
      <w:bookmarkStart w:id="450" w:name="_Toc274668248"/>
      <w:bookmarkStart w:id="451" w:name="_Toc5889398"/>
      <w:bookmarkStart w:id="452" w:name="_Toc273451816"/>
      <w:bookmarkStart w:id="453" w:name="_Toc296955885"/>
      <w:bookmarkStart w:id="454" w:name="_Toc274669189"/>
      <w:bookmarkStart w:id="455" w:name="_Toc274075997"/>
      <w:bookmarkStart w:id="456" w:name="_Toc278889811"/>
      <w:bookmarkStart w:id="457" w:name="_Toc296959347"/>
      <w:bookmarkStart w:id="458" w:name="_Toc274403524"/>
      <w:bookmarkStart w:id="459" w:name="_Toc17390399"/>
      <w:bookmarkStart w:id="460" w:name="_Toc291435941"/>
      <w:bookmarkStart w:id="461" w:name="_Toc273388631"/>
      <w:bookmarkStart w:id="462" w:name="_Toc274343593"/>
      <w:bookmarkStart w:id="463" w:name="_Toc300671226"/>
      <w:bookmarkStart w:id="464" w:name="_Toc274754058"/>
      <w:bookmarkStart w:id="465" w:name="_Toc273388532"/>
      <w:bookmarkStart w:id="466" w:name="_Toc291435874"/>
      <w:r>
        <w:rPr>
          <w:rFonts w:hint="eastAsia"/>
          <w:b/>
          <w:sz w:val="24"/>
          <w:szCs w:val="24"/>
          <w:highlight w:val="none"/>
        </w:rPr>
        <w:t>税费</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pPr>
        <w:widowControl/>
        <w:numPr>
          <w:ilvl w:val="0"/>
          <w:numId w:val="61"/>
        </w:numPr>
        <w:tabs>
          <w:tab w:val="left" w:pos="709"/>
        </w:tabs>
        <w:spacing w:line="360" w:lineRule="auto"/>
        <w:ind w:left="720" w:hanging="720"/>
        <w:jc w:val="left"/>
        <w:rPr>
          <w:highlight w:val="none"/>
        </w:rPr>
      </w:pPr>
      <w:r>
        <w:rPr>
          <w:rFonts w:hint="eastAsia" w:cs="宋体"/>
          <w:highlight w:val="none"/>
        </w:rPr>
        <w:t>对于在中华人民共和国境内发生的税费，买卖双方应根据法律法规各自承担。</w:t>
      </w:r>
    </w:p>
    <w:p>
      <w:pPr>
        <w:widowControl/>
        <w:numPr>
          <w:ilvl w:val="0"/>
          <w:numId w:val="61"/>
        </w:numPr>
        <w:tabs>
          <w:tab w:val="left" w:pos="709"/>
        </w:tabs>
        <w:spacing w:line="360" w:lineRule="auto"/>
        <w:ind w:left="720" w:hanging="720"/>
        <w:jc w:val="left"/>
        <w:rPr>
          <w:highlight w:val="none"/>
        </w:rPr>
      </w:pPr>
      <w:r>
        <w:rPr>
          <w:rFonts w:hint="eastAsia" w:cs="宋体"/>
          <w:highlight w:val="none"/>
        </w:rPr>
        <w:t>对于在中华人民共和国境内发生的税费，买方有权根据法律法规和本合同的相关规定从应支付给卖方的合同价款中扣除由买方代扣、代缴的卖方应付税费，但应当向卖方提交完税证明。</w:t>
      </w:r>
    </w:p>
    <w:p>
      <w:pPr>
        <w:widowControl/>
        <w:numPr>
          <w:ilvl w:val="0"/>
          <w:numId w:val="61"/>
        </w:numPr>
        <w:tabs>
          <w:tab w:val="left" w:pos="709"/>
        </w:tabs>
        <w:spacing w:line="360" w:lineRule="auto"/>
        <w:ind w:left="720" w:hanging="720"/>
        <w:jc w:val="left"/>
        <w:rPr>
          <w:highlight w:val="none"/>
        </w:rPr>
      </w:pPr>
      <w:r>
        <w:rPr>
          <w:rFonts w:hint="eastAsia" w:cs="宋体"/>
          <w:highlight w:val="none"/>
        </w:rPr>
        <w:t>对于在中华人民共和国境外发生的税费，由卖方承担。</w:t>
      </w:r>
    </w:p>
    <w:p>
      <w:pPr>
        <w:widowControl/>
        <w:numPr>
          <w:ilvl w:val="0"/>
          <w:numId w:val="61"/>
        </w:numPr>
        <w:tabs>
          <w:tab w:val="left" w:pos="709"/>
        </w:tabs>
        <w:spacing w:line="360" w:lineRule="auto"/>
        <w:ind w:left="720" w:hanging="720"/>
        <w:jc w:val="left"/>
        <w:rPr>
          <w:highlight w:val="none"/>
        </w:rPr>
      </w:pPr>
      <w:bookmarkStart w:id="467" w:name="_DV_C973"/>
      <w:r>
        <w:rPr>
          <w:rFonts w:hint="eastAsia" w:cs="宋体"/>
          <w:highlight w:val="none"/>
        </w:rPr>
        <w:t>为本条之目的，</w:t>
      </w:r>
      <w:bookmarkEnd w:id="467"/>
      <w:bookmarkStart w:id="468" w:name="_DV_C974"/>
      <w:bookmarkStart w:id="469" w:name="_DV_X970"/>
      <w:r>
        <w:rPr>
          <w:rFonts w:hint="eastAsia" w:cs="宋体"/>
          <w:highlight w:val="none"/>
        </w:rPr>
        <w:t>“中华人民共和国境外”包括香港特别行政区、澳门特别行政区和台湾地区</w:t>
      </w:r>
      <w:bookmarkEnd w:id="468"/>
      <w:bookmarkEnd w:id="469"/>
      <w:r>
        <w:rPr>
          <w:rFonts w:hint="eastAsia" w:cs="宋体"/>
          <w:highlight w:val="none"/>
        </w:rPr>
        <w:t>。</w:t>
      </w:r>
    </w:p>
    <w:p>
      <w:pPr>
        <w:numPr>
          <w:ilvl w:val="0"/>
          <w:numId w:val="27"/>
        </w:numPr>
        <w:spacing w:before="360" w:after="360"/>
        <w:jc w:val="center"/>
        <w:rPr>
          <w:b/>
          <w:sz w:val="24"/>
          <w:szCs w:val="24"/>
          <w:highlight w:val="none"/>
        </w:rPr>
      </w:pPr>
      <w:bookmarkStart w:id="470" w:name="_Toc287977559"/>
      <w:bookmarkStart w:id="471" w:name="_Toc296955886"/>
      <w:bookmarkStart w:id="472" w:name="_Toc296959348"/>
      <w:bookmarkStart w:id="473" w:name="_Toc5889399"/>
      <w:bookmarkStart w:id="474" w:name="_Toc17390400"/>
      <w:bookmarkStart w:id="475" w:name="_Toc288479437"/>
      <w:bookmarkStart w:id="476" w:name="_Toc300671227"/>
      <w:r>
        <w:rPr>
          <w:rFonts w:hint="eastAsia"/>
          <w:b/>
          <w:sz w:val="24"/>
          <w:szCs w:val="24"/>
          <w:highlight w:val="none"/>
        </w:rPr>
        <w:t>审计</w:t>
      </w:r>
      <w:bookmarkEnd w:id="470"/>
      <w:r>
        <w:rPr>
          <w:rFonts w:hint="eastAsia"/>
          <w:b/>
          <w:sz w:val="24"/>
          <w:szCs w:val="24"/>
          <w:highlight w:val="none"/>
        </w:rPr>
        <w:t>和记录</w:t>
      </w:r>
      <w:bookmarkEnd w:id="471"/>
      <w:bookmarkEnd w:id="472"/>
      <w:bookmarkEnd w:id="473"/>
      <w:bookmarkEnd w:id="474"/>
      <w:bookmarkEnd w:id="475"/>
      <w:bookmarkEnd w:id="476"/>
    </w:p>
    <w:p>
      <w:pPr>
        <w:numPr>
          <w:ilvl w:val="0"/>
          <w:numId w:val="62"/>
        </w:numPr>
        <w:tabs>
          <w:tab w:val="left" w:pos="720"/>
          <w:tab w:val="left" w:pos="3060"/>
        </w:tabs>
        <w:spacing w:line="360" w:lineRule="auto"/>
        <w:ind w:left="720" w:hanging="720"/>
        <w:rPr>
          <w:rFonts w:cs="宋体"/>
          <w:highlight w:val="none"/>
        </w:rPr>
      </w:pPr>
      <w:r>
        <w:rPr>
          <w:rFonts w:hint="eastAsia" w:cs="宋体"/>
          <w:highlight w:val="none"/>
        </w:rPr>
        <w:t>卖方应根据买方要求，无条件接受和配合买方或买方委托的会计师事务所进行的与本合同相关的审计，并应在分包合同（如有）中要求其分包商接受相同的审计要求。</w:t>
      </w:r>
    </w:p>
    <w:p>
      <w:pPr>
        <w:numPr>
          <w:ilvl w:val="0"/>
          <w:numId w:val="62"/>
        </w:numPr>
        <w:tabs>
          <w:tab w:val="left" w:pos="720"/>
          <w:tab w:val="left" w:pos="3060"/>
        </w:tabs>
        <w:spacing w:line="360" w:lineRule="auto"/>
        <w:ind w:left="720" w:hanging="720"/>
        <w:rPr>
          <w:highlight w:val="none"/>
        </w:rPr>
      </w:pPr>
      <w:r>
        <w:rPr>
          <w:rFonts w:hint="eastAsia" w:cs="宋体"/>
          <w:highlight w:val="none"/>
        </w:rPr>
        <w:t>卖方及其分包商（如有）应保存与本合同相关的记录和账目，保存期限为货物质保期结束后十五年。该等记录和账目应详细记载因履行本合同发生的任何直接或间接费用（包括分包商发生的费用）。经提前通知，买方或其委托的会计师事务所有权检查并复制该等记录和账目。</w:t>
      </w:r>
    </w:p>
    <w:p>
      <w:pPr>
        <w:numPr>
          <w:ilvl w:val="0"/>
          <w:numId w:val="27"/>
        </w:numPr>
        <w:spacing w:before="360" w:after="360"/>
        <w:jc w:val="center"/>
        <w:rPr>
          <w:b/>
          <w:sz w:val="24"/>
          <w:szCs w:val="24"/>
          <w:highlight w:val="none"/>
        </w:rPr>
      </w:pPr>
      <w:bookmarkStart w:id="477" w:name="_Toc274344126"/>
      <w:bookmarkStart w:id="478" w:name="_Toc300671228"/>
      <w:bookmarkStart w:id="479" w:name="_Toc296955887"/>
      <w:bookmarkStart w:id="480" w:name="_Toc5889400"/>
      <w:bookmarkStart w:id="481" w:name="_Toc291435942"/>
      <w:bookmarkStart w:id="482" w:name="_Toc274403525"/>
      <w:bookmarkStart w:id="483" w:name="_Toc274343594"/>
      <w:bookmarkStart w:id="484" w:name="_Toc274669190"/>
      <w:bookmarkStart w:id="485" w:name="_Toc296959349"/>
      <w:bookmarkStart w:id="486" w:name="_Toc274754059"/>
      <w:bookmarkStart w:id="487" w:name="_Toc278889812"/>
      <w:bookmarkStart w:id="488" w:name="_Toc291435875"/>
      <w:bookmarkStart w:id="489" w:name="_Toc274668249"/>
      <w:bookmarkStart w:id="490" w:name="_Toc17390401"/>
      <w:r>
        <w:rPr>
          <w:rFonts w:hint="eastAsia"/>
          <w:b/>
          <w:sz w:val="24"/>
          <w:szCs w:val="24"/>
          <w:highlight w:val="none"/>
        </w:rPr>
        <w:t>通知</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pPr>
        <w:widowControl/>
        <w:numPr>
          <w:ilvl w:val="0"/>
          <w:numId w:val="63"/>
        </w:numPr>
        <w:tabs>
          <w:tab w:val="left" w:pos="720"/>
        </w:tabs>
        <w:spacing w:line="360" w:lineRule="auto"/>
        <w:ind w:left="720" w:hanging="720"/>
        <w:jc w:val="left"/>
        <w:rPr>
          <w:highlight w:val="none"/>
        </w:rPr>
      </w:pPr>
      <w:r>
        <w:rPr>
          <w:rFonts w:hint="eastAsia" w:cs="宋体"/>
          <w:highlight w:val="none"/>
        </w:rPr>
        <w:t>通知应根据本合同规定以亲自递送、特快专递、传真等方式送达。买方、卖方或相关第三方的地址、邮政编码、联系人、联系电话、传真号码等如有变更，应及时书面通知对方。</w:t>
      </w:r>
    </w:p>
    <w:p>
      <w:pPr>
        <w:widowControl/>
        <w:numPr>
          <w:ilvl w:val="0"/>
          <w:numId w:val="63"/>
        </w:numPr>
        <w:tabs>
          <w:tab w:val="left" w:pos="720"/>
        </w:tabs>
        <w:spacing w:line="360" w:lineRule="auto"/>
        <w:ind w:left="720" w:hanging="720"/>
        <w:jc w:val="left"/>
        <w:rPr>
          <w:highlight w:val="none"/>
        </w:rPr>
      </w:pPr>
      <w:r>
        <w:rPr>
          <w:rFonts w:hint="eastAsia" w:cs="宋体"/>
          <w:highlight w:val="none"/>
        </w:rPr>
        <w:t>通知在下列情况视为送达：</w:t>
      </w:r>
    </w:p>
    <w:p>
      <w:pPr>
        <w:widowControl/>
        <w:numPr>
          <w:ilvl w:val="1"/>
          <w:numId w:val="64"/>
        </w:numPr>
        <w:tabs>
          <w:tab w:val="left" w:pos="1260"/>
        </w:tabs>
        <w:spacing w:line="360" w:lineRule="auto"/>
        <w:ind w:left="1134"/>
        <w:jc w:val="left"/>
        <w:rPr>
          <w:highlight w:val="none"/>
        </w:rPr>
      </w:pPr>
      <w:r>
        <w:rPr>
          <w:rFonts w:hint="eastAsia" w:cs="宋体"/>
          <w:highlight w:val="none"/>
        </w:rPr>
        <w:t>如采用亲自递送方式，于签收确认之时；</w:t>
      </w:r>
    </w:p>
    <w:p>
      <w:pPr>
        <w:widowControl/>
        <w:numPr>
          <w:ilvl w:val="1"/>
          <w:numId w:val="64"/>
        </w:numPr>
        <w:tabs>
          <w:tab w:val="left" w:pos="1260"/>
        </w:tabs>
        <w:spacing w:line="360" w:lineRule="auto"/>
        <w:ind w:left="1134"/>
        <w:jc w:val="left"/>
        <w:rPr>
          <w:highlight w:val="none"/>
        </w:rPr>
      </w:pPr>
      <w:r>
        <w:rPr>
          <w:rFonts w:hint="eastAsia" w:cs="宋体"/>
          <w:highlight w:val="none"/>
        </w:rPr>
        <w:t>如采用特快专递方式，于收件人签收之时；</w:t>
      </w:r>
    </w:p>
    <w:p>
      <w:pPr>
        <w:widowControl/>
        <w:numPr>
          <w:ilvl w:val="1"/>
          <w:numId w:val="64"/>
        </w:numPr>
        <w:tabs>
          <w:tab w:val="left" w:pos="1260"/>
        </w:tabs>
        <w:spacing w:line="360" w:lineRule="auto"/>
        <w:ind w:left="1134"/>
        <w:jc w:val="left"/>
        <w:rPr>
          <w:highlight w:val="none"/>
        </w:rPr>
      </w:pPr>
      <w:r>
        <w:rPr>
          <w:rFonts w:hint="eastAsia" w:cs="宋体"/>
          <w:highlight w:val="none"/>
        </w:rPr>
        <w:t>如采用传真方式，于确认传输之时。</w:t>
      </w:r>
    </w:p>
    <w:p>
      <w:pPr>
        <w:widowControl/>
        <w:numPr>
          <w:ilvl w:val="0"/>
          <w:numId w:val="63"/>
        </w:numPr>
        <w:tabs>
          <w:tab w:val="left" w:pos="720"/>
        </w:tabs>
        <w:spacing w:line="360" w:lineRule="auto"/>
        <w:ind w:left="720" w:hanging="720"/>
        <w:jc w:val="left"/>
        <w:rPr>
          <w:highlight w:val="none"/>
        </w:rPr>
      </w:pPr>
      <w:r>
        <w:rPr>
          <w:rFonts w:hint="eastAsia" w:cs="宋体"/>
          <w:highlight w:val="none"/>
        </w:rPr>
        <w:t>通知在接收方正常工作期间送达视为生效。如果不在正常的工作期间，则视为于随后的第一个工作日上午十点送达。</w:t>
      </w:r>
    </w:p>
    <w:p>
      <w:pPr>
        <w:numPr>
          <w:ilvl w:val="0"/>
          <w:numId w:val="27"/>
        </w:numPr>
        <w:spacing w:before="360" w:after="360"/>
        <w:jc w:val="center"/>
        <w:rPr>
          <w:b/>
          <w:sz w:val="24"/>
          <w:szCs w:val="24"/>
          <w:highlight w:val="none"/>
        </w:rPr>
      </w:pPr>
      <w:bookmarkStart w:id="491" w:name="_Toc273388632"/>
      <w:bookmarkStart w:id="492" w:name="_Toc274343595"/>
      <w:bookmarkStart w:id="493" w:name="_Toc273388533"/>
      <w:bookmarkStart w:id="494" w:name="_Toc274668250"/>
      <w:bookmarkStart w:id="495" w:name="_Toc5889401"/>
      <w:bookmarkStart w:id="496" w:name="_Toc291435943"/>
      <w:bookmarkStart w:id="497" w:name="_Toc274344127"/>
      <w:bookmarkStart w:id="498" w:name="_Toc274669191"/>
      <w:bookmarkStart w:id="499" w:name="_Toc273458631"/>
      <w:bookmarkStart w:id="500" w:name="_Toc273451817"/>
      <w:bookmarkStart w:id="501" w:name="_Toc274403526"/>
      <w:bookmarkStart w:id="502" w:name="_Toc291435876"/>
      <w:bookmarkStart w:id="503" w:name="_Toc296955888"/>
      <w:bookmarkStart w:id="504" w:name="_Toc296959350"/>
      <w:bookmarkStart w:id="505" w:name="_Toc17390402"/>
      <w:bookmarkStart w:id="506" w:name="_Toc278889813"/>
      <w:bookmarkStart w:id="507" w:name="_Toc300671229"/>
      <w:bookmarkStart w:id="508" w:name="_Toc274754060"/>
      <w:bookmarkStart w:id="509" w:name="_Toc274075998"/>
      <w:r>
        <w:rPr>
          <w:rFonts w:hint="eastAsia"/>
          <w:b/>
          <w:sz w:val="24"/>
          <w:szCs w:val="24"/>
          <w:highlight w:val="none"/>
        </w:rPr>
        <w:t>适用法律</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pPr>
        <w:widowControl/>
        <w:numPr>
          <w:ilvl w:val="0"/>
          <w:numId w:val="65"/>
        </w:numPr>
        <w:tabs>
          <w:tab w:val="left" w:pos="720"/>
          <w:tab w:val="clear" w:pos="0"/>
        </w:tabs>
        <w:spacing w:line="360" w:lineRule="auto"/>
        <w:ind w:left="720" w:hanging="720"/>
        <w:jc w:val="left"/>
        <w:rPr>
          <w:highlight w:val="none"/>
        </w:rPr>
      </w:pPr>
      <w:r>
        <w:rPr>
          <w:rFonts w:hint="eastAsia" w:cs="宋体"/>
          <w:highlight w:val="none"/>
        </w:rPr>
        <w:t>本合同适用中国法律。</w:t>
      </w:r>
    </w:p>
    <w:p>
      <w:pPr>
        <w:numPr>
          <w:ilvl w:val="0"/>
          <w:numId w:val="27"/>
        </w:numPr>
        <w:spacing w:before="360" w:after="360"/>
        <w:jc w:val="center"/>
        <w:rPr>
          <w:b/>
          <w:sz w:val="24"/>
          <w:szCs w:val="24"/>
          <w:highlight w:val="none"/>
        </w:rPr>
      </w:pPr>
      <w:bookmarkStart w:id="510" w:name="_Toc274343596"/>
      <w:bookmarkStart w:id="511" w:name="_Toc273388633"/>
      <w:bookmarkStart w:id="512" w:name="_Toc278889814"/>
      <w:bookmarkStart w:id="513" w:name="_Toc296955889"/>
      <w:bookmarkStart w:id="514" w:name="_Toc274075999"/>
      <w:bookmarkStart w:id="515" w:name="_Toc291435944"/>
      <w:bookmarkStart w:id="516" w:name="_Toc274668251"/>
      <w:bookmarkStart w:id="517" w:name="_Toc273451818"/>
      <w:bookmarkStart w:id="518" w:name="_Toc5889402"/>
      <w:bookmarkStart w:id="519" w:name="_Toc17390403"/>
      <w:bookmarkStart w:id="520" w:name="_Toc300671230"/>
      <w:bookmarkStart w:id="521" w:name="_Toc273458632"/>
      <w:bookmarkStart w:id="522" w:name="_Toc291435877"/>
      <w:bookmarkStart w:id="523" w:name="_Toc274403527"/>
      <w:bookmarkStart w:id="524" w:name="_Toc274344128"/>
      <w:bookmarkStart w:id="525" w:name="_Toc273388534"/>
      <w:bookmarkStart w:id="526" w:name="_Toc274754061"/>
      <w:bookmarkStart w:id="527" w:name="_Toc296959351"/>
      <w:bookmarkStart w:id="528" w:name="_Toc274669192"/>
      <w:r>
        <w:rPr>
          <w:rFonts w:hint="eastAsia"/>
          <w:b/>
          <w:sz w:val="24"/>
          <w:szCs w:val="24"/>
          <w:highlight w:val="none"/>
        </w:rPr>
        <w:t>合同语言</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pPr>
        <w:widowControl/>
        <w:numPr>
          <w:ilvl w:val="2"/>
          <w:numId w:val="66"/>
        </w:numPr>
        <w:tabs>
          <w:tab w:val="left" w:pos="720"/>
        </w:tabs>
        <w:spacing w:line="360" w:lineRule="auto"/>
        <w:ind w:left="720" w:hanging="720"/>
        <w:jc w:val="left"/>
        <w:rPr>
          <w:highlight w:val="none"/>
        </w:rPr>
      </w:pPr>
      <w:r>
        <w:rPr>
          <w:rFonts w:hint="eastAsia" w:cs="宋体"/>
          <w:highlight w:val="none"/>
        </w:rPr>
        <w:t>除本合同另有明确规定或双方另行同意外，本合同及本合同项下的任何文件及往来函电均采用中文书写。</w:t>
      </w:r>
    </w:p>
    <w:p>
      <w:pPr>
        <w:numPr>
          <w:ilvl w:val="0"/>
          <w:numId w:val="27"/>
        </w:numPr>
        <w:spacing w:before="360" w:after="360"/>
        <w:jc w:val="center"/>
        <w:rPr>
          <w:b/>
          <w:sz w:val="24"/>
          <w:szCs w:val="24"/>
          <w:highlight w:val="none"/>
        </w:rPr>
      </w:pPr>
      <w:bookmarkStart w:id="529" w:name="_Toc300671231"/>
      <w:bookmarkStart w:id="530" w:name="_Toc5889403"/>
      <w:bookmarkStart w:id="531" w:name="_Toc17390404"/>
      <w:r>
        <w:rPr>
          <w:rFonts w:hint="eastAsia"/>
          <w:b/>
          <w:sz w:val="24"/>
          <w:szCs w:val="24"/>
          <w:highlight w:val="none"/>
        </w:rPr>
        <w:t>标题</w:t>
      </w:r>
      <w:bookmarkEnd w:id="529"/>
      <w:bookmarkEnd w:id="530"/>
      <w:bookmarkEnd w:id="531"/>
    </w:p>
    <w:p>
      <w:pPr>
        <w:widowControl/>
        <w:numPr>
          <w:ilvl w:val="0"/>
          <w:numId w:val="67"/>
        </w:numPr>
        <w:tabs>
          <w:tab w:val="left" w:pos="720"/>
        </w:tabs>
        <w:spacing w:line="360" w:lineRule="auto"/>
        <w:ind w:left="720" w:hanging="720"/>
        <w:jc w:val="left"/>
        <w:rPr>
          <w:highlight w:val="none"/>
        </w:rPr>
      </w:pPr>
      <w:r>
        <w:rPr>
          <w:rFonts w:hint="eastAsia" w:cs="宋"/>
          <w:highlight w:val="none"/>
        </w:rPr>
        <w:t>本合同各部分及各条款的标题仅为方便阅读而设</w:t>
      </w:r>
      <w:r>
        <w:rPr>
          <w:rFonts w:hint="eastAsia"/>
          <w:highlight w:val="none"/>
        </w:rPr>
        <w:t>，</w:t>
      </w:r>
      <w:r>
        <w:rPr>
          <w:rFonts w:hint="eastAsia" w:cs="宋"/>
          <w:highlight w:val="none"/>
        </w:rPr>
        <w:t>不影响对条款实质内容的解释。</w:t>
      </w:r>
    </w:p>
    <w:p>
      <w:pPr>
        <w:numPr>
          <w:ilvl w:val="0"/>
          <w:numId w:val="27"/>
        </w:numPr>
        <w:spacing w:before="360" w:after="360"/>
        <w:jc w:val="center"/>
        <w:rPr>
          <w:b/>
          <w:sz w:val="24"/>
          <w:szCs w:val="24"/>
          <w:highlight w:val="none"/>
        </w:rPr>
      </w:pPr>
      <w:bookmarkStart w:id="532" w:name="_Toc5889404"/>
      <w:bookmarkStart w:id="533" w:name="_Toc17390405"/>
      <w:r>
        <w:rPr>
          <w:rFonts w:hint="eastAsia"/>
          <w:b/>
          <w:sz w:val="24"/>
          <w:szCs w:val="24"/>
          <w:highlight w:val="none"/>
        </w:rPr>
        <w:t>其它</w:t>
      </w:r>
      <w:bookmarkEnd w:id="532"/>
      <w:bookmarkEnd w:id="533"/>
    </w:p>
    <w:p>
      <w:pPr>
        <w:numPr>
          <w:ilvl w:val="0"/>
          <w:numId w:val="68"/>
        </w:numPr>
        <w:tabs>
          <w:tab w:val="left" w:pos="709"/>
        </w:tabs>
        <w:spacing w:line="360" w:lineRule="auto"/>
        <w:ind w:left="709" w:hanging="709"/>
        <w:rPr>
          <w:rFonts w:ascii="宋体" w:hAnsi="宋体"/>
        </w:rPr>
      </w:pPr>
      <w:r>
        <w:rPr>
          <w:rFonts w:hint="eastAsia" w:ascii="Times New Roman" w:hAnsi="Times New Roman"/>
          <w:color w:val="auto"/>
          <w:highlight w:val="none"/>
        </w:rPr>
        <w:t>在本合同签订时如卖方属于《保障中小企业款项支付条例》（“条例”）规定的中小企业，本合同所约定的付款期限、方式、条件和违约责任等交易条件应遵守该条例的规定。如本合同约定的任何交易条件违反该条例，买方应按照符合该条例规定的交易条件履行合同，并应按照条例的规定与卖方协商变更本合同的该等交易条件，以保障卖方享有条例规定的合法权益。</w:t>
      </w:r>
    </w:p>
    <w:p>
      <w:pPr>
        <w:widowControl/>
        <w:numPr>
          <w:ilvl w:val="0"/>
          <w:numId w:val="68"/>
        </w:numPr>
        <w:tabs>
          <w:tab w:val="left" w:pos="709"/>
        </w:tabs>
        <w:spacing w:line="360" w:lineRule="auto"/>
        <w:ind w:left="709" w:hanging="709"/>
        <w:jc w:val="left"/>
        <w:rPr>
          <w:highlight w:val="none"/>
        </w:rPr>
      </w:pPr>
      <w:r>
        <w:rPr>
          <w:rFonts w:hint="eastAsia"/>
          <w:highlight w:val="none"/>
        </w:rPr>
        <w:t>本合同的任何变更、修改或增减，须经双方协商一致、法定代表人或授权代表签署书面文件并盖章后生效。</w:t>
      </w:r>
    </w:p>
    <w:p>
      <w:pPr>
        <w:widowControl/>
        <w:numPr>
          <w:ilvl w:val="0"/>
          <w:numId w:val="68"/>
        </w:numPr>
        <w:tabs>
          <w:tab w:val="left" w:pos="709"/>
        </w:tabs>
        <w:spacing w:line="360" w:lineRule="auto"/>
        <w:ind w:left="709" w:hanging="709"/>
        <w:jc w:val="left"/>
        <w:rPr>
          <w:highlight w:val="none"/>
        </w:rPr>
      </w:pPr>
      <w:r>
        <w:rPr>
          <w:rFonts w:hint="eastAsia"/>
          <w:highlight w:val="none"/>
        </w:rPr>
        <w:t>本合同系买卖双方反复协商、讨论的结果，合同内容非一方当事人事先拟定。本合同不属于格式合同，条款内容不属于格式条款。</w:t>
      </w:r>
    </w:p>
    <w:p>
      <w:pPr>
        <w:widowControl/>
        <w:numPr>
          <w:ilvl w:val="0"/>
          <w:numId w:val="68"/>
        </w:numPr>
        <w:tabs>
          <w:tab w:val="left" w:pos="709"/>
        </w:tabs>
        <w:spacing w:line="360" w:lineRule="auto"/>
        <w:ind w:left="709" w:hanging="709"/>
        <w:jc w:val="left"/>
        <w:rPr>
          <w:highlight w:val="none"/>
        </w:rPr>
      </w:pPr>
      <w:r>
        <w:rPr>
          <w:rFonts w:hint="eastAsia"/>
          <w:highlight w:val="none"/>
        </w:rPr>
        <w:t>未经另一方事先书面同意，任何一方不得以任何方式在其机构外使用另一方的名称、商品商标、服务商标、企业标志、商号或品牌。</w:t>
      </w:r>
    </w:p>
    <w:p>
      <w:pPr>
        <w:widowControl/>
        <w:numPr>
          <w:ilvl w:val="0"/>
          <w:numId w:val="68"/>
        </w:numPr>
        <w:tabs>
          <w:tab w:val="left" w:pos="709"/>
        </w:tabs>
        <w:spacing w:line="360" w:lineRule="auto"/>
        <w:ind w:left="709" w:hanging="709"/>
        <w:jc w:val="left"/>
        <w:rPr>
          <w:highlight w:val="none"/>
        </w:rPr>
      </w:pPr>
      <w:r>
        <w:rPr>
          <w:rFonts w:hint="eastAsia"/>
          <w:highlight w:val="none"/>
        </w:rPr>
        <w:t>如果本合同的任何条款或规定被裁定为无效、不合法或不可强制执行，该条款或规定应视为被删除，本合同其它条款不受影响，仍继续有效。</w:t>
      </w:r>
    </w:p>
    <w:p>
      <w:pPr>
        <w:widowControl/>
        <w:numPr>
          <w:ilvl w:val="0"/>
          <w:numId w:val="68"/>
        </w:numPr>
        <w:tabs>
          <w:tab w:val="left" w:pos="709"/>
        </w:tabs>
        <w:spacing w:line="360" w:lineRule="auto"/>
        <w:ind w:left="709" w:hanging="709"/>
        <w:jc w:val="left"/>
        <w:rPr>
          <w:highlight w:val="none"/>
        </w:rPr>
      </w:pPr>
      <w:r>
        <w:rPr>
          <w:rFonts w:hint="eastAsia"/>
          <w:highlight w:val="none"/>
        </w:rPr>
        <w:t>本合同履行过程中，如卖方发生重组、合并、分立、重大股权或资产转让，应及时通知买方。经买方事先书面同意，卖方应安排具有相应资质的主体继续履行本合同，否则卖方不得执行前述重组、合并、分立或转让。卖方应根据买方的要求，为继续履行本合同的主体安排履约担保。</w:t>
      </w:r>
    </w:p>
    <w:p>
      <w:pPr>
        <w:pStyle w:val="26"/>
        <w:widowControl/>
        <w:tabs>
          <w:tab w:val="left" w:pos="709"/>
        </w:tabs>
        <w:spacing w:line="360" w:lineRule="auto"/>
        <w:ind w:right="11"/>
        <w:rPr>
          <w:highlight w:val="none"/>
        </w:rPr>
      </w:pPr>
      <w:r>
        <w:rPr>
          <w:rFonts w:hint="eastAsia"/>
          <w:highlight w:val="none"/>
        </w:rPr>
        <w:t>本合同解除或终止后，本合同项下关于知识产权、保密、保证、责任、适用法律、争议解决和其它具有持续性效力的条款继续有效。</w:t>
      </w:r>
    </w:p>
    <w:p>
      <w:pPr>
        <w:pStyle w:val="26"/>
        <w:widowControl/>
        <w:tabs>
          <w:tab w:val="left" w:pos="709"/>
        </w:tabs>
        <w:spacing w:line="360" w:lineRule="auto"/>
        <w:ind w:right="11"/>
        <w:rPr>
          <w:highlight w:val="none"/>
        </w:rPr>
      </w:pPr>
    </w:p>
    <w:p>
      <w:pPr>
        <w:pStyle w:val="26"/>
        <w:widowControl/>
        <w:tabs>
          <w:tab w:val="left" w:pos="709"/>
        </w:tabs>
        <w:spacing w:line="360" w:lineRule="auto"/>
        <w:ind w:right="11"/>
        <w:jc w:val="center"/>
        <w:rPr>
          <w:b/>
          <w:bCs/>
          <w:highlight w:val="none"/>
        </w:rPr>
      </w:pPr>
      <w:r>
        <w:rPr>
          <w:color w:val="000000"/>
          <w:highlight w:val="none"/>
        </w:rPr>
        <w:br w:type="page"/>
      </w:r>
      <w:bookmarkEnd w:id="61"/>
      <w:bookmarkStart w:id="534" w:name="_Toc296804740"/>
      <w:bookmarkEnd w:id="534"/>
      <w:bookmarkStart w:id="535" w:name="_Toc297106712"/>
      <w:bookmarkStart w:id="536" w:name="_Toc306354381"/>
      <w:bookmarkStart w:id="537" w:name="_Toc300671233"/>
      <w:r>
        <w:rPr>
          <w:rFonts w:hint="eastAsia" w:hAnsi="宋体" w:cs="宋体"/>
          <w:color w:val="000000"/>
          <w:sz w:val="36"/>
          <w:szCs w:val="36"/>
          <w:highlight w:val="none"/>
        </w:rPr>
        <w:t>第四部分合同附件</w:t>
      </w:r>
      <w:bookmarkEnd w:id="535"/>
      <w:bookmarkEnd w:id="536"/>
      <w:bookmarkEnd w:id="537"/>
    </w:p>
    <w:p>
      <w:pPr>
        <w:rPr>
          <w:highlight w:val="none"/>
        </w:rPr>
      </w:pPr>
      <w:bookmarkStart w:id="538" w:name="_Toc306354382"/>
      <w:bookmarkStart w:id="539" w:name="_Toc300671234"/>
      <w:r>
        <w:rPr>
          <w:rFonts w:hint="eastAsia"/>
          <w:highlight w:val="none"/>
        </w:rPr>
        <w:t>合同附件一：货物清单及价格明细（格式）</w:t>
      </w:r>
      <w:bookmarkEnd w:id="538"/>
      <w:bookmarkEnd w:id="539"/>
    </w:p>
    <w:p>
      <w:pPr>
        <w:pStyle w:val="26"/>
        <w:ind w:right="10"/>
        <w:rPr>
          <w:highlight w:val="none"/>
        </w:rPr>
      </w:pPr>
    </w:p>
    <w:p>
      <w:pPr>
        <w:rPr>
          <w:rFonts w:ascii="宋体" w:hAnsi="宋体" w:cs="宋体"/>
          <w:iCs/>
          <w:sz w:val="24"/>
          <w:szCs w:val="24"/>
          <w:highlight w:val="none"/>
        </w:rPr>
      </w:pPr>
      <w:bookmarkStart w:id="540" w:name="_Toc306354383"/>
      <w:bookmarkStart w:id="541" w:name="_Toc300671235"/>
      <w:r>
        <w:rPr>
          <w:rFonts w:hint="eastAsia"/>
          <w:highlight w:val="none"/>
        </w:rPr>
        <w:t>合同附件二：技术</w:t>
      </w:r>
      <w:bookmarkEnd w:id="540"/>
      <w:bookmarkEnd w:id="541"/>
      <w:r>
        <w:rPr>
          <w:rFonts w:hint="eastAsia"/>
          <w:highlight w:val="none"/>
        </w:rPr>
        <w:t>要求书</w:t>
      </w:r>
    </w:p>
    <w:p>
      <w:pPr>
        <w:pStyle w:val="26"/>
        <w:ind w:right="10"/>
        <w:rPr>
          <w:highlight w:val="none"/>
        </w:rPr>
      </w:pPr>
    </w:p>
    <w:p>
      <w:pPr>
        <w:outlineLvl w:val="0"/>
        <w:rPr>
          <w:highlight w:val="none"/>
        </w:rPr>
      </w:pPr>
      <w:bookmarkStart w:id="542" w:name="_Toc306354384"/>
      <w:bookmarkStart w:id="543" w:name="_Toc300671236"/>
      <w:r>
        <w:rPr>
          <w:rFonts w:hint="eastAsia"/>
          <w:highlight w:val="none"/>
        </w:rPr>
        <w:t>合同附件三：采购订单及发货清单（格式）</w:t>
      </w:r>
      <w:bookmarkEnd w:id="542"/>
      <w:bookmarkEnd w:id="543"/>
    </w:p>
    <w:p>
      <w:pPr>
        <w:pStyle w:val="26"/>
        <w:tabs>
          <w:tab w:val="left" w:pos="360"/>
          <w:tab w:val="left" w:pos="720"/>
          <w:tab w:val="left" w:pos="1080"/>
          <w:tab w:val="left" w:pos="1440"/>
          <w:tab w:val="left" w:pos="1800"/>
          <w:tab w:val="left" w:pos="2160"/>
        </w:tabs>
        <w:autoSpaceDE w:val="0"/>
        <w:autoSpaceDN w:val="0"/>
        <w:adjustRightInd w:val="0"/>
        <w:spacing w:line="360" w:lineRule="auto"/>
        <w:ind w:right="10"/>
        <w:jc w:val="center"/>
        <w:rPr>
          <w:b/>
          <w:bCs/>
          <w:highlight w:val="none"/>
        </w:rPr>
      </w:pPr>
      <w:r>
        <w:rPr>
          <w:rFonts w:hint="eastAsia" w:cs="宋体"/>
          <w:b/>
          <w:bCs/>
          <w:color w:val="000000"/>
          <w:highlight w:val="none"/>
        </w:rPr>
        <w:t>采购订单（格式）</w:t>
      </w:r>
    </w:p>
    <w:tbl>
      <w:tblPr>
        <w:tblStyle w:val="14"/>
        <w:tblW w:w="9180" w:type="dxa"/>
        <w:tblInd w:w="-106" w:type="dxa"/>
        <w:tblLayout w:type="autofit"/>
        <w:tblCellMar>
          <w:top w:w="0" w:type="dxa"/>
          <w:left w:w="108" w:type="dxa"/>
          <w:bottom w:w="0" w:type="dxa"/>
          <w:right w:w="108" w:type="dxa"/>
        </w:tblCellMar>
      </w:tblPr>
      <w:tblGrid>
        <w:gridCol w:w="4561"/>
        <w:gridCol w:w="4619"/>
      </w:tblGrid>
      <w:tr>
        <w:tblPrEx>
          <w:tblCellMar>
            <w:top w:w="0" w:type="dxa"/>
            <w:left w:w="108" w:type="dxa"/>
            <w:bottom w:w="0" w:type="dxa"/>
            <w:right w:w="108" w:type="dxa"/>
          </w:tblCellMar>
        </w:tblPrEx>
        <w:trPr>
          <w:trHeight w:val="306" w:hRule="atLeast"/>
        </w:trPr>
        <w:tc>
          <w:tcPr>
            <w:tcW w:w="4561" w:type="dxa"/>
          </w:tcPr>
          <w:p>
            <w:pPr>
              <w:pStyle w:val="26"/>
              <w:ind w:right="10" w:firstLine="499"/>
              <w:rPr>
                <w:highlight w:val="none"/>
              </w:rPr>
            </w:pPr>
          </w:p>
        </w:tc>
        <w:tc>
          <w:tcPr>
            <w:tcW w:w="4619" w:type="dxa"/>
          </w:tcPr>
          <w:p>
            <w:pPr>
              <w:pStyle w:val="26"/>
              <w:ind w:right="10"/>
              <w:jc w:val="center"/>
              <w:rPr>
                <w:highlight w:val="none"/>
              </w:rPr>
            </w:pPr>
            <w:r>
              <w:rPr>
                <w:color w:val="000000"/>
                <w:highlight w:val="none"/>
              </w:rPr>
              <w:t>合同编号</w:t>
            </w:r>
            <w:r>
              <w:rPr>
                <w:rFonts w:hint="eastAsia"/>
                <w:color w:val="000000"/>
                <w:highlight w:val="none"/>
              </w:rPr>
              <w:t>：</w:t>
            </w:r>
          </w:p>
          <w:p>
            <w:pPr>
              <w:pStyle w:val="26"/>
              <w:ind w:right="10"/>
              <w:jc w:val="center"/>
              <w:rPr>
                <w:rFonts w:cs="Calibri"/>
                <w:highlight w:val="none"/>
              </w:rPr>
            </w:pPr>
            <w:r>
              <w:rPr>
                <w:rFonts w:hint="eastAsia"/>
                <w:color w:val="000000"/>
                <w:highlight w:val="none"/>
              </w:rPr>
              <w:t>订</w:t>
            </w:r>
            <w:r>
              <w:rPr>
                <w:rFonts w:hint="eastAsia" w:cs="Calibri"/>
                <w:color w:val="000000"/>
                <w:highlight w:val="none"/>
              </w:rPr>
              <w:t>单号：</w:t>
            </w:r>
          </w:p>
        </w:tc>
      </w:tr>
      <w:tr>
        <w:tblPrEx>
          <w:tblCellMar>
            <w:top w:w="0" w:type="dxa"/>
            <w:left w:w="108" w:type="dxa"/>
            <w:bottom w:w="0" w:type="dxa"/>
            <w:right w:w="108" w:type="dxa"/>
          </w:tblCellMar>
        </w:tblPrEx>
        <w:trPr>
          <w:trHeight w:val="306" w:hRule="atLeast"/>
        </w:trPr>
        <w:tc>
          <w:tcPr>
            <w:tcW w:w="4561" w:type="dxa"/>
          </w:tcPr>
          <w:p>
            <w:pPr>
              <w:pStyle w:val="26"/>
              <w:ind w:right="10"/>
              <w:rPr>
                <w:highlight w:val="none"/>
              </w:rPr>
            </w:pPr>
          </w:p>
        </w:tc>
        <w:tc>
          <w:tcPr>
            <w:tcW w:w="4619" w:type="dxa"/>
          </w:tcPr>
          <w:p>
            <w:pPr>
              <w:pStyle w:val="26"/>
              <w:ind w:right="10" w:firstLine="1785" w:firstLineChars="850"/>
              <w:rPr>
                <w:highlight w:val="none"/>
              </w:rPr>
            </w:pPr>
            <w:r>
              <w:rPr>
                <w:rFonts w:hint="eastAsia" w:cs="宋体"/>
                <w:color w:val="000000"/>
                <w:highlight w:val="none"/>
              </w:rPr>
              <w:t>日期：</w:t>
            </w:r>
          </w:p>
        </w:tc>
      </w:tr>
      <w:tr>
        <w:tblPrEx>
          <w:tblCellMar>
            <w:top w:w="0" w:type="dxa"/>
            <w:left w:w="108" w:type="dxa"/>
            <w:bottom w:w="0" w:type="dxa"/>
            <w:right w:w="108" w:type="dxa"/>
          </w:tblCellMar>
        </w:tblPrEx>
        <w:tc>
          <w:tcPr>
            <w:tcW w:w="4561" w:type="dxa"/>
          </w:tcPr>
          <w:p>
            <w:pPr>
              <w:pStyle w:val="26"/>
              <w:ind w:right="10"/>
              <w:rPr>
                <w:highlight w:val="none"/>
              </w:rPr>
            </w:pPr>
            <w:r>
              <w:rPr>
                <w:rFonts w:hint="eastAsia" w:cs="宋体"/>
                <w:color w:val="000000"/>
                <w:highlight w:val="none"/>
              </w:rPr>
              <w:t>买方：</w:t>
            </w:r>
          </w:p>
        </w:tc>
        <w:tc>
          <w:tcPr>
            <w:tcW w:w="4619" w:type="dxa"/>
          </w:tcPr>
          <w:p>
            <w:pPr>
              <w:pStyle w:val="26"/>
              <w:ind w:right="10"/>
              <w:rPr>
                <w:highlight w:val="none"/>
              </w:rPr>
            </w:pPr>
            <w:r>
              <w:rPr>
                <w:rFonts w:hint="eastAsia" w:cs="宋体"/>
                <w:color w:val="000000"/>
                <w:highlight w:val="none"/>
              </w:rPr>
              <w:t>卖方：</w:t>
            </w:r>
          </w:p>
        </w:tc>
      </w:tr>
      <w:tr>
        <w:tblPrEx>
          <w:tblCellMar>
            <w:top w:w="0" w:type="dxa"/>
            <w:left w:w="108" w:type="dxa"/>
            <w:bottom w:w="0" w:type="dxa"/>
            <w:right w:w="108" w:type="dxa"/>
          </w:tblCellMar>
        </w:tblPrEx>
        <w:tc>
          <w:tcPr>
            <w:tcW w:w="4561" w:type="dxa"/>
          </w:tcPr>
          <w:p>
            <w:pPr>
              <w:pStyle w:val="26"/>
              <w:ind w:right="10"/>
              <w:rPr>
                <w:highlight w:val="none"/>
              </w:rPr>
            </w:pPr>
            <w:r>
              <w:rPr>
                <w:rFonts w:hint="eastAsia" w:cs="宋体"/>
                <w:color w:val="000000"/>
                <w:highlight w:val="none"/>
              </w:rPr>
              <w:t>地址：</w:t>
            </w:r>
          </w:p>
        </w:tc>
        <w:tc>
          <w:tcPr>
            <w:tcW w:w="4619" w:type="dxa"/>
          </w:tcPr>
          <w:p>
            <w:pPr>
              <w:pStyle w:val="26"/>
              <w:ind w:right="10"/>
              <w:rPr>
                <w:highlight w:val="none"/>
              </w:rPr>
            </w:pPr>
            <w:r>
              <w:rPr>
                <w:rFonts w:hint="eastAsia" w:cs="宋体"/>
                <w:color w:val="000000"/>
                <w:highlight w:val="none"/>
              </w:rPr>
              <w:t>地址：</w:t>
            </w:r>
          </w:p>
        </w:tc>
      </w:tr>
      <w:tr>
        <w:tblPrEx>
          <w:tblCellMar>
            <w:top w:w="0" w:type="dxa"/>
            <w:left w:w="108" w:type="dxa"/>
            <w:bottom w:w="0" w:type="dxa"/>
            <w:right w:w="108" w:type="dxa"/>
          </w:tblCellMar>
        </w:tblPrEx>
        <w:tc>
          <w:tcPr>
            <w:tcW w:w="4561" w:type="dxa"/>
          </w:tcPr>
          <w:p>
            <w:pPr>
              <w:pStyle w:val="26"/>
              <w:ind w:right="10"/>
              <w:rPr>
                <w:highlight w:val="none"/>
              </w:rPr>
            </w:pPr>
            <w:r>
              <w:rPr>
                <w:rFonts w:hint="eastAsia" w:cs="宋体"/>
                <w:color w:val="000000"/>
                <w:highlight w:val="none"/>
              </w:rPr>
              <w:t>邮编：</w:t>
            </w:r>
          </w:p>
        </w:tc>
        <w:tc>
          <w:tcPr>
            <w:tcW w:w="4619" w:type="dxa"/>
          </w:tcPr>
          <w:p>
            <w:pPr>
              <w:pStyle w:val="26"/>
              <w:ind w:right="10"/>
              <w:rPr>
                <w:highlight w:val="none"/>
              </w:rPr>
            </w:pPr>
            <w:r>
              <w:rPr>
                <w:rFonts w:hint="eastAsia" w:cs="宋体"/>
                <w:color w:val="000000"/>
                <w:highlight w:val="none"/>
              </w:rPr>
              <w:t>邮编：</w:t>
            </w:r>
          </w:p>
        </w:tc>
      </w:tr>
      <w:tr>
        <w:tblPrEx>
          <w:tblCellMar>
            <w:top w:w="0" w:type="dxa"/>
            <w:left w:w="108" w:type="dxa"/>
            <w:bottom w:w="0" w:type="dxa"/>
            <w:right w:w="108" w:type="dxa"/>
          </w:tblCellMar>
        </w:tblPrEx>
        <w:tc>
          <w:tcPr>
            <w:tcW w:w="4561" w:type="dxa"/>
          </w:tcPr>
          <w:p>
            <w:pPr>
              <w:pStyle w:val="26"/>
              <w:ind w:right="10"/>
              <w:rPr>
                <w:highlight w:val="none"/>
              </w:rPr>
            </w:pPr>
            <w:r>
              <w:rPr>
                <w:rFonts w:hint="eastAsia" w:cs="宋体"/>
                <w:color w:val="000000"/>
                <w:highlight w:val="none"/>
              </w:rPr>
              <w:t>联系人：</w:t>
            </w:r>
          </w:p>
        </w:tc>
        <w:tc>
          <w:tcPr>
            <w:tcW w:w="4619" w:type="dxa"/>
          </w:tcPr>
          <w:p>
            <w:pPr>
              <w:pStyle w:val="26"/>
              <w:ind w:right="10"/>
              <w:rPr>
                <w:highlight w:val="none"/>
              </w:rPr>
            </w:pPr>
            <w:r>
              <w:rPr>
                <w:rFonts w:hint="eastAsia" w:cs="宋体"/>
                <w:color w:val="000000"/>
                <w:highlight w:val="none"/>
              </w:rPr>
              <w:t>联系人：</w:t>
            </w:r>
          </w:p>
        </w:tc>
      </w:tr>
      <w:tr>
        <w:tblPrEx>
          <w:tblCellMar>
            <w:top w:w="0" w:type="dxa"/>
            <w:left w:w="108" w:type="dxa"/>
            <w:bottom w:w="0" w:type="dxa"/>
            <w:right w:w="108" w:type="dxa"/>
          </w:tblCellMar>
        </w:tblPrEx>
        <w:tc>
          <w:tcPr>
            <w:tcW w:w="4561" w:type="dxa"/>
          </w:tcPr>
          <w:p>
            <w:pPr>
              <w:pStyle w:val="26"/>
              <w:ind w:right="10"/>
              <w:rPr>
                <w:highlight w:val="none"/>
              </w:rPr>
            </w:pPr>
            <w:r>
              <w:rPr>
                <w:rFonts w:hint="eastAsia" w:cs="宋体"/>
                <w:color w:val="000000"/>
                <w:highlight w:val="none"/>
              </w:rPr>
              <w:t>电话：</w:t>
            </w:r>
          </w:p>
        </w:tc>
        <w:tc>
          <w:tcPr>
            <w:tcW w:w="4619" w:type="dxa"/>
          </w:tcPr>
          <w:p>
            <w:pPr>
              <w:pStyle w:val="26"/>
              <w:ind w:right="10"/>
              <w:rPr>
                <w:highlight w:val="none"/>
              </w:rPr>
            </w:pPr>
            <w:r>
              <w:rPr>
                <w:rFonts w:hint="eastAsia" w:cs="宋体"/>
                <w:color w:val="000000"/>
                <w:highlight w:val="none"/>
              </w:rPr>
              <w:t>电话：</w:t>
            </w:r>
          </w:p>
        </w:tc>
      </w:tr>
      <w:tr>
        <w:tblPrEx>
          <w:tblCellMar>
            <w:top w:w="0" w:type="dxa"/>
            <w:left w:w="108" w:type="dxa"/>
            <w:bottom w:w="0" w:type="dxa"/>
            <w:right w:w="108" w:type="dxa"/>
          </w:tblCellMar>
        </w:tblPrEx>
        <w:trPr>
          <w:trHeight w:val="80" w:hRule="atLeast"/>
        </w:trPr>
        <w:tc>
          <w:tcPr>
            <w:tcW w:w="4561" w:type="dxa"/>
          </w:tcPr>
          <w:p>
            <w:pPr>
              <w:pStyle w:val="26"/>
              <w:ind w:right="10"/>
              <w:rPr>
                <w:highlight w:val="none"/>
              </w:rPr>
            </w:pPr>
            <w:r>
              <w:rPr>
                <w:rFonts w:hint="eastAsia" w:cs="宋体"/>
                <w:color w:val="000000"/>
                <w:highlight w:val="none"/>
              </w:rPr>
              <w:t>传真：</w:t>
            </w:r>
          </w:p>
        </w:tc>
        <w:tc>
          <w:tcPr>
            <w:tcW w:w="4619" w:type="dxa"/>
          </w:tcPr>
          <w:p>
            <w:pPr>
              <w:pStyle w:val="26"/>
              <w:ind w:right="10"/>
              <w:rPr>
                <w:highlight w:val="none"/>
              </w:rPr>
            </w:pPr>
            <w:r>
              <w:rPr>
                <w:rFonts w:hint="eastAsia" w:cs="宋体"/>
                <w:color w:val="000000"/>
                <w:highlight w:val="none"/>
              </w:rPr>
              <w:t>传真：</w:t>
            </w:r>
          </w:p>
        </w:tc>
      </w:tr>
      <w:tr>
        <w:tblPrEx>
          <w:tblCellMar>
            <w:top w:w="0" w:type="dxa"/>
            <w:left w:w="108" w:type="dxa"/>
            <w:bottom w:w="0" w:type="dxa"/>
            <w:right w:w="108" w:type="dxa"/>
          </w:tblCellMar>
        </w:tblPrEx>
        <w:tc>
          <w:tcPr>
            <w:tcW w:w="4561" w:type="dxa"/>
          </w:tcPr>
          <w:p>
            <w:pPr>
              <w:pStyle w:val="26"/>
              <w:ind w:right="10"/>
              <w:rPr>
                <w:highlight w:val="none"/>
              </w:rPr>
            </w:pPr>
            <w:r>
              <w:rPr>
                <w:rFonts w:hint="eastAsia" w:cs="宋体"/>
                <w:color w:val="000000"/>
                <w:highlight w:val="none"/>
              </w:rPr>
              <w:t>电邮：</w:t>
            </w:r>
          </w:p>
        </w:tc>
        <w:tc>
          <w:tcPr>
            <w:tcW w:w="4619" w:type="dxa"/>
          </w:tcPr>
          <w:p>
            <w:pPr>
              <w:pStyle w:val="26"/>
              <w:ind w:right="10"/>
              <w:rPr>
                <w:highlight w:val="none"/>
              </w:rPr>
            </w:pPr>
            <w:r>
              <w:rPr>
                <w:rFonts w:hint="eastAsia" w:cs="宋体"/>
                <w:color w:val="000000"/>
                <w:highlight w:val="none"/>
              </w:rPr>
              <w:t>电邮：</w:t>
            </w:r>
          </w:p>
        </w:tc>
      </w:tr>
    </w:tbl>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r>
        <w:rPr>
          <w:highlight w:val="none"/>
        </w:rPr>
        <mc:AlternateContent>
          <mc:Choice Requires="wps">
            <w:drawing>
              <wp:anchor distT="0" distB="0" distL="114300" distR="114300" simplePos="0" relativeHeight="251660288" behindDoc="0" locked="1" layoutInCell="1" allowOverlap="1">
                <wp:simplePos x="0" y="0"/>
                <wp:positionH relativeFrom="column">
                  <wp:posOffset>-342900</wp:posOffset>
                </wp:positionH>
                <wp:positionV relativeFrom="paragraph">
                  <wp:posOffset>12700</wp:posOffset>
                </wp:positionV>
                <wp:extent cx="6057900"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7pt;margin-top:1pt;height:0pt;width:477pt;z-index:251660288;mso-width-relative:page;mso-height-relative:page;" filled="f" stroked="t" coordsize="21600,21600" o:gfxdata="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QqX82NQAAAAHAQAA&#10;DwAAAAAAAAABACAAAAAiAAAAZHJzL2Rvd25yZXYueG1sUEsBAhQAFAAAAAgAh07iQE1rqXrkAQAA&#10;qgMAAA4AAAAAAAAAAQAgAAAAIwEAAGRycy9lMm9Eb2MueG1sUEsFBgAAAAAGAAYAWQEAAHkFAAAA&#10;AA==&#10;">
                <v:fill on="f" focussize="0,0"/>
                <v:stroke color="#000000" joinstyle="round"/>
                <v:imagedata o:title=""/>
                <o:lock v:ext="edit" aspectratio="f"/>
                <w10:anchorlock/>
              </v:line>
            </w:pict>
          </mc:Fallback>
        </mc:AlternateContent>
      </w:r>
      <w:r>
        <w:rPr>
          <w:rFonts w:hint="eastAsia" w:cs="宋体"/>
          <w:color w:val="000000"/>
          <w:highlight w:val="none"/>
        </w:rPr>
        <w:t>根据买卖双方签订的（合同编号：），买方通知卖方按照以下要求发货：</w:t>
      </w:r>
    </w:p>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5" w:leftChars="-171" w:right="10" w:hanging="314" w:hangingChars="149"/>
        <w:rPr>
          <w:rFonts w:cs="宋体"/>
          <w:highlight w:val="none"/>
        </w:rPr>
      </w:pPr>
      <w:r>
        <w:rPr>
          <w:b/>
          <w:bCs/>
          <w:color w:val="000000"/>
          <w:highlight w:val="none"/>
        </w:rPr>
        <w:t>1</w:t>
      </w:r>
      <w:r>
        <w:rPr>
          <w:rFonts w:hint="eastAsia" w:cs="宋体"/>
          <w:b/>
          <w:bCs/>
          <w:color w:val="000000"/>
          <w:highlight w:val="none"/>
        </w:rPr>
        <w:t>、发货内容：</w:t>
      </w:r>
      <w:r>
        <w:rPr>
          <w:rFonts w:hint="eastAsia" w:cs="宋体"/>
          <w:color w:val="000000"/>
          <w:highlight w:val="none"/>
        </w:rPr>
        <w:t>，货物明细见附页发货清单。</w:t>
      </w:r>
    </w:p>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u w:val="single"/>
        </w:rPr>
      </w:pPr>
      <w:r>
        <w:rPr>
          <w:rFonts w:hint="eastAsia" w:cs="宋体"/>
          <w:color w:val="000000"/>
          <w:highlight w:val="none"/>
        </w:rPr>
        <w:t>发货总金额：。</w:t>
      </w:r>
    </w:p>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5" w:leftChars="-171" w:right="10" w:hanging="314" w:hangingChars="149"/>
        <w:rPr>
          <w:highlight w:val="none"/>
        </w:rPr>
      </w:pPr>
      <w:r>
        <w:rPr>
          <w:b/>
          <w:bCs/>
          <w:color w:val="000000"/>
          <w:highlight w:val="none"/>
        </w:rPr>
        <w:t>2</w:t>
      </w:r>
      <w:r>
        <w:rPr>
          <w:rFonts w:hint="eastAsia" w:cs="宋体"/>
          <w:b/>
          <w:bCs/>
          <w:color w:val="000000"/>
          <w:highlight w:val="none"/>
        </w:rPr>
        <w:t>、运输唛头标记：</w:t>
      </w:r>
    </w:p>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149" w:leftChars="-71" w:right="10" w:firstLine="3150" w:firstLineChars="1500"/>
        <w:rPr>
          <w:rFonts w:cs="宋体"/>
          <w:highlight w:val="none"/>
          <w:u w:val="single"/>
        </w:rPr>
      </w:pPr>
      <w:r>
        <w:rPr>
          <w:rFonts w:cs="宋体"/>
          <w:color w:val="000000"/>
          <w:highlight w:val="none"/>
        </w:rPr>
        <w:t>合同编号</w:t>
      </w:r>
    </w:p>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149" w:leftChars="-71" w:right="10" w:firstLine="2940" w:firstLineChars="1400"/>
        <w:rPr>
          <w:highlight w:val="none"/>
          <w:u w:val="single"/>
        </w:rPr>
      </w:pPr>
      <w:r>
        <w:rPr>
          <w:rFonts w:hint="eastAsia" w:cs="宋体"/>
          <w:color w:val="000000"/>
          <w:highlight w:val="none"/>
        </w:rPr>
        <w:t>采购订单号</w:t>
      </w:r>
    </w:p>
    <w:p>
      <w:pPr>
        <w:pStyle w:val="26"/>
        <w:tabs>
          <w:tab w:val="left" w:pos="360"/>
          <w:tab w:val="left" w:pos="720"/>
          <w:tab w:val="left" w:pos="1080"/>
          <w:tab w:val="left" w:pos="1440"/>
          <w:tab w:val="left" w:pos="2640"/>
          <w:tab w:val="left" w:pos="3090"/>
          <w:tab w:val="left" w:pos="324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r>
        <w:rPr>
          <w:color w:val="000000"/>
          <w:highlight w:val="none"/>
        </w:rPr>
        <w:tab/>
      </w:r>
      <w:r>
        <w:rPr>
          <w:color w:val="000000"/>
          <w:highlight w:val="none"/>
        </w:rPr>
        <w:tab/>
      </w:r>
      <w:r>
        <w:rPr>
          <w:color w:val="000000"/>
          <w:highlight w:val="none"/>
        </w:rPr>
        <w:tab/>
      </w:r>
      <w:r>
        <w:rPr>
          <w:color w:val="000000"/>
          <w:highlight w:val="none"/>
        </w:rPr>
        <w:tab/>
      </w:r>
      <w:r>
        <w:rPr>
          <w:color w:val="000000"/>
          <w:highlight w:val="none"/>
        </w:rPr>
        <w:tab/>
      </w:r>
      <w:r>
        <w:rPr>
          <w:color w:val="000000"/>
          <w:highlight w:val="none"/>
        </w:rPr>
        <w:tab/>
      </w:r>
      <w:r>
        <w:rPr>
          <w:color w:val="000000"/>
          <w:highlight w:val="none"/>
        </w:rPr>
        <w:tab/>
      </w:r>
      <w:r>
        <w:rPr>
          <w:rFonts w:hint="eastAsia" w:cs="宋体"/>
          <w:color w:val="000000"/>
          <w:highlight w:val="none"/>
        </w:rPr>
        <w:t>中海油</w:t>
      </w:r>
      <w:r>
        <w:rPr>
          <w:color w:val="000000"/>
          <w:highlight w:val="none"/>
        </w:rPr>
        <w:t>-XX</w:t>
      </w:r>
    </w:p>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5" w:leftChars="-171" w:right="10" w:hanging="314" w:hangingChars="149"/>
        <w:rPr>
          <w:rFonts w:cs="宋体"/>
          <w:highlight w:val="none"/>
        </w:rPr>
      </w:pPr>
      <w:r>
        <w:rPr>
          <w:b/>
          <w:bCs/>
          <w:color w:val="000000"/>
          <w:highlight w:val="none"/>
        </w:rPr>
        <w:t>3</w:t>
      </w:r>
      <w:r>
        <w:rPr>
          <w:rFonts w:hint="eastAsia" w:cs="宋体"/>
          <w:b/>
          <w:bCs/>
          <w:color w:val="000000"/>
          <w:highlight w:val="none"/>
        </w:rPr>
        <w:t>、交货时间：</w:t>
      </w:r>
      <w:r>
        <w:rPr>
          <w:rFonts w:hint="eastAsia" w:cs="宋体"/>
          <w:color w:val="000000"/>
          <w:highlight w:val="none"/>
        </w:rPr>
        <w:t>年月日前一次交清。或</w:t>
      </w:r>
    </w:p>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149" w:leftChars="-71" w:right="10" w:firstLine="1050" w:firstLineChars="500"/>
        <w:rPr>
          <w:highlight w:val="none"/>
        </w:rPr>
      </w:pPr>
      <w:r>
        <w:rPr>
          <w:rFonts w:hint="eastAsia" w:cs="宋体"/>
          <w:color w:val="000000"/>
          <w:highlight w:val="none"/>
        </w:rPr>
        <w:t>双方签字盖章后个日历日内交货。</w:t>
      </w:r>
    </w:p>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5" w:leftChars="-171" w:right="10" w:hanging="314" w:hangingChars="149"/>
        <w:rPr>
          <w:highlight w:val="none"/>
        </w:rPr>
      </w:pPr>
      <w:r>
        <w:rPr>
          <w:b/>
          <w:bCs/>
          <w:color w:val="000000"/>
          <w:highlight w:val="none"/>
        </w:rPr>
        <w:t>4</w:t>
      </w:r>
      <w:r>
        <w:rPr>
          <w:rFonts w:hint="eastAsia" w:cs="宋体"/>
          <w:b/>
          <w:bCs/>
          <w:color w:val="000000"/>
          <w:highlight w:val="none"/>
        </w:rPr>
        <w:t>、交货地点：</w:t>
      </w:r>
    </w:p>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5" w:leftChars="-171" w:right="10" w:hanging="314" w:hangingChars="149"/>
        <w:rPr>
          <w:color w:val="000000"/>
          <w:highlight w:val="none"/>
        </w:rPr>
      </w:pPr>
      <w:r>
        <w:rPr>
          <w:b/>
          <w:bCs/>
          <w:color w:val="000000"/>
          <w:highlight w:val="none"/>
        </w:rPr>
        <w:t>5</w:t>
      </w:r>
      <w:r>
        <w:rPr>
          <w:rFonts w:hint="eastAsia" w:cs="宋体"/>
          <w:b/>
          <w:bCs/>
          <w:color w:val="000000"/>
          <w:highlight w:val="none"/>
        </w:rPr>
        <w:t>、收货单位：收货联系人：</w:t>
      </w:r>
    </w:p>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u w:val="single"/>
        </w:rPr>
      </w:pPr>
      <w:r>
        <w:rPr>
          <w:rFonts w:hint="eastAsia" w:cs="宋体"/>
          <w:color w:val="000000"/>
          <w:highlight w:val="none"/>
        </w:rPr>
        <w:t>地址：；电话：；传真；电邮：</w:t>
      </w:r>
    </w:p>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5" w:leftChars="-171" w:right="10" w:hanging="314" w:hangingChars="149"/>
        <w:rPr>
          <w:b/>
          <w:bCs/>
          <w:highlight w:val="none"/>
        </w:rPr>
      </w:pPr>
      <w:r>
        <w:rPr>
          <w:b/>
          <w:bCs/>
          <w:color w:val="000000"/>
          <w:highlight w:val="none"/>
        </w:rPr>
        <w:t>6</w:t>
      </w:r>
      <w:r>
        <w:rPr>
          <w:rFonts w:hint="eastAsia" w:cs="宋体"/>
          <w:b/>
          <w:bCs/>
          <w:color w:val="000000"/>
          <w:highlight w:val="none"/>
        </w:rPr>
        <w:t>、交货通知：</w:t>
      </w:r>
    </w:p>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2" w:leftChars="-1" w:right="10" w:firstLine="1"/>
        <w:rPr>
          <w:highlight w:val="none"/>
        </w:rPr>
      </w:pPr>
      <w:r>
        <w:rPr>
          <w:rFonts w:hint="eastAsia" w:cs="宋体"/>
          <w:color w:val="000000"/>
          <w:highlight w:val="none"/>
        </w:rPr>
        <w:t>卖方应在发货后【一】日内，将发货信息以传真或电邮方式通知收货单位联系人。卖方无法按期交货的，在交货日期前应及时通知买方。</w:t>
      </w:r>
    </w:p>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5" w:leftChars="-171" w:right="10" w:hanging="314" w:hangingChars="149"/>
        <w:rPr>
          <w:b/>
          <w:bCs/>
          <w:highlight w:val="none"/>
        </w:rPr>
      </w:pPr>
      <w:r>
        <w:rPr>
          <w:b/>
          <w:bCs/>
          <w:color w:val="000000"/>
          <w:highlight w:val="none"/>
        </w:rPr>
        <w:t>7</w:t>
      </w:r>
      <w:r>
        <w:rPr>
          <w:rFonts w:hint="eastAsia" w:cs="宋体"/>
          <w:b/>
          <w:bCs/>
          <w:color w:val="000000"/>
          <w:highlight w:val="none"/>
        </w:rPr>
        <w:t>、交货文件：</w:t>
      </w:r>
    </w:p>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2" w:leftChars="-1" w:right="10" w:firstLine="1"/>
        <w:rPr>
          <w:rFonts w:cs="宋体"/>
          <w:highlight w:val="none"/>
        </w:rPr>
      </w:pPr>
      <w:r>
        <w:rPr>
          <w:rFonts w:hint="eastAsia" w:cs="宋体"/>
          <w:color w:val="000000"/>
          <w:highlight w:val="none"/>
        </w:rPr>
        <w:t>卖方交货时应当按照合同约定提供所交货物的发货清单、出厂合格证书、领货凭证、技术资料等文件，并文件上注明所属采购订单号后及时寄送收货联系人。</w:t>
      </w:r>
    </w:p>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5" w:leftChars="-171" w:right="10" w:hanging="314" w:hangingChars="149"/>
        <w:rPr>
          <w:highlight w:val="none"/>
          <w:u w:val="single"/>
        </w:rPr>
      </w:pPr>
      <w:r>
        <w:rPr>
          <w:rFonts w:hint="eastAsia"/>
          <w:b/>
          <w:bCs/>
          <w:color w:val="000000"/>
          <w:highlight w:val="none"/>
        </w:rPr>
        <w:t>8</w:t>
      </w:r>
      <w:r>
        <w:rPr>
          <w:rFonts w:hint="eastAsia" w:cs="宋体"/>
          <w:b/>
          <w:bCs/>
          <w:color w:val="000000"/>
          <w:highlight w:val="none"/>
        </w:rPr>
        <w:t>、其它要求：</w:t>
      </w:r>
      <w:r>
        <w:rPr>
          <w:rFonts w:hint="eastAsia"/>
          <w:color w:val="000000"/>
          <w:highlight w:val="none"/>
        </w:rPr>
        <w:t>（可根据各单位实际情况添加付款方式、主合同规定的付款时间要求、开票信息、付款资料的要求、HSE要求等，若内容较多可以附件形式添加）</w:t>
      </w:r>
    </w:p>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7" w:leftChars="-171" w:right="10" w:hanging="312" w:hangingChars="149"/>
        <w:rPr>
          <w:highlight w:val="none"/>
          <w:u w:val="single"/>
        </w:rPr>
      </w:pPr>
    </w:p>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5" w:leftChars="-171" w:right="10" w:hanging="314" w:hangingChars="149"/>
        <w:rPr>
          <w:rFonts w:cs="宋体"/>
          <w:b/>
          <w:bCs/>
          <w:highlight w:val="none"/>
        </w:rPr>
      </w:pPr>
      <w:r>
        <w:rPr>
          <w:rFonts w:cs="宋体"/>
          <w:b/>
          <w:bCs/>
          <w:color w:val="000000"/>
          <w:highlight w:val="none"/>
        </w:rPr>
        <w:t>9</w:t>
      </w:r>
      <w:r>
        <w:rPr>
          <w:rFonts w:hint="eastAsia" w:cs="宋体"/>
          <w:b/>
          <w:bCs/>
          <w:color w:val="000000"/>
          <w:highlight w:val="none"/>
        </w:rPr>
        <w:t>、本订单未尽事宜适用于</w:t>
      </w:r>
      <w:r>
        <w:rPr>
          <w:rFonts w:hint="eastAsia" w:cs="宋体"/>
          <w:color w:val="000000"/>
          <w:highlight w:val="none"/>
        </w:rPr>
        <w:t>（合同编号：）年度合同名称</w:t>
      </w:r>
      <w:r>
        <w:rPr>
          <w:rFonts w:hint="eastAsia" w:cs="宋体"/>
          <w:b/>
          <w:bCs/>
          <w:color w:val="000000"/>
          <w:highlight w:val="none"/>
        </w:rPr>
        <w:t>相关条款；</w:t>
      </w:r>
    </w:p>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7" w:leftChars="-171" w:right="10" w:hanging="312" w:hangingChars="149"/>
        <w:rPr>
          <w:rFonts w:cs="Calibri"/>
          <w:highlight w:val="none"/>
          <w:u w:val="single"/>
        </w:rPr>
      </w:pPr>
    </w:p>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3885" w:right="10" w:hanging="3885" w:hangingChars="1850"/>
        <w:rPr>
          <w:highlight w:val="none"/>
        </w:rPr>
      </w:pPr>
      <w:r>
        <w:rPr>
          <w:rFonts w:hint="eastAsia" w:cs="宋体"/>
          <w:color w:val="000000"/>
          <w:highlight w:val="none"/>
        </w:rPr>
        <w:t>买方执行方（签章）：                                 卖方（签章）：</w:t>
      </w:r>
    </w:p>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r>
        <w:rPr>
          <w:rFonts w:hint="eastAsia" w:cs="宋体"/>
          <w:color w:val="000000"/>
          <w:highlight w:val="none"/>
        </w:rPr>
        <w:t>日期：                                               日期：</w:t>
      </w:r>
    </w:p>
    <w:p>
      <w:pPr>
        <w:pStyle w:val="26"/>
        <w:tabs>
          <w:tab w:val="left" w:pos="284"/>
          <w:tab w:val="left" w:pos="360"/>
          <w:tab w:val="left" w:pos="720"/>
          <w:tab w:val="left" w:pos="1080"/>
          <w:tab w:val="left" w:pos="1800"/>
          <w:tab w:val="left" w:pos="1843"/>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p>
      <w:pPr>
        <w:pStyle w:val="26"/>
        <w:tabs>
          <w:tab w:val="left" w:pos="284"/>
          <w:tab w:val="left" w:pos="360"/>
          <w:tab w:val="left" w:pos="720"/>
          <w:tab w:val="left" w:pos="1080"/>
          <w:tab w:val="left" w:pos="1800"/>
          <w:tab w:val="left" w:pos="1843"/>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r>
        <w:rPr>
          <w:rFonts w:hint="eastAsia"/>
          <w:color w:val="000000"/>
          <w:highlight w:val="none"/>
        </w:rPr>
        <w:t>（买方执行方签字人为各所属单位法定代表人或其授权人，加盖的章为各所属单位的</w:t>
      </w:r>
      <w:r>
        <w:rPr>
          <w:rFonts w:hint="eastAsia"/>
          <w:b/>
          <w:color w:val="000000"/>
          <w:highlight w:val="none"/>
        </w:rPr>
        <w:t>合同章</w:t>
      </w:r>
      <w:r>
        <w:rPr>
          <w:rFonts w:hint="eastAsia"/>
          <w:color w:val="000000"/>
          <w:highlight w:val="none"/>
        </w:rPr>
        <w:t>）</w:t>
      </w:r>
    </w:p>
    <w:p>
      <w:pPr>
        <w:pStyle w:val="26"/>
        <w:tabs>
          <w:tab w:val="left" w:pos="284"/>
          <w:tab w:val="left" w:pos="360"/>
          <w:tab w:val="left" w:pos="720"/>
          <w:tab w:val="left" w:pos="1080"/>
          <w:tab w:val="left" w:pos="1800"/>
          <w:tab w:val="left" w:pos="1843"/>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5520" w:right="10" w:hanging="1200"/>
        <w:jc w:val="center"/>
        <w:rPr>
          <w:highlight w:val="none"/>
        </w:rPr>
      </w:pPr>
    </w:p>
    <w:p>
      <w:pPr>
        <w:pStyle w:val="26"/>
        <w:tabs>
          <w:tab w:val="left" w:pos="284"/>
          <w:tab w:val="left" w:pos="360"/>
          <w:tab w:val="left" w:pos="720"/>
          <w:tab w:val="left" w:pos="1080"/>
          <w:tab w:val="left" w:pos="1800"/>
          <w:tab w:val="left" w:pos="1843"/>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5520" w:right="10" w:hanging="1200"/>
        <w:jc w:val="center"/>
        <w:rPr>
          <w:highlight w:val="none"/>
        </w:rPr>
      </w:pPr>
    </w:p>
    <w:p>
      <w:pPr>
        <w:pStyle w:val="26"/>
        <w:tabs>
          <w:tab w:val="left" w:pos="284"/>
          <w:tab w:val="left" w:pos="360"/>
          <w:tab w:val="left" w:pos="720"/>
          <w:tab w:val="left" w:pos="1080"/>
          <w:tab w:val="left" w:pos="1800"/>
          <w:tab w:val="left" w:pos="1843"/>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jc w:val="center"/>
        <w:rPr>
          <w:b/>
          <w:bCs/>
          <w:highlight w:val="none"/>
        </w:rPr>
      </w:pPr>
      <w:r>
        <w:rPr>
          <w:rFonts w:cs="宋体"/>
          <w:b/>
          <w:bCs/>
          <w:color w:val="000000"/>
          <w:highlight w:val="none"/>
        </w:rPr>
        <w:br w:type="page"/>
      </w:r>
      <w:r>
        <w:rPr>
          <w:rFonts w:hint="eastAsia" w:cs="宋体"/>
          <w:b/>
          <w:bCs/>
          <w:color w:val="000000"/>
          <w:highlight w:val="none"/>
        </w:rPr>
        <w:t>发货清单（格式）</w:t>
      </w:r>
    </w:p>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rFonts w:cs="宋体"/>
          <w:highlight w:val="none"/>
          <w:u w:val="single"/>
        </w:rPr>
      </w:pPr>
      <w:r>
        <w:rPr>
          <w:rFonts w:cs="宋体"/>
          <w:color w:val="000000"/>
          <w:highlight w:val="none"/>
        </w:rPr>
        <w:t>合同编号</w:t>
      </w:r>
      <w:r>
        <w:rPr>
          <w:rFonts w:hint="eastAsia" w:cs="宋体"/>
          <w:color w:val="000000"/>
          <w:highlight w:val="none"/>
        </w:rPr>
        <w:t>：</w:t>
      </w:r>
    </w:p>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rFonts w:cs="宋体"/>
          <w:highlight w:val="none"/>
        </w:rPr>
      </w:pPr>
      <w:r>
        <w:rPr>
          <w:rFonts w:hint="eastAsia" w:cs="宋体"/>
          <w:color w:val="000000"/>
          <w:highlight w:val="none"/>
        </w:rPr>
        <w:t>采购订单号：</w:t>
      </w:r>
    </w:p>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r>
        <w:rPr>
          <w:rFonts w:hint="eastAsia" w:cs="宋体"/>
          <w:color w:val="000000"/>
          <w:highlight w:val="none"/>
        </w:rPr>
        <w:t>发货单位：</w:t>
      </w:r>
    </w:p>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rFonts w:cs="宋体"/>
          <w:highlight w:val="none"/>
        </w:rPr>
      </w:pPr>
      <w:r>
        <w:rPr>
          <w:rFonts w:hint="eastAsia" w:cs="宋体"/>
          <w:color w:val="000000"/>
          <w:highlight w:val="none"/>
        </w:rPr>
        <w:t>收货单位：</w:t>
      </w:r>
    </w:p>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r>
        <w:rPr>
          <w:rFonts w:hint="eastAsia" w:cs="宋体"/>
          <w:color w:val="000000"/>
          <w:highlight w:val="none"/>
        </w:rPr>
        <w:t>交货地点：</w:t>
      </w:r>
    </w:p>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bl>
      <w:tblPr>
        <w:tblStyle w:val="14"/>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3220"/>
        <w:gridCol w:w="807"/>
        <w:gridCol w:w="948"/>
        <w:gridCol w:w="948"/>
        <w:gridCol w:w="948"/>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787" w:type="dxa"/>
            <w:vAlign w:val="center"/>
          </w:tcPr>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jc w:val="center"/>
              <w:rPr>
                <w:highlight w:val="none"/>
              </w:rPr>
            </w:pPr>
            <w:r>
              <w:rPr>
                <w:rFonts w:hint="eastAsia" w:cs="宋体"/>
                <w:color w:val="000000"/>
                <w:highlight w:val="none"/>
              </w:rPr>
              <w:t>序号</w:t>
            </w:r>
          </w:p>
        </w:tc>
        <w:tc>
          <w:tcPr>
            <w:tcW w:w="3223" w:type="dxa"/>
            <w:vAlign w:val="center"/>
          </w:tcPr>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jc w:val="center"/>
              <w:rPr>
                <w:highlight w:val="none"/>
              </w:rPr>
            </w:pPr>
            <w:r>
              <w:rPr>
                <w:rFonts w:hint="eastAsia" w:cs="宋体"/>
                <w:color w:val="000000"/>
                <w:highlight w:val="none"/>
              </w:rPr>
              <w:t>货物名称</w:t>
            </w:r>
          </w:p>
        </w:tc>
        <w:tc>
          <w:tcPr>
            <w:tcW w:w="807" w:type="dxa"/>
            <w:vAlign w:val="center"/>
          </w:tcPr>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jc w:val="center"/>
              <w:rPr>
                <w:highlight w:val="none"/>
              </w:rPr>
            </w:pPr>
            <w:r>
              <w:rPr>
                <w:rFonts w:hint="eastAsia" w:cs="宋体"/>
                <w:color w:val="000000"/>
                <w:highlight w:val="none"/>
              </w:rPr>
              <w:t>单位</w:t>
            </w:r>
          </w:p>
        </w:tc>
        <w:tc>
          <w:tcPr>
            <w:tcW w:w="949" w:type="dxa"/>
            <w:vAlign w:val="center"/>
          </w:tcPr>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jc w:val="center"/>
              <w:rPr>
                <w:highlight w:val="none"/>
              </w:rPr>
            </w:pPr>
            <w:r>
              <w:rPr>
                <w:rFonts w:hint="eastAsia" w:cs="宋体"/>
                <w:color w:val="000000"/>
                <w:highlight w:val="none"/>
              </w:rPr>
              <w:t>数量</w:t>
            </w:r>
          </w:p>
        </w:tc>
        <w:tc>
          <w:tcPr>
            <w:tcW w:w="949" w:type="dxa"/>
            <w:vAlign w:val="center"/>
          </w:tcPr>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jc w:val="center"/>
              <w:rPr>
                <w:highlight w:val="none"/>
              </w:rPr>
            </w:pPr>
            <w:r>
              <w:rPr>
                <w:rFonts w:hint="eastAsia" w:cs="宋体"/>
                <w:color w:val="000000"/>
                <w:highlight w:val="none"/>
              </w:rPr>
              <w:t>单价</w:t>
            </w:r>
          </w:p>
        </w:tc>
        <w:tc>
          <w:tcPr>
            <w:tcW w:w="949" w:type="dxa"/>
            <w:vAlign w:val="center"/>
          </w:tcPr>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jc w:val="center"/>
              <w:rPr>
                <w:highlight w:val="none"/>
              </w:rPr>
            </w:pPr>
            <w:r>
              <w:rPr>
                <w:rFonts w:hint="eastAsia" w:cs="宋体"/>
                <w:color w:val="000000"/>
                <w:highlight w:val="none"/>
              </w:rPr>
              <w:t>金额</w:t>
            </w:r>
          </w:p>
        </w:tc>
        <w:tc>
          <w:tcPr>
            <w:tcW w:w="970" w:type="dxa"/>
            <w:vAlign w:val="center"/>
          </w:tcPr>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210" w:right="10" w:hanging="210" w:hangingChars="100"/>
              <w:jc w:val="center"/>
              <w:rPr>
                <w:highlight w:val="none"/>
              </w:rPr>
            </w:pPr>
            <w:r>
              <w:rPr>
                <w:rFonts w:hint="eastAsia" w:cs="宋体"/>
                <w:color w:val="00000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87" w:type="dxa"/>
          </w:tcPr>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3223" w:type="dxa"/>
          </w:tcPr>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807" w:type="dxa"/>
          </w:tcPr>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70" w:type="dxa"/>
          </w:tcPr>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87" w:type="dxa"/>
          </w:tcPr>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rFonts w:cs="宋体"/>
                <w:highlight w:val="none"/>
              </w:rPr>
            </w:pPr>
          </w:p>
        </w:tc>
        <w:tc>
          <w:tcPr>
            <w:tcW w:w="3223" w:type="dxa"/>
          </w:tcPr>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807" w:type="dxa"/>
          </w:tcPr>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70" w:type="dxa"/>
          </w:tcPr>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87" w:type="dxa"/>
          </w:tcPr>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3223" w:type="dxa"/>
          </w:tcPr>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807" w:type="dxa"/>
          </w:tcPr>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70" w:type="dxa"/>
          </w:tcPr>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87" w:type="dxa"/>
          </w:tcPr>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rFonts w:cs="宋体"/>
                <w:highlight w:val="none"/>
              </w:rPr>
            </w:pPr>
          </w:p>
        </w:tc>
        <w:tc>
          <w:tcPr>
            <w:tcW w:w="3223" w:type="dxa"/>
          </w:tcPr>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807" w:type="dxa"/>
          </w:tcPr>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70" w:type="dxa"/>
          </w:tcPr>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87" w:type="dxa"/>
          </w:tcPr>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3223" w:type="dxa"/>
          </w:tcPr>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807" w:type="dxa"/>
          </w:tcPr>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70" w:type="dxa"/>
          </w:tcPr>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87" w:type="dxa"/>
          </w:tcPr>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rFonts w:cs="宋体"/>
                <w:highlight w:val="none"/>
              </w:rPr>
            </w:pPr>
            <w:r>
              <w:rPr>
                <w:rFonts w:hint="eastAsia" w:cs="宋体"/>
                <w:color w:val="000000"/>
                <w:highlight w:val="none"/>
              </w:rPr>
              <w:t>总计</w:t>
            </w:r>
          </w:p>
        </w:tc>
        <w:tc>
          <w:tcPr>
            <w:tcW w:w="3223" w:type="dxa"/>
          </w:tcPr>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807" w:type="dxa"/>
          </w:tcPr>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70" w:type="dxa"/>
          </w:tcPr>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r>
    </w:tbl>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r>
        <w:rPr>
          <w:rFonts w:hint="eastAsia" w:cs="宋体"/>
          <w:color w:val="000000"/>
          <w:highlight w:val="none"/>
        </w:rPr>
        <w:t>其它说明：</w:t>
      </w:r>
    </w:p>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r>
        <w:rPr>
          <w:color w:val="000000"/>
          <w:highlight w:val="none"/>
        </w:rPr>
        <w:t>1</w:t>
      </w:r>
      <w:r>
        <w:rPr>
          <w:rFonts w:hint="eastAsia" w:cs="宋体"/>
          <w:color w:val="000000"/>
          <w:highlight w:val="none"/>
        </w:rPr>
        <w:t>、</w:t>
      </w:r>
    </w:p>
    <w:p>
      <w:pPr>
        <w:pStyle w:val="2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r>
        <w:rPr>
          <w:color w:val="000000"/>
          <w:highlight w:val="none"/>
        </w:rPr>
        <w:t>2</w:t>
      </w:r>
      <w:r>
        <w:rPr>
          <w:rFonts w:hint="eastAsia" w:cs="宋体"/>
          <w:color w:val="000000"/>
          <w:highlight w:val="none"/>
        </w:rPr>
        <w:t>、</w:t>
      </w:r>
    </w:p>
    <w:p>
      <w:pPr>
        <w:pStyle w:val="26"/>
        <w:tabs>
          <w:tab w:val="left" w:pos="420"/>
          <w:tab w:val="left" w:pos="840"/>
          <w:tab w:val="left" w:pos="1260"/>
          <w:tab w:val="left" w:pos="1680"/>
          <w:tab w:val="left" w:pos="2100"/>
          <w:tab w:val="right" w:pos="9638"/>
        </w:tabs>
        <w:spacing w:line="360" w:lineRule="auto"/>
        <w:ind w:right="10" w:firstLine="2205" w:firstLineChars="1050"/>
        <w:rPr>
          <w:highlight w:val="none"/>
        </w:rPr>
      </w:pPr>
      <w:r>
        <w:rPr>
          <w:rFonts w:hint="eastAsia" w:cs="宋体"/>
          <w:color w:val="000000"/>
          <w:highlight w:val="none"/>
        </w:rPr>
        <w:t>卖方（签章）：</w:t>
      </w:r>
      <w:r>
        <w:rPr>
          <w:color w:val="000000"/>
          <w:highlight w:val="none"/>
        </w:rPr>
        <w:t>_____________</w:t>
      </w:r>
    </w:p>
    <w:p>
      <w:pPr>
        <w:rPr>
          <w:highlight w:val="none"/>
        </w:rPr>
      </w:pPr>
      <w:r>
        <w:rPr>
          <w:highlight w:val="none"/>
        </w:rPr>
        <w:br w:type="page"/>
      </w:r>
      <w:bookmarkStart w:id="544" w:name="_Toc300671237"/>
      <w:bookmarkStart w:id="545" w:name="_Toc306354385"/>
      <w:r>
        <w:rPr>
          <w:rFonts w:hint="eastAsia"/>
          <w:highlight w:val="none"/>
        </w:rPr>
        <w:t>合同附件四：送货单（格式）</w:t>
      </w:r>
      <w:bookmarkEnd w:id="544"/>
      <w:bookmarkEnd w:id="545"/>
    </w:p>
    <w:p>
      <w:pPr>
        <w:pStyle w:val="26"/>
        <w:spacing w:line="360" w:lineRule="auto"/>
        <w:ind w:right="-519" w:rightChars="-247" w:firstLine="210" w:firstLineChars="100"/>
        <w:rPr>
          <w:highlight w:val="none"/>
        </w:rPr>
      </w:pPr>
    </w:p>
    <w:p>
      <w:pPr>
        <w:pStyle w:val="26"/>
        <w:spacing w:line="360" w:lineRule="auto"/>
        <w:ind w:right="-519" w:rightChars="-247"/>
        <w:rPr>
          <w:highlight w:val="none"/>
        </w:rPr>
      </w:pPr>
      <w:r>
        <w:rPr>
          <w:rFonts w:hint="eastAsia" w:cs="宋体"/>
          <w:color w:val="000000"/>
          <w:highlight w:val="none"/>
        </w:rPr>
        <w:t>收货单位</w:t>
      </w:r>
      <w:r>
        <w:rPr>
          <w:color w:val="000000"/>
          <w:highlight w:val="none"/>
        </w:rPr>
        <w:t>:</w:t>
      </w:r>
      <w:r>
        <w:rPr>
          <w:rFonts w:hint="eastAsia" w:cs="宋体"/>
          <w:color w:val="000000"/>
          <w:highlight w:val="none"/>
        </w:rPr>
        <w:t>合同编号</w:t>
      </w:r>
      <w:r>
        <w:rPr>
          <w:color w:val="000000"/>
          <w:highlight w:val="none"/>
        </w:rPr>
        <w:t>:</w:t>
      </w:r>
    </w:p>
    <w:p>
      <w:pPr>
        <w:pStyle w:val="26"/>
        <w:spacing w:line="360" w:lineRule="auto"/>
        <w:ind w:right="-519" w:rightChars="-247"/>
        <w:rPr>
          <w:highlight w:val="none"/>
        </w:rPr>
      </w:pPr>
      <w:r>
        <w:rPr>
          <w:rFonts w:hint="eastAsia" w:cs="宋体"/>
          <w:color w:val="000000"/>
          <w:highlight w:val="none"/>
        </w:rPr>
        <w:t>交货地点</w:t>
      </w:r>
      <w:r>
        <w:rPr>
          <w:color w:val="000000"/>
          <w:highlight w:val="none"/>
        </w:rPr>
        <w:t>:</w:t>
      </w:r>
      <w:r>
        <w:rPr>
          <w:rFonts w:hint="eastAsia" w:cs="宋体"/>
          <w:color w:val="000000"/>
          <w:highlight w:val="none"/>
        </w:rPr>
        <w:t>采购订单号：</w:t>
      </w:r>
    </w:p>
    <w:tbl>
      <w:tblPr>
        <w:tblStyle w:val="14"/>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509"/>
        <w:gridCol w:w="2539"/>
        <w:gridCol w:w="1025"/>
        <w:gridCol w:w="688"/>
        <w:gridCol w:w="688"/>
        <w:gridCol w:w="85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pStyle w:val="26"/>
              <w:spacing w:line="360" w:lineRule="auto"/>
              <w:ind w:right="-519" w:rightChars="-247"/>
              <w:rPr>
                <w:highlight w:val="none"/>
              </w:rPr>
            </w:pPr>
            <w:r>
              <w:rPr>
                <w:rFonts w:hint="eastAsia" w:cs="宋体"/>
                <w:color w:val="000000"/>
                <w:highlight w:val="none"/>
              </w:rPr>
              <w:t>序号</w:t>
            </w:r>
          </w:p>
        </w:tc>
        <w:tc>
          <w:tcPr>
            <w:tcW w:w="3240" w:type="dxa"/>
            <w:gridSpan w:val="2"/>
          </w:tcPr>
          <w:p>
            <w:pPr>
              <w:pStyle w:val="26"/>
              <w:spacing w:line="360" w:lineRule="auto"/>
              <w:ind w:right="-519" w:rightChars="-247"/>
              <w:rPr>
                <w:highlight w:val="none"/>
              </w:rPr>
            </w:pPr>
            <w:r>
              <w:rPr>
                <w:rFonts w:hint="eastAsia" w:cs="宋体"/>
                <w:color w:val="000000"/>
                <w:highlight w:val="none"/>
              </w:rPr>
              <w:t>货物品牌、名称、规格</w:t>
            </w:r>
          </w:p>
          <w:p>
            <w:pPr>
              <w:pStyle w:val="26"/>
              <w:spacing w:line="360" w:lineRule="auto"/>
              <w:ind w:right="-519" w:rightChars="-247"/>
              <w:rPr>
                <w:highlight w:val="none"/>
              </w:rPr>
            </w:pPr>
            <w:r>
              <w:rPr>
                <w:rFonts w:hint="eastAsia" w:cs="宋体"/>
                <w:color w:val="000000"/>
                <w:highlight w:val="none"/>
              </w:rPr>
              <w:t>及包装单位</w:t>
            </w:r>
          </w:p>
        </w:tc>
        <w:tc>
          <w:tcPr>
            <w:tcW w:w="1080" w:type="dxa"/>
          </w:tcPr>
          <w:p>
            <w:pPr>
              <w:pStyle w:val="26"/>
              <w:spacing w:line="360" w:lineRule="auto"/>
              <w:ind w:right="-519" w:rightChars="-247"/>
              <w:rPr>
                <w:highlight w:val="none"/>
              </w:rPr>
            </w:pPr>
            <w:r>
              <w:rPr>
                <w:rFonts w:hint="eastAsia" w:cs="宋体"/>
                <w:color w:val="000000"/>
                <w:highlight w:val="none"/>
              </w:rPr>
              <w:t>单位</w:t>
            </w:r>
          </w:p>
        </w:tc>
        <w:tc>
          <w:tcPr>
            <w:tcW w:w="720" w:type="dxa"/>
          </w:tcPr>
          <w:p>
            <w:pPr>
              <w:pStyle w:val="26"/>
              <w:spacing w:line="360" w:lineRule="auto"/>
              <w:ind w:right="-519" w:rightChars="-247"/>
              <w:rPr>
                <w:highlight w:val="none"/>
              </w:rPr>
            </w:pPr>
            <w:r>
              <w:rPr>
                <w:rFonts w:hint="eastAsia" w:cs="宋体"/>
                <w:color w:val="000000"/>
                <w:highlight w:val="none"/>
              </w:rPr>
              <w:t>数量</w:t>
            </w:r>
          </w:p>
        </w:tc>
        <w:tc>
          <w:tcPr>
            <w:tcW w:w="720" w:type="dxa"/>
          </w:tcPr>
          <w:p>
            <w:pPr>
              <w:pStyle w:val="26"/>
              <w:spacing w:line="360" w:lineRule="auto"/>
              <w:ind w:right="-519" w:rightChars="-247"/>
              <w:rPr>
                <w:highlight w:val="none"/>
              </w:rPr>
            </w:pPr>
            <w:r>
              <w:rPr>
                <w:rFonts w:hint="eastAsia" w:cs="宋体"/>
                <w:color w:val="000000"/>
                <w:highlight w:val="none"/>
              </w:rPr>
              <w:t>单价</w:t>
            </w:r>
          </w:p>
        </w:tc>
        <w:tc>
          <w:tcPr>
            <w:tcW w:w="900" w:type="dxa"/>
          </w:tcPr>
          <w:p>
            <w:pPr>
              <w:pStyle w:val="26"/>
              <w:spacing w:line="360" w:lineRule="auto"/>
              <w:ind w:right="-519" w:rightChars="-247"/>
              <w:rPr>
                <w:highlight w:val="none"/>
              </w:rPr>
            </w:pPr>
            <w:r>
              <w:rPr>
                <w:rFonts w:hint="eastAsia" w:cs="宋体"/>
                <w:color w:val="000000"/>
                <w:highlight w:val="none"/>
              </w:rPr>
              <w:t>金额</w:t>
            </w:r>
          </w:p>
        </w:tc>
        <w:tc>
          <w:tcPr>
            <w:tcW w:w="1800" w:type="dxa"/>
          </w:tcPr>
          <w:p>
            <w:pPr>
              <w:pStyle w:val="26"/>
              <w:spacing w:line="360" w:lineRule="auto"/>
              <w:ind w:right="-519" w:rightChars="-247"/>
              <w:rPr>
                <w:highlight w:val="none"/>
              </w:rPr>
            </w:pPr>
            <w:r>
              <w:rPr>
                <w:rFonts w:hint="eastAsia" w:cs="宋体"/>
                <w:color w:val="000000"/>
                <w:highlight w:val="none"/>
              </w:rPr>
              <w:t>合同清单序号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pStyle w:val="26"/>
              <w:spacing w:line="360" w:lineRule="auto"/>
              <w:ind w:right="-519" w:rightChars="-247"/>
              <w:rPr>
                <w:highlight w:val="none"/>
              </w:rPr>
            </w:pPr>
          </w:p>
        </w:tc>
        <w:tc>
          <w:tcPr>
            <w:tcW w:w="3240" w:type="dxa"/>
            <w:gridSpan w:val="2"/>
          </w:tcPr>
          <w:p>
            <w:pPr>
              <w:pStyle w:val="26"/>
              <w:spacing w:line="360" w:lineRule="auto"/>
              <w:ind w:right="-519" w:rightChars="-247"/>
              <w:rPr>
                <w:highlight w:val="none"/>
              </w:rPr>
            </w:pPr>
          </w:p>
        </w:tc>
        <w:tc>
          <w:tcPr>
            <w:tcW w:w="1080" w:type="dxa"/>
          </w:tcPr>
          <w:p>
            <w:pPr>
              <w:pStyle w:val="26"/>
              <w:spacing w:line="360" w:lineRule="auto"/>
              <w:ind w:right="-519" w:rightChars="-247"/>
              <w:rPr>
                <w:highlight w:val="none"/>
              </w:rPr>
            </w:pPr>
          </w:p>
        </w:tc>
        <w:tc>
          <w:tcPr>
            <w:tcW w:w="720" w:type="dxa"/>
          </w:tcPr>
          <w:p>
            <w:pPr>
              <w:pStyle w:val="26"/>
              <w:spacing w:line="360" w:lineRule="auto"/>
              <w:ind w:right="-519" w:rightChars="-247"/>
              <w:rPr>
                <w:highlight w:val="none"/>
              </w:rPr>
            </w:pPr>
          </w:p>
        </w:tc>
        <w:tc>
          <w:tcPr>
            <w:tcW w:w="720" w:type="dxa"/>
          </w:tcPr>
          <w:p>
            <w:pPr>
              <w:pStyle w:val="26"/>
              <w:spacing w:line="360" w:lineRule="auto"/>
              <w:ind w:right="-519" w:rightChars="-247"/>
              <w:rPr>
                <w:highlight w:val="none"/>
              </w:rPr>
            </w:pPr>
          </w:p>
        </w:tc>
        <w:tc>
          <w:tcPr>
            <w:tcW w:w="900" w:type="dxa"/>
          </w:tcPr>
          <w:p>
            <w:pPr>
              <w:pStyle w:val="26"/>
              <w:spacing w:line="360" w:lineRule="auto"/>
              <w:ind w:right="-519" w:rightChars="-247"/>
              <w:rPr>
                <w:highlight w:val="none"/>
              </w:rPr>
            </w:pPr>
          </w:p>
        </w:tc>
        <w:tc>
          <w:tcPr>
            <w:tcW w:w="1800" w:type="dxa"/>
          </w:tcPr>
          <w:p>
            <w:pPr>
              <w:pStyle w:val="26"/>
              <w:spacing w:line="360" w:lineRule="auto"/>
              <w:ind w:right="-519" w:rightChars="-247"/>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pStyle w:val="26"/>
              <w:spacing w:line="360" w:lineRule="auto"/>
              <w:ind w:right="-519" w:rightChars="-247"/>
              <w:rPr>
                <w:highlight w:val="none"/>
              </w:rPr>
            </w:pPr>
          </w:p>
        </w:tc>
        <w:tc>
          <w:tcPr>
            <w:tcW w:w="3240" w:type="dxa"/>
            <w:gridSpan w:val="2"/>
          </w:tcPr>
          <w:p>
            <w:pPr>
              <w:pStyle w:val="26"/>
              <w:spacing w:line="360" w:lineRule="auto"/>
              <w:ind w:right="-519" w:rightChars="-247"/>
              <w:rPr>
                <w:highlight w:val="none"/>
              </w:rPr>
            </w:pPr>
          </w:p>
        </w:tc>
        <w:tc>
          <w:tcPr>
            <w:tcW w:w="1080" w:type="dxa"/>
          </w:tcPr>
          <w:p>
            <w:pPr>
              <w:pStyle w:val="26"/>
              <w:spacing w:line="360" w:lineRule="auto"/>
              <w:ind w:right="-519" w:rightChars="-247"/>
              <w:rPr>
                <w:highlight w:val="none"/>
              </w:rPr>
            </w:pPr>
          </w:p>
        </w:tc>
        <w:tc>
          <w:tcPr>
            <w:tcW w:w="720" w:type="dxa"/>
          </w:tcPr>
          <w:p>
            <w:pPr>
              <w:pStyle w:val="26"/>
              <w:spacing w:line="360" w:lineRule="auto"/>
              <w:ind w:right="-519" w:rightChars="-247"/>
              <w:rPr>
                <w:highlight w:val="none"/>
              </w:rPr>
            </w:pPr>
          </w:p>
        </w:tc>
        <w:tc>
          <w:tcPr>
            <w:tcW w:w="720" w:type="dxa"/>
          </w:tcPr>
          <w:p>
            <w:pPr>
              <w:pStyle w:val="26"/>
              <w:spacing w:line="360" w:lineRule="auto"/>
              <w:ind w:right="-519" w:rightChars="-247"/>
              <w:rPr>
                <w:highlight w:val="none"/>
              </w:rPr>
            </w:pPr>
          </w:p>
        </w:tc>
        <w:tc>
          <w:tcPr>
            <w:tcW w:w="900" w:type="dxa"/>
          </w:tcPr>
          <w:p>
            <w:pPr>
              <w:pStyle w:val="26"/>
              <w:spacing w:line="360" w:lineRule="auto"/>
              <w:ind w:right="-519" w:rightChars="-247"/>
              <w:rPr>
                <w:highlight w:val="none"/>
              </w:rPr>
            </w:pPr>
          </w:p>
        </w:tc>
        <w:tc>
          <w:tcPr>
            <w:tcW w:w="1800" w:type="dxa"/>
          </w:tcPr>
          <w:p>
            <w:pPr>
              <w:pStyle w:val="26"/>
              <w:spacing w:line="360" w:lineRule="auto"/>
              <w:ind w:right="-519" w:rightChars="-247"/>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pStyle w:val="26"/>
              <w:spacing w:line="360" w:lineRule="auto"/>
              <w:ind w:right="-519" w:rightChars="-247"/>
              <w:rPr>
                <w:highlight w:val="none"/>
              </w:rPr>
            </w:pPr>
          </w:p>
        </w:tc>
        <w:tc>
          <w:tcPr>
            <w:tcW w:w="3240" w:type="dxa"/>
            <w:gridSpan w:val="2"/>
          </w:tcPr>
          <w:p>
            <w:pPr>
              <w:pStyle w:val="26"/>
              <w:spacing w:line="360" w:lineRule="auto"/>
              <w:ind w:right="-519" w:rightChars="-247"/>
              <w:rPr>
                <w:highlight w:val="none"/>
              </w:rPr>
            </w:pPr>
          </w:p>
        </w:tc>
        <w:tc>
          <w:tcPr>
            <w:tcW w:w="1080" w:type="dxa"/>
          </w:tcPr>
          <w:p>
            <w:pPr>
              <w:pStyle w:val="26"/>
              <w:spacing w:line="360" w:lineRule="auto"/>
              <w:ind w:right="-519" w:rightChars="-247"/>
              <w:rPr>
                <w:highlight w:val="none"/>
              </w:rPr>
            </w:pPr>
          </w:p>
        </w:tc>
        <w:tc>
          <w:tcPr>
            <w:tcW w:w="720" w:type="dxa"/>
          </w:tcPr>
          <w:p>
            <w:pPr>
              <w:pStyle w:val="26"/>
              <w:spacing w:line="360" w:lineRule="auto"/>
              <w:ind w:right="-519" w:rightChars="-247"/>
              <w:rPr>
                <w:highlight w:val="none"/>
              </w:rPr>
            </w:pPr>
          </w:p>
        </w:tc>
        <w:tc>
          <w:tcPr>
            <w:tcW w:w="720" w:type="dxa"/>
          </w:tcPr>
          <w:p>
            <w:pPr>
              <w:pStyle w:val="26"/>
              <w:spacing w:line="360" w:lineRule="auto"/>
              <w:ind w:right="-519" w:rightChars="-247"/>
              <w:rPr>
                <w:highlight w:val="none"/>
              </w:rPr>
            </w:pPr>
          </w:p>
        </w:tc>
        <w:tc>
          <w:tcPr>
            <w:tcW w:w="900" w:type="dxa"/>
          </w:tcPr>
          <w:p>
            <w:pPr>
              <w:pStyle w:val="26"/>
              <w:spacing w:line="360" w:lineRule="auto"/>
              <w:ind w:right="-519" w:rightChars="-247"/>
              <w:rPr>
                <w:highlight w:val="none"/>
              </w:rPr>
            </w:pPr>
          </w:p>
        </w:tc>
        <w:tc>
          <w:tcPr>
            <w:tcW w:w="1800" w:type="dxa"/>
          </w:tcPr>
          <w:p>
            <w:pPr>
              <w:pStyle w:val="26"/>
              <w:spacing w:line="360" w:lineRule="auto"/>
              <w:ind w:right="-519" w:rightChars="-247"/>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pStyle w:val="26"/>
              <w:spacing w:line="360" w:lineRule="auto"/>
              <w:ind w:right="-519" w:rightChars="-247"/>
              <w:rPr>
                <w:highlight w:val="none"/>
              </w:rPr>
            </w:pPr>
          </w:p>
        </w:tc>
        <w:tc>
          <w:tcPr>
            <w:tcW w:w="3240" w:type="dxa"/>
            <w:gridSpan w:val="2"/>
          </w:tcPr>
          <w:p>
            <w:pPr>
              <w:pStyle w:val="26"/>
              <w:spacing w:line="360" w:lineRule="auto"/>
              <w:ind w:right="-519" w:rightChars="-247"/>
              <w:rPr>
                <w:highlight w:val="none"/>
              </w:rPr>
            </w:pPr>
          </w:p>
        </w:tc>
        <w:tc>
          <w:tcPr>
            <w:tcW w:w="1080" w:type="dxa"/>
          </w:tcPr>
          <w:p>
            <w:pPr>
              <w:pStyle w:val="26"/>
              <w:spacing w:line="360" w:lineRule="auto"/>
              <w:ind w:right="-519" w:rightChars="-247"/>
              <w:rPr>
                <w:highlight w:val="none"/>
              </w:rPr>
            </w:pPr>
          </w:p>
        </w:tc>
        <w:tc>
          <w:tcPr>
            <w:tcW w:w="720" w:type="dxa"/>
          </w:tcPr>
          <w:p>
            <w:pPr>
              <w:pStyle w:val="26"/>
              <w:spacing w:line="360" w:lineRule="auto"/>
              <w:ind w:right="-519" w:rightChars="-247"/>
              <w:rPr>
                <w:highlight w:val="none"/>
              </w:rPr>
            </w:pPr>
          </w:p>
        </w:tc>
        <w:tc>
          <w:tcPr>
            <w:tcW w:w="720" w:type="dxa"/>
          </w:tcPr>
          <w:p>
            <w:pPr>
              <w:pStyle w:val="26"/>
              <w:spacing w:line="360" w:lineRule="auto"/>
              <w:ind w:right="-519" w:rightChars="-247"/>
              <w:rPr>
                <w:highlight w:val="none"/>
              </w:rPr>
            </w:pPr>
          </w:p>
        </w:tc>
        <w:tc>
          <w:tcPr>
            <w:tcW w:w="900" w:type="dxa"/>
          </w:tcPr>
          <w:p>
            <w:pPr>
              <w:pStyle w:val="26"/>
              <w:spacing w:line="360" w:lineRule="auto"/>
              <w:ind w:right="-519" w:rightChars="-247"/>
              <w:rPr>
                <w:highlight w:val="none"/>
              </w:rPr>
            </w:pPr>
          </w:p>
        </w:tc>
        <w:tc>
          <w:tcPr>
            <w:tcW w:w="1800" w:type="dxa"/>
          </w:tcPr>
          <w:p>
            <w:pPr>
              <w:pStyle w:val="26"/>
              <w:spacing w:line="360" w:lineRule="auto"/>
              <w:ind w:right="-519" w:rightChars="-247"/>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pStyle w:val="26"/>
              <w:spacing w:line="360" w:lineRule="auto"/>
              <w:ind w:right="-519" w:rightChars="-247"/>
              <w:rPr>
                <w:highlight w:val="none"/>
              </w:rPr>
            </w:pPr>
          </w:p>
        </w:tc>
        <w:tc>
          <w:tcPr>
            <w:tcW w:w="3240" w:type="dxa"/>
            <w:gridSpan w:val="2"/>
          </w:tcPr>
          <w:p>
            <w:pPr>
              <w:pStyle w:val="26"/>
              <w:spacing w:line="360" w:lineRule="auto"/>
              <w:ind w:right="-519" w:rightChars="-247"/>
              <w:rPr>
                <w:highlight w:val="none"/>
              </w:rPr>
            </w:pPr>
          </w:p>
        </w:tc>
        <w:tc>
          <w:tcPr>
            <w:tcW w:w="1080" w:type="dxa"/>
          </w:tcPr>
          <w:p>
            <w:pPr>
              <w:pStyle w:val="26"/>
              <w:spacing w:line="360" w:lineRule="auto"/>
              <w:ind w:right="-519" w:rightChars="-247"/>
              <w:rPr>
                <w:highlight w:val="none"/>
              </w:rPr>
            </w:pPr>
          </w:p>
        </w:tc>
        <w:tc>
          <w:tcPr>
            <w:tcW w:w="720" w:type="dxa"/>
          </w:tcPr>
          <w:p>
            <w:pPr>
              <w:pStyle w:val="26"/>
              <w:spacing w:line="360" w:lineRule="auto"/>
              <w:ind w:right="-519" w:rightChars="-247"/>
              <w:rPr>
                <w:highlight w:val="none"/>
              </w:rPr>
            </w:pPr>
          </w:p>
        </w:tc>
        <w:tc>
          <w:tcPr>
            <w:tcW w:w="720" w:type="dxa"/>
          </w:tcPr>
          <w:p>
            <w:pPr>
              <w:pStyle w:val="26"/>
              <w:spacing w:line="360" w:lineRule="auto"/>
              <w:ind w:right="-519" w:rightChars="-247"/>
              <w:rPr>
                <w:highlight w:val="none"/>
              </w:rPr>
            </w:pPr>
          </w:p>
        </w:tc>
        <w:tc>
          <w:tcPr>
            <w:tcW w:w="900" w:type="dxa"/>
          </w:tcPr>
          <w:p>
            <w:pPr>
              <w:pStyle w:val="26"/>
              <w:spacing w:line="360" w:lineRule="auto"/>
              <w:ind w:right="-519" w:rightChars="-247"/>
              <w:rPr>
                <w:highlight w:val="none"/>
              </w:rPr>
            </w:pPr>
          </w:p>
        </w:tc>
        <w:tc>
          <w:tcPr>
            <w:tcW w:w="1800" w:type="dxa"/>
          </w:tcPr>
          <w:p>
            <w:pPr>
              <w:pStyle w:val="26"/>
              <w:spacing w:line="360" w:lineRule="auto"/>
              <w:ind w:right="-519" w:rightChars="-247"/>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pStyle w:val="26"/>
              <w:spacing w:line="360" w:lineRule="auto"/>
              <w:ind w:right="-519" w:rightChars="-247"/>
              <w:rPr>
                <w:highlight w:val="none"/>
              </w:rPr>
            </w:pPr>
          </w:p>
        </w:tc>
        <w:tc>
          <w:tcPr>
            <w:tcW w:w="3240" w:type="dxa"/>
            <w:gridSpan w:val="2"/>
          </w:tcPr>
          <w:p>
            <w:pPr>
              <w:pStyle w:val="26"/>
              <w:spacing w:line="360" w:lineRule="auto"/>
              <w:ind w:right="-519" w:rightChars="-247"/>
              <w:rPr>
                <w:highlight w:val="none"/>
              </w:rPr>
            </w:pPr>
          </w:p>
        </w:tc>
        <w:tc>
          <w:tcPr>
            <w:tcW w:w="1080" w:type="dxa"/>
          </w:tcPr>
          <w:p>
            <w:pPr>
              <w:pStyle w:val="26"/>
              <w:spacing w:line="360" w:lineRule="auto"/>
              <w:ind w:right="-519" w:rightChars="-247"/>
              <w:rPr>
                <w:highlight w:val="none"/>
              </w:rPr>
            </w:pPr>
          </w:p>
        </w:tc>
        <w:tc>
          <w:tcPr>
            <w:tcW w:w="720" w:type="dxa"/>
          </w:tcPr>
          <w:p>
            <w:pPr>
              <w:pStyle w:val="26"/>
              <w:spacing w:line="360" w:lineRule="auto"/>
              <w:ind w:right="-519" w:rightChars="-247"/>
              <w:rPr>
                <w:highlight w:val="none"/>
              </w:rPr>
            </w:pPr>
          </w:p>
        </w:tc>
        <w:tc>
          <w:tcPr>
            <w:tcW w:w="720" w:type="dxa"/>
          </w:tcPr>
          <w:p>
            <w:pPr>
              <w:pStyle w:val="26"/>
              <w:spacing w:line="360" w:lineRule="auto"/>
              <w:ind w:right="-519" w:rightChars="-247"/>
              <w:rPr>
                <w:highlight w:val="none"/>
              </w:rPr>
            </w:pPr>
          </w:p>
        </w:tc>
        <w:tc>
          <w:tcPr>
            <w:tcW w:w="900" w:type="dxa"/>
          </w:tcPr>
          <w:p>
            <w:pPr>
              <w:pStyle w:val="26"/>
              <w:spacing w:line="360" w:lineRule="auto"/>
              <w:ind w:right="-519" w:rightChars="-247"/>
              <w:rPr>
                <w:highlight w:val="none"/>
              </w:rPr>
            </w:pPr>
          </w:p>
        </w:tc>
        <w:tc>
          <w:tcPr>
            <w:tcW w:w="1800" w:type="dxa"/>
          </w:tcPr>
          <w:p>
            <w:pPr>
              <w:pStyle w:val="26"/>
              <w:spacing w:line="360" w:lineRule="auto"/>
              <w:ind w:right="-519" w:rightChars="-247"/>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pStyle w:val="26"/>
              <w:spacing w:line="360" w:lineRule="auto"/>
              <w:ind w:right="-519" w:rightChars="-247"/>
              <w:rPr>
                <w:highlight w:val="none"/>
              </w:rPr>
            </w:pPr>
          </w:p>
        </w:tc>
        <w:tc>
          <w:tcPr>
            <w:tcW w:w="3240" w:type="dxa"/>
            <w:gridSpan w:val="2"/>
          </w:tcPr>
          <w:p>
            <w:pPr>
              <w:pStyle w:val="26"/>
              <w:spacing w:line="360" w:lineRule="auto"/>
              <w:ind w:right="-519" w:rightChars="-247"/>
              <w:rPr>
                <w:highlight w:val="none"/>
              </w:rPr>
            </w:pPr>
          </w:p>
        </w:tc>
        <w:tc>
          <w:tcPr>
            <w:tcW w:w="1080" w:type="dxa"/>
          </w:tcPr>
          <w:p>
            <w:pPr>
              <w:pStyle w:val="26"/>
              <w:spacing w:line="360" w:lineRule="auto"/>
              <w:ind w:right="-519" w:rightChars="-247"/>
              <w:rPr>
                <w:highlight w:val="none"/>
              </w:rPr>
            </w:pPr>
          </w:p>
        </w:tc>
        <w:tc>
          <w:tcPr>
            <w:tcW w:w="720" w:type="dxa"/>
          </w:tcPr>
          <w:p>
            <w:pPr>
              <w:pStyle w:val="26"/>
              <w:spacing w:line="360" w:lineRule="auto"/>
              <w:ind w:right="-519" w:rightChars="-247"/>
              <w:rPr>
                <w:highlight w:val="none"/>
              </w:rPr>
            </w:pPr>
          </w:p>
        </w:tc>
        <w:tc>
          <w:tcPr>
            <w:tcW w:w="720" w:type="dxa"/>
          </w:tcPr>
          <w:p>
            <w:pPr>
              <w:pStyle w:val="26"/>
              <w:spacing w:line="360" w:lineRule="auto"/>
              <w:ind w:right="-519" w:rightChars="-247"/>
              <w:rPr>
                <w:highlight w:val="none"/>
              </w:rPr>
            </w:pPr>
          </w:p>
        </w:tc>
        <w:tc>
          <w:tcPr>
            <w:tcW w:w="900" w:type="dxa"/>
          </w:tcPr>
          <w:p>
            <w:pPr>
              <w:pStyle w:val="26"/>
              <w:spacing w:line="360" w:lineRule="auto"/>
              <w:ind w:right="-519" w:rightChars="-247"/>
              <w:rPr>
                <w:highlight w:val="none"/>
              </w:rPr>
            </w:pPr>
          </w:p>
        </w:tc>
        <w:tc>
          <w:tcPr>
            <w:tcW w:w="1800" w:type="dxa"/>
          </w:tcPr>
          <w:p>
            <w:pPr>
              <w:pStyle w:val="26"/>
              <w:spacing w:line="360" w:lineRule="auto"/>
              <w:ind w:right="-519" w:rightChars="-247"/>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pStyle w:val="26"/>
              <w:spacing w:line="360" w:lineRule="auto"/>
              <w:ind w:right="-519" w:rightChars="-247"/>
              <w:rPr>
                <w:highlight w:val="none"/>
              </w:rPr>
            </w:pPr>
          </w:p>
        </w:tc>
        <w:tc>
          <w:tcPr>
            <w:tcW w:w="3240" w:type="dxa"/>
            <w:gridSpan w:val="2"/>
          </w:tcPr>
          <w:p>
            <w:pPr>
              <w:pStyle w:val="26"/>
              <w:spacing w:line="360" w:lineRule="auto"/>
              <w:ind w:right="-519" w:rightChars="-247"/>
              <w:rPr>
                <w:highlight w:val="none"/>
              </w:rPr>
            </w:pPr>
          </w:p>
        </w:tc>
        <w:tc>
          <w:tcPr>
            <w:tcW w:w="1080" w:type="dxa"/>
          </w:tcPr>
          <w:p>
            <w:pPr>
              <w:pStyle w:val="26"/>
              <w:spacing w:line="360" w:lineRule="auto"/>
              <w:ind w:right="-519" w:rightChars="-247"/>
              <w:rPr>
                <w:highlight w:val="none"/>
              </w:rPr>
            </w:pPr>
          </w:p>
        </w:tc>
        <w:tc>
          <w:tcPr>
            <w:tcW w:w="720" w:type="dxa"/>
          </w:tcPr>
          <w:p>
            <w:pPr>
              <w:pStyle w:val="26"/>
              <w:spacing w:line="360" w:lineRule="auto"/>
              <w:ind w:right="-519" w:rightChars="-247"/>
              <w:rPr>
                <w:highlight w:val="none"/>
              </w:rPr>
            </w:pPr>
          </w:p>
        </w:tc>
        <w:tc>
          <w:tcPr>
            <w:tcW w:w="720" w:type="dxa"/>
          </w:tcPr>
          <w:p>
            <w:pPr>
              <w:pStyle w:val="26"/>
              <w:spacing w:line="360" w:lineRule="auto"/>
              <w:ind w:right="-519" w:rightChars="-247"/>
              <w:rPr>
                <w:highlight w:val="none"/>
              </w:rPr>
            </w:pPr>
          </w:p>
        </w:tc>
        <w:tc>
          <w:tcPr>
            <w:tcW w:w="900" w:type="dxa"/>
          </w:tcPr>
          <w:p>
            <w:pPr>
              <w:pStyle w:val="26"/>
              <w:spacing w:line="360" w:lineRule="auto"/>
              <w:ind w:right="-519" w:rightChars="-247"/>
              <w:rPr>
                <w:highlight w:val="none"/>
              </w:rPr>
            </w:pPr>
          </w:p>
        </w:tc>
        <w:tc>
          <w:tcPr>
            <w:tcW w:w="1800" w:type="dxa"/>
          </w:tcPr>
          <w:p>
            <w:pPr>
              <w:pStyle w:val="26"/>
              <w:spacing w:line="360" w:lineRule="auto"/>
              <w:ind w:right="-519" w:rightChars="-247"/>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pStyle w:val="26"/>
              <w:spacing w:line="360" w:lineRule="auto"/>
              <w:ind w:right="-519" w:rightChars="-247"/>
              <w:rPr>
                <w:highlight w:val="none"/>
              </w:rPr>
            </w:pPr>
          </w:p>
        </w:tc>
        <w:tc>
          <w:tcPr>
            <w:tcW w:w="3240" w:type="dxa"/>
            <w:gridSpan w:val="2"/>
          </w:tcPr>
          <w:p>
            <w:pPr>
              <w:pStyle w:val="26"/>
              <w:spacing w:line="360" w:lineRule="auto"/>
              <w:ind w:right="-519" w:rightChars="-247"/>
              <w:rPr>
                <w:highlight w:val="none"/>
              </w:rPr>
            </w:pPr>
          </w:p>
        </w:tc>
        <w:tc>
          <w:tcPr>
            <w:tcW w:w="1080" w:type="dxa"/>
          </w:tcPr>
          <w:p>
            <w:pPr>
              <w:pStyle w:val="26"/>
              <w:spacing w:line="360" w:lineRule="auto"/>
              <w:ind w:right="-519" w:rightChars="-247"/>
              <w:rPr>
                <w:highlight w:val="none"/>
              </w:rPr>
            </w:pPr>
          </w:p>
        </w:tc>
        <w:tc>
          <w:tcPr>
            <w:tcW w:w="720" w:type="dxa"/>
          </w:tcPr>
          <w:p>
            <w:pPr>
              <w:pStyle w:val="26"/>
              <w:spacing w:line="360" w:lineRule="auto"/>
              <w:ind w:right="-519" w:rightChars="-247"/>
              <w:rPr>
                <w:highlight w:val="none"/>
              </w:rPr>
            </w:pPr>
          </w:p>
        </w:tc>
        <w:tc>
          <w:tcPr>
            <w:tcW w:w="720" w:type="dxa"/>
          </w:tcPr>
          <w:p>
            <w:pPr>
              <w:pStyle w:val="26"/>
              <w:spacing w:line="360" w:lineRule="auto"/>
              <w:ind w:right="-519" w:rightChars="-247"/>
              <w:rPr>
                <w:highlight w:val="none"/>
              </w:rPr>
            </w:pPr>
          </w:p>
        </w:tc>
        <w:tc>
          <w:tcPr>
            <w:tcW w:w="900" w:type="dxa"/>
          </w:tcPr>
          <w:p>
            <w:pPr>
              <w:pStyle w:val="26"/>
              <w:spacing w:line="360" w:lineRule="auto"/>
              <w:ind w:right="-519" w:rightChars="-247"/>
              <w:rPr>
                <w:highlight w:val="none"/>
              </w:rPr>
            </w:pPr>
          </w:p>
        </w:tc>
        <w:tc>
          <w:tcPr>
            <w:tcW w:w="1800" w:type="dxa"/>
          </w:tcPr>
          <w:p>
            <w:pPr>
              <w:pStyle w:val="26"/>
              <w:spacing w:line="360" w:lineRule="auto"/>
              <w:ind w:right="-519" w:rightChars="-247"/>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pStyle w:val="26"/>
              <w:spacing w:line="360" w:lineRule="auto"/>
              <w:ind w:right="-519" w:rightChars="-247"/>
              <w:rPr>
                <w:highlight w:val="none"/>
              </w:rPr>
            </w:pPr>
          </w:p>
        </w:tc>
        <w:tc>
          <w:tcPr>
            <w:tcW w:w="3240" w:type="dxa"/>
            <w:gridSpan w:val="2"/>
          </w:tcPr>
          <w:p>
            <w:pPr>
              <w:pStyle w:val="26"/>
              <w:spacing w:line="360" w:lineRule="auto"/>
              <w:ind w:right="-519" w:rightChars="-247"/>
              <w:rPr>
                <w:highlight w:val="none"/>
              </w:rPr>
            </w:pPr>
          </w:p>
        </w:tc>
        <w:tc>
          <w:tcPr>
            <w:tcW w:w="1080" w:type="dxa"/>
          </w:tcPr>
          <w:p>
            <w:pPr>
              <w:pStyle w:val="26"/>
              <w:spacing w:line="360" w:lineRule="auto"/>
              <w:ind w:right="-519" w:rightChars="-247"/>
              <w:rPr>
                <w:highlight w:val="none"/>
              </w:rPr>
            </w:pPr>
          </w:p>
        </w:tc>
        <w:tc>
          <w:tcPr>
            <w:tcW w:w="720" w:type="dxa"/>
          </w:tcPr>
          <w:p>
            <w:pPr>
              <w:pStyle w:val="26"/>
              <w:spacing w:line="360" w:lineRule="auto"/>
              <w:ind w:right="-519" w:rightChars="-247"/>
              <w:rPr>
                <w:highlight w:val="none"/>
              </w:rPr>
            </w:pPr>
          </w:p>
        </w:tc>
        <w:tc>
          <w:tcPr>
            <w:tcW w:w="720" w:type="dxa"/>
          </w:tcPr>
          <w:p>
            <w:pPr>
              <w:pStyle w:val="26"/>
              <w:spacing w:line="360" w:lineRule="auto"/>
              <w:ind w:right="-519" w:rightChars="-247"/>
              <w:rPr>
                <w:highlight w:val="none"/>
              </w:rPr>
            </w:pPr>
          </w:p>
        </w:tc>
        <w:tc>
          <w:tcPr>
            <w:tcW w:w="900" w:type="dxa"/>
          </w:tcPr>
          <w:p>
            <w:pPr>
              <w:pStyle w:val="26"/>
              <w:spacing w:line="360" w:lineRule="auto"/>
              <w:ind w:right="-519" w:rightChars="-247"/>
              <w:rPr>
                <w:highlight w:val="none"/>
              </w:rPr>
            </w:pPr>
          </w:p>
        </w:tc>
        <w:tc>
          <w:tcPr>
            <w:tcW w:w="1800" w:type="dxa"/>
          </w:tcPr>
          <w:p>
            <w:pPr>
              <w:pStyle w:val="26"/>
              <w:spacing w:line="360" w:lineRule="auto"/>
              <w:ind w:right="-519" w:rightChars="-247"/>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pStyle w:val="26"/>
              <w:spacing w:line="360" w:lineRule="auto"/>
              <w:ind w:right="-519" w:rightChars="-247"/>
              <w:rPr>
                <w:highlight w:val="none"/>
              </w:rPr>
            </w:pPr>
          </w:p>
        </w:tc>
        <w:tc>
          <w:tcPr>
            <w:tcW w:w="3240" w:type="dxa"/>
            <w:gridSpan w:val="2"/>
          </w:tcPr>
          <w:p>
            <w:pPr>
              <w:pStyle w:val="26"/>
              <w:spacing w:line="360" w:lineRule="auto"/>
              <w:ind w:right="-519" w:rightChars="-247"/>
              <w:rPr>
                <w:highlight w:val="none"/>
              </w:rPr>
            </w:pPr>
          </w:p>
        </w:tc>
        <w:tc>
          <w:tcPr>
            <w:tcW w:w="1080" w:type="dxa"/>
          </w:tcPr>
          <w:p>
            <w:pPr>
              <w:pStyle w:val="26"/>
              <w:spacing w:line="360" w:lineRule="auto"/>
              <w:ind w:right="-519" w:rightChars="-247"/>
              <w:rPr>
                <w:highlight w:val="none"/>
              </w:rPr>
            </w:pPr>
          </w:p>
        </w:tc>
        <w:tc>
          <w:tcPr>
            <w:tcW w:w="720" w:type="dxa"/>
          </w:tcPr>
          <w:p>
            <w:pPr>
              <w:pStyle w:val="26"/>
              <w:spacing w:line="360" w:lineRule="auto"/>
              <w:ind w:right="-519" w:rightChars="-247"/>
              <w:rPr>
                <w:highlight w:val="none"/>
              </w:rPr>
            </w:pPr>
          </w:p>
        </w:tc>
        <w:tc>
          <w:tcPr>
            <w:tcW w:w="720" w:type="dxa"/>
          </w:tcPr>
          <w:p>
            <w:pPr>
              <w:pStyle w:val="26"/>
              <w:spacing w:line="360" w:lineRule="auto"/>
              <w:ind w:right="-519" w:rightChars="-247"/>
              <w:rPr>
                <w:highlight w:val="none"/>
              </w:rPr>
            </w:pPr>
          </w:p>
        </w:tc>
        <w:tc>
          <w:tcPr>
            <w:tcW w:w="900" w:type="dxa"/>
          </w:tcPr>
          <w:p>
            <w:pPr>
              <w:pStyle w:val="26"/>
              <w:spacing w:line="360" w:lineRule="auto"/>
              <w:ind w:right="-519" w:rightChars="-247"/>
              <w:rPr>
                <w:highlight w:val="none"/>
              </w:rPr>
            </w:pPr>
          </w:p>
        </w:tc>
        <w:tc>
          <w:tcPr>
            <w:tcW w:w="1800" w:type="dxa"/>
          </w:tcPr>
          <w:p>
            <w:pPr>
              <w:pStyle w:val="26"/>
              <w:spacing w:line="360" w:lineRule="auto"/>
              <w:ind w:right="-519" w:rightChars="-247"/>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pStyle w:val="26"/>
              <w:spacing w:line="360" w:lineRule="auto"/>
              <w:ind w:right="-519" w:rightChars="-247"/>
              <w:rPr>
                <w:highlight w:val="none"/>
              </w:rPr>
            </w:pPr>
          </w:p>
        </w:tc>
        <w:tc>
          <w:tcPr>
            <w:tcW w:w="3240" w:type="dxa"/>
            <w:gridSpan w:val="2"/>
          </w:tcPr>
          <w:p>
            <w:pPr>
              <w:pStyle w:val="26"/>
              <w:spacing w:line="360" w:lineRule="auto"/>
              <w:ind w:right="-519" w:rightChars="-247"/>
              <w:rPr>
                <w:highlight w:val="none"/>
              </w:rPr>
            </w:pPr>
          </w:p>
        </w:tc>
        <w:tc>
          <w:tcPr>
            <w:tcW w:w="1080" w:type="dxa"/>
          </w:tcPr>
          <w:p>
            <w:pPr>
              <w:pStyle w:val="26"/>
              <w:spacing w:line="360" w:lineRule="auto"/>
              <w:ind w:right="-519" w:rightChars="-247"/>
              <w:rPr>
                <w:highlight w:val="none"/>
              </w:rPr>
            </w:pPr>
          </w:p>
        </w:tc>
        <w:tc>
          <w:tcPr>
            <w:tcW w:w="720" w:type="dxa"/>
          </w:tcPr>
          <w:p>
            <w:pPr>
              <w:pStyle w:val="26"/>
              <w:spacing w:line="360" w:lineRule="auto"/>
              <w:ind w:right="-519" w:rightChars="-247"/>
              <w:rPr>
                <w:highlight w:val="none"/>
              </w:rPr>
            </w:pPr>
          </w:p>
        </w:tc>
        <w:tc>
          <w:tcPr>
            <w:tcW w:w="720" w:type="dxa"/>
          </w:tcPr>
          <w:p>
            <w:pPr>
              <w:pStyle w:val="26"/>
              <w:spacing w:line="360" w:lineRule="auto"/>
              <w:ind w:right="-519" w:rightChars="-247"/>
              <w:rPr>
                <w:highlight w:val="none"/>
              </w:rPr>
            </w:pPr>
          </w:p>
        </w:tc>
        <w:tc>
          <w:tcPr>
            <w:tcW w:w="900" w:type="dxa"/>
          </w:tcPr>
          <w:p>
            <w:pPr>
              <w:pStyle w:val="26"/>
              <w:spacing w:line="360" w:lineRule="auto"/>
              <w:ind w:right="-519" w:rightChars="-247"/>
              <w:rPr>
                <w:highlight w:val="none"/>
              </w:rPr>
            </w:pPr>
          </w:p>
        </w:tc>
        <w:tc>
          <w:tcPr>
            <w:tcW w:w="1800" w:type="dxa"/>
          </w:tcPr>
          <w:p>
            <w:pPr>
              <w:pStyle w:val="26"/>
              <w:spacing w:line="360" w:lineRule="auto"/>
              <w:ind w:right="-519" w:rightChars="-247"/>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pStyle w:val="26"/>
              <w:spacing w:line="360" w:lineRule="auto"/>
              <w:ind w:right="-519" w:rightChars="-247"/>
              <w:rPr>
                <w:highlight w:val="none"/>
              </w:rPr>
            </w:pPr>
          </w:p>
        </w:tc>
        <w:tc>
          <w:tcPr>
            <w:tcW w:w="3240" w:type="dxa"/>
            <w:gridSpan w:val="2"/>
          </w:tcPr>
          <w:p>
            <w:pPr>
              <w:pStyle w:val="26"/>
              <w:spacing w:line="360" w:lineRule="auto"/>
              <w:ind w:right="-519" w:rightChars="-247"/>
              <w:rPr>
                <w:highlight w:val="none"/>
              </w:rPr>
            </w:pPr>
          </w:p>
        </w:tc>
        <w:tc>
          <w:tcPr>
            <w:tcW w:w="1080" w:type="dxa"/>
          </w:tcPr>
          <w:p>
            <w:pPr>
              <w:pStyle w:val="26"/>
              <w:spacing w:line="360" w:lineRule="auto"/>
              <w:ind w:right="-519" w:rightChars="-247"/>
              <w:rPr>
                <w:highlight w:val="none"/>
              </w:rPr>
            </w:pPr>
          </w:p>
        </w:tc>
        <w:tc>
          <w:tcPr>
            <w:tcW w:w="720" w:type="dxa"/>
          </w:tcPr>
          <w:p>
            <w:pPr>
              <w:pStyle w:val="26"/>
              <w:spacing w:line="360" w:lineRule="auto"/>
              <w:ind w:right="-519" w:rightChars="-247"/>
              <w:rPr>
                <w:highlight w:val="none"/>
              </w:rPr>
            </w:pPr>
          </w:p>
        </w:tc>
        <w:tc>
          <w:tcPr>
            <w:tcW w:w="720" w:type="dxa"/>
          </w:tcPr>
          <w:p>
            <w:pPr>
              <w:pStyle w:val="26"/>
              <w:spacing w:line="360" w:lineRule="auto"/>
              <w:ind w:right="-519" w:rightChars="-247"/>
              <w:rPr>
                <w:highlight w:val="none"/>
              </w:rPr>
            </w:pPr>
          </w:p>
        </w:tc>
        <w:tc>
          <w:tcPr>
            <w:tcW w:w="900" w:type="dxa"/>
          </w:tcPr>
          <w:p>
            <w:pPr>
              <w:pStyle w:val="26"/>
              <w:spacing w:line="360" w:lineRule="auto"/>
              <w:ind w:right="-519" w:rightChars="-247"/>
              <w:rPr>
                <w:highlight w:val="none"/>
              </w:rPr>
            </w:pPr>
          </w:p>
        </w:tc>
        <w:tc>
          <w:tcPr>
            <w:tcW w:w="1800" w:type="dxa"/>
          </w:tcPr>
          <w:p>
            <w:pPr>
              <w:pStyle w:val="26"/>
              <w:spacing w:line="360" w:lineRule="auto"/>
              <w:ind w:right="-519" w:rightChars="-247"/>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88" w:type="dxa"/>
            <w:gridSpan w:val="2"/>
          </w:tcPr>
          <w:p>
            <w:pPr>
              <w:pStyle w:val="26"/>
              <w:spacing w:line="360" w:lineRule="auto"/>
              <w:ind w:right="-519" w:rightChars="-247"/>
              <w:rPr>
                <w:highlight w:val="none"/>
              </w:rPr>
            </w:pPr>
            <w:r>
              <w:rPr>
                <w:rFonts w:hint="eastAsia" w:cs="宋体"/>
                <w:color w:val="000000"/>
                <w:highlight w:val="none"/>
              </w:rPr>
              <w:t>合计金额</w:t>
            </w:r>
          </w:p>
        </w:tc>
        <w:tc>
          <w:tcPr>
            <w:tcW w:w="5220" w:type="dxa"/>
            <w:gridSpan w:val="4"/>
          </w:tcPr>
          <w:p>
            <w:pPr>
              <w:pStyle w:val="26"/>
              <w:spacing w:line="360" w:lineRule="auto"/>
              <w:ind w:right="-519" w:rightChars="-247"/>
              <w:rPr>
                <w:highlight w:val="none"/>
              </w:rPr>
            </w:pPr>
            <w:r>
              <w:rPr>
                <w:rFonts w:hint="eastAsia" w:cs="宋体"/>
                <w:color w:val="000000"/>
                <w:highlight w:val="none"/>
              </w:rPr>
              <w:t>（大写）</w:t>
            </w:r>
          </w:p>
        </w:tc>
        <w:tc>
          <w:tcPr>
            <w:tcW w:w="900" w:type="dxa"/>
          </w:tcPr>
          <w:p>
            <w:pPr>
              <w:pStyle w:val="26"/>
              <w:spacing w:line="360" w:lineRule="auto"/>
              <w:ind w:right="-519" w:rightChars="-247"/>
              <w:rPr>
                <w:highlight w:val="none"/>
              </w:rPr>
            </w:pPr>
            <w:r>
              <w:rPr>
                <w:rFonts w:hint="eastAsia" w:cs="宋体"/>
                <w:color w:val="000000"/>
                <w:highlight w:val="none"/>
              </w:rPr>
              <w:t>￥</w:t>
            </w:r>
          </w:p>
        </w:tc>
        <w:tc>
          <w:tcPr>
            <w:tcW w:w="1800" w:type="dxa"/>
          </w:tcPr>
          <w:p>
            <w:pPr>
              <w:pStyle w:val="26"/>
              <w:spacing w:line="360" w:lineRule="auto"/>
              <w:ind w:right="-519" w:rightChars="-247"/>
              <w:rPr>
                <w:highlight w:val="none"/>
              </w:rPr>
            </w:pPr>
          </w:p>
        </w:tc>
      </w:tr>
    </w:tbl>
    <w:p>
      <w:pPr>
        <w:pStyle w:val="26"/>
        <w:spacing w:line="360" w:lineRule="auto"/>
        <w:ind w:right="-519" w:rightChars="-247"/>
        <w:rPr>
          <w:highlight w:val="none"/>
        </w:rPr>
      </w:pPr>
    </w:p>
    <w:p>
      <w:pPr>
        <w:pStyle w:val="26"/>
        <w:spacing w:line="360" w:lineRule="auto"/>
        <w:ind w:right="-519" w:rightChars="-247"/>
        <w:rPr>
          <w:highlight w:val="none"/>
        </w:rPr>
      </w:pPr>
      <w:r>
        <w:rPr>
          <w:rFonts w:hint="eastAsia" w:cs="宋体"/>
          <w:color w:val="000000"/>
          <w:highlight w:val="none"/>
        </w:rPr>
        <w:t>收货人（签名）：送货人（签名）：</w:t>
      </w:r>
    </w:p>
    <w:p>
      <w:pPr>
        <w:pStyle w:val="26"/>
        <w:spacing w:line="360" w:lineRule="auto"/>
        <w:ind w:right="-519" w:rightChars="-247"/>
        <w:rPr>
          <w:highlight w:val="none"/>
        </w:rPr>
      </w:pPr>
      <w:r>
        <w:rPr>
          <w:rFonts w:hint="eastAsia" w:cs="宋体"/>
          <w:color w:val="000000"/>
          <w:highlight w:val="none"/>
        </w:rPr>
        <w:t>日期：日期：</w:t>
      </w:r>
    </w:p>
    <w:p>
      <w:pPr>
        <w:pStyle w:val="26"/>
        <w:spacing w:line="360" w:lineRule="auto"/>
        <w:ind w:right="-519" w:rightChars="-247"/>
        <w:rPr>
          <w:highlight w:val="none"/>
        </w:rPr>
      </w:pPr>
    </w:p>
    <w:p>
      <w:pPr>
        <w:pStyle w:val="26"/>
        <w:spacing w:line="360" w:lineRule="auto"/>
        <w:ind w:right="-519" w:rightChars="-247"/>
        <w:rPr>
          <w:highlight w:val="none"/>
        </w:rPr>
      </w:pPr>
      <w:r>
        <w:rPr>
          <w:rFonts w:hint="eastAsia" w:cs="宋体"/>
          <w:color w:val="000000"/>
          <w:highlight w:val="none"/>
        </w:rPr>
        <w:t>买方验收审核人：</w:t>
      </w:r>
    </w:p>
    <w:p>
      <w:pPr>
        <w:pStyle w:val="26"/>
        <w:spacing w:line="360" w:lineRule="auto"/>
        <w:ind w:right="-519" w:rightChars="-247"/>
        <w:rPr>
          <w:rFonts w:cs="宋体"/>
          <w:color w:val="000000"/>
          <w:highlight w:val="none"/>
        </w:rPr>
      </w:pPr>
    </w:p>
    <w:p/>
    <w:p>
      <w:pPr>
        <w:rPr>
          <w:lang w:val="en-US" w:eastAsia="zh-CN"/>
        </w:rPr>
      </w:pPr>
    </w:p>
    <w:p>
      <w:pPr>
        <w:pStyle w:val="6"/>
        <w:rPr>
          <w:lang w:val="en-US" w:eastAsia="zh-CN"/>
        </w:rPr>
      </w:pPr>
    </w:p>
    <w:p>
      <w:pPr>
        <w:rPr>
          <w:lang w:val="en-US" w:eastAsia="zh-CN"/>
        </w:rPr>
      </w:pPr>
    </w:p>
    <w:p>
      <w:pPr>
        <w:pStyle w:val="6"/>
        <w:rPr>
          <w:lang w:val="en-US" w:eastAsia="zh-CN"/>
        </w:rPr>
      </w:pPr>
    </w:p>
    <w:p>
      <w:pPr>
        <w:pStyle w:val="19"/>
        <w:keepNext w:val="0"/>
        <w:keepLines w:val="0"/>
        <w:pageBreakBefore w:val="0"/>
        <w:widowControl/>
        <w:kinsoku/>
        <w:wordWrap/>
        <w:overflowPunct/>
        <w:topLinePunct w:val="0"/>
        <w:autoSpaceDE/>
        <w:autoSpaceDN/>
        <w:bidi w:val="0"/>
        <w:adjustRightInd/>
        <w:snapToGrid/>
        <w:spacing w:before="240" w:after="240" w:line="360" w:lineRule="auto"/>
        <w:jc w:val="left"/>
        <w:textAlignment w:val="auto"/>
        <w:outlineLvl w:val="0"/>
        <w:rPr>
          <w:rFonts w:hint="eastAsia"/>
          <w:b/>
          <w:strike w:val="0"/>
          <w:dstrike w:val="0"/>
          <w:sz w:val="24"/>
        </w:rPr>
      </w:pPr>
      <w:r>
        <w:rPr>
          <w:rFonts w:hint="eastAsia"/>
          <w:b/>
          <w:strike w:val="0"/>
          <w:dstrike w:val="0"/>
          <w:sz w:val="24"/>
          <w:lang w:val="en-US" w:eastAsia="zh-CN"/>
        </w:rPr>
        <w:t xml:space="preserve">附件4： </w:t>
      </w:r>
      <w:r>
        <w:rPr>
          <w:rFonts w:hint="eastAsia"/>
          <w:b/>
          <w:strike w:val="0"/>
          <w:dstrike w:val="0"/>
          <w:sz w:val="24"/>
        </w:rPr>
        <w:t>供应商履约异常处罚方式</w:t>
      </w:r>
    </w:p>
    <w:p>
      <w:pPr>
        <w:keepNext w:val="0"/>
        <w:keepLines w:val="0"/>
        <w:pageBreakBefore w:val="0"/>
        <w:widowControl/>
        <w:kinsoku/>
        <w:wordWrap/>
        <w:overflowPunct/>
        <w:topLinePunct w:val="0"/>
        <w:autoSpaceDE/>
        <w:autoSpaceDN/>
        <w:bidi w:val="0"/>
        <w:adjustRightInd/>
        <w:snapToGrid/>
        <w:spacing w:before="0" w:after="0" w:line="240" w:lineRule="auto"/>
        <w:jc w:val="left"/>
        <w:textAlignment w:val="auto"/>
        <w:outlineLvl w:val="1"/>
        <w:rPr>
          <w:rFonts w:hint="eastAsia" w:eastAsia="宋体"/>
          <w:b/>
          <w:strike w:val="0"/>
          <w:dstrike w:val="0"/>
          <w:sz w:val="24"/>
          <w:lang w:eastAsia="zh-CN"/>
        </w:rPr>
      </w:pPr>
      <w:r>
        <w:rPr>
          <w:rFonts w:hint="eastAsia"/>
          <w:b/>
          <w:strike w:val="0"/>
          <w:dstrike w:val="0"/>
          <w:sz w:val="24"/>
          <w:lang w:val="en-US" w:eastAsia="zh-CN"/>
        </w:rPr>
        <w:t>4.1海油发展供应商处理情形和处理标准</w:t>
      </w:r>
    </w:p>
    <w:tbl>
      <w:tblPr>
        <w:tblStyle w:val="14"/>
        <w:tblW w:w="10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834"/>
        <w:gridCol w:w="5361"/>
        <w:gridCol w:w="2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662"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序号</w:t>
            </w:r>
          </w:p>
        </w:tc>
        <w:tc>
          <w:tcPr>
            <w:tcW w:w="1834"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违规类型</w:t>
            </w:r>
          </w:p>
        </w:tc>
        <w:tc>
          <w:tcPr>
            <w:tcW w:w="5361"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违规情形说明</w:t>
            </w:r>
          </w:p>
        </w:tc>
        <w:tc>
          <w:tcPr>
            <w:tcW w:w="2588" w:type="dxa"/>
            <w:shd w:val="clear" w:color="auto" w:fill="auto"/>
            <w:vAlign w:val="center"/>
          </w:tcPr>
          <w:p>
            <w:pPr>
              <w:textAlignment w:val="center"/>
              <w:rPr>
                <w:b/>
                <w:bCs/>
                <w:color w:val="000000"/>
                <w:sz w:val="22"/>
                <w:szCs w:val="22"/>
              </w:rPr>
            </w:pPr>
            <w:r>
              <w:rPr>
                <w:rFonts w:hint="eastAsia"/>
                <w:b/>
                <w:bCs/>
                <w:color w:val="000000"/>
                <w:sz w:val="22"/>
                <w:szCs w:val="22"/>
                <w:lang w:bidi="ar"/>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1</w:t>
            </w:r>
          </w:p>
        </w:tc>
        <w:tc>
          <w:tcPr>
            <w:tcW w:w="1834"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提供虚假资料</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提供虚假材料（资质文件、业绩、财务状况、书面承诺等）进行供应商注册、准入或参与采购项目，未造成损失的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2</w:t>
            </w:r>
          </w:p>
        </w:tc>
        <w:tc>
          <w:tcPr>
            <w:tcW w:w="1834" w:type="dxa"/>
            <w:vMerge w:val="continue"/>
            <w:shd w:val="clear" w:color="auto" w:fill="auto"/>
            <w:vAlign w:val="center"/>
          </w:tcPr>
          <w:p>
            <w:pPr>
              <w:jc w:val="center"/>
              <w:rPr>
                <w:color w:val="000000"/>
                <w:sz w:val="20"/>
                <w:szCs w:val="20"/>
              </w:rPr>
            </w:pPr>
          </w:p>
        </w:tc>
        <w:tc>
          <w:tcPr>
            <w:tcW w:w="5361" w:type="dxa"/>
            <w:shd w:val="clear" w:color="auto" w:fill="auto"/>
            <w:vAlign w:val="center"/>
          </w:tcPr>
          <w:p>
            <w:pPr>
              <w:textAlignment w:val="center"/>
              <w:rPr>
                <w:rFonts w:hint="default" w:eastAsia="宋体"/>
                <w:color w:val="000000"/>
                <w:sz w:val="20"/>
                <w:szCs w:val="20"/>
                <w:lang w:val="en-US" w:eastAsia="zh-CN"/>
              </w:rPr>
            </w:pPr>
            <w:r>
              <w:rPr>
                <w:rFonts w:hint="eastAsia"/>
                <w:b/>
                <w:bCs/>
                <w:color w:val="000000"/>
                <w:sz w:val="20"/>
                <w:szCs w:val="20"/>
                <w:lang w:bidi="ar"/>
              </w:rPr>
              <w:t>提供虚假材料</w:t>
            </w:r>
            <w:r>
              <w:rPr>
                <w:rFonts w:hint="eastAsia"/>
                <w:color w:val="000000"/>
                <w:sz w:val="20"/>
                <w:szCs w:val="20"/>
                <w:lang w:bidi="ar"/>
              </w:rPr>
              <w:t>（</w:t>
            </w:r>
            <w:r>
              <w:rPr>
                <w:rFonts w:hint="eastAsia"/>
                <w:b/>
                <w:bCs/>
                <w:color w:val="000000"/>
                <w:sz w:val="20"/>
                <w:szCs w:val="20"/>
                <w:lang w:bidi="ar"/>
              </w:rPr>
              <w:t>资质文件、业绩、财务状况、书面承诺</w:t>
            </w:r>
            <w:r>
              <w:rPr>
                <w:rFonts w:hint="eastAsia"/>
                <w:color w:val="000000"/>
                <w:sz w:val="20"/>
                <w:szCs w:val="20"/>
                <w:lang w:bidi="ar"/>
              </w:rPr>
              <w:t>等）进行供应商注册、准入或参与采购项目，造成损失的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p>
        </w:tc>
        <w:tc>
          <w:tcPr>
            <w:tcW w:w="2588"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3</w:t>
            </w:r>
          </w:p>
        </w:tc>
        <w:tc>
          <w:tcPr>
            <w:tcW w:w="1834"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恶意串通</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为达到不正当目的</w:t>
            </w:r>
            <w:r>
              <w:rPr>
                <w:rFonts w:hint="eastAsia"/>
                <w:b/>
                <w:bCs/>
                <w:color w:val="000000"/>
                <w:sz w:val="20"/>
                <w:szCs w:val="20"/>
                <w:lang w:bidi="ar"/>
              </w:rPr>
              <w:t>相互恶意串通</w:t>
            </w:r>
            <w:r>
              <w:rPr>
                <w:rFonts w:hint="eastAsia"/>
                <w:color w:val="000000"/>
                <w:sz w:val="20"/>
                <w:szCs w:val="20"/>
                <w:lang w:bidi="ar"/>
              </w:rPr>
              <w:t>，未造成损失的。恶意串通包括：①供应商与采购人或招标机构串通，由采购人或招标机构提出有利于特定供应商中标的要求；②供应商与采购人、招标机构或</w:t>
            </w:r>
            <w:r>
              <w:rPr>
                <w:rFonts w:hint="eastAsia"/>
                <w:color w:val="000000"/>
                <w:sz w:val="20"/>
                <w:szCs w:val="20"/>
                <w:lang w:eastAsia="zh-CN" w:bidi="ar"/>
              </w:rPr>
              <w:t>其它</w:t>
            </w:r>
            <w:r>
              <w:rPr>
                <w:rFonts w:hint="eastAsia"/>
                <w:color w:val="000000"/>
                <w:sz w:val="20"/>
                <w:szCs w:val="20"/>
                <w:lang w:bidi="ar"/>
              </w:rPr>
              <w:t>供应商串通陪标的；③供应商之间相互串通，以不正当的手段排挤</w:t>
            </w:r>
            <w:r>
              <w:rPr>
                <w:rFonts w:hint="eastAsia"/>
                <w:color w:val="000000"/>
                <w:sz w:val="20"/>
                <w:szCs w:val="20"/>
                <w:lang w:eastAsia="zh-CN" w:bidi="ar"/>
              </w:rPr>
              <w:t>其它</w:t>
            </w:r>
            <w:r>
              <w:rPr>
                <w:rFonts w:hint="eastAsia"/>
                <w:color w:val="000000"/>
                <w:sz w:val="20"/>
                <w:szCs w:val="20"/>
                <w:lang w:bidi="ar"/>
              </w:rPr>
              <w:t>供应商（采取公开招标采办方式的，以招标代理公司判定结果为准）</w:t>
            </w:r>
          </w:p>
        </w:tc>
        <w:tc>
          <w:tcPr>
            <w:tcW w:w="2588"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4</w:t>
            </w:r>
          </w:p>
        </w:tc>
        <w:tc>
          <w:tcPr>
            <w:tcW w:w="1834" w:type="dxa"/>
            <w:vMerge w:val="continue"/>
            <w:shd w:val="clear" w:color="auto" w:fill="auto"/>
            <w:vAlign w:val="center"/>
          </w:tcPr>
          <w:p>
            <w:pPr>
              <w:jc w:val="cente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为达到不正当目的相互恶意串通，造成损失的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r>
              <w:rPr>
                <w:rFonts w:hint="eastAsia"/>
                <w:color w:val="000000"/>
                <w:sz w:val="20"/>
                <w:szCs w:val="20"/>
                <w:lang w:bidi="ar"/>
              </w:rPr>
              <w:t>。恶意串通包括：①供应商与采购人或招标机构串通，由采购人或招标机构提出有利于特定供应商中标的要求；②供应商与采购人、招标机构或</w:t>
            </w:r>
            <w:r>
              <w:rPr>
                <w:rFonts w:hint="eastAsia"/>
                <w:color w:val="000000"/>
                <w:sz w:val="20"/>
                <w:szCs w:val="20"/>
                <w:lang w:eastAsia="zh-CN" w:bidi="ar"/>
              </w:rPr>
              <w:t>其它</w:t>
            </w:r>
            <w:r>
              <w:rPr>
                <w:rFonts w:hint="eastAsia"/>
                <w:color w:val="000000"/>
                <w:sz w:val="20"/>
                <w:szCs w:val="20"/>
                <w:lang w:bidi="ar"/>
              </w:rPr>
              <w:t>供应商串通陪标的；③供应商之间相互串通，以不正当的手段排挤</w:t>
            </w:r>
            <w:r>
              <w:rPr>
                <w:rFonts w:hint="eastAsia"/>
                <w:color w:val="000000"/>
                <w:sz w:val="20"/>
                <w:szCs w:val="20"/>
                <w:lang w:eastAsia="zh-CN" w:bidi="ar"/>
              </w:rPr>
              <w:t>其它</w:t>
            </w:r>
            <w:r>
              <w:rPr>
                <w:rFonts w:hint="eastAsia"/>
                <w:color w:val="000000"/>
                <w:sz w:val="20"/>
                <w:szCs w:val="20"/>
                <w:lang w:bidi="ar"/>
              </w:rPr>
              <w:t>供应商（采取公开招标采办方式的，以招标代理公司判定结果为准）</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5</w:t>
            </w:r>
          </w:p>
        </w:tc>
        <w:tc>
          <w:tcPr>
            <w:tcW w:w="1834"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中途撤销投标</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非公开采办方式，具有参与意向，但未投标/响应的，未对采办过程造成影响的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6</w:t>
            </w:r>
          </w:p>
        </w:tc>
        <w:tc>
          <w:tcPr>
            <w:tcW w:w="1834" w:type="dxa"/>
            <w:vMerge w:val="continue"/>
            <w:shd w:val="clear" w:color="auto" w:fill="auto"/>
            <w:vAlign w:val="center"/>
          </w:tcPr>
          <w:p>
            <w:pPr>
              <w:jc w:val="cente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非公开采办方式，具有参与意向，但未投标/响应的，且对采办过程造成影响的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7</w:t>
            </w:r>
          </w:p>
        </w:tc>
        <w:tc>
          <w:tcPr>
            <w:tcW w:w="1834" w:type="dxa"/>
            <w:vMerge w:val="continue"/>
            <w:shd w:val="clear" w:color="auto" w:fill="auto"/>
            <w:vAlign w:val="center"/>
          </w:tcPr>
          <w:p>
            <w:pPr>
              <w:jc w:val="cente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开标后在有效期内中途撤销投标的，未对采办过程造成影响的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8</w:t>
            </w:r>
          </w:p>
        </w:tc>
        <w:tc>
          <w:tcPr>
            <w:tcW w:w="1834" w:type="dxa"/>
            <w:vMerge w:val="continue"/>
            <w:shd w:val="clear" w:color="auto" w:fill="auto"/>
            <w:vAlign w:val="center"/>
          </w:tcPr>
          <w:p>
            <w:pPr>
              <w:jc w:val="cente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b/>
                <w:bCs/>
                <w:color w:val="000000"/>
                <w:sz w:val="20"/>
                <w:szCs w:val="20"/>
                <w:lang w:bidi="ar"/>
              </w:rPr>
              <w:t>开标后在有效期内中途撤销投标的</w:t>
            </w:r>
            <w:r>
              <w:rPr>
                <w:rFonts w:hint="eastAsia"/>
                <w:color w:val="000000"/>
                <w:sz w:val="20"/>
                <w:szCs w:val="20"/>
                <w:lang w:bidi="ar"/>
              </w:rPr>
              <w:t>，且对采办过程造成影响的</w:t>
            </w:r>
          </w:p>
        </w:tc>
        <w:tc>
          <w:tcPr>
            <w:tcW w:w="2588"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9</w:t>
            </w:r>
          </w:p>
        </w:tc>
        <w:tc>
          <w:tcPr>
            <w:tcW w:w="1834" w:type="dxa"/>
            <w:vMerge w:val="restart"/>
            <w:shd w:val="clear" w:color="auto" w:fill="auto"/>
            <w:vAlign w:val="center"/>
          </w:tcPr>
          <w:p>
            <w:pPr>
              <w:jc w:val="center"/>
              <w:textAlignment w:val="center"/>
              <w:rPr>
                <w:color w:val="000000"/>
                <w:sz w:val="20"/>
                <w:szCs w:val="20"/>
              </w:rPr>
            </w:pPr>
            <w:r>
              <w:rPr>
                <w:rFonts w:hint="eastAsia"/>
                <w:b/>
                <w:bCs/>
                <w:color w:val="000000"/>
                <w:sz w:val="20"/>
                <w:szCs w:val="20"/>
                <w:lang w:bidi="ar"/>
              </w:rPr>
              <w:t>投标文件质量差</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w:t>
            </w:r>
            <w:r>
              <w:rPr>
                <w:rFonts w:hint="eastAsia"/>
                <w:color w:val="000000"/>
                <w:sz w:val="20"/>
                <w:szCs w:val="20"/>
                <w:lang w:eastAsia="zh-CN" w:bidi="ar"/>
              </w:rPr>
              <w:t>其它</w:t>
            </w:r>
            <w:r>
              <w:rPr>
                <w:rFonts w:hint="eastAsia"/>
                <w:color w:val="000000"/>
                <w:sz w:val="20"/>
                <w:szCs w:val="20"/>
                <w:lang w:bidi="ar"/>
              </w:rPr>
              <w:t>项目的方案或资料从而导致评标不合格；④邀请招标项目供应商因不重视商务投标导致商务评议不合格等情况。未造成影响的。</w:t>
            </w:r>
          </w:p>
        </w:tc>
        <w:tc>
          <w:tcPr>
            <w:tcW w:w="2588" w:type="dxa"/>
            <w:shd w:val="clear" w:color="auto" w:fill="auto"/>
            <w:vAlign w:val="center"/>
          </w:tcPr>
          <w:p>
            <w:pPr>
              <w:jc w:val="both"/>
              <w:textAlignment w:val="center"/>
              <w:rPr>
                <w:color w:val="000000"/>
                <w:sz w:val="20"/>
                <w:szCs w:val="20"/>
              </w:rPr>
            </w:pPr>
            <w:r>
              <w:rPr>
                <w:rFonts w:hint="eastAsia"/>
                <w:color w:val="000000"/>
                <w:sz w:val="20"/>
                <w:szCs w:val="20"/>
                <w:lang w:bidi="ar"/>
              </w:rPr>
              <w:t>初次出现对供应商进行“约谈”，一年内出现两次给予</w:t>
            </w:r>
            <w:r>
              <w:rPr>
                <w:rFonts w:hint="eastAsia"/>
                <w:b/>
                <w:bCs/>
                <w:color w:val="000000"/>
                <w:sz w:val="20"/>
                <w:szCs w:val="20"/>
                <w:lang w:bidi="ar"/>
              </w:rPr>
              <w:t>“警告”</w:t>
            </w:r>
            <w:r>
              <w:rPr>
                <w:rFonts w:hint="eastAsia"/>
                <w:color w:val="000000"/>
                <w:sz w:val="20"/>
                <w:szCs w:val="20"/>
                <w:lang w:bidi="ar"/>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10</w:t>
            </w:r>
          </w:p>
        </w:tc>
        <w:tc>
          <w:tcPr>
            <w:tcW w:w="1834" w:type="dxa"/>
            <w:vMerge w:val="continue"/>
            <w:shd w:val="clear" w:color="auto" w:fill="auto"/>
            <w:vAlign w:val="center"/>
          </w:tcPr>
          <w:p>
            <w:pPr>
              <w:jc w:val="cente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w:t>
            </w:r>
            <w:r>
              <w:rPr>
                <w:rFonts w:hint="eastAsia"/>
                <w:color w:val="000000"/>
                <w:sz w:val="20"/>
                <w:szCs w:val="20"/>
                <w:lang w:eastAsia="zh-CN" w:bidi="ar"/>
              </w:rPr>
              <w:t>其它</w:t>
            </w:r>
            <w:r>
              <w:rPr>
                <w:rFonts w:hint="eastAsia"/>
                <w:color w:val="000000"/>
                <w:sz w:val="20"/>
                <w:szCs w:val="20"/>
                <w:lang w:bidi="ar"/>
              </w:rPr>
              <w:t>项目的方案或资料从而导致评标不合格；④邀请招标项目供应商因不重视商务投标导致商务评议不合格等情况。造成影响的。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11</w:t>
            </w:r>
          </w:p>
        </w:tc>
        <w:tc>
          <w:tcPr>
            <w:tcW w:w="1834" w:type="dxa"/>
            <w:shd w:val="clear" w:color="auto" w:fill="auto"/>
            <w:vAlign w:val="center"/>
          </w:tcPr>
          <w:p>
            <w:pPr>
              <w:jc w:val="center"/>
              <w:textAlignment w:val="center"/>
              <w:rPr>
                <w:color w:val="000000"/>
                <w:sz w:val="20"/>
                <w:szCs w:val="20"/>
              </w:rPr>
            </w:pPr>
            <w:r>
              <w:rPr>
                <w:rFonts w:hint="eastAsia"/>
                <w:color w:val="000000"/>
                <w:sz w:val="20"/>
                <w:szCs w:val="20"/>
                <w:lang w:bidi="ar"/>
              </w:rPr>
              <w:t>排挤</w:t>
            </w:r>
            <w:r>
              <w:rPr>
                <w:rFonts w:hint="eastAsia"/>
                <w:color w:val="000000"/>
                <w:sz w:val="20"/>
                <w:szCs w:val="20"/>
                <w:lang w:eastAsia="zh-CN" w:bidi="ar"/>
              </w:rPr>
              <w:t>其它</w:t>
            </w:r>
            <w:r>
              <w:rPr>
                <w:rFonts w:hint="eastAsia"/>
                <w:color w:val="000000"/>
                <w:sz w:val="20"/>
                <w:szCs w:val="20"/>
                <w:lang w:bidi="ar"/>
              </w:rPr>
              <w:t>供应商</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在采购结果公布之前，违法违规获得非公开评标信息，或采取不正当手段妨碍、排挤</w:t>
            </w:r>
            <w:r>
              <w:rPr>
                <w:rFonts w:hint="eastAsia"/>
                <w:color w:val="000000"/>
                <w:sz w:val="20"/>
                <w:szCs w:val="20"/>
                <w:lang w:eastAsia="zh-CN" w:bidi="ar"/>
              </w:rPr>
              <w:t>其它</w:t>
            </w:r>
            <w:r>
              <w:rPr>
                <w:rFonts w:hint="eastAsia"/>
                <w:color w:val="000000"/>
                <w:sz w:val="20"/>
                <w:szCs w:val="20"/>
                <w:lang w:bidi="ar"/>
              </w:rPr>
              <w:t>供应商投标或中标的，证据确凿的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12</w:t>
            </w:r>
          </w:p>
        </w:tc>
        <w:tc>
          <w:tcPr>
            <w:tcW w:w="1834" w:type="dxa"/>
            <w:shd w:val="clear" w:color="auto" w:fill="auto"/>
            <w:vAlign w:val="center"/>
          </w:tcPr>
          <w:p>
            <w:pPr>
              <w:jc w:val="center"/>
              <w:textAlignment w:val="center"/>
              <w:rPr>
                <w:color w:val="000000"/>
                <w:sz w:val="20"/>
                <w:szCs w:val="20"/>
              </w:rPr>
            </w:pPr>
            <w:r>
              <w:rPr>
                <w:rFonts w:hint="eastAsia"/>
                <w:color w:val="000000"/>
                <w:sz w:val="20"/>
                <w:szCs w:val="20"/>
                <w:lang w:bidi="ar"/>
              </w:rPr>
              <w:t>不遵守招投标纪律</w:t>
            </w:r>
          </w:p>
        </w:tc>
        <w:tc>
          <w:tcPr>
            <w:tcW w:w="5361" w:type="dxa"/>
            <w:shd w:val="clear" w:color="auto" w:fill="auto"/>
            <w:vAlign w:val="center"/>
          </w:tcPr>
          <w:p>
            <w:pPr>
              <w:textAlignment w:val="center"/>
              <w:rPr>
                <w:color w:val="000000"/>
                <w:sz w:val="20"/>
                <w:szCs w:val="20"/>
              </w:rPr>
            </w:pPr>
            <w:r>
              <w:rPr>
                <w:rStyle w:val="20"/>
                <w:rFonts w:hint="default"/>
                <w:lang w:bidi="ar"/>
              </w:rPr>
              <w:t>不遵守招投标相关纪律：如在开标、评标现场无理取闹，违反招投标程序</w:t>
            </w:r>
            <w:r>
              <w:rPr>
                <w:rFonts w:ascii="Times New Roman" w:hAnsi="Times New Roman" w:cs="Times New Roman"/>
                <w:color w:val="000000"/>
                <w:sz w:val="20"/>
                <w:szCs w:val="20"/>
                <w:lang w:bidi="ar"/>
              </w:rPr>
              <w:t>,</w:t>
            </w:r>
            <w:r>
              <w:rPr>
                <w:rStyle w:val="20"/>
                <w:rFonts w:hint="default"/>
                <w:lang w:bidi="ar"/>
              </w:rPr>
              <w:t>破坏招投标秩序等情形的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13</w:t>
            </w:r>
          </w:p>
        </w:tc>
        <w:tc>
          <w:tcPr>
            <w:tcW w:w="1834" w:type="dxa"/>
            <w:shd w:val="clear" w:color="auto" w:fill="auto"/>
            <w:vAlign w:val="center"/>
          </w:tcPr>
          <w:p>
            <w:pPr>
              <w:jc w:val="center"/>
              <w:textAlignment w:val="center"/>
              <w:rPr>
                <w:color w:val="000000"/>
                <w:sz w:val="20"/>
                <w:szCs w:val="20"/>
              </w:rPr>
            </w:pPr>
            <w:r>
              <w:rPr>
                <w:rFonts w:hint="eastAsia"/>
                <w:b/>
                <w:bCs/>
                <w:color w:val="000000"/>
                <w:sz w:val="20"/>
                <w:szCs w:val="20"/>
                <w:lang w:bidi="ar"/>
              </w:rPr>
              <w:t>拒不签订合同</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获取中标资格或成交资格拒绝签订合同的</w:t>
            </w:r>
          </w:p>
        </w:tc>
        <w:tc>
          <w:tcPr>
            <w:tcW w:w="2588"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14</w:t>
            </w:r>
          </w:p>
        </w:tc>
        <w:tc>
          <w:tcPr>
            <w:tcW w:w="1834"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供应商对评标结果提出异议</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采取邀请招标/竞争性谈判/邀请询价采办方式，评标结束后，供应商提出异议并要求复议（如对中标供应商的投标文件提出异议），经核查后异议不实的或提出异议却无法提供证明文件的。未造成影响的。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15</w:t>
            </w:r>
          </w:p>
        </w:tc>
        <w:tc>
          <w:tcPr>
            <w:tcW w:w="1834" w:type="dxa"/>
            <w:vMerge w:val="continue"/>
            <w:shd w:val="clear" w:color="auto" w:fill="auto"/>
            <w:vAlign w:val="center"/>
          </w:tcPr>
          <w:p>
            <w:pPr>
              <w:jc w:val="cente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w:t>
            </w:r>
            <w:r>
              <w:rPr>
                <w:rFonts w:hint="eastAsia"/>
                <w:b/>
                <w:bCs/>
                <w:color w:val="000000"/>
                <w:sz w:val="20"/>
                <w:szCs w:val="20"/>
                <w:lang w:bidi="ar"/>
              </w:rPr>
              <w:t>经核查后异议不实的或提出异议却无法提供证明文件的</w:t>
            </w:r>
            <w:r>
              <w:rPr>
                <w:rFonts w:hint="eastAsia"/>
                <w:color w:val="000000"/>
                <w:sz w:val="20"/>
                <w:szCs w:val="20"/>
                <w:lang w:bidi="ar"/>
              </w:rPr>
              <w:t>。造成影响的。</w:t>
            </w:r>
          </w:p>
        </w:tc>
        <w:tc>
          <w:tcPr>
            <w:tcW w:w="2588"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16</w:t>
            </w:r>
          </w:p>
        </w:tc>
        <w:tc>
          <w:tcPr>
            <w:tcW w:w="1834"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无事实依据对采购过程或采购结果进行乱投诉、举报的</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情节较轻的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17</w:t>
            </w:r>
          </w:p>
        </w:tc>
        <w:tc>
          <w:tcPr>
            <w:tcW w:w="1834" w:type="dxa"/>
            <w:vMerge w:val="continue"/>
            <w:shd w:val="clear" w:color="auto" w:fill="auto"/>
            <w:vAlign w:val="center"/>
          </w:tcPr>
          <w:p>
            <w:pPr>
              <w:jc w:val="cente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b/>
                <w:bCs/>
                <w:color w:val="000000"/>
                <w:sz w:val="20"/>
                <w:szCs w:val="20"/>
                <w:lang w:bidi="ar"/>
              </w:rPr>
              <w:t>恶意投诉、举报的</w:t>
            </w:r>
          </w:p>
        </w:tc>
        <w:tc>
          <w:tcPr>
            <w:tcW w:w="2588"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18</w:t>
            </w:r>
          </w:p>
        </w:tc>
        <w:tc>
          <w:tcPr>
            <w:tcW w:w="1834" w:type="dxa"/>
            <w:vMerge w:val="continue"/>
            <w:shd w:val="clear" w:color="auto" w:fill="auto"/>
            <w:vAlign w:val="center"/>
          </w:tcPr>
          <w:p>
            <w:pPr>
              <w:jc w:val="cente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对伪造证据、捏造事实、诬陷招标方或供应商管理、供应商使用单位人员的，一经查证</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19</w:t>
            </w:r>
          </w:p>
        </w:tc>
        <w:tc>
          <w:tcPr>
            <w:tcW w:w="1834"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擅自变更、</w:t>
            </w:r>
            <w:r>
              <w:rPr>
                <w:rFonts w:hint="eastAsia"/>
                <w:b/>
                <w:bCs/>
                <w:color w:val="000000"/>
                <w:sz w:val="20"/>
                <w:szCs w:val="20"/>
                <w:lang w:bidi="ar"/>
              </w:rPr>
              <w:t>不按照合同规定履行或者擅自终止合同的</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损失较轻或对安全生产影响较小的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20</w:t>
            </w:r>
          </w:p>
        </w:tc>
        <w:tc>
          <w:tcPr>
            <w:tcW w:w="1834" w:type="dxa"/>
            <w:vMerge w:val="continue"/>
            <w:shd w:val="clear" w:color="auto" w:fill="auto"/>
            <w:vAlign w:val="center"/>
          </w:tcPr>
          <w:p>
            <w:pPr>
              <w:jc w:val="cente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2588"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21</w:t>
            </w:r>
          </w:p>
        </w:tc>
        <w:tc>
          <w:tcPr>
            <w:tcW w:w="1834" w:type="dxa"/>
            <w:vMerge w:val="restart"/>
            <w:shd w:val="clear" w:color="auto" w:fill="auto"/>
            <w:vAlign w:val="center"/>
          </w:tcPr>
          <w:p>
            <w:pPr>
              <w:jc w:val="center"/>
              <w:textAlignment w:val="center"/>
              <w:rPr>
                <w:color w:val="000000"/>
                <w:sz w:val="20"/>
                <w:szCs w:val="20"/>
              </w:rPr>
            </w:pPr>
            <w:r>
              <w:rPr>
                <w:rFonts w:hint="eastAsia"/>
                <w:b/>
                <w:bCs/>
                <w:color w:val="000000"/>
                <w:sz w:val="20"/>
                <w:szCs w:val="20"/>
                <w:lang w:bidi="ar"/>
              </w:rPr>
              <w:t>擅自降低标的功能标准或改变功能结构</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及时整改未造成影响的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22</w:t>
            </w:r>
          </w:p>
        </w:tc>
        <w:tc>
          <w:tcPr>
            <w:tcW w:w="1834" w:type="dxa"/>
            <w:vMerge w:val="continue"/>
            <w:shd w:val="clear" w:color="auto" w:fill="auto"/>
            <w:vAlign w:val="center"/>
          </w:tcPr>
          <w:p>
            <w:pPr>
              <w:jc w:val="cente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2588"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23</w:t>
            </w:r>
          </w:p>
        </w:tc>
        <w:tc>
          <w:tcPr>
            <w:tcW w:w="1834" w:type="dxa"/>
            <w:vMerge w:val="continue"/>
            <w:shd w:val="clear" w:color="auto" w:fill="auto"/>
            <w:vAlign w:val="center"/>
          </w:tcPr>
          <w:p>
            <w:pPr>
              <w:jc w:val="cente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及时整改但造成一定影响的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24</w:t>
            </w:r>
          </w:p>
        </w:tc>
        <w:tc>
          <w:tcPr>
            <w:tcW w:w="1834" w:type="dxa"/>
            <w:vMerge w:val="continue"/>
            <w:shd w:val="clear" w:color="auto" w:fill="auto"/>
            <w:vAlign w:val="center"/>
          </w:tcPr>
          <w:p>
            <w:pPr>
              <w:jc w:val="cente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及时整改但影响较重的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25</w:t>
            </w:r>
          </w:p>
        </w:tc>
        <w:tc>
          <w:tcPr>
            <w:tcW w:w="1834" w:type="dxa"/>
            <w:vMerge w:val="continue"/>
            <w:shd w:val="clear" w:color="auto" w:fill="auto"/>
            <w:vAlign w:val="center"/>
          </w:tcPr>
          <w:p>
            <w:pPr>
              <w:jc w:val="cente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拒不整改的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26</w:t>
            </w:r>
          </w:p>
        </w:tc>
        <w:tc>
          <w:tcPr>
            <w:tcW w:w="1834" w:type="dxa"/>
            <w:vMerge w:val="restart"/>
            <w:shd w:val="clear" w:color="auto" w:fill="auto"/>
            <w:vAlign w:val="center"/>
          </w:tcPr>
          <w:p>
            <w:pPr>
              <w:textAlignment w:val="center"/>
              <w:rPr>
                <w:color w:val="000000"/>
                <w:sz w:val="20"/>
                <w:szCs w:val="20"/>
              </w:rPr>
            </w:pPr>
            <w:r>
              <w:rPr>
                <w:rFonts w:hint="eastAsia"/>
                <w:color w:val="000000"/>
                <w:sz w:val="20"/>
                <w:szCs w:val="20"/>
                <w:lang w:bidi="ar"/>
              </w:rPr>
              <w:t>假冒</w:t>
            </w:r>
            <w:r>
              <w:rPr>
                <w:rFonts w:hint="eastAsia"/>
                <w:color w:val="000000"/>
                <w:sz w:val="20"/>
                <w:szCs w:val="20"/>
                <w:lang w:eastAsia="zh-CN" w:bidi="ar"/>
              </w:rPr>
              <w:t>其它</w:t>
            </w:r>
            <w:r>
              <w:rPr>
                <w:rFonts w:hint="eastAsia"/>
                <w:color w:val="000000"/>
                <w:sz w:val="20"/>
                <w:szCs w:val="20"/>
                <w:lang w:bidi="ar"/>
              </w:rPr>
              <w:t>厂家品牌，</w:t>
            </w:r>
            <w:r>
              <w:rPr>
                <w:rFonts w:hint="eastAsia"/>
                <w:b/>
                <w:bCs/>
                <w:color w:val="000000"/>
                <w:sz w:val="20"/>
                <w:szCs w:val="20"/>
                <w:lang w:bidi="ar"/>
              </w:rPr>
              <w:t>提供伪劣商品</w:t>
            </w:r>
            <w:r>
              <w:rPr>
                <w:rFonts w:hint="eastAsia"/>
                <w:color w:val="000000"/>
                <w:sz w:val="20"/>
                <w:szCs w:val="20"/>
                <w:lang w:bidi="ar"/>
              </w:rPr>
              <w:t>、以假乱真弄虚作假的</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对生产经营造成影响较小</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27</w:t>
            </w:r>
          </w:p>
        </w:tc>
        <w:tc>
          <w:tcPr>
            <w:tcW w:w="1834" w:type="dxa"/>
            <w:vMerge w:val="continue"/>
            <w:shd w:val="clear" w:color="auto" w:fill="auto"/>
            <w:vAlign w:val="center"/>
          </w:tcPr>
          <w:p>
            <w:pP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对生产经营影响较大；或虽然对生产经营影响较小，但拒绝整改的</w:t>
            </w:r>
          </w:p>
        </w:tc>
        <w:tc>
          <w:tcPr>
            <w:tcW w:w="2588"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28</w:t>
            </w:r>
          </w:p>
        </w:tc>
        <w:tc>
          <w:tcPr>
            <w:tcW w:w="1834" w:type="dxa"/>
            <w:vMerge w:val="restart"/>
            <w:shd w:val="clear" w:color="auto" w:fill="auto"/>
            <w:vAlign w:val="center"/>
          </w:tcPr>
          <w:p>
            <w:pPr>
              <w:textAlignment w:val="center"/>
              <w:rPr>
                <w:color w:val="000000"/>
                <w:sz w:val="20"/>
                <w:szCs w:val="20"/>
              </w:rPr>
            </w:pPr>
            <w:r>
              <w:rPr>
                <w:rFonts w:hint="eastAsia"/>
                <w:color w:val="000000"/>
                <w:sz w:val="20"/>
                <w:szCs w:val="20"/>
                <w:lang w:bidi="ar"/>
              </w:rPr>
              <w:t>出现供给不足（即“</w:t>
            </w:r>
            <w:r>
              <w:rPr>
                <w:rFonts w:hint="eastAsia"/>
                <w:b/>
                <w:bCs/>
                <w:color w:val="000000"/>
                <w:sz w:val="20"/>
                <w:szCs w:val="20"/>
                <w:lang w:bidi="ar"/>
              </w:rPr>
              <w:t>短斤少两</w:t>
            </w:r>
            <w:r>
              <w:rPr>
                <w:rFonts w:hint="eastAsia"/>
                <w:color w:val="000000"/>
                <w:sz w:val="20"/>
                <w:szCs w:val="20"/>
                <w:lang w:bidi="ar"/>
              </w:rPr>
              <w:t>”行为）</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及时整改未产生影响的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29</w:t>
            </w:r>
          </w:p>
        </w:tc>
        <w:tc>
          <w:tcPr>
            <w:tcW w:w="1834" w:type="dxa"/>
            <w:vMerge w:val="continue"/>
            <w:shd w:val="clear" w:color="auto" w:fill="auto"/>
            <w:vAlign w:val="center"/>
          </w:tcPr>
          <w:p>
            <w:pP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整改但产生影响的</w:t>
            </w:r>
          </w:p>
        </w:tc>
        <w:tc>
          <w:tcPr>
            <w:tcW w:w="2588"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30</w:t>
            </w:r>
          </w:p>
        </w:tc>
        <w:tc>
          <w:tcPr>
            <w:tcW w:w="1834" w:type="dxa"/>
            <w:vMerge w:val="continue"/>
            <w:shd w:val="clear" w:color="auto" w:fill="auto"/>
            <w:vAlign w:val="center"/>
          </w:tcPr>
          <w:p>
            <w:pP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拒不更正的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31</w:t>
            </w:r>
          </w:p>
        </w:tc>
        <w:tc>
          <w:tcPr>
            <w:tcW w:w="1834" w:type="dxa"/>
            <w:vMerge w:val="restart"/>
            <w:shd w:val="clear" w:color="auto" w:fill="auto"/>
            <w:vAlign w:val="center"/>
          </w:tcPr>
          <w:p>
            <w:pPr>
              <w:textAlignment w:val="center"/>
              <w:rPr>
                <w:color w:val="000000"/>
                <w:sz w:val="20"/>
                <w:szCs w:val="20"/>
              </w:rPr>
            </w:pPr>
            <w:r>
              <w:rPr>
                <w:rFonts w:hint="eastAsia"/>
                <w:color w:val="000000"/>
                <w:sz w:val="20"/>
                <w:szCs w:val="20"/>
                <w:lang w:bidi="ar"/>
              </w:rPr>
              <w:t>所提供的产品</w:t>
            </w:r>
            <w:r>
              <w:rPr>
                <w:rFonts w:hint="eastAsia"/>
                <w:b/>
                <w:bCs/>
                <w:color w:val="000000"/>
                <w:sz w:val="20"/>
                <w:szCs w:val="20"/>
                <w:lang w:bidi="ar"/>
              </w:rPr>
              <w:t>存在严重质量问题</w:t>
            </w:r>
            <w:r>
              <w:rPr>
                <w:rFonts w:hint="eastAsia"/>
                <w:color w:val="000000"/>
                <w:sz w:val="20"/>
                <w:szCs w:val="20"/>
                <w:lang w:bidi="ar"/>
              </w:rPr>
              <w:t>，影响安全生产或对工程建设造成实质性影响的</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对安全生产或工程建设影响较轻的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32</w:t>
            </w:r>
          </w:p>
        </w:tc>
        <w:tc>
          <w:tcPr>
            <w:tcW w:w="1834" w:type="dxa"/>
            <w:vMerge w:val="continue"/>
            <w:shd w:val="clear" w:color="auto" w:fill="auto"/>
            <w:vAlign w:val="center"/>
          </w:tcPr>
          <w:p>
            <w:pP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对安全生产或工程建设影响较重的</w:t>
            </w:r>
          </w:p>
        </w:tc>
        <w:tc>
          <w:tcPr>
            <w:tcW w:w="2588"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33</w:t>
            </w:r>
          </w:p>
        </w:tc>
        <w:tc>
          <w:tcPr>
            <w:tcW w:w="1834"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w:t>
            </w:r>
            <w:r>
              <w:rPr>
                <w:rFonts w:hint="eastAsia"/>
                <w:b/>
                <w:bCs/>
                <w:color w:val="000000"/>
                <w:sz w:val="20"/>
                <w:szCs w:val="20"/>
                <w:lang w:bidi="ar"/>
              </w:rPr>
              <w:t>严重安全隐患</w:t>
            </w:r>
            <w:r>
              <w:rPr>
                <w:rFonts w:hint="eastAsia"/>
                <w:color w:val="000000"/>
                <w:sz w:val="20"/>
                <w:szCs w:val="20"/>
                <w:lang w:bidi="ar"/>
              </w:rPr>
              <w:t>，且拒绝整改或整改不及时、不到位的</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提供的产品/服务出现严重安全隐患，且拒绝整改或整改不及时、不到位的</w:t>
            </w:r>
          </w:p>
        </w:tc>
        <w:tc>
          <w:tcPr>
            <w:tcW w:w="2588"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34</w:t>
            </w:r>
          </w:p>
        </w:tc>
        <w:tc>
          <w:tcPr>
            <w:tcW w:w="1834" w:type="dxa"/>
            <w:vMerge w:val="restart"/>
            <w:shd w:val="clear" w:color="auto" w:fill="auto"/>
            <w:vAlign w:val="center"/>
          </w:tcPr>
          <w:p>
            <w:pPr>
              <w:textAlignment w:val="center"/>
              <w:rPr>
                <w:color w:val="000000"/>
                <w:sz w:val="20"/>
                <w:szCs w:val="20"/>
              </w:rPr>
            </w:pPr>
            <w:r>
              <w:rPr>
                <w:rFonts w:hint="eastAsia"/>
                <w:b/>
                <w:bCs/>
                <w:color w:val="000000"/>
                <w:sz w:val="20"/>
                <w:szCs w:val="20"/>
                <w:lang w:bidi="ar"/>
              </w:rPr>
              <w:t>提供虚假进度报告</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未造成实质影响的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35</w:t>
            </w:r>
          </w:p>
        </w:tc>
        <w:tc>
          <w:tcPr>
            <w:tcW w:w="1834" w:type="dxa"/>
            <w:vMerge w:val="continue"/>
            <w:shd w:val="clear" w:color="auto" w:fill="auto"/>
            <w:vAlign w:val="center"/>
          </w:tcPr>
          <w:p>
            <w:pP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造成实质性影响的</w:t>
            </w:r>
          </w:p>
        </w:tc>
        <w:tc>
          <w:tcPr>
            <w:tcW w:w="2588"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36</w:t>
            </w:r>
          </w:p>
        </w:tc>
        <w:tc>
          <w:tcPr>
            <w:tcW w:w="1834"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在允许分包项目中，违反分包承诺进行</w:t>
            </w:r>
            <w:r>
              <w:rPr>
                <w:rFonts w:hint="eastAsia"/>
                <w:b/>
                <w:bCs/>
                <w:color w:val="000000"/>
                <w:sz w:val="20"/>
                <w:szCs w:val="20"/>
                <w:lang w:bidi="ar"/>
              </w:rPr>
              <w:t>分包</w:t>
            </w:r>
            <w:r>
              <w:rPr>
                <w:rFonts w:hint="eastAsia"/>
                <w:color w:val="000000"/>
                <w:sz w:val="20"/>
                <w:szCs w:val="20"/>
                <w:lang w:bidi="ar"/>
              </w:rPr>
              <w:t>的</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37</w:t>
            </w:r>
          </w:p>
        </w:tc>
        <w:tc>
          <w:tcPr>
            <w:tcW w:w="1834" w:type="dxa"/>
            <w:vMerge w:val="continue"/>
            <w:shd w:val="clear" w:color="auto" w:fill="auto"/>
            <w:vAlign w:val="center"/>
          </w:tcPr>
          <w:p>
            <w:pPr>
              <w:jc w:val="cente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2588"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38</w:t>
            </w:r>
          </w:p>
        </w:tc>
        <w:tc>
          <w:tcPr>
            <w:tcW w:w="1834" w:type="dxa"/>
            <w:vMerge w:val="continue"/>
            <w:shd w:val="clear" w:color="auto" w:fill="auto"/>
            <w:vAlign w:val="center"/>
          </w:tcPr>
          <w:p>
            <w:pPr>
              <w:jc w:val="cente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39</w:t>
            </w:r>
          </w:p>
        </w:tc>
        <w:tc>
          <w:tcPr>
            <w:tcW w:w="1834" w:type="dxa"/>
            <w:vMerge w:val="restart"/>
            <w:shd w:val="clear" w:color="auto" w:fill="auto"/>
            <w:vAlign w:val="center"/>
          </w:tcPr>
          <w:p>
            <w:pPr>
              <w:textAlignment w:val="center"/>
              <w:rPr>
                <w:color w:val="000000"/>
                <w:sz w:val="20"/>
                <w:szCs w:val="20"/>
              </w:rPr>
            </w:pPr>
            <w:r>
              <w:rPr>
                <w:rFonts w:hint="eastAsia"/>
                <w:color w:val="000000"/>
                <w:sz w:val="20"/>
                <w:szCs w:val="20"/>
                <w:lang w:bidi="ar"/>
              </w:rPr>
              <w:t>违反规定</w:t>
            </w:r>
            <w:r>
              <w:rPr>
                <w:rFonts w:hint="eastAsia"/>
                <w:b/>
                <w:bCs/>
                <w:color w:val="000000"/>
                <w:sz w:val="20"/>
                <w:szCs w:val="20"/>
                <w:lang w:bidi="ar"/>
              </w:rPr>
              <w:t>擅自把中标项目或合同转让、转包、分包</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40</w:t>
            </w:r>
          </w:p>
        </w:tc>
        <w:tc>
          <w:tcPr>
            <w:tcW w:w="1834" w:type="dxa"/>
            <w:vMerge w:val="continue"/>
            <w:shd w:val="clear" w:color="auto" w:fill="auto"/>
            <w:vAlign w:val="center"/>
          </w:tcPr>
          <w:p>
            <w:pP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41</w:t>
            </w:r>
          </w:p>
        </w:tc>
        <w:tc>
          <w:tcPr>
            <w:tcW w:w="1834" w:type="dxa"/>
            <w:vMerge w:val="continue"/>
            <w:shd w:val="clear" w:color="auto" w:fill="auto"/>
            <w:vAlign w:val="center"/>
          </w:tcPr>
          <w:p>
            <w:pP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2588"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42</w:t>
            </w:r>
          </w:p>
        </w:tc>
        <w:tc>
          <w:tcPr>
            <w:tcW w:w="1834"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未经同意拖延交工、交货日期，</w:t>
            </w:r>
            <w:r>
              <w:rPr>
                <w:rFonts w:hint="eastAsia"/>
                <w:b/>
                <w:bCs/>
                <w:color w:val="000000"/>
                <w:sz w:val="20"/>
                <w:szCs w:val="20"/>
                <w:lang w:bidi="ar"/>
              </w:rPr>
              <w:t>延缓执行合同的期限</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未造成严重影响且愿意协商解决或</w:t>
            </w:r>
            <w:r>
              <w:rPr>
                <w:rFonts w:hint="eastAsia"/>
                <w:b/>
                <w:bCs/>
                <w:color w:val="000000"/>
                <w:sz w:val="20"/>
                <w:szCs w:val="20"/>
                <w:lang w:bidi="ar"/>
              </w:rPr>
              <w:t>承担赔偿责任的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依据合同条款进行处理，合同条款中未做约定的，可以不予处理。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43</w:t>
            </w:r>
          </w:p>
        </w:tc>
        <w:tc>
          <w:tcPr>
            <w:tcW w:w="1834" w:type="dxa"/>
            <w:vMerge w:val="continue"/>
            <w:shd w:val="clear" w:color="auto" w:fill="auto"/>
            <w:vAlign w:val="center"/>
          </w:tcPr>
          <w:p>
            <w:pP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造成实质影响但愿意协商解决的，根据影响程度</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对供应商给予</w:t>
            </w:r>
            <w:r>
              <w:rPr>
                <w:rFonts w:hint="eastAsia"/>
                <w:b/>
                <w:bCs/>
                <w:color w:val="000000"/>
                <w:sz w:val="20"/>
                <w:szCs w:val="20"/>
                <w:lang w:bidi="ar"/>
              </w:rPr>
              <w:t>禁用一年至禁用两年”处理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44</w:t>
            </w:r>
          </w:p>
        </w:tc>
        <w:tc>
          <w:tcPr>
            <w:tcW w:w="1834" w:type="dxa"/>
            <w:vMerge w:val="continue"/>
            <w:shd w:val="clear" w:color="auto" w:fill="auto"/>
            <w:vAlign w:val="center"/>
          </w:tcPr>
          <w:p>
            <w:pP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造成较重或严重影响且拒绝协商解决的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45</w:t>
            </w:r>
          </w:p>
        </w:tc>
        <w:tc>
          <w:tcPr>
            <w:tcW w:w="1834" w:type="dxa"/>
            <w:shd w:val="clear" w:color="auto" w:fill="auto"/>
            <w:vAlign w:val="center"/>
          </w:tcPr>
          <w:p>
            <w:pPr>
              <w:textAlignment w:val="center"/>
              <w:rPr>
                <w:color w:val="000000"/>
                <w:sz w:val="20"/>
                <w:szCs w:val="20"/>
              </w:rPr>
            </w:pPr>
            <w:r>
              <w:rPr>
                <w:rFonts w:hint="eastAsia"/>
                <w:b/>
                <w:bCs/>
                <w:color w:val="000000"/>
                <w:sz w:val="20"/>
                <w:szCs w:val="20"/>
                <w:lang w:bidi="ar"/>
              </w:rPr>
              <w:t>拒绝履行售后义务</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拒绝履行售后服务义务并拒绝协商解决的情况，及</w:t>
            </w:r>
            <w:r>
              <w:rPr>
                <w:rFonts w:hint="eastAsia"/>
                <w:color w:val="000000"/>
                <w:sz w:val="20"/>
                <w:szCs w:val="20"/>
                <w:lang w:eastAsia="zh-CN" w:bidi="ar"/>
              </w:rPr>
              <w:t>其它</w:t>
            </w:r>
            <w:r>
              <w:rPr>
                <w:rFonts w:hint="eastAsia"/>
                <w:color w:val="000000"/>
                <w:sz w:val="20"/>
                <w:szCs w:val="20"/>
                <w:lang w:bidi="ar"/>
              </w:rPr>
              <w:t>因供应商的原因导致中国海油受损，并拒绝协商解决和赔偿责任的情况</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4"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46</w:t>
            </w:r>
          </w:p>
        </w:tc>
        <w:tc>
          <w:tcPr>
            <w:tcW w:w="1834" w:type="dxa"/>
            <w:shd w:val="clear" w:color="auto" w:fill="auto"/>
            <w:vAlign w:val="center"/>
          </w:tcPr>
          <w:p>
            <w:pPr>
              <w:textAlignment w:val="center"/>
              <w:rPr>
                <w:color w:val="000000"/>
                <w:sz w:val="20"/>
                <w:szCs w:val="20"/>
              </w:rPr>
            </w:pPr>
            <w:r>
              <w:rPr>
                <w:rFonts w:hint="eastAsia"/>
                <w:b/>
                <w:bCs/>
                <w:color w:val="000000"/>
                <w:sz w:val="20"/>
                <w:szCs w:val="20"/>
                <w:lang w:bidi="ar"/>
              </w:rPr>
              <w:t>拒不配合</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拒绝中国海油管理部门的监督检查或不如实反映情况、提供材料的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47</w:t>
            </w:r>
          </w:p>
        </w:tc>
        <w:tc>
          <w:tcPr>
            <w:tcW w:w="1834" w:type="dxa"/>
            <w:shd w:val="clear" w:color="auto" w:fill="auto"/>
            <w:vAlign w:val="center"/>
          </w:tcPr>
          <w:p>
            <w:pPr>
              <w:textAlignment w:val="center"/>
              <w:rPr>
                <w:color w:val="000000"/>
                <w:sz w:val="20"/>
                <w:szCs w:val="20"/>
              </w:rPr>
            </w:pPr>
            <w:r>
              <w:rPr>
                <w:rFonts w:hint="eastAsia"/>
                <w:b/>
                <w:bCs/>
                <w:color w:val="000000"/>
                <w:sz w:val="20"/>
                <w:szCs w:val="20"/>
                <w:lang w:bidi="ar"/>
              </w:rPr>
              <w:t>行贿</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向采购交易所涉及的相关方或能产生实际影响的相关方行贿,行贿判定的依据为检察院或法院书面判定</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48</w:t>
            </w:r>
          </w:p>
        </w:tc>
        <w:tc>
          <w:tcPr>
            <w:tcW w:w="1834" w:type="dxa"/>
            <w:shd w:val="clear" w:color="auto" w:fill="auto"/>
            <w:vAlign w:val="center"/>
          </w:tcPr>
          <w:p>
            <w:pPr>
              <w:textAlignment w:val="center"/>
              <w:rPr>
                <w:color w:val="000000"/>
                <w:sz w:val="20"/>
                <w:szCs w:val="20"/>
              </w:rPr>
            </w:pPr>
            <w:r>
              <w:rPr>
                <w:rFonts w:hint="eastAsia"/>
                <w:color w:val="000000"/>
                <w:sz w:val="20"/>
                <w:szCs w:val="20"/>
                <w:lang w:bidi="ar"/>
              </w:rPr>
              <w:t>使用禁用供应商</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参与或承揽中国海油业务时，在已知晓或应当知晓的情况下，仍代理被中国海油禁用</w:t>
            </w:r>
            <w:r>
              <w:rPr>
                <w:rFonts w:hint="eastAsia"/>
                <w:color w:val="000000"/>
                <w:sz w:val="20"/>
                <w:szCs w:val="20"/>
                <w:lang w:eastAsia="zh-CN" w:bidi="ar"/>
              </w:rPr>
              <w:t>其它</w:t>
            </w:r>
            <w:r>
              <w:rPr>
                <w:rFonts w:hint="eastAsia"/>
                <w:color w:val="000000"/>
                <w:sz w:val="20"/>
                <w:szCs w:val="20"/>
                <w:lang w:bidi="ar"/>
              </w:rPr>
              <w:t>供应商的产品、服务，或将已获取的合同对其分包的</w:t>
            </w:r>
          </w:p>
        </w:tc>
        <w:tc>
          <w:tcPr>
            <w:tcW w:w="2588"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49</w:t>
            </w:r>
          </w:p>
        </w:tc>
        <w:tc>
          <w:tcPr>
            <w:tcW w:w="1834"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未经许可，对外</w:t>
            </w:r>
            <w:r>
              <w:rPr>
                <w:rFonts w:hint="eastAsia"/>
                <w:b/>
                <w:bCs/>
                <w:color w:val="000000"/>
                <w:sz w:val="20"/>
                <w:szCs w:val="20"/>
                <w:lang w:bidi="ar"/>
              </w:rPr>
              <w:t>披露中国海油商业秘密</w:t>
            </w:r>
            <w:r>
              <w:rPr>
                <w:rFonts w:hint="eastAsia"/>
                <w:color w:val="000000"/>
                <w:sz w:val="20"/>
                <w:szCs w:val="20"/>
                <w:lang w:bidi="ar"/>
              </w:rPr>
              <w:t>信息的</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未造成经济损失或名誉损失的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50</w:t>
            </w:r>
          </w:p>
        </w:tc>
        <w:tc>
          <w:tcPr>
            <w:tcW w:w="1834" w:type="dxa"/>
            <w:vMerge w:val="continue"/>
            <w:shd w:val="clear" w:color="auto" w:fill="auto"/>
            <w:vAlign w:val="center"/>
          </w:tcPr>
          <w:p>
            <w:pP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造成经济损失或名誉损失的</w:t>
            </w:r>
          </w:p>
        </w:tc>
        <w:tc>
          <w:tcPr>
            <w:tcW w:w="2588"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51</w:t>
            </w:r>
          </w:p>
        </w:tc>
        <w:tc>
          <w:tcPr>
            <w:tcW w:w="1834"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w:t>
            </w:r>
            <w:r>
              <w:rPr>
                <w:rFonts w:hint="eastAsia"/>
                <w:b/>
                <w:bCs/>
                <w:color w:val="000000"/>
                <w:sz w:val="20"/>
                <w:szCs w:val="20"/>
                <w:lang w:bidi="ar"/>
              </w:rPr>
              <w:t>中国海油及所属单位产生法律诉讼的</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由于供应商的过失，与中国海油及所属单位产生法律诉讼的</w:t>
            </w:r>
          </w:p>
        </w:tc>
        <w:tc>
          <w:tcPr>
            <w:tcW w:w="2588"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52</w:t>
            </w:r>
          </w:p>
        </w:tc>
        <w:tc>
          <w:tcPr>
            <w:tcW w:w="1834" w:type="dxa"/>
            <w:shd w:val="clear" w:color="auto" w:fill="auto"/>
            <w:vAlign w:val="center"/>
          </w:tcPr>
          <w:p>
            <w:pPr>
              <w:textAlignment w:val="center"/>
              <w:rPr>
                <w:color w:val="000000"/>
                <w:sz w:val="20"/>
                <w:szCs w:val="20"/>
              </w:rPr>
            </w:pPr>
            <w:r>
              <w:rPr>
                <w:rFonts w:hint="eastAsia"/>
                <w:color w:val="000000"/>
                <w:sz w:val="20"/>
                <w:szCs w:val="20"/>
                <w:lang w:bidi="ar"/>
              </w:rPr>
              <w:t>三年内记满10分的供应商，或连续三个合同执行过程中均发生“C级”事故</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公司安全生产部将通知采办共享中心，采办共享中心书面通知供应商，并按程序清理出公司供应商库</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对供应商给予“禁用三年”</w:t>
            </w:r>
            <w:r>
              <w:rPr>
                <w:rFonts w:hint="eastAsia"/>
                <w:color w:val="000000"/>
                <w:sz w:val="20"/>
                <w:szCs w:val="20"/>
                <w:lang w:val="en-US" w:eastAsia="zh-CN" w:bidi="ar"/>
              </w:rPr>
              <w:t>处理</w:t>
            </w:r>
            <w:r>
              <w:rPr>
                <w:rFonts w:hint="eastAsia"/>
                <w:color w:val="000000"/>
                <w:sz w:val="20"/>
                <w:szCs w:val="20"/>
                <w:lang w:bidi="ar"/>
              </w:rPr>
              <w:t>；情节严重的，</w:t>
            </w: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53</w:t>
            </w:r>
          </w:p>
        </w:tc>
        <w:tc>
          <w:tcPr>
            <w:tcW w:w="1834" w:type="dxa"/>
            <w:vMerge w:val="restart"/>
            <w:shd w:val="clear" w:color="auto" w:fill="auto"/>
            <w:vAlign w:val="center"/>
          </w:tcPr>
          <w:p>
            <w:pPr>
              <w:textAlignment w:val="center"/>
              <w:rPr>
                <w:color w:val="000000"/>
                <w:sz w:val="20"/>
                <w:szCs w:val="20"/>
              </w:rPr>
            </w:pPr>
            <w:r>
              <w:rPr>
                <w:rFonts w:hint="eastAsia"/>
                <w:color w:val="000000"/>
                <w:sz w:val="20"/>
                <w:szCs w:val="20"/>
                <w:lang w:bidi="ar"/>
              </w:rPr>
              <w:t>供应商在提报中国海油员工、</w:t>
            </w:r>
            <w:r>
              <w:rPr>
                <w:rFonts w:hint="eastAsia"/>
                <w:b/>
                <w:bCs/>
                <w:color w:val="000000"/>
                <w:sz w:val="20"/>
                <w:szCs w:val="20"/>
                <w:lang w:bidi="ar"/>
              </w:rPr>
              <w:t>员工亲属、离职退休的领导人员在本单位的任职</w:t>
            </w:r>
            <w:r>
              <w:rPr>
                <w:rFonts w:hint="eastAsia"/>
                <w:color w:val="000000"/>
                <w:sz w:val="20"/>
                <w:szCs w:val="20"/>
                <w:lang w:bidi="ar"/>
              </w:rPr>
              <w:t>和持股情况时</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存在瞒报相关情况的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54</w:t>
            </w:r>
          </w:p>
        </w:tc>
        <w:tc>
          <w:tcPr>
            <w:tcW w:w="1834" w:type="dxa"/>
            <w:vMerge w:val="continue"/>
            <w:shd w:val="clear" w:color="auto" w:fill="auto"/>
            <w:vAlign w:val="center"/>
          </w:tcPr>
          <w:p>
            <w:pP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存在利用中国海油人员的职务之便牟取不正当利益情形的</w:t>
            </w:r>
          </w:p>
        </w:tc>
        <w:tc>
          <w:tcPr>
            <w:tcW w:w="2588"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55</w:t>
            </w:r>
          </w:p>
        </w:tc>
        <w:tc>
          <w:tcPr>
            <w:tcW w:w="1834" w:type="dxa"/>
            <w:shd w:val="clear" w:color="auto" w:fill="auto"/>
            <w:vAlign w:val="center"/>
          </w:tcPr>
          <w:p>
            <w:pPr>
              <w:textAlignment w:val="center"/>
              <w:rPr>
                <w:color w:val="000000"/>
                <w:sz w:val="20"/>
                <w:szCs w:val="20"/>
              </w:rPr>
            </w:pPr>
            <w:r>
              <w:rPr>
                <w:rFonts w:hint="eastAsia"/>
                <w:b/>
                <w:bCs/>
                <w:color w:val="000000"/>
                <w:sz w:val="20"/>
                <w:szCs w:val="20"/>
                <w:lang w:bidi="ar"/>
              </w:rPr>
              <w:t>经营状况异常</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国家机关、权威机构网站公布的严重违法失信企业，或被列入失信人名单等情形</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给予“无固定期禁用”处理，直至其经营风险被解除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56</w:t>
            </w:r>
          </w:p>
        </w:tc>
        <w:tc>
          <w:tcPr>
            <w:tcW w:w="1834" w:type="dxa"/>
            <w:vMerge w:val="restart"/>
            <w:shd w:val="clear" w:color="auto" w:fill="auto"/>
            <w:vAlign w:val="center"/>
          </w:tcPr>
          <w:p>
            <w:pPr>
              <w:textAlignment w:val="center"/>
              <w:rPr>
                <w:color w:val="000000"/>
                <w:sz w:val="20"/>
                <w:szCs w:val="20"/>
              </w:rPr>
            </w:pPr>
            <w:r>
              <w:rPr>
                <w:rFonts w:hint="eastAsia"/>
                <w:color w:val="000000"/>
                <w:sz w:val="20"/>
                <w:szCs w:val="20"/>
                <w:lang w:bidi="ar"/>
              </w:rPr>
              <w:t>其它违反国家、集团公司及海油发展规章制度的行为</w:t>
            </w: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违反国家政策、法律法规，存在不与农民工签订合同，或</w:t>
            </w:r>
            <w:r>
              <w:rPr>
                <w:rFonts w:hint="eastAsia"/>
                <w:b/>
                <w:bCs/>
                <w:color w:val="000000"/>
                <w:sz w:val="20"/>
                <w:szCs w:val="20"/>
                <w:lang w:bidi="ar"/>
              </w:rPr>
              <w:t>存在拖欠农民工工资问题</w:t>
            </w:r>
            <w:r>
              <w:rPr>
                <w:rFonts w:hint="eastAsia"/>
                <w:color w:val="000000"/>
                <w:sz w:val="20"/>
                <w:szCs w:val="20"/>
                <w:lang w:bidi="ar"/>
              </w:rPr>
              <w:t>的。</w:t>
            </w:r>
          </w:p>
        </w:tc>
        <w:tc>
          <w:tcPr>
            <w:tcW w:w="2588"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57</w:t>
            </w:r>
          </w:p>
        </w:tc>
        <w:tc>
          <w:tcPr>
            <w:tcW w:w="1834" w:type="dxa"/>
            <w:vMerge w:val="continue"/>
            <w:shd w:val="clear" w:color="auto" w:fill="auto"/>
            <w:vAlign w:val="center"/>
          </w:tcPr>
          <w:p>
            <w:pP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违反国家政策、法律法规，对破坏生态环境，</w:t>
            </w:r>
            <w:r>
              <w:rPr>
                <w:rFonts w:hint="eastAsia"/>
                <w:b/>
                <w:bCs/>
                <w:color w:val="000000"/>
                <w:sz w:val="20"/>
                <w:szCs w:val="20"/>
                <w:lang w:bidi="ar"/>
              </w:rPr>
              <w:t>对环境造成污染的</w:t>
            </w:r>
          </w:p>
        </w:tc>
        <w:tc>
          <w:tcPr>
            <w:tcW w:w="2588"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58</w:t>
            </w:r>
          </w:p>
        </w:tc>
        <w:tc>
          <w:tcPr>
            <w:tcW w:w="1834" w:type="dxa"/>
            <w:vMerge w:val="continue"/>
            <w:shd w:val="clear" w:color="auto" w:fill="auto"/>
            <w:vAlign w:val="center"/>
          </w:tcPr>
          <w:p>
            <w:pP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b/>
                <w:bCs/>
                <w:color w:val="000000"/>
                <w:sz w:val="20"/>
                <w:szCs w:val="20"/>
                <w:lang w:bidi="ar"/>
              </w:rPr>
              <w:t>违反劳动法</w:t>
            </w:r>
            <w:r>
              <w:rPr>
                <w:rFonts w:hint="eastAsia"/>
                <w:color w:val="000000"/>
                <w:sz w:val="20"/>
                <w:szCs w:val="20"/>
                <w:lang w:bidi="ar"/>
              </w:rPr>
              <w:t>等法规，引起员工仲裁并对中国海油造成不良影响的</w:t>
            </w:r>
          </w:p>
        </w:tc>
        <w:tc>
          <w:tcPr>
            <w:tcW w:w="2588"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59</w:t>
            </w:r>
          </w:p>
        </w:tc>
        <w:tc>
          <w:tcPr>
            <w:tcW w:w="1834" w:type="dxa"/>
            <w:vMerge w:val="continue"/>
            <w:shd w:val="clear" w:color="auto" w:fill="auto"/>
            <w:vAlign w:val="center"/>
          </w:tcPr>
          <w:p>
            <w:pP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b/>
                <w:bCs/>
                <w:color w:val="000000"/>
                <w:sz w:val="20"/>
                <w:szCs w:val="20"/>
                <w:lang w:bidi="ar"/>
              </w:rPr>
              <w:t>对存在其它不当行为可能给中国海油带来风险的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根据情况或问题程度，对供应商进行“约谈”或“警告”处理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60</w:t>
            </w:r>
          </w:p>
        </w:tc>
        <w:tc>
          <w:tcPr>
            <w:tcW w:w="1834" w:type="dxa"/>
            <w:vMerge w:val="continue"/>
            <w:shd w:val="clear" w:color="auto" w:fill="auto"/>
            <w:vAlign w:val="center"/>
          </w:tcPr>
          <w:p>
            <w:pP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对存在其它不当行为已经给中国海油带来风险的</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根据情况或问题程度，依据风险情形，对供应商进行“禁用一年”至“长期禁用”处理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jc w:val="center"/>
        </w:trPr>
        <w:tc>
          <w:tcPr>
            <w:tcW w:w="662" w:type="dxa"/>
            <w:shd w:val="clear" w:color="auto" w:fill="auto"/>
            <w:vAlign w:val="center"/>
          </w:tcPr>
          <w:p>
            <w:pPr>
              <w:jc w:val="center"/>
              <w:textAlignment w:val="center"/>
              <w:rPr>
                <w:color w:val="000000"/>
                <w:sz w:val="20"/>
                <w:szCs w:val="20"/>
              </w:rPr>
            </w:pPr>
            <w:r>
              <w:rPr>
                <w:rFonts w:hint="eastAsia"/>
                <w:color w:val="000000"/>
                <w:sz w:val="20"/>
                <w:szCs w:val="20"/>
                <w:lang w:bidi="ar"/>
              </w:rPr>
              <w:t>61</w:t>
            </w:r>
          </w:p>
        </w:tc>
        <w:tc>
          <w:tcPr>
            <w:tcW w:w="1834" w:type="dxa"/>
            <w:vMerge w:val="continue"/>
            <w:shd w:val="clear" w:color="auto" w:fill="auto"/>
            <w:vAlign w:val="center"/>
          </w:tcPr>
          <w:p>
            <w:pPr>
              <w:rPr>
                <w:color w:val="000000"/>
                <w:sz w:val="20"/>
                <w:szCs w:val="20"/>
              </w:rPr>
            </w:pPr>
          </w:p>
        </w:tc>
        <w:tc>
          <w:tcPr>
            <w:tcW w:w="5361" w:type="dxa"/>
            <w:shd w:val="clear" w:color="auto" w:fill="auto"/>
            <w:vAlign w:val="center"/>
          </w:tcPr>
          <w:p>
            <w:pPr>
              <w:textAlignment w:val="center"/>
              <w:rPr>
                <w:color w:val="000000"/>
                <w:sz w:val="20"/>
                <w:szCs w:val="20"/>
              </w:rPr>
            </w:pPr>
            <w:r>
              <w:rPr>
                <w:rFonts w:hint="eastAsia"/>
                <w:color w:val="000000"/>
                <w:sz w:val="20"/>
                <w:szCs w:val="20"/>
                <w:lang w:bidi="ar"/>
              </w:rPr>
              <w:t>其它</w:t>
            </w:r>
            <w:r>
              <w:rPr>
                <w:rFonts w:hint="eastAsia"/>
                <w:b/>
                <w:bCs/>
                <w:color w:val="000000"/>
                <w:sz w:val="20"/>
                <w:szCs w:val="20"/>
                <w:lang w:bidi="ar"/>
              </w:rPr>
              <w:t>违反国家法律法规及集团公司规章制度</w:t>
            </w:r>
            <w:r>
              <w:rPr>
                <w:rFonts w:hint="eastAsia"/>
                <w:color w:val="000000"/>
                <w:sz w:val="20"/>
                <w:szCs w:val="20"/>
                <w:lang w:bidi="ar"/>
              </w:rPr>
              <w:t>的行为，包括国家、审计、纪检监察、巡视等函件反映问题等</w:t>
            </w:r>
          </w:p>
        </w:tc>
        <w:tc>
          <w:tcPr>
            <w:tcW w:w="2588" w:type="dxa"/>
            <w:shd w:val="clear" w:color="auto" w:fill="auto"/>
            <w:vAlign w:val="center"/>
          </w:tcPr>
          <w:p>
            <w:pPr>
              <w:textAlignment w:val="center"/>
              <w:rPr>
                <w:color w:val="000000"/>
                <w:sz w:val="20"/>
                <w:szCs w:val="20"/>
              </w:rPr>
            </w:pPr>
            <w:r>
              <w:rPr>
                <w:rFonts w:hint="eastAsia"/>
                <w:color w:val="000000"/>
                <w:sz w:val="20"/>
                <w:szCs w:val="20"/>
                <w:lang w:bidi="ar"/>
              </w:rPr>
              <w:t>由集团公司工程与物装部或集团公司工程与物装部组织相关管理部门及所属单位，对供应商问题性质及业务实际情况判定，进行相应处理</w:t>
            </w:r>
          </w:p>
        </w:tc>
      </w:tr>
    </w:tbl>
    <w:p>
      <w:pPr>
        <w:rPr>
          <w:rFonts w:asciiTheme="minorEastAsia" w:hAnsiTheme="minorEastAsia"/>
          <w:sz w:val="24"/>
          <w:szCs w:val="24"/>
        </w:rPr>
      </w:pPr>
    </w:p>
    <w:p>
      <w:pPr>
        <w:pStyle w:val="6"/>
        <w:rPr>
          <w:rFonts w:asciiTheme="minorEastAsia" w:hAnsiTheme="minorEastAsia"/>
          <w:sz w:val="24"/>
          <w:szCs w:val="24"/>
        </w:rPr>
      </w:pPr>
    </w:p>
    <w:p>
      <w:pPr>
        <w:outlineLvl w:val="9"/>
        <w:rPr>
          <w:rFonts w:hint="eastAsia" w:ascii="黑体" w:hAnsi="黑体" w:eastAsia="黑体"/>
          <w:sz w:val="24"/>
          <w:szCs w:val="22"/>
          <w:lang w:val="en-US" w:eastAsia="zh-CN"/>
        </w:rPr>
      </w:pPr>
      <w:r>
        <w:rPr>
          <w:rFonts w:hint="eastAsia" w:ascii="黑体" w:hAnsi="黑体" w:eastAsia="黑体"/>
          <w:sz w:val="24"/>
          <w:szCs w:val="22"/>
          <w:lang w:val="en-US" w:eastAsia="zh-CN"/>
        </w:rPr>
        <w:br w:type="page"/>
      </w:r>
    </w:p>
    <w:p>
      <w:pPr>
        <w:outlineLvl w:val="1"/>
        <w:rPr>
          <w:rFonts w:hint="default" w:asciiTheme="minorEastAsia" w:hAnsiTheme="minorEastAsia" w:eastAsiaTheme="minorEastAsia"/>
          <w:sz w:val="24"/>
          <w:szCs w:val="24"/>
          <w:lang w:val="en-US" w:eastAsia="zh-CN"/>
        </w:rPr>
      </w:pPr>
      <w:r>
        <w:rPr>
          <w:rFonts w:hint="eastAsia" w:ascii="黑体" w:hAnsi="黑体" w:eastAsia="黑体"/>
          <w:sz w:val="24"/>
          <w:szCs w:val="22"/>
          <w:lang w:val="en-US" w:eastAsia="zh-CN"/>
        </w:rPr>
        <w:t>4.2集团公司</w:t>
      </w:r>
      <w:r>
        <w:rPr>
          <w:rFonts w:hint="eastAsia" w:ascii="黑体" w:hAnsi="黑体" w:eastAsia="黑体"/>
          <w:sz w:val="24"/>
        </w:rPr>
        <w:t>供应商处理情形和处理标准</w:t>
      </w:r>
    </w:p>
    <w:p>
      <w:pPr>
        <w:pStyle w:val="6"/>
        <w:rPr>
          <w:rFonts w:asciiTheme="minorEastAsia" w:hAnsiTheme="minorEastAsia"/>
          <w:sz w:val="24"/>
          <w:szCs w:val="24"/>
        </w:rPr>
      </w:pPr>
    </w:p>
    <w:tbl>
      <w:tblPr>
        <w:tblStyle w:val="14"/>
        <w:tblW w:w="10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47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684"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序号</w:t>
            </w:r>
          </w:p>
        </w:tc>
        <w:tc>
          <w:tcPr>
            <w:tcW w:w="4771"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违规类型</w:t>
            </w:r>
          </w:p>
        </w:tc>
        <w:tc>
          <w:tcPr>
            <w:tcW w:w="4937"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处理标准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84"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4771"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提供虚假材料（资质文件、业绩、财务状况、书面承诺等）进行供应商注册、资格审查或参与采购项目。</w:t>
            </w:r>
          </w:p>
        </w:tc>
        <w:tc>
          <w:tcPr>
            <w:tcW w:w="4937"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未造成损失的，对供应商给予“禁用一年”或“禁用两年”处理；造成损失根据损失程度再增加对其处理。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684"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4771"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为达到不正当目的相互恶意串通，包括与采购人，代理机构或供应商之间串通。</w:t>
            </w:r>
          </w:p>
        </w:tc>
        <w:tc>
          <w:tcPr>
            <w:tcW w:w="4937"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根据影响程度，对供应商给予“禁用两年”或“长期禁用”处理；</w:t>
            </w:r>
          </w:p>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注册供应商发生围标串标给予“长期禁用”处理。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84"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4771"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向采购交易所涉及的相关方或能产生实际影响的相关方行贿。</w:t>
            </w:r>
          </w:p>
        </w:tc>
        <w:tc>
          <w:tcPr>
            <w:tcW w:w="4937"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对供应商给予“禁用两年”或“长期禁用”处理，行贿判定的依据为公司内部执纪部门书面通知等。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84"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4771"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在采购结果公布之前，违法违规获得非公开评标信息，或采取不正当手段妨碍、排挤</w:t>
            </w:r>
            <w:r>
              <w:rPr>
                <w:rFonts w:hint="eastAsia" w:ascii="宋体" w:hAnsi="宋体" w:eastAsia="宋体" w:cs="宋体"/>
                <w:color w:val="000000" w:themeColor="text1"/>
                <w:kern w:val="0"/>
                <w:sz w:val="20"/>
                <w:szCs w:val="20"/>
                <w:lang w:eastAsia="zh-CN"/>
                <w14:textFill>
                  <w14:solidFill>
                    <w14:schemeClr w14:val="tx1"/>
                  </w14:solidFill>
                </w14:textFill>
              </w:rPr>
              <w:t>其它</w:t>
            </w:r>
            <w:r>
              <w:rPr>
                <w:rFonts w:hint="eastAsia" w:ascii="宋体" w:hAnsi="宋体" w:eastAsia="宋体" w:cs="宋体"/>
                <w:color w:val="000000" w:themeColor="text1"/>
                <w:kern w:val="0"/>
                <w:sz w:val="20"/>
                <w:szCs w:val="20"/>
                <w14:textFill>
                  <w14:solidFill>
                    <w14:schemeClr w14:val="tx1"/>
                  </w14:solidFill>
                </w14:textFill>
              </w:rPr>
              <w:t>供应商投标或中标的，证据确凿。</w:t>
            </w:r>
          </w:p>
        </w:tc>
        <w:tc>
          <w:tcPr>
            <w:tcW w:w="4937"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84"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w:t>
            </w:r>
          </w:p>
        </w:tc>
        <w:tc>
          <w:tcPr>
            <w:tcW w:w="4771"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softHyphen/>
            </w:r>
            <w:r>
              <w:rPr>
                <w:rFonts w:hint="eastAsia" w:ascii="宋体" w:hAnsi="宋体" w:eastAsia="宋体" w:cs="宋体"/>
                <w:color w:val="000000" w:themeColor="text1"/>
                <w:kern w:val="0"/>
                <w:sz w:val="20"/>
                <w:szCs w:val="20"/>
                <w14:textFill>
                  <w14:solidFill>
                    <w14:schemeClr w14:val="tx1"/>
                  </w14:solidFill>
                </w14:textFill>
              </w:rPr>
              <w:t>投标截止后撤销投标文件的，以及在中标公示或公告阶段，中标候选人放弃中标资格。</w:t>
            </w:r>
          </w:p>
        </w:tc>
        <w:tc>
          <w:tcPr>
            <w:tcW w:w="4937"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根据影响程度，对供应商给予“禁用一年”或“禁用两年”处理。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684"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w:t>
            </w:r>
          </w:p>
        </w:tc>
        <w:tc>
          <w:tcPr>
            <w:tcW w:w="4771"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获取中标资格或成交资格拒绝签订合同。</w:t>
            </w:r>
          </w:p>
        </w:tc>
        <w:tc>
          <w:tcPr>
            <w:tcW w:w="4937"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84"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7</w:t>
            </w:r>
          </w:p>
        </w:tc>
        <w:tc>
          <w:tcPr>
            <w:tcW w:w="4771"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不遵守招投标相关纪律或工作要求：如在开标、评标现场无理取闹，违反招投标程序,不遵守招投标秩序等情形。</w:t>
            </w:r>
          </w:p>
        </w:tc>
        <w:tc>
          <w:tcPr>
            <w:tcW w:w="4937"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684"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8</w:t>
            </w:r>
          </w:p>
        </w:tc>
        <w:tc>
          <w:tcPr>
            <w:tcW w:w="4771"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无事实依据对采购过程、采购结果或供应商处理结果进行乱投诉、举报的缠诉、滥诉行为。</w:t>
            </w:r>
          </w:p>
        </w:tc>
        <w:tc>
          <w:tcPr>
            <w:tcW w:w="4937"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对供应商给予“警告”处理；恶意投诉、举报的，对供应商给予“禁用两年”处理；对伪造证据、捏造事实、诬陷招标方或供应商管理、供应商使用单位人员的，一经查证，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84"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9</w:t>
            </w:r>
          </w:p>
        </w:tc>
        <w:tc>
          <w:tcPr>
            <w:tcW w:w="4771"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擅自变更、不按照合同规定履行或者擅自终止合同。</w:t>
            </w:r>
          </w:p>
        </w:tc>
        <w:tc>
          <w:tcPr>
            <w:tcW w:w="4937"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情节较轻的，对供应商给予“禁用两年”处理；情节严重的，对供应商给予“长期禁用”处理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684"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w:t>
            </w:r>
          </w:p>
        </w:tc>
        <w:tc>
          <w:tcPr>
            <w:tcW w:w="4771"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擅自降低标的功能标准或改变功能结构。供应商在提供工程、货物和服务时，擅自降低原来规定的功能标准，改变功能结构，使采购原有的功能要求得不到保证。</w:t>
            </w:r>
          </w:p>
        </w:tc>
        <w:tc>
          <w:tcPr>
            <w:tcW w:w="4937"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整改且未造成影响的，对供应商可以不予处理；及时整改但造成一定影响的，对供应商给予“禁用一年”处理；及时整改但影响较重的，视情况对供应商给予“禁用两年”处理；拒不整改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84"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11</w:t>
            </w:r>
          </w:p>
        </w:tc>
        <w:tc>
          <w:tcPr>
            <w:tcW w:w="4771"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假冒</w:t>
            </w:r>
            <w:r>
              <w:rPr>
                <w:rFonts w:hint="eastAsia" w:ascii="宋体" w:hAnsi="宋体" w:eastAsia="宋体" w:cs="宋体"/>
                <w:color w:val="000000" w:themeColor="text1"/>
                <w:kern w:val="0"/>
                <w:sz w:val="20"/>
                <w:szCs w:val="20"/>
                <w:lang w:eastAsia="zh-CN"/>
                <w14:textFill>
                  <w14:solidFill>
                    <w14:schemeClr w14:val="tx1"/>
                  </w14:solidFill>
                </w14:textFill>
              </w:rPr>
              <w:t>其它</w:t>
            </w:r>
            <w:r>
              <w:rPr>
                <w:rFonts w:hint="eastAsia" w:ascii="宋体" w:hAnsi="宋体" w:eastAsia="宋体" w:cs="宋体"/>
                <w:color w:val="000000" w:themeColor="text1"/>
                <w:kern w:val="0"/>
                <w:sz w:val="20"/>
                <w:szCs w:val="20"/>
                <w14:textFill>
                  <w14:solidFill>
                    <w14:schemeClr w14:val="tx1"/>
                  </w14:solidFill>
                </w14:textFill>
              </w:rPr>
              <w:t>厂家品牌，提供伪劣商品、以假乱真弄虚作假。</w:t>
            </w:r>
          </w:p>
        </w:tc>
        <w:tc>
          <w:tcPr>
            <w:tcW w:w="4937"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684"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w:t>
            </w:r>
          </w:p>
        </w:tc>
        <w:tc>
          <w:tcPr>
            <w:tcW w:w="4771"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出现供给不足（即“短斤少两”行为）。</w:t>
            </w:r>
          </w:p>
        </w:tc>
        <w:tc>
          <w:tcPr>
            <w:tcW w:w="4937"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及时整改未产生影响的可以不予处理；整改但产生影响的，对供应商或相关品类给予“禁用一年”处理；拒不更正的，对供应商给予“长期禁用”处理。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84"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13</w:t>
            </w:r>
          </w:p>
        </w:tc>
        <w:tc>
          <w:tcPr>
            <w:tcW w:w="4771"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提供虚假进度报告。</w:t>
            </w:r>
          </w:p>
        </w:tc>
        <w:tc>
          <w:tcPr>
            <w:tcW w:w="4937"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未造成实质影响的给予供应商“禁用一年”处理；造成实质性影响的，对供应商给予“禁用两年”处理。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684"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14</w:t>
            </w:r>
          </w:p>
        </w:tc>
        <w:tc>
          <w:tcPr>
            <w:tcW w:w="4771"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违反规定将中标项目或合同转让、转包、分包。</w:t>
            </w:r>
          </w:p>
        </w:tc>
        <w:tc>
          <w:tcPr>
            <w:tcW w:w="4937"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及时更正其违规行为的，视情形对供应商给予“警告至禁用一年”处理；拒绝更正其违规行为的，对供应商给予“长期禁用”处理。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684"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15</w:t>
            </w:r>
          </w:p>
        </w:tc>
        <w:tc>
          <w:tcPr>
            <w:tcW w:w="4771"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未经同意拖延完工、交货日期，延缓执行合同的期限。</w:t>
            </w:r>
          </w:p>
        </w:tc>
        <w:tc>
          <w:tcPr>
            <w:tcW w:w="4937"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实质影响且愿意协商解决或承担赔偿责任的，对供应商给予“警告”处理；造成实质影响但愿意协商解决的，根据影响程度，对供应商或相关品类给予“禁用一年”或“禁用两年”处理；造成严重影响，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84"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16</w:t>
            </w:r>
          </w:p>
        </w:tc>
        <w:tc>
          <w:tcPr>
            <w:tcW w:w="4771"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拒绝中国海油管理部门的监督检查或不如实反映情况、提供材料。</w:t>
            </w:r>
          </w:p>
        </w:tc>
        <w:tc>
          <w:tcPr>
            <w:tcW w:w="4937"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684"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17</w:t>
            </w:r>
          </w:p>
        </w:tc>
        <w:tc>
          <w:tcPr>
            <w:tcW w:w="4771"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参与或承揽中国海油业务时，在已知晓或应当知晓的情况下，仍代理被中国海油禁用</w:t>
            </w:r>
            <w:r>
              <w:rPr>
                <w:rFonts w:hint="eastAsia" w:ascii="宋体" w:hAnsi="宋体" w:eastAsia="宋体" w:cs="宋体"/>
                <w:color w:val="000000" w:themeColor="text1"/>
                <w:kern w:val="0"/>
                <w:sz w:val="20"/>
                <w:szCs w:val="20"/>
                <w:lang w:eastAsia="zh-CN"/>
                <w14:textFill>
                  <w14:solidFill>
                    <w14:schemeClr w14:val="tx1"/>
                  </w14:solidFill>
                </w14:textFill>
              </w:rPr>
              <w:t>其它</w:t>
            </w:r>
            <w:r>
              <w:rPr>
                <w:rFonts w:hint="eastAsia" w:ascii="宋体" w:hAnsi="宋体" w:eastAsia="宋体" w:cs="宋体"/>
                <w:color w:val="000000" w:themeColor="text1"/>
                <w:kern w:val="0"/>
                <w:sz w:val="20"/>
                <w:szCs w:val="20"/>
                <w14:textFill>
                  <w14:solidFill>
                    <w14:schemeClr w14:val="tx1"/>
                  </w14:solidFill>
                </w14:textFill>
              </w:rPr>
              <w:t>供应商的产品、服务，或将已获取的合同对其分包。</w:t>
            </w:r>
          </w:p>
        </w:tc>
        <w:tc>
          <w:tcPr>
            <w:tcW w:w="4937"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对该供应商给予“禁用一年”处理。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84"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18</w:t>
            </w:r>
          </w:p>
        </w:tc>
        <w:tc>
          <w:tcPr>
            <w:tcW w:w="4771"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拒绝履行售后服务义务并拒绝协商解决的情况，及</w:t>
            </w:r>
            <w:r>
              <w:rPr>
                <w:rFonts w:hint="eastAsia" w:ascii="宋体" w:hAnsi="宋体" w:eastAsia="宋体" w:cs="宋体"/>
                <w:color w:val="000000" w:themeColor="text1"/>
                <w:kern w:val="0"/>
                <w:sz w:val="20"/>
                <w:szCs w:val="20"/>
                <w:lang w:eastAsia="zh-CN"/>
                <w14:textFill>
                  <w14:solidFill>
                    <w14:schemeClr w14:val="tx1"/>
                  </w14:solidFill>
                </w14:textFill>
              </w:rPr>
              <w:t>其它</w:t>
            </w:r>
            <w:r>
              <w:rPr>
                <w:rFonts w:hint="eastAsia" w:ascii="宋体" w:hAnsi="宋体" w:eastAsia="宋体" w:cs="宋体"/>
                <w:color w:val="000000" w:themeColor="text1"/>
                <w:kern w:val="0"/>
                <w:sz w:val="20"/>
                <w:szCs w:val="20"/>
                <w14:textFill>
                  <w14:solidFill>
                    <w14:schemeClr w14:val="tx1"/>
                  </w14:solidFill>
                </w14:textFill>
              </w:rPr>
              <w:t>因供应商的原因导致中国海油受损，并拒绝协商解决和赔偿责任的情况。</w:t>
            </w:r>
          </w:p>
        </w:tc>
        <w:tc>
          <w:tcPr>
            <w:tcW w:w="4937"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84"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19</w:t>
            </w:r>
          </w:p>
        </w:tc>
        <w:tc>
          <w:tcPr>
            <w:tcW w:w="4771"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所提供的产品存在严重质量问题，影响安全生产或对工程建设造成实质性影响。</w:t>
            </w:r>
          </w:p>
        </w:tc>
        <w:tc>
          <w:tcPr>
            <w:tcW w:w="4937"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根据专业机构调查结论，对供应商</w:t>
            </w:r>
            <w:r>
              <w:rPr>
                <w:rFonts w:hint="eastAsia" w:ascii="宋体" w:hAnsi="宋体" w:eastAsia="宋体" w:cs="宋体"/>
                <w:sz w:val="20"/>
                <w:szCs w:val="20"/>
              </w:rPr>
              <w:t>或相关品类</w:t>
            </w:r>
            <w:r>
              <w:rPr>
                <w:rFonts w:hint="eastAsia" w:ascii="宋体" w:hAnsi="宋体" w:eastAsia="宋体" w:cs="宋体"/>
                <w:color w:val="000000" w:themeColor="text1"/>
                <w:kern w:val="0"/>
                <w:sz w:val="20"/>
                <w:szCs w:val="20"/>
                <w14:textFill>
                  <w14:solidFill>
                    <w14:schemeClr w14:val="tx1"/>
                  </w14:solidFill>
                </w14:textFill>
              </w:rPr>
              <w:t>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84"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20</w:t>
            </w:r>
          </w:p>
        </w:tc>
        <w:tc>
          <w:tcPr>
            <w:tcW w:w="4771"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提供的产品/服务出现安全隐患，且拒绝整改或整改不及时、不到位。</w:t>
            </w:r>
          </w:p>
        </w:tc>
        <w:tc>
          <w:tcPr>
            <w:tcW w:w="4937"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存在安全隐患且整改不到位的，给予供应商“禁用两年”处理；存在严重安全隐患且整改不到位的，对供应商给予“长期禁用”处理。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84"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21</w:t>
            </w:r>
          </w:p>
        </w:tc>
        <w:tc>
          <w:tcPr>
            <w:tcW w:w="4771"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未经许可，对外披露中国海油商业秘密信息。</w:t>
            </w:r>
          </w:p>
        </w:tc>
        <w:tc>
          <w:tcPr>
            <w:tcW w:w="4937"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情节较轻的，供应商给予“禁用一年”处理；情节较重的，供应商给予“禁用两年”处理；情节严重的，对供应商给予“长期禁用”处理。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84"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22</w:t>
            </w:r>
          </w:p>
        </w:tc>
        <w:tc>
          <w:tcPr>
            <w:tcW w:w="4771"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由于供应商的原因，与中国海油及所属单位产生法律诉讼。</w:t>
            </w:r>
          </w:p>
        </w:tc>
        <w:tc>
          <w:tcPr>
            <w:tcW w:w="4937"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684"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23</w:t>
            </w:r>
          </w:p>
        </w:tc>
        <w:tc>
          <w:tcPr>
            <w:tcW w:w="4771"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发生“一般A级”及以上安全事故且负主要责任的供应商。</w:t>
            </w:r>
          </w:p>
        </w:tc>
        <w:tc>
          <w:tcPr>
            <w:tcW w:w="4937"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视情形对供应商给予“禁用一年”或“禁用两年”处理，情节严重的，给予“长期禁用”处理。“一般A级”以下级别根据情况或问题程度，约谈供应商，或“警告”处理。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684"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24</w:t>
            </w:r>
          </w:p>
        </w:tc>
        <w:tc>
          <w:tcPr>
            <w:tcW w:w="4771"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供应商在提报中国海油员工、员工亲属、离职退休的领导人员在本单位的任职和持股情况时，存在瞒报相关情况或发现利用职务之便谋取不正当利益的。</w:t>
            </w:r>
          </w:p>
        </w:tc>
        <w:tc>
          <w:tcPr>
            <w:tcW w:w="4937"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存在瞒报相关情况的，对供应商给予“禁用一年”处理；发现利用中国海油人员的职务之便牟取不正当利益情形的，对供应商给予“长期禁用”处理。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84"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25</w:t>
            </w:r>
          </w:p>
        </w:tc>
        <w:tc>
          <w:tcPr>
            <w:tcW w:w="4771"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在承揽的中国海油业务中，存在拖欠农民工工资行为的。</w:t>
            </w:r>
          </w:p>
        </w:tc>
        <w:tc>
          <w:tcPr>
            <w:tcW w:w="4937"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未造成不良影响并及时整改的，对供应商给予“警告”处理；整改不及时或影响较大的，对供应商给予“禁用一年”或“禁用两年”处理。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84"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26</w:t>
            </w:r>
          </w:p>
        </w:tc>
        <w:tc>
          <w:tcPr>
            <w:tcW w:w="4771"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对存在</w:t>
            </w:r>
            <w:r>
              <w:rPr>
                <w:rFonts w:hint="eastAsia" w:ascii="宋体" w:hAnsi="宋体" w:eastAsia="宋体" w:cs="宋体"/>
                <w:color w:val="000000" w:themeColor="text1"/>
                <w:kern w:val="0"/>
                <w:sz w:val="20"/>
                <w:szCs w:val="20"/>
                <w:lang w:eastAsia="zh-CN"/>
                <w14:textFill>
                  <w14:solidFill>
                    <w14:schemeClr w14:val="tx1"/>
                  </w14:solidFill>
                </w14:textFill>
              </w:rPr>
              <w:t>其它</w:t>
            </w:r>
            <w:r>
              <w:rPr>
                <w:rFonts w:hint="eastAsia" w:ascii="宋体" w:hAnsi="宋体" w:eastAsia="宋体" w:cs="宋体"/>
                <w:color w:val="000000" w:themeColor="text1"/>
                <w:kern w:val="0"/>
                <w:sz w:val="20"/>
                <w:szCs w:val="20"/>
                <w14:textFill>
                  <w14:solidFill>
                    <w14:schemeClr w14:val="tx1"/>
                  </w14:solidFill>
                </w14:textFill>
              </w:rPr>
              <w:t>不当行为可能给中国海油带来风险。</w:t>
            </w:r>
          </w:p>
        </w:tc>
        <w:tc>
          <w:tcPr>
            <w:tcW w:w="4937"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84"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27</w:t>
            </w:r>
          </w:p>
        </w:tc>
        <w:tc>
          <w:tcPr>
            <w:tcW w:w="4771"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lang w:eastAsia="zh-CN"/>
                <w14:textFill>
                  <w14:solidFill>
                    <w14:schemeClr w14:val="tx1"/>
                  </w14:solidFill>
                </w14:textFill>
              </w:rPr>
              <w:t>其它</w:t>
            </w:r>
            <w:r>
              <w:rPr>
                <w:rFonts w:hint="eastAsia" w:ascii="宋体" w:hAnsi="宋体" w:eastAsia="宋体" w:cs="宋体"/>
                <w:color w:val="000000" w:themeColor="text1"/>
                <w:kern w:val="0"/>
                <w:sz w:val="20"/>
                <w:szCs w:val="20"/>
                <w14:textFill>
                  <w14:solidFill>
                    <w14:schemeClr w14:val="tx1"/>
                  </w14:solidFill>
                </w14:textFill>
              </w:rPr>
              <w:t>违反国家法律法规及集团公司规章制度的行为，包括国家、审计、纪检监察、巡视等函件反映问题。</w:t>
            </w:r>
          </w:p>
        </w:tc>
        <w:tc>
          <w:tcPr>
            <w:tcW w:w="4937"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由工程与物装部组织相关管理部门及所属单位，对供应商问题性质及业务实际情况判定，进行相应处理。</w:t>
            </w:r>
          </w:p>
        </w:tc>
      </w:tr>
    </w:tbl>
    <w:p>
      <w:pPr>
        <w:pStyle w:val="8"/>
        <w:ind w:left="0" w:leftChars="0" w:firstLine="0" w:firstLineChars="0"/>
        <w:rPr>
          <w:rFonts w:hint="eastAsia" w:ascii="宋体" w:hAnsi="宋体" w:cs="宋体"/>
          <w:sz w:val="20"/>
          <w:szCs w:val="20"/>
          <w:lang w:eastAsia="zh-CN"/>
        </w:rPr>
      </w:pPr>
    </w:p>
    <w:p>
      <w:pPr>
        <w:pStyle w:val="6"/>
        <w:ind w:firstLine="0" w:firstLineChars="0"/>
        <w:rPr>
          <w:rFonts w:hint="default" w:eastAsia="宋体"/>
          <w:lang w:val="en-US" w:eastAsia="zh-CN"/>
        </w:rPr>
      </w:pPr>
      <w:r>
        <w:rPr>
          <w:rFonts w:hint="eastAsia" w:eastAsia="宋体"/>
          <w:highlight w:val="none"/>
          <w:lang w:val="en-US" w:eastAsia="zh-CN"/>
        </w:rPr>
        <w:t>供应商处理结果以集团公司审批为准，本附件仅作为风险提示。</w:t>
      </w:r>
    </w:p>
    <w:p/>
    <w:p>
      <w:pPr>
        <w:pStyle w:val="6"/>
      </w:pPr>
    </w:p>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sz w:val="24"/>
          <w:szCs w:val="24"/>
          <w:highlight w:val="none"/>
          <w:lang w:val="en-US" w:eastAsia="zh-CN"/>
        </w:rPr>
      </w:pPr>
      <w:r>
        <w:rPr>
          <w:rFonts w:hint="eastAsia" w:ascii="黑体" w:hAnsi="黑体" w:eastAsia="黑体"/>
          <w:b/>
          <w:bCs/>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sz w:val="24"/>
          <w:szCs w:val="24"/>
          <w:lang w:val="en-US" w:eastAsia="zh-CN"/>
        </w:rPr>
      </w:pPr>
      <w:r>
        <w:rPr>
          <w:rFonts w:hint="eastAsia" w:ascii="黑体" w:hAnsi="黑体" w:eastAsia="黑体"/>
          <w:b/>
          <w:bCs/>
          <w:sz w:val="24"/>
          <w:szCs w:val="24"/>
          <w:highlight w:val="none"/>
          <w:lang w:val="en-US" w:eastAsia="zh-CN"/>
        </w:rPr>
        <w:t>附件5：</w:t>
      </w:r>
      <w:r>
        <w:rPr>
          <w:rFonts w:hint="eastAsia" w:ascii="黑体" w:hAnsi="黑体" w:eastAsia="黑体"/>
          <w:b/>
          <w:bCs/>
          <w:sz w:val="24"/>
          <w:szCs w:val="24"/>
          <w:lang w:val="en-US" w:eastAsia="zh-CN"/>
        </w:rPr>
        <w:t>商务文件</w:t>
      </w:r>
    </w:p>
    <w:p>
      <w:pPr>
        <w:pStyle w:val="17"/>
        <w:rPr>
          <w:rFonts w:hint="eastAsia"/>
          <w:lang w:val="en-US" w:eastAsia="zh-CN"/>
        </w:rPr>
      </w:pPr>
    </w:p>
    <w:p>
      <w:pPr>
        <w:autoSpaceDE/>
        <w:autoSpaceDN/>
        <w:adjustRightInd/>
        <w:jc w:val="both"/>
        <w:outlineLvl w:val="0"/>
        <w:rPr>
          <w:rFonts w:hint="eastAsia" w:ascii="宋体" w:hAnsi="宋体" w:eastAsiaTheme="minorEastAsia" w:cstheme="minorBidi"/>
          <w:b w:val="0"/>
          <w:bCs w:val="0"/>
          <w:color w:val="000000"/>
          <w:sz w:val="21"/>
          <w:szCs w:val="22"/>
          <w:highlight w:val="none"/>
          <w:lang w:eastAsia="zh-CN"/>
        </w:rPr>
      </w:pPr>
      <w:r>
        <w:rPr>
          <w:rFonts w:hint="eastAsia" w:ascii="宋体" w:hAnsi="宋体" w:eastAsiaTheme="minorEastAsia" w:cstheme="minorBidi"/>
          <w:b w:val="0"/>
          <w:bCs w:val="0"/>
          <w:color w:val="000000"/>
          <w:kern w:val="2"/>
          <w:sz w:val="21"/>
          <w:szCs w:val="22"/>
          <w:highlight w:val="none"/>
          <w:lang w:val="en-US" w:eastAsia="zh-CN"/>
        </w:rPr>
        <w:t>5.1：</w:t>
      </w:r>
      <w:r>
        <w:rPr>
          <w:rFonts w:hint="eastAsia" w:ascii="宋体" w:hAnsi="宋体" w:eastAsiaTheme="minorEastAsia" w:cstheme="minorBidi"/>
          <w:bCs w:val="0"/>
          <w:color w:val="000000"/>
          <w:sz w:val="21"/>
          <w:szCs w:val="22"/>
          <w:highlight w:val="none"/>
          <w:lang w:eastAsia="zh-CN"/>
        </w:rPr>
        <w:t>营业执照</w:t>
      </w:r>
    </w:p>
    <w:p>
      <w:pPr>
        <w:adjustRightInd/>
        <w:jc w:val="both"/>
        <w:outlineLvl w:val="0"/>
        <w:rPr>
          <w:rFonts w:hint="default"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b w:val="0"/>
          <w:bCs w:val="0"/>
          <w:color w:val="000000"/>
          <w:kern w:val="2"/>
          <w:sz w:val="21"/>
          <w:szCs w:val="22"/>
          <w:lang w:val="en-US" w:eastAsia="zh-CN"/>
        </w:rPr>
        <w:t>5.2：</w:t>
      </w:r>
      <w:r>
        <w:rPr>
          <w:rFonts w:hint="eastAsia" w:ascii="宋体" w:hAnsi="宋体" w:eastAsiaTheme="minorEastAsia" w:cstheme="minorBidi"/>
          <w:color w:val="000000"/>
          <w:kern w:val="2"/>
          <w:sz w:val="21"/>
          <w:szCs w:val="22"/>
          <w:highlight w:val="none"/>
          <w:lang w:val="en-US" w:eastAsia="zh-CN" w:bidi="ar-SA"/>
        </w:rPr>
        <w:t>法定代表人（单位负责人）身份证明</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5.3：法定代表人授权委托书（如涉及）</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5.4：专业资质（如涉及）</w:t>
      </w:r>
    </w:p>
    <w:p>
      <w:pPr>
        <w:adjustRightInd/>
        <w:jc w:val="both"/>
        <w:outlineLvl w:val="0"/>
        <w:rPr>
          <w:rFonts w:hint="eastAsia" w:ascii="宋体" w:hAnsi="宋体" w:eastAsiaTheme="minorEastAsia" w:cstheme="minorBidi"/>
          <w:color w:val="000000"/>
          <w:sz w:val="21"/>
          <w:szCs w:val="22"/>
          <w:highlight w:val="none"/>
          <w:lang w:eastAsia="zh-CN"/>
        </w:rPr>
      </w:pPr>
      <w:r>
        <w:rPr>
          <w:rFonts w:hint="eastAsia" w:ascii="宋体" w:hAnsi="宋体" w:eastAsiaTheme="minorEastAsia" w:cstheme="minorBidi"/>
          <w:color w:val="000000"/>
          <w:kern w:val="2"/>
          <w:sz w:val="21"/>
          <w:szCs w:val="22"/>
          <w:highlight w:val="none"/>
          <w:lang w:val="en-US" w:eastAsia="zh-CN" w:bidi="ar-SA"/>
        </w:rPr>
        <w:t>5.</w:t>
      </w:r>
      <w:r>
        <w:rPr>
          <w:rFonts w:hint="eastAsia" w:ascii="宋体" w:hAnsi="宋体" w:cstheme="minorBidi"/>
          <w:color w:val="000000"/>
          <w:kern w:val="2"/>
          <w:sz w:val="21"/>
          <w:szCs w:val="22"/>
          <w:highlight w:val="none"/>
          <w:lang w:val="en-US" w:eastAsia="zh-CN" w:bidi="ar-SA"/>
        </w:rPr>
        <w:t>5</w:t>
      </w:r>
      <w:r>
        <w:rPr>
          <w:rFonts w:hint="eastAsia" w:ascii="宋体" w:hAnsi="宋体" w:eastAsiaTheme="minorEastAsia" w:cstheme="minorBidi"/>
          <w:color w:val="000000"/>
          <w:kern w:val="2"/>
          <w:sz w:val="21"/>
          <w:szCs w:val="22"/>
          <w:highlight w:val="none"/>
          <w:lang w:val="en-US" w:eastAsia="zh-CN" w:bidi="ar-SA"/>
        </w:rPr>
        <w:t>：</w:t>
      </w:r>
      <w:r>
        <w:rPr>
          <w:rFonts w:hint="eastAsia" w:ascii="宋体" w:hAnsi="宋体" w:eastAsiaTheme="minorEastAsia" w:cstheme="minorBidi"/>
          <w:color w:val="000000"/>
          <w:sz w:val="21"/>
          <w:szCs w:val="22"/>
          <w:highlight w:val="none"/>
          <w:lang w:eastAsia="zh-CN"/>
        </w:rPr>
        <w:t>环境管理体系认证、质量管理体系认证、健康安全管理体系认证和国家强制产品认证等相关否决事项，</w:t>
      </w:r>
      <w:r>
        <w:rPr>
          <w:rFonts w:hint="eastAsia" w:ascii="宋体" w:hAnsi="宋体" w:cstheme="minorBidi"/>
          <w:color w:val="000000"/>
          <w:sz w:val="21"/>
          <w:szCs w:val="22"/>
          <w:highlight w:val="none"/>
          <w:lang w:val="en-US" w:eastAsia="zh-CN"/>
        </w:rPr>
        <w:t>并可</w:t>
      </w:r>
      <w:r>
        <w:rPr>
          <w:rFonts w:hint="eastAsia" w:ascii="宋体" w:hAnsi="宋体" w:eastAsiaTheme="minorEastAsia" w:cstheme="minorBidi"/>
          <w:color w:val="000000"/>
          <w:sz w:val="21"/>
          <w:szCs w:val="22"/>
          <w:highlight w:val="none"/>
          <w:lang w:eastAsia="zh-CN"/>
        </w:rPr>
        <w:t>在中国国家认证认可监督管理委员会网站（</w:t>
      </w:r>
      <w:r>
        <w:rPr>
          <w:rFonts w:hint="eastAsia" w:ascii="宋体" w:hAnsi="宋体" w:eastAsiaTheme="minorEastAsia" w:cstheme="minorBidi"/>
          <w:color w:val="000000"/>
          <w:sz w:val="21"/>
          <w:szCs w:val="22"/>
          <w:highlight w:val="none"/>
          <w:lang w:eastAsia="zh-CN"/>
        </w:rPr>
        <w:fldChar w:fldCharType="begin"/>
      </w:r>
      <w:r>
        <w:rPr>
          <w:rFonts w:hint="eastAsia" w:ascii="宋体" w:hAnsi="宋体" w:eastAsiaTheme="minorEastAsia" w:cstheme="minorBidi"/>
          <w:color w:val="000000"/>
          <w:sz w:val="21"/>
          <w:szCs w:val="22"/>
          <w:highlight w:val="none"/>
          <w:lang w:eastAsia="zh-CN"/>
        </w:rPr>
        <w:instrText xml:space="preserve"> HYPERLINK "http://www.cnca.gov.cn）核实" </w:instrText>
      </w:r>
      <w:r>
        <w:rPr>
          <w:rFonts w:hint="eastAsia" w:ascii="宋体" w:hAnsi="宋体" w:eastAsiaTheme="minorEastAsia" w:cstheme="minorBidi"/>
          <w:color w:val="000000"/>
          <w:sz w:val="21"/>
          <w:szCs w:val="22"/>
          <w:highlight w:val="none"/>
          <w:lang w:eastAsia="zh-CN"/>
        </w:rPr>
        <w:fldChar w:fldCharType="separate"/>
      </w:r>
      <w:r>
        <w:rPr>
          <w:rFonts w:hint="eastAsia" w:ascii="宋体" w:hAnsi="宋体" w:eastAsiaTheme="minorEastAsia" w:cstheme="minorBidi"/>
          <w:color w:val="000000"/>
          <w:sz w:val="21"/>
          <w:szCs w:val="22"/>
          <w:highlight w:val="none"/>
          <w:lang w:eastAsia="zh-CN"/>
        </w:rPr>
        <w:t>http://www.cnca.gov.cn）核实</w:t>
      </w:r>
      <w:r>
        <w:rPr>
          <w:rFonts w:hint="eastAsia" w:ascii="宋体" w:hAnsi="宋体" w:eastAsiaTheme="minorEastAsia" w:cstheme="minorBidi"/>
          <w:color w:val="000000"/>
          <w:sz w:val="21"/>
          <w:szCs w:val="22"/>
          <w:highlight w:val="none"/>
          <w:lang w:eastAsia="zh-CN"/>
        </w:rPr>
        <w:fldChar w:fldCharType="end"/>
      </w:r>
    </w:p>
    <w:p>
      <w:pPr>
        <w:adjustRightInd/>
        <w:jc w:val="both"/>
        <w:outlineLvl w:val="0"/>
        <w:rPr>
          <w:rFonts w:hint="eastAsia" w:ascii="宋体" w:hAnsi="宋体" w:eastAsiaTheme="minorEastAsia" w:cstheme="minorBidi"/>
          <w:strike w:val="0"/>
          <w:dstrike w:val="0"/>
          <w:color w:val="000000"/>
          <w:sz w:val="21"/>
          <w:szCs w:val="22"/>
          <w:highlight w:val="none"/>
          <w:lang w:val="en-US" w:eastAsia="zh-CN"/>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6</w:t>
      </w:r>
      <w:r>
        <w:rPr>
          <w:rFonts w:hint="eastAsia" w:ascii="宋体" w:hAnsi="宋体" w:eastAsiaTheme="minorEastAsia" w:cstheme="minorBidi"/>
          <w:color w:val="000000"/>
          <w:sz w:val="21"/>
          <w:szCs w:val="22"/>
          <w:highlight w:val="none"/>
          <w:lang w:val="en-US" w:eastAsia="zh-CN"/>
        </w:rPr>
        <w:t>：</w:t>
      </w:r>
      <w:r>
        <w:rPr>
          <w:rFonts w:hint="eastAsia" w:ascii="宋体" w:hAnsi="宋体" w:eastAsiaTheme="minorEastAsia" w:cstheme="minorBidi"/>
          <w:strike w:val="0"/>
          <w:dstrike w:val="0"/>
          <w:color w:val="000000"/>
          <w:sz w:val="21"/>
          <w:szCs w:val="22"/>
          <w:highlight w:val="none"/>
          <w:lang w:val="en-US" w:eastAsia="zh-CN"/>
        </w:rPr>
        <w:t>股权证明文件</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b w:val="0"/>
          <w:bCs w:val="0"/>
          <w:color w:val="000000"/>
          <w:sz w:val="21"/>
          <w:szCs w:val="22"/>
          <w:highlight w:val="none"/>
          <w:lang w:val="en-US" w:eastAsia="zh-CN"/>
        </w:rPr>
      </w:pPr>
      <w:r>
        <w:rPr>
          <w:rFonts w:hint="eastAsia" w:ascii="宋体" w:hAnsi="宋体" w:eastAsiaTheme="minorEastAsia" w:cstheme="minorBidi"/>
          <w:strike w:val="0"/>
          <w:dstrike w:val="0"/>
          <w:color w:val="000000"/>
          <w:sz w:val="21"/>
          <w:szCs w:val="22"/>
          <w:highlight w:val="none"/>
          <w:lang w:val="en-US" w:eastAsia="zh-CN"/>
        </w:rPr>
        <w:t>5.</w:t>
      </w:r>
      <w:r>
        <w:rPr>
          <w:rFonts w:hint="eastAsia" w:ascii="宋体" w:hAnsi="宋体" w:cstheme="minorBidi"/>
          <w:strike w:val="0"/>
          <w:dstrike w:val="0"/>
          <w:color w:val="000000"/>
          <w:sz w:val="21"/>
          <w:szCs w:val="22"/>
          <w:highlight w:val="none"/>
          <w:lang w:val="en-US" w:eastAsia="zh-CN"/>
        </w:rPr>
        <w:t>7</w:t>
      </w:r>
      <w:r>
        <w:rPr>
          <w:rFonts w:hint="eastAsia" w:ascii="宋体" w:hAnsi="宋体" w:eastAsiaTheme="minorEastAsia" w:cstheme="minorBidi"/>
          <w:strike w:val="0"/>
          <w:dstrike w:val="0"/>
          <w:color w:val="000000"/>
          <w:sz w:val="21"/>
          <w:szCs w:val="22"/>
          <w:highlight w:val="none"/>
          <w:lang w:val="en-US" w:eastAsia="zh-CN"/>
        </w:rPr>
        <w:t>：</w:t>
      </w:r>
      <w:r>
        <w:rPr>
          <w:rFonts w:hint="eastAsia" w:ascii="宋体" w:hAnsi="宋体" w:eastAsiaTheme="minorEastAsia" w:cstheme="minorBidi"/>
          <w:b w:val="0"/>
          <w:bCs w:val="0"/>
          <w:color w:val="000000"/>
          <w:sz w:val="21"/>
          <w:szCs w:val="22"/>
          <w:highlight w:val="none"/>
          <w:lang w:val="en-US" w:eastAsia="zh-CN"/>
        </w:rPr>
        <w:t>供应商承诺书</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sz w:val="21"/>
          <w:szCs w:val="22"/>
          <w:lang w:val="en-US" w:eastAsia="zh-CN"/>
        </w:rPr>
      </w:pPr>
      <w:r>
        <w:rPr>
          <w:rFonts w:hint="eastAsia" w:ascii="宋体" w:hAnsi="宋体" w:eastAsiaTheme="minorEastAsia" w:cstheme="minorBidi"/>
          <w:b w:val="0"/>
          <w:bCs w:val="0"/>
          <w:color w:val="000000"/>
          <w:sz w:val="21"/>
          <w:szCs w:val="22"/>
          <w:highlight w:val="none"/>
          <w:lang w:val="en-US" w:eastAsia="zh-CN"/>
        </w:rPr>
        <w:t>5.</w:t>
      </w:r>
      <w:r>
        <w:rPr>
          <w:rFonts w:hint="eastAsia" w:ascii="宋体" w:hAnsi="宋体" w:cstheme="minorBidi"/>
          <w:b w:val="0"/>
          <w:bCs w:val="0"/>
          <w:color w:val="000000"/>
          <w:sz w:val="21"/>
          <w:szCs w:val="22"/>
          <w:highlight w:val="none"/>
          <w:lang w:val="en-US" w:eastAsia="zh-CN"/>
        </w:rPr>
        <w:t>8</w:t>
      </w:r>
      <w:r>
        <w:rPr>
          <w:rFonts w:hint="eastAsia" w:ascii="宋体" w:hAnsi="宋体" w:eastAsiaTheme="minorEastAsia" w:cstheme="minorBidi"/>
          <w:b w:val="0"/>
          <w:bCs w:val="0"/>
          <w:color w:val="000000"/>
          <w:sz w:val="21"/>
          <w:szCs w:val="22"/>
          <w:highlight w:val="none"/>
          <w:lang w:val="en-US" w:eastAsia="zh-CN"/>
        </w:rPr>
        <w:t>：</w:t>
      </w:r>
      <w:r>
        <w:rPr>
          <w:rFonts w:hint="eastAsia" w:ascii="宋体" w:hAnsi="宋体" w:eastAsiaTheme="minorEastAsia" w:cstheme="minorBidi"/>
          <w:color w:val="000000"/>
          <w:sz w:val="21"/>
          <w:szCs w:val="22"/>
          <w:highlight w:val="none"/>
          <w:lang w:val="en-US" w:eastAsia="zh-CN"/>
        </w:rPr>
        <w:t>代理商、贸易商、服务商要求（详见评议内容：</w:t>
      </w:r>
      <w:r>
        <w:rPr>
          <w:rFonts w:hint="eastAsia" w:ascii="宋体" w:hAnsi="宋体" w:eastAsiaTheme="minorEastAsia" w:cstheme="minorBidi"/>
          <w:b w:val="0"/>
          <w:bCs w:val="0"/>
          <w:color w:val="000000"/>
          <w:kern w:val="2"/>
          <w:sz w:val="21"/>
          <w:szCs w:val="22"/>
          <w:highlight w:val="none"/>
          <w:lang w:val="en-US" w:eastAsia="zh-CN" w:bidi="ar-SA"/>
        </w:rPr>
        <w:t>对不满足要求的或未能提供相应证明材料的</w:t>
      </w:r>
      <w:r>
        <w:rPr>
          <w:rFonts w:hint="eastAsia" w:ascii="宋体" w:hAnsi="宋体" w:eastAsiaTheme="minorEastAsia" w:cstheme="minorBidi"/>
          <w:color w:val="000000"/>
          <w:sz w:val="21"/>
          <w:szCs w:val="22"/>
          <w:highlight w:val="none"/>
          <w:lang w:val="en-US" w:eastAsia="zh-CN"/>
        </w:rPr>
        <w:t>代理商、贸易商、服务商</w:t>
      </w:r>
      <w:r>
        <w:rPr>
          <w:rFonts w:hint="eastAsia" w:ascii="宋体" w:hAnsi="宋体" w:eastAsiaTheme="minorEastAsia" w:cstheme="minorBidi"/>
          <w:b w:val="0"/>
          <w:bCs w:val="0"/>
          <w:color w:val="000000"/>
          <w:kern w:val="2"/>
          <w:sz w:val="21"/>
          <w:szCs w:val="22"/>
          <w:highlight w:val="none"/>
          <w:lang w:val="en-US" w:eastAsia="zh-CN" w:bidi="ar-SA"/>
        </w:rPr>
        <w:t>，将影响评审结果。</w:t>
      </w:r>
      <w:r>
        <w:rPr>
          <w:rFonts w:hint="eastAsia" w:ascii="宋体" w:hAnsi="宋体" w:eastAsiaTheme="minorEastAsia" w:cstheme="minorBidi"/>
          <w:color w:val="000000"/>
          <w:sz w:val="21"/>
          <w:szCs w:val="22"/>
          <w:highlight w:val="none"/>
          <w:lang w:val="en-US" w:eastAsia="zh-CN"/>
        </w:rPr>
        <w:t>）</w:t>
      </w:r>
    </w:p>
    <w:p>
      <w:pPr>
        <w:adjustRightInd/>
        <w:jc w:val="both"/>
        <w:outlineLvl w:val="0"/>
        <w:rPr>
          <w:rFonts w:hint="eastAsia" w:ascii="宋体" w:hAnsi="宋体" w:eastAsiaTheme="minorEastAsia" w:cstheme="minorBidi"/>
          <w:color w:val="000000"/>
          <w:sz w:val="21"/>
          <w:szCs w:val="22"/>
          <w:highlight w:val="none"/>
          <w:lang w:val="en-US" w:eastAsia="zh-CN"/>
        </w:rPr>
      </w:pPr>
      <w:r>
        <w:rPr>
          <w:rFonts w:hint="eastAsia" w:ascii="宋体" w:hAnsi="宋体" w:cstheme="minorBidi"/>
          <w:color w:val="000000"/>
          <w:sz w:val="21"/>
          <w:szCs w:val="22"/>
          <w:lang w:val="en-US" w:eastAsia="zh-CN"/>
        </w:rPr>
        <w:t>5.9： 制造商承诺书及相关支持文件</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olor w:val="000000"/>
          <w:sz w:val="21"/>
          <w:szCs w:val="22"/>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10</w:t>
      </w:r>
      <w:r>
        <w:rPr>
          <w:rFonts w:hint="eastAsia" w:ascii="宋体" w:hAnsi="宋体" w:eastAsiaTheme="minorEastAsia" w:cstheme="minorBidi"/>
          <w:b w:val="0"/>
          <w:bCs w:val="0"/>
          <w:color w:val="000000"/>
          <w:sz w:val="21"/>
          <w:szCs w:val="22"/>
          <w:highlight w:val="none"/>
          <w:lang w:eastAsia="zh-CN"/>
        </w:rPr>
        <w:t>业绩要求</w:t>
      </w:r>
      <w:r>
        <w:rPr>
          <w:rFonts w:hint="eastAsia" w:ascii="宋体" w:hAnsi="宋体" w:eastAsiaTheme="minorEastAsia" w:cstheme="minorBidi"/>
          <w:b w:val="0"/>
          <w:bCs w:val="0"/>
          <w:color w:val="000000"/>
          <w:sz w:val="21"/>
          <w:szCs w:val="22"/>
          <w:highlight w:val="none"/>
        </w:rPr>
        <w:t>（</w:t>
      </w:r>
      <w:r>
        <w:rPr>
          <w:rFonts w:hint="eastAsia" w:ascii="宋体" w:hAnsi="宋体" w:eastAsiaTheme="minorEastAsia" w:cstheme="minorBidi"/>
          <w:color w:val="000000"/>
          <w:sz w:val="21"/>
          <w:szCs w:val="22"/>
          <w:highlight w:val="none"/>
          <w:lang w:val="en-US" w:eastAsia="zh-CN"/>
        </w:rPr>
        <w:t>详见评议内容</w:t>
      </w:r>
      <w:r>
        <w:rPr>
          <w:rFonts w:hint="eastAsia" w:ascii="宋体" w:hAnsi="宋体" w:eastAsiaTheme="minorEastAsia" w:cstheme="minorBidi"/>
          <w:b w:val="0"/>
          <w:bCs w:val="0"/>
          <w:color w:val="000000"/>
          <w:sz w:val="21"/>
          <w:szCs w:val="22"/>
          <w:highlight w:val="none"/>
        </w:rPr>
        <w:t>：提供的证明材料必须完全涵盖</w:t>
      </w:r>
      <w:r>
        <w:rPr>
          <w:rFonts w:hint="eastAsia" w:ascii="宋体" w:hAnsi="宋体" w:eastAsiaTheme="minorEastAsia" w:cstheme="minorBidi"/>
          <w:b w:val="0"/>
          <w:bCs w:val="0"/>
          <w:color w:val="000000"/>
          <w:sz w:val="21"/>
          <w:szCs w:val="22"/>
          <w:highlight w:val="none"/>
          <w:lang w:val="en-US" w:eastAsia="zh-CN"/>
        </w:rPr>
        <w:t>要求的</w:t>
      </w:r>
      <w:r>
        <w:rPr>
          <w:rFonts w:hint="eastAsia" w:ascii="宋体" w:hAnsi="宋体" w:eastAsiaTheme="minorEastAsia" w:cstheme="minorBidi"/>
          <w:b w:val="0"/>
          <w:bCs w:val="0"/>
          <w:color w:val="000000"/>
          <w:sz w:val="21"/>
          <w:szCs w:val="22"/>
          <w:highlight w:val="none"/>
        </w:rPr>
        <w:t>内容，否则视为无效业绩，缺少任何1项都将影响评审结果）</w:t>
      </w:r>
    </w:p>
    <w:p>
      <w:pPr>
        <w:adjustRightInd/>
        <w:jc w:val="both"/>
        <w:outlineLvl w:val="0"/>
        <w:rPr>
          <w:rFonts w:hint="eastAsia" w:ascii="宋体" w:hAnsi="宋体" w:cstheme="minorBidi"/>
          <w:color w:val="000000"/>
          <w:kern w:val="2"/>
          <w:sz w:val="21"/>
          <w:szCs w:val="22"/>
          <w:lang w:val="en-US" w:eastAsia="zh-CN" w:bidi="ar-SA"/>
        </w:rPr>
      </w:pPr>
      <w:r>
        <w:rPr>
          <w:rFonts w:hint="eastAsia" w:ascii="宋体" w:hAnsi="宋体" w:eastAsiaTheme="minorEastAsia"/>
          <w:color w:val="000000"/>
          <w:sz w:val="21"/>
          <w:szCs w:val="22"/>
          <w:lang w:val="en-US" w:eastAsia="zh-CN"/>
        </w:rPr>
        <w:t>5.</w:t>
      </w:r>
      <w:r>
        <w:rPr>
          <w:rFonts w:hint="eastAsia" w:ascii="宋体" w:hAnsi="宋体"/>
          <w:color w:val="000000"/>
          <w:sz w:val="21"/>
          <w:szCs w:val="22"/>
          <w:lang w:val="en-US" w:eastAsia="zh-CN"/>
        </w:rPr>
        <w:t>11</w:t>
      </w:r>
      <w:r>
        <w:rPr>
          <w:rFonts w:hint="eastAsia" w:ascii="宋体" w:hAnsi="宋体" w:eastAsiaTheme="minorEastAsia"/>
          <w:color w:val="000000"/>
          <w:sz w:val="21"/>
          <w:szCs w:val="22"/>
          <w:lang w:val="en-US" w:eastAsia="zh-CN"/>
        </w:rPr>
        <w:t>：</w:t>
      </w:r>
      <w:r>
        <w:rPr>
          <w:rFonts w:hint="eastAsia" w:ascii="宋体" w:hAnsi="宋体" w:eastAsiaTheme="minorEastAsia" w:cstheme="minorBidi"/>
          <w:color w:val="000000"/>
          <w:sz w:val="21"/>
          <w:szCs w:val="22"/>
          <w:highlight w:val="none"/>
          <w:lang w:val="en-US" w:eastAsia="zh-CN"/>
        </w:rPr>
        <w:t>商务偏离表</w:t>
      </w:r>
      <w:r>
        <w:rPr>
          <w:rFonts w:hint="eastAsia" w:ascii="宋体" w:hAnsi="宋体" w:cstheme="minorBidi"/>
          <w:color w:val="000000"/>
          <w:kern w:val="2"/>
          <w:sz w:val="21"/>
          <w:szCs w:val="22"/>
          <w:lang w:val="en-US" w:eastAsia="zh-CN" w:bidi="ar-SA"/>
        </w:rPr>
        <w:t>——详见附件</w:t>
      </w:r>
    </w:p>
    <w:p>
      <w:pPr>
        <w:pStyle w:val="17"/>
        <w:adjustRightInd/>
        <w:jc w:val="both"/>
        <w:outlineLvl w:val="1"/>
        <w:rPr>
          <w:rFonts w:hint="default" w:asciiTheme="minorHAnsi" w:hAnsiTheme="minorHAnsi" w:eastAsiaTheme="minorEastAsia" w:cstheme="minorBidi"/>
          <w:b w:val="0"/>
          <w:bCs w:val="0"/>
          <w:color w:val="000000" w:themeColor="text1"/>
          <w:kern w:val="2"/>
          <w:sz w:val="21"/>
          <w:szCs w:val="22"/>
          <w:highlight w:val="none"/>
          <w:lang w:val="en-US" w:eastAsia="zh-CN"/>
          <w14:textFill>
            <w14:solidFill>
              <w14:schemeClr w14:val="tx1"/>
            </w14:solidFill>
          </w14:textFill>
        </w:rPr>
      </w:pPr>
      <w:r>
        <w:rPr>
          <w:rFonts w:hint="eastAsia" w:ascii="宋体" w:hAnsi="宋体" w:cstheme="minorBidi"/>
          <w:color w:val="000000"/>
          <w:kern w:val="2"/>
          <w:sz w:val="21"/>
          <w:szCs w:val="22"/>
          <w:lang w:val="en-US" w:eastAsia="zh-CN" w:bidi="ar-SA"/>
        </w:rPr>
        <w:t>5.12：其它补充</w:t>
      </w: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rPr>
          <w:rFonts w:hint="eastAsia"/>
          <w:lang w:val="en-US" w:eastAsia="zh-CN"/>
        </w:rPr>
      </w:pPr>
    </w:p>
    <w:p>
      <w:pPr>
        <w:pStyle w:val="17"/>
        <w:rPr>
          <w:rFonts w:hint="eastAsia"/>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color w:val="000000" w:themeColor="text1"/>
          <w:sz w:val="24"/>
          <w:szCs w:val="24"/>
          <w:highlight w:val="none"/>
          <w:lang w:val="en-US" w:eastAsia="zh-CN"/>
          <w14:textFill>
            <w14:solidFill>
              <w14:schemeClr w14:val="tx1"/>
            </w14:solidFill>
          </w14:textFill>
        </w:rPr>
        <w:t>5.2</w:t>
      </w:r>
      <w:r>
        <w:rPr>
          <w:rFonts w:hint="eastAsia" w:ascii="黑体" w:hAnsi="黑体" w:eastAsia="黑体"/>
          <w:b/>
          <w:bCs/>
          <w:sz w:val="24"/>
          <w:szCs w:val="24"/>
          <w:lang w:val="en-US" w:eastAsia="zh-CN"/>
        </w:rPr>
        <w:t>：法定代表人（单位负责人）身份证明</w:t>
      </w:r>
    </w:p>
    <w:p>
      <w:pPr>
        <w:pStyle w:val="8"/>
        <w:keepNext w:val="0"/>
        <w:keepLines w:val="0"/>
        <w:pageBreakBefore w:val="0"/>
        <w:widowControl w:val="0"/>
        <w:kinsoku/>
        <w:wordWrap/>
        <w:overflowPunct/>
        <w:topLinePunct w:val="0"/>
        <w:autoSpaceDE/>
        <w:autoSpaceDN/>
        <w:bidi w:val="0"/>
        <w:adjustRightInd/>
        <w:snapToGrid/>
        <w:ind w:left="782"/>
        <w:textAlignment w:val="auto"/>
        <w:rPr>
          <w:rFonts w:hint="eastAsia"/>
          <w:lang w:val="en-US" w:eastAsia="zh-CN"/>
        </w:rPr>
      </w:pPr>
    </w:p>
    <w:p>
      <w:pPr>
        <w:pStyle w:val="6"/>
        <w:rPr>
          <w:rFonts w:ascii="微软雅黑" w:hAnsi="微软雅黑" w:eastAsia="微软雅黑"/>
          <w:b/>
          <w:spacing w:val="2"/>
          <w:sz w:val="32"/>
          <w:szCs w:val="32"/>
        </w:rPr>
      </w:pPr>
    </w:p>
    <w:p>
      <w:pPr>
        <w:pStyle w:val="6"/>
        <w:rPr>
          <w:rFonts w:ascii="微软雅黑" w:hAnsi="微软雅黑" w:eastAsia="微软雅黑"/>
          <w:b/>
          <w:spacing w:val="2"/>
          <w:sz w:val="32"/>
          <w:szCs w:val="32"/>
        </w:rPr>
      </w:pPr>
    </w:p>
    <w:p>
      <w:pPr>
        <w:spacing w:before="120" w:beforeLines="50" w:after="120" w:afterLines="50"/>
        <w:ind w:right="11"/>
        <w:jc w:val="center"/>
        <w:rPr>
          <w:rFonts w:ascii="微软雅黑" w:hAnsi="微软雅黑" w:eastAsia="微软雅黑"/>
          <w:b/>
          <w:sz w:val="32"/>
          <w:szCs w:val="32"/>
        </w:rPr>
      </w:pPr>
      <w:r>
        <w:rPr>
          <w:rFonts w:ascii="微软雅黑" w:hAnsi="微软雅黑" w:eastAsia="微软雅黑"/>
          <w:b/>
          <w:spacing w:val="2"/>
          <w:sz w:val="32"/>
          <w:szCs w:val="32"/>
        </w:rPr>
        <w:t>法定代表</w:t>
      </w:r>
      <w:r>
        <w:rPr>
          <w:rFonts w:ascii="微软雅黑" w:hAnsi="微软雅黑" w:eastAsia="微软雅黑"/>
          <w:b/>
          <w:sz w:val="32"/>
          <w:szCs w:val="32"/>
        </w:rPr>
        <w:t>人</w:t>
      </w:r>
      <w:r>
        <w:rPr>
          <w:rFonts w:ascii="微软雅黑" w:hAnsi="微软雅黑" w:eastAsia="微软雅黑"/>
          <w:b/>
          <w:spacing w:val="2"/>
          <w:sz w:val="32"/>
          <w:szCs w:val="32"/>
        </w:rPr>
        <w:t>（单位负责人</w:t>
      </w:r>
      <w:r>
        <w:rPr>
          <w:rFonts w:ascii="微软雅黑" w:hAnsi="微软雅黑" w:eastAsia="微软雅黑"/>
          <w:b/>
          <w:sz w:val="32"/>
          <w:szCs w:val="32"/>
        </w:rPr>
        <w:t>）</w:t>
      </w:r>
      <w:r>
        <w:rPr>
          <w:rFonts w:ascii="微软雅黑" w:hAnsi="微软雅黑" w:eastAsia="微软雅黑"/>
          <w:b/>
          <w:spacing w:val="2"/>
          <w:sz w:val="32"/>
          <w:szCs w:val="32"/>
        </w:rPr>
        <w:t>身份证</w:t>
      </w:r>
      <w:r>
        <w:rPr>
          <w:rFonts w:ascii="微软雅黑" w:hAnsi="微软雅黑" w:eastAsia="微软雅黑"/>
          <w:b/>
          <w:sz w:val="32"/>
          <w:szCs w:val="32"/>
        </w:rPr>
        <w:t>明</w:t>
      </w:r>
    </w:p>
    <w:p>
      <w:pPr>
        <w:tabs>
          <w:tab w:val="left" w:pos="142"/>
        </w:tabs>
        <w:spacing w:line="200" w:lineRule="exact"/>
        <w:ind w:right="11"/>
        <w:jc w:val="center"/>
        <w:rPr>
          <w:rFonts w:ascii="微软雅黑" w:hAnsi="微软雅黑" w:eastAsia="微软雅黑"/>
          <w:sz w:val="20"/>
          <w:szCs w:val="20"/>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80"/>
        <w:jc w:val="lef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3"/>
          <w:kern w:val="0"/>
          <w:sz w:val="24"/>
          <w:szCs w:val="24"/>
          <w:lang w:val="en-US" w:eastAsia="zh-CN" w:bidi="ar-SA"/>
        </w:rPr>
        <w:t>称</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412"/>
          <w:tab w:val="left" w:pos="3883"/>
          <w:tab w:val="left" w:pos="5352"/>
          <w:tab w:val="left" w:pos="6821"/>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姓名</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性别</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年</w:t>
      </w:r>
      <w:r>
        <w:rPr>
          <w:rFonts w:ascii="微软雅黑" w:hAnsi="微软雅黑" w:eastAsia="微软雅黑" w:cstheme="minorBidi"/>
          <w:spacing w:val="-3"/>
          <w:kern w:val="0"/>
          <w:sz w:val="24"/>
          <w:szCs w:val="24"/>
          <w:lang w:val="en-US" w:eastAsia="zh-CN" w:bidi="ar-SA"/>
        </w:rPr>
        <w:t>龄</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职</w:t>
      </w:r>
      <w:r>
        <w:rPr>
          <w:rFonts w:ascii="微软雅黑" w:hAnsi="微软雅黑" w:eastAsia="微软雅黑" w:cstheme="minorBidi"/>
          <w:spacing w:val="-3"/>
          <w:kern w:val="0"/>
          <w:sz w:val="24"/>
          <w:szCs w:val="24"/>
          <w:lang w:val="en-US" w:eastAsia="zh-CN" w:bidi="ar-SA"/>
        </w:rPr>
        <w:t>务</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831"/>
        </w:tabs>
        <w:spacing w:before="36"/>
        <w:ind w:left="780" w:right="11" w:firstLine="476"/>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6"/>
          <w:kern w:val="0"/>
          <w:sz w:val="24"/>
          <w:szCs w:val="24"/>
          <w:lang w:val="en-US" w:eastAsia="zh-CN" w:bidi="ar-SA"/>
        </w:rPr>
        <w:t>）</w:t>
      </w:r>
      <w:r>
        <w:rPr>
          <w:rFonts w:ascii="微软雅黑" w:hAnsi="微软雅黑" w:eastAsia="微软雅黑" w:cstheme="minorBidi"/>
          <w:kern w:val="0"/>
          <w:sz w:val="24"/>
          <w:szCs w:val="24"/>
          <w:lang w:val="en-US" w:eastAsia="zh-CN" w:bidi="ar-SA"/>
        </w:rPr>
        <w:t>。</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特此</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明。</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 xml:space="preserve">。 </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注：</w:t>
      </w:r>
      <w:r>
        <w:rPr>
          <w:rFonts w:ascii="微软雅黑" w:hAnsi="微软雅黑" w:eastAsia="微软雅黑" w:cstheme="minorBidi"/>
          <w:spacing w:val="-3"/>
          <w:kern w:val="0"/>
          <w:sz w:val="24"/>
          <w:szCs w:val="24"/>
          <w:lang w:val="en-US" w:eastAsia="zh-CN" w:bidi="ar-SA"/>
        </w:rPr>
        <w:t>本</w:t>
      </w:r>
      <w:r>
        <w:rPr>
          <w:rFonts w:ascii="微软雅黑" w:hAnsi="微软雅黑" w:eastAsia="微软雅黑" w:cstheme="minorBidi"/>
          <w:kern w:val="0"/>
          <w:sz w:val="24"/>
          <w:szCs w:val="24"/>
          <w:lang w:val="en-US" w:eastAsia="zh-CN" w:bidi="ar-SA"/>
        </w:rPr>
        <w:t>身</w:t>
      </w:r>
      <w:r>
        <w:rPr>
          <w:rFonts w:ascii="微软雅黑" w:hAnsi="微软雅黑" w:eastAsia="微软雅黑" w:cstheme="minorBidi"/>
          <w:spacing w:val="-3"/>
          <w:kern w:val="0"/>
          <w:sz w:val="24"/>
          <w:szCs w:val="24"/>
          <w:lang w:val="en-US" w:eastAsia="zh-CN" w:bidi="ar-SA"/>
        </w:rPr>
        <w:t>份</w:t>
      </w:r>
      <w:r>
        <w:rPr>
          <w:rFonts w:ascii="微软雅黑" w:hAnsi="微软雅黑" w:eastAsia="微软雅黑" w:cstheme="minorBidi"/>
          <w:kern w:val="0"/>
          <w:sz w:val="24"/>
          <w:szCs w:val="24"/>
          <w:lang w:val="en-US" w:eastAsia="zh-CN" w:bidi="ar-SA"/>
        </w:rPr>
        <w:t>证</w:t>
      </w:r>
      <w:r>
        <w:rPr>
          <w:rFonts w:ascii="微软雅黑" w:hAnsi="微软雅黑" w:eastAsia="微软雅黑" w:cstheme="minorBidi"/>
          <w:spacing w:val="-3"/>
          <w:kern w:val="0"/>
          <w:sz w:val="24"/>
          <w:szCs w:val="24"/>
          <w:lang w:val="en-US" w:eastAsia="zh-CN" w:bidi="ar-SA"/>
        </w:rPr>
        <w:t>明</w:t>
      </w:r>
      <w:r>
        <w:rPr>
          <w:rFonts w:ascii="微软雅黑" w:hAnsi="微软雅黑" w:eastAsia="微软雅黑" w:cstheme="minorBidi"/>
          <w:kern w:val="0"/>
          <w:sz w:val="24"/>
          <w:szCs w:val="24"/>
          <w:lang w:val="en-US" w:eastAsia="zh-CN" w:bidi="ar-SA"/>
        </w:rPr>
        <w:t>需</w:t>
      </w:r>
      <w:r>
        <w:rPr>
          <w:rFonts w:ascii="微软雅黑" w:hAnsi="微软雅黑" w:eastAsia="微软雅黑" w:cstheme="minorBidi"/>
          <w:spacing w:val="-3"/>
          <w:kern w:val="0"/>
          <w:sz w:val="24"/>
          <w:szCs w:val="24"/>
          <w:lang w:val="en-US" w:eastAsia="zh-CN" w:bidi="ar-SA"/>
        </w:rPr>
        <w:t>由</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加</w:t>
      </w:r>
      <w:r>
        <w:rPr>
          <w:rFonts w:ascii="微软雅黑" w:hAnsi="微软雅黑" w:eastAsia="微软雅黑" w:cstheme="minorBidi"/>
          <w:spacing w:val="-3"/>
          <w:kern w:val="0"/>
          <w:sz w:val="24"/>
          <w:szCs w:val="24"/>
          <w:lang w:val="en-US" w:eastAsia="zh-CN" w:bidi="ar-SA"/>
        </w:rPr>
        <w:t>盖</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widowControl w:val="0"/>
        <w:tabs>
          <w:tab w:val="left" w:pos="142"/>
          <w:tab w:val="left" w:pos="6521"/>
        </w:tabs>
        <w:spacing w:before="36" w:after="120" w:afterLines="50"/>
        <w:ind w:left="780" w:right="11" w:firstLine="468"/>
        <w:jc w:val="righ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spacing w:val="-3"/>
          <w:kern w:val="0"/>
          <w:sz w:val="24"/>
          <w:szCs w:val="24"/>
          <w:lang w:val="en-US" w:eastAsia="zh-CN" w:bidi="ar-SA"/>
        </w:rPr>
        <w:t>应答人</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widowControl w:val="0"/>
        <w:tabs>
          <w:tab w:val="left" w:pos="142"/>
          <w:tab w:val="left" w:pos="5352"/>
          <w:tab w:val="left" w:pos="6192"/>
          <w:tab w:val="left" w:pos="7032"/>
        </w:tabs>
        <w:spacing w:before="36" w:after="120" w:afterLines="50"/>
        <w:ind w:left="780" w:right="11" w:firstLine="1080"/>
        <w:jc w:val="right"/>
      </w:pPr>
      <w:r>
        <w:rPr>
          <w:rFonts w:hint="eastAsia" w:ascii="微软雅黑" w:hAnsi="微软雅黑" w:eastAsia="微软雅黑" w:cstheme="minorBidi"/>
          <w:w w:val="225"/>
          <w:kern w:val="0"/>
          <w:sz w:val="24"/>
          <w:szCs w:val="24"/>
          <w:lang w:val="en-US" w:eastAsia="zh-CN" w:bidi="ar-SA"/>
        </w:rPr>
        <w:t>____</w:t>
      </w:r>
      <w:r>
        <w:rPr>
          <w:rFonts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lang w:val="en-US" w:eastAsia="zh-CN" w:bidi="ar-SA"/>
        </w:rPr>
        <w:t>_______</w:t>
      </w:r>
      <w:r>
        <w:rPr>
          <w:rFonts w:ascii="微软雅黑" w:hAnsi="微软雅黑" w:eastAsia="微软雅黑" w:cstheme="minorBidi"/>
          <w:kern w:val="0"/>
          <w:sz w:val="24"/>
          <w:szCs w:val="24"/>
          <w:lang w:val="en-US" w:eastAsia="zh-CN" w:bidi="ar-SA"/>
        </w:rPr>
        <w:t>月</w:t>
      </w:r>
      <w:r>
        <w:rPr>
          <w:rFonts w:hint="eastAsia" w:ascii="微软雅黑" w:hAnsi="微软雅黑" w:eastAsia="微软雅黑" w:cstheme="minorBidi"/>
          <w:kern w:val="0"/>
          <w:sz w:val="24"/>
          <w:szCs w:val="24"/>
          <w:lang w:val="en-US" w:eastAsia="zh-CN" w:bidi="ar-SA"/>
        </w:rPr>
        <w:t>______</w:t>
      </w:r>
      <w:r>
        <w:rPr>
          <w:rFonts w:ascii="微软雅黑" w:hAnsi="微软雅黑" w:eastAsia="微软雅黑" w:cstheme="minorBidi"/>
          <w:kern w:val="0"/>
          <w:sz w:val="24"/>
          <w:szCs w:val="24"/>
          <w:lang w:val="en-US" w:eastAsia="zh-CN" w:bidi="ar-SA"/>
        </w:rPr>
        <w:t>日</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sz w:val="24"/>
          <w:szCs w:val="24"/>
          <w:lang w:val="en-US" w:eastAsia="zh-CN"/>
        </w:rPr>
        <w:t>5.3：授权委托书</w:t>
      </w:r>
    </w:p>
    <w:p>
      <w:pPr>
        <w:pStyle w:val="21"/>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p>
    <w:p>
      <w:pPr>
        <w:pStyle w:val="21"/>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r>
        <w:rPr>
          <w:rFonts w:ascii="微软雅黑" w:hAnsi="微软雅黑" w:eastAsia="微软雅黑"/>
          <w:b/>
          <w:spacing w:val="2"/>
          <w:lang w:eastAsia="zh-CN"/>
        </w:rPr>
        <w:t>授权委托书</w:t>
      </w:r>
    </w:p>
    <w:p>
      <w:pPr>
        <w:keepNext w:val="0"/>
        <w:keepLines w:val="0"/>
        <w:pageBreakBefore w:val="0"/>
        <w:widowControl w:val="0"/>
        <w:tabs>
          <w:tab w:val="left" w:pos="142"/>
          <w:tab w:val="left" w:pos="2421"/>
          <w:tab w:val="left" w:pos="5585"/>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本人</w:t>
      </w:r>
      <w:r>
        <w:rPr>
          <w:rFonts w:ascii="微软雅黑" w:hAnsi="微软雅黑" w:eastAsia="微软雅黑" w:cstheme="minorBidi"/>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姓</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代表人</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单位负责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4"/>
          <w:kern w:val="0"/>
          <w:sz w:val="24"/>
          <w:szCs w:val="24"/>
          <w:lang w:val="en-US" w:eastAsia="zh-CN" w:bidi="ar-SA"/>
        </w:rPr>
        <w:t>）</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现</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1"/>
          <w:kern w:val="0"/>
          <w:sz w:val="24"/>
          <w:szCs w:val="24"/>
          <w:lang w:val="en-US" w:eastAsia="zh-CN" w:bidi="ar-SA"/>
        </w:rPr>
        <w:t>托</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（姓名）为我</w:t>
      </w:r>
      <w:r>
        <w:rPr>
          <w:rFonts w:ascii="微软雅黑" w:hAnsi="微软雅黑" w:eastAsia="微软雅黑" w:cstheme="minorBidi"/>
          <w:spacing w:val="-3"/>
          <w:kern w:val="0"/>
          <w:sz w:val="24"/>
          <w:szCs w:val="24"/>
          <w:lang w:val="en-US" w:eastAsia="zh-CN" w:bidi="ar-SA"/>
        </w:rPr>
        <w:t>方代</w:t>
      </w:r>
      <w:r>
        <w:rPr>
          <w:rFonts w:ascii="微软雅黑" w:hAnsi="微软雅黑" w:eastAsia="微软雅黑" w:cstheme="minorBidi"/>
          <w:kern w:val="0"/>
          <w:sz w:val="24"/>
          <w:szCs w:val="24"/>
          <w:lang w:val="en-US" w:eastAsia="zh-CN" w:bidi="ar-SA"/>
        </w:rPr>
        <w:t>理人。代理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根据授</w:t>
      </w:r>
      <w:r>
        <w:rPr>
          <w:rFonts w:ascii="微软雅黑" w:hAnsi="微软雅黑" w:eastAsia="微软雅黑" w:cstheme="minorBidi"/>
          <w:spacing w:val="-3"/>
          <w:kern w:val="0"/>
          <w:sz w:val="24"/>
          <w:szCs w:val="24"/>
          <w:lang w:val="en-US" w:eastAsia="zh-CN" w:bidi="ar-SA"/>
        </w:rPr>
        <w:t>权，</w:t>
      </w:r>
      <w:r>
        <w:rPr>
          <w:rFonts w:ascii="微软雅黑" w:hAnsi="微软雅黑" w:eastAsia="微软雅黑" w:cstheme="minorBidi"/>
          <w:kern w:val="0"/>
          <w:sz w:val="24"/>
          <w:szCs w:val="24"/>
          <w:lang w:val="en-US" w:eastAsia="zh-CN" w:bidi="ar-SA"/>
        </w:rPr>
        <w:t>以我方名义</w:t>
      </w:r>
      <w:r>
        <w:rPr>
          <w:rFonts w:ascii="微软雅黑" w:hAnsi="微软雅黑" w:eastAsia="微软雅黑" w:cstheme="minorBidi"/>
          <w:spacing w:val="-3"/>
          <w:kern w:val="0"/>
          <w:sz w:val="24"/>
          <w:szCs w:val="24"/>
          <w:lang w:val="en-US" w:eastAsia="zh-CN" w:bidi="ar-SA"/>
        </w:rPr>
        <w:t>签</w:t>
      </w:r>
      <w:r>
        <w:rPr>
          <w:rFonts w:ascii="微软雅黑" w:hAnsi="微软雅黑" w:eastAsia="微软雅黑" w:cstheme="minorBidi"/>
          <w:kern w:val="0"/>
          <w:sz w:val="24"/>
          <w:szCs w:val="24"/>
          <w:lang w:val="en-US" w:eastAsia="zh-CN" w:bidi="ar-SA"/>
        </w:rPr>
        <w:t>署、澄清</w:t>
      </w:r>
      <w:r>
        <w:rPr>
          <w:rFonts w:hint="eastAsia" w:ascii="微软雅黑" w:hAnsi="微软雅黑" w:eastAsia="微软雅黑" w:cstheme="minorBidi"/>
          <w:kern w:val="0"/>
          <w:sz w:val="24"/>
          <w:szCs w:val="24"/>
          <w:lang w:val="en-US" w:eastAsia="zh-CN" w:bidi="ar-SA"/>
        </w:rPr>
        <w:t>、</w:t>
      </w:r>
      <w:r>
        <w:rPr>
          <w:rFonts w:ascii="微软雅黑" w:hAnsi="微软雅黑" w:eastAsia="微软雅黑" w:cstheme="minorBidi"/>
          <w:kern w:val="0"/>
          <w:sz w:val="24"/>
          <w:szCs w:val="24"/>
          <w:lang w:val="en-US" w:eastAsia="zh-CN" w:bidi="ar-SA"/>
        </w:rPr>
        <w:t>确认、递交</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撤回</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修改</w:t>
      </w:r>
      <w:r>
        <w:rPr>
          <w:rFonts w:hint="eastAsia" w:ascii="微软雅黑" w:hAnsi="微软雅黑" w:eastAsia="微软雅黑" w:cstheme="minorBidi"/>
          <w:kern w:val="0"/>
          <w:sz w:val="24"/>
          <w:szCs w:val="24"/>
          <w:lang w:val="en-US" w:eastAsia="zh-CN" w:bidi="ar-SA"/>
        </w:rPr>
        <w:t>服务</w:t>
      </w:r>
      <w:r>
        <w:rPr>
          <w:rFonts w:ascii="微软雅黑" w:hAnsi="微软雅黑" w:eastAsia="微软雅黑" w:cstheme="minorBidi"/>
          <w:kern w:val="0"/>
          <w:sz w:val="24"/>
          <w:szCs w:val="24"/>
          <w:lang w:val="en-US" w:eastAsia="zh-CN" w:bidi="ar-SA"/>
        </w:rPr>
        <w:t>采购询价项目</w:t>
      </w:r>
      <w:r>
        <w:rPr>
          <w:rFonts w:hint="eastAsia" w:ascii="微软雅黑" w:hAnsi="微软雅黑" w:eastAsia="微软雅黑" w:cstheme="minorBidi"/>
          <w:kern w:val="0"/>
          <w:sz w:val="24"/>
          <w:szCs w:val="24"/>
          <w:lang w:val="en-US" w:eastAsia="zh-CN" w:bidi="ar-SA"/>
        </w:rPr>
        <w:t>报价</w:t>
      </w:r>
      <w:r>
        <w:rPr>
          <w:rFonts w:ascii="微软雅黑" w:hAnsi="微软雅黑" w:eastAsia="微软雅黑" w:cstheme="minorBidi"/>
          <w:kern w:val="0"/>
          <w:sz w:val="24"/>
          <w:szCs w:val="24"/>
          <w:lang w:val="en-US" w:eastAsia="zh-CN" w:bidi="ar-SA"/>
        </w:rPr>
        <w:t>文件、签订合</w:t>
      </w:r>
      <w:r>
        <w:rPr>
          <w:rFonts w:ascii="微软雅黑" w:hAnsi="微软雅黑" w:eastAsia="微软雅黑" w:cstheme="minorBidi"/>
          <w:spacing w:val="-3"/>
          <w:kern w:val="0"/>
          <w:sz w:val="24"/>
          <w:szCs w:val="24"/>
          <w:lang w:val="en-US" w:eastAsia="zh-CN" w:bidi="ar-SA"/>
        </w:rPr>
        <w:t>同</w:t>
      </w:r>
      <w:r>
        <w:rPr>
          <w:rFonts w:ascii="微软雅黑" w:hAnsi="微软雅黑" w:eastAsia="微软雅黑" w:cstheme="minorBidi"/>
          <w:kern w:val="0"/>
          <w:sz w:val="24"/>
          <w:szCs w:val="24"/>
          <w:lang w:val="en-US" w:eastAsia="zh-CN" w:bidi="ar-SA"/>
        </w:rPr>
        <w:t>和处</w:t>
      </w:r>
      <w:r>
        <w:rPr>
          <w:rFonts w:ascii="微软雅黑" w:hAnsi="微软雅黑" w:eastAsia="微软雅黑" w:cstheme="minorBidi"/>
          <w:spacing w:val="-3"/>
          <w:kern w:val="0"/>
          <w:sz w:val="24"/>
          <w:szCs w:val="24"/>
          <w:lang w:val="en-US" w:eastAsia="zh-CN" w:bidi="ar-SA"/>
        </w:rPr>
        <w:t>理</w:t>
      </w:r>
      <w:r>
        <w:rPr>
          <w:rFonts w:ascii="微软雅黑" w:hAnsi="微软雅黑" w:eastAsia="微软雅黑" w:cstheme="minorBidi"/>
          <w:kern w:val="0"/>
          <w:sz w:val="24"/>
          <w:szCs w:val="24"/>
          <w:lang w:val="en-US" w:eastAsia="zh-CN" w:bidi="ar-SA"/>
        </w:rPr>
        <w:t>有关事宜，其</w:t>
      </w:r>
      <w:r>
        <w:rPr>
          <w:rFonts w:ascii="微软雅黑" w:hAnsi="微软雅黑" w:eastAsia="微软雅黑" w:cstheme="minorBidi"/>
          <w:spacing w:val="-3"/>
          <w:kern w:val="0"/>
          <w:sz w:val="24"/>
          <w:szCs w:val="24"/>
          <w:lang w:val="en-US" w:eastAsia="zh-CN" w:bidi="ar-SA"/>
        </w:rPr>
        <w:t>法</w:t>
      </w:r>
      <w:r>
        <w:rPr>
          <w:rFonts w:ascii="微软雅黑" w:hAnsi="微软雅黑" w:eastAsia="微软雅黑" w:cstheme="minorBidi"/>
          <w:kern w:val="0"/>
          <w:sz w:val="24"/>
          <w:szCs w:val="24"/>
          <w:lang w:val="en-US" w:eastAsia="zh-CN" w:bidi="ar-SA"/>
        </w:rPr>
        <w:t>律后果</w:t>
      </w:r>
      <w:r>
        <w:rPr>
          <w:rFonts w:ascii="微软雅黑" w:hAnsi="微软雅黑" w:eastAsia="微软雅黑" w:cstheme="minorBidi"/>
          <w:spacing w:val="-3"/>
          <w:kern w:val="0"/>
          <w:sz w:val="24"/>
          <w:szCs w:val="24"/>
          <w:lang w:val="en-US" w:eastAsia="zh-CN" w:bidi="ar-SA"/>
        </w:rPr>
        <w:t>由</w:t>
      </w:r>
      <w:r>
        <w:rPr>
          <w:rFonts w:ascii="微软雅黑" w:hAnsi="微软雅黑" w:eastAsia="微软雅黑" w:cstheme="minorBidi"/>
          <w:kern w:val="0"/>
          <w:sz w:val="24"/>
          <w:szCs w:val="24"/>
          <w:lang w:val="en-US" w:eastAsia="zh-CN" w:bidi="ar-SA"/>
        </w:rPr>
        <w:t>我</w:t>
      </w:r>
      <w:r>
        <w:rPr>
          <w:rFonts w:ascii="微软雅黑" w:hAnsi="微软雅黑" w:eastAsia="微软雅黑" w:cstheme="minorBidi"/>
          <w:spacing w:val="-3"/>
          <w:kern w:val="0"/>
          <w:sz w:val="24"/>
          <w:szCs w:val="24"/>
          <w:lang w:val="en-US" w:eastAsia="zh-CN" w:bidi="ar-SA"/>
        </w:rPr>
        <w:t>方</w:t>
      </w:r>
      <w:r>
        <w:rPr>
          <w:rFonts w:ascii="微软雅黑" w:hAnsi="微软雅黑" w:eastAsia="微软雅黑" w:cstheme="minorBidi"/>
          <w:kern w:val="0"/>
          <w:sz w:val="24"/>
          <w:szCs w:val="24"/>
          <w:lang w:val="en-US" w:eastAsia="zh-CN" w:bidi="ar-SA"/>
        </w:rPr>
        <w:t>承</w:t>
      </w:r>
      <w:r>
        <w:rPr>
          <w:rFonts w:ascii="微软雅黑" w:hAnsi="微软雅黑" w:eastAsia="微软雅黑" w:cstheme="minorBidi"/>
          <w:spacing w:val="-3"/>
          <w:kern w:val="0"/>
          <w:sz w:val="24"/>
          <w:szCs w:val="24"/>
          <w:lang w:val="en-US" w:eastAsia="zh-CN" w:bidi="ar-SA"/>
        </w:rPr>
        <w:t>担</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3566"/>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期</w:t>
      </w:r>
      <w:r>
        <w:rPr>
          <w:rFonts w:ascii="微软雅黑" w:hAnsi="微软雅黑" w:eastAsia="微软雅黑" w:cstheme="minorBidi"/>
          <w:kern w:val="0"/>
          <w:sz w:val="24"/>
          <w:szCs w:val="24"/>
          <w:lang w:val="en-US" w:eastAsia="zh-CN" w:bidi="ar-SA"/>
        </w:rPr>
        <w:t>限</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无</w:t>
      </w:r>
      <w:r>
        <w:rPr>
          <w:rFonts w:ascii="微软雅黑" w:hAnsi="微软雅黑" w:eastAsia="微软雅黑" w:cstheme="minorBidi"/>
          <w:spacing w:val="-3"/>
          <w:kern w:val="0"/>
          <w:sz w:val="24"/>
          <w:szCs w:val="24"/>
          <w:lang w:val="en-US" w:eastAsia="zh-CN" w:bidi="ar-SA"/>
        </w:rPr>
        <w:t>转</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3"/>
          <w:kern w:val="0"/>
          <w:sz w:val="24"/>
          <w:szCs w:val="24"/>
          <w:lang w:val="en-US" w:eastAsia="zh-CN" w:bidi="ar-SA"/>
        </w:rPr>
        <w:t>托</w:t>
      </w:r>
      <w:r>
        <w:rPr>
          <w:rFonts w:ascii="微软雅黑" w:hAnsi="微软雅黑" w:eastAsia="微软雅黑" w:cstheme="minorBidi"/>
          <w:kern w:val="0"/>
          <w:sz w:val="24"/>
          <w:szCs w:val="24"/>
          <w:lang w:val="en-US" w:eastAsia="zh-CN" w:bidi="ar-SA"/>
        </w:rPr>
        <w:t xml:space="preserve">权。 </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及</w:t>
      </w:r>
      <w:r>
        <w:rPr>
          <w:rFonts w:ascii="微软雅黑" w:hAnsi="微软雅黑" w:eastAsia="微软雅黑" w:cstheme="minorBidi"/>
          <w:spacing w:val="-3"/>
          <w:kern w:val="0"/>
          <w:sz w:val="24"/>
          <w:szCs w:val="24"/>
          <w:highlight w:val="none"/>
          <w:lang w:val="en-US" w:eastAsia="zh-CN" w:bidi="ar-SA"/>
        </w:rPr>
        <w:t>委</w:t>
      </w:r>
      <w:r>
        <w:rPr>
          <w:rFonts w:ascii="微软雅黑" w:hAnsi="微软雅黑" w:eastAsia="微软雅黑" w:cstheme="minorBidi"/>
          <w:kern w:val="0"/>
          <w:sz w:val="24"/>
          <w:szCs w:val="24"/>
          <w:highlight w:val="none"/>
          <w:lang w:val="en-US" w:eastAsia="zh-CN" w:bidi="ar-SA"/>
        </w:rPr>
        <w:t>托代</w:t>
      </w:r>
      <w:r>
        <w:rPr>
          <w:rFonts w:ascii="微软雅黑" w:hAnsi="微软雅黑" w:eastAsia="微软雅黑" w:cstheme="minorBidi"/>
          <w:spacing w:val="-3"/>
          <w:kern w:val="0"/>
          <w:sz w:val="24"/>
          <w:szCs w:val="24"/>
          <w:highlight w:val="none"/>
          <w:lang w:val="en-US" w:eastAsia="zh-CN" w:bidi="ar-SA"/>
        </w:rPr>
        <w:t>理</w:t>
      </w:r>
      <w:r>
        <w:rPr>
          <w:rFonts w:ascii="微软雅黑" w:hAnsi="微软雅黑" w:eastAsia="微软雅黑" w:cstheme="minorBidi"/>
          <w:kern w:val="0"/>
          <w:sz w:val="24"/>
          <w:szCs w:val="24"/>
          <w:highlight w:val="none"/>
          <w:lang w:val="en-US" w:eastAsia="zh-CN" w:bidi="ar-SA"/>
        </w:rPr>
        <w:t>人</w:t>
      </w:r>
      <w:r>
        <w:rPr>
          <w:rFonts w:ascii="微软雅黑" w:hAnsi="微软雅黑" w:eastAsia="微软雅黑" w:cstheme="minorBidi"/>
          <w:spacing w:val="-3"/>
          <w:kern w:val="0"/>
          <w:sz w:val="24"/>
          <w:szCs w:val="24"/>
          <w:highlight w:val="none"/>
          <w:lang w:val="en-US" w:eastAsia="zh-CN" w:bidi="ar-SA"/>
        </w:rPr>
        <w:t>身</w:t>
      </w:r>
      <w:r>
        <w:rPr>
          <w:rFonts w:ascii="微软雅黑" w:hAnsi="微软雅黑" w:eastAsia="微软雅黑" w:cstheme="minorBidi"/>
          <w:kern w:val="0"/>
          <w:sz w:val="24"/>
          <w:szCs w:val="24"/>
          <w:highlight w:val="none"/>
          <w:lang w:val="en-US" w:eastAsia="zh-CN" w:bidi="ar-SA"/>
        </w:rPr>
        <w:t>份</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复</w:t>
      </w:r>
      <w:r>
        <w:rPr>
          <w:rFonts w:ascii="微软雅黑" w:hAnsi="微软雅黑" w:eastAsia="微软雅黑" w:cstheme="minorBidi"/>
          <w:spacing w:val="-3"/>
          <w:kern w:val="0"/>
          <w:sz w:val="24"/>
          <w:szCs w:val="24"/>
          <w:highlight w:val="none"/>
          <w:lang w:val="en-US" w:eastAsia="zh-CN" w:bidi="ar-SA"/>
        </w:rPr>
        <w:t>印</w:t>
      </w:r>
      <w:r>
        <w:rPr>
          <w:rFonts w:ascii="微软雅黑" w:hAnsi="微软雅黑" w:eastAsia="微软雅黑" w:cstheme="minorBidi"/>
          <w:kern w:val="0"/>
          <w:sz w:val="24"/>
          <w:szCs w:val="24"/>
          <w:highlight w:val="none"/>
          <w:lang w:val="en-US" w:eastAsia="zh-CN" w:bidi="ar-SA"/>
        </w:rPr>
        <w:t>件</w:t>
      </w:r>
    </w:p>
    <w:p>
      <w:pPr>
        <w:keepNext w:val="0"/>
        <w:keepLines w:val="0"/>
        <w:pageBreakBefore w:val="0"/>
        <w:widowControl w:val="0"/>
        <w:tabs>
          <w:tab w:val="left" w:pos="142"/>
        </w:tabs>
        <w:kinsoku/>
        <w:overflowPunct/>
        <w:topLinePunct w:val="0"/>
        <w:autoSpaceDE/>
        <w:autoSpaceDN/>
        <w:bidi w:val="0"/>
        <w:adjustRightInd/>
        <w:snapToGrid/>
        <w:spacing w:before="36"/>
        <w:ind w:left="420" w:leftChars="200" w:right="11"/>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注：本授权委托</w:t>
      </w:r>
      <w:r>
        <w:rPr>
          <w:rFonts w:ascii="微软雅黑" w:hAnsi="微软雅黑" w:eastAsia="微软雅黑" w:cstheme="minorBidi"/>
          <w:spacing w:val="-3"/>
          <w:kern w:val="0"/>
          <w:sz w:val="24"/>
          <w:szCs w:val="24"/>
          <w:highlight w:val="none"/>
          <w:lang w:val="en-US" w:eastAsia="zh-CN" w:bidi="ar-SA"/>
        </w:rPr>
        <w:t>书</w:t>
      </w:r>
      <w:r>
        <w:rPr>
          <w:rFonts w:ascii="微软雅黑" w:hAnsi="微软雅黑" w:eastAsia="微软雅黑" w:cstheme="minorBidi"/>
          <w:kern w:val="0"/>
          <w:sz w:val="24"/>
          <w:szCs w:val="24"/>
          <w:highlight w:val="none"/>
          <w:lang w:val="en-US" w:eastAsia="zh-CN" w:bidi="ar-SA"/>
        </w:rPr>
        <w:t>需由</w:t>
      </w:r>
      <w:r>
        <w:rPr>
          <w:rFonts w:hint="eastAsia" w:ascii="微软雅黑" w:hAnsi="微软雅黑" w:eastAsia="微软雅黑" w:cstheme="minorBidi"/>
          <w:spacing w:val="-3"/>
          <w:kern w:val="0"/>
          <w:sz w:val="24"/>
          <w:szCs w:val="24"/>
          <w:highlight w:val="none"/>
          <w:lang w:val="en-US" w:eastAsia="zh-CN" w:bidi="ar-SA"/>
        </w:rPr>
        <w:t>应答人</w:t>
      </w:r>
      <w:r>
        <w:rPr>
          <w:rFonts w:ascii="微软雅黑" w:hAnsi="微软雅黑" w:eastAsia="微软雅黑" w:cstheme="minorBidi"/>
          <w:kern w:val="0"/>
          <w:sz w:val="24"/>
          <w:szCs w:val="24"/>
          <w:highlight w:val="none"/>
          <w:lang w:val="en-US" w:eastAsia="zh-CN" w:bidi="ar-SA"/>
        </w:rPr>
        <w:t>加盖单位公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并由</w:t>
      </w:r>
      <w:r>
        <w:rPr>
          <w:rFonts w:ascii="微软雅黑" w:hAnsi="微软雅黑" w:eastAsia="微软雅黑" w:cstheme="minorBidi"/>
          <w:spacing w:val="-3"/>
          <w:kern w:val="0"/>
          <w:sz w:val="24"/>
          <w:szCs w:val="24"/>
          <w:highlight w:val="none"/>
          <w:lang w:val="en-US" w:eastAsia="zh-CN" w:bidi="ar-SA"/>
        </w:rPr>
        <w:t>其</w:t>
      </w:r>
      <w:r>
        <w:rPr>
          <w:rFonts w:ascii="微软雅黑" w:hAnsi="微软雅黑" w:eastAsia="微软雅黑" w:cstheme="minorBidi"/>
          <w:kern w:val="0"/>
          <w:sz w:val="24"/>
          <w:szCs w:val="24"/>
          <w:highlight w:val="none"/>
          <w:lang w:val="en-US" w:eastAsia="zh-CN" w:bidi="ar-SA"/>
        </w:rPr>
        <w:t>法定代表人（单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负责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）和委托代理</w:t>
      </w:r>
      <w:r>
        <w:rPr>
          <w:rFonts w:ascii="微软雅黑" w:hAnsi="微软雅黑" w:eastAsia="微软雅黑" w:cstheme="minorBidi"/>
          <w:spacing w:val="-2"/>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签字。</w:t>
      </w: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0"/>
          <w:szCs w:val="20"/>
        </w:rPr>
      </w:pP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4"/>
          <w:szCs w:val="24"/>
        </w:rPr>
      </w:pPr>
    </w:p>
    <w:p>
      <w:pPr>
        <w:keepNext w:val="0"/>
        <w:keepLines w:val="0"/>
        <w:pageBreakBefore w:val="0"/>
        <w:widowControl w:val="0"/>
        <w:kinsoku/>
        <w:wordWrap w:val="0"/>
        <w:overflowPunct/>
        <w:topLinePunct w:val="0"/>
        <w:autoSpaceDE/>
        <w:autoSpaceDN/>
        <w:bidi w:val="0"/>
        <w:adjustRightInd/>
        <w:snapToGrid/>
        <w:spacing w:before="36" w:after="120" w:afterLines="50"/>
        <w:ind w:left="780" w:right="11" w:firstLine="480"/>
        <w:jc w:val="center"/>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spacing w:val="-3"/>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right="11" w:firstLine="1440" w:firstLineChars="600"/>
        <w:jc w:val="both"/>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法定</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8"/>
          <w:kern w:val="0"/>
          <w:sz w:val="24"/>
          <w:szCs w:val="24"/>
          <w:lang w:val="en-US" w:eastAsia="zh-CN" w:bidi="ar-SA"/>
        </w:rPr>
        <w:t>）</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 xml:space="preserve"> </w:t>
      </w:r>
      <w:r>
        <w:rPr>
          <w:rFonts w:ascii="微软雅黑" w:hAnsi="微软雅黑" w:eastAsia="微软雅黑" w:cstheme="minorBidi"/>
          <w:kern w:val="0"/>
          <w:sz w:val="24"/>
          <w:szCs w:val="24"/>
          <w:lang w:val="en-US" w:eastAsia="zh-CN" w:bidi="ar-SA"/>
        </w:rPr>
        <w:t>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w w:val="225"/>
          <w:kern w:val="0"/>
          <w:sz w:val="24"/>
          <w:szCs w:val="24"/>
          <w:u w:val="single" w:color="000000"/>
          <w:lang w:val="en-US" w:eastAsia="zh-CN" w:bidi="ar-SA"/>
        </w:rPr>
        <w:t xml:space="preserve">                    </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理</w:t>
      </w:r>
      <w:r>
        <w:rPr>
          <w:rFonts w:ascii="微软雅黑" w:hAnsi="微软雅黑" w:eastAsia="微软雅黑" w:cstheme="minorBidi"/>
          <w:spacing w:val="-3"/>
          <w:kern w:val="0"/>
          <w:sz w:val="24"/>
          <w:szCs w:val="24"/>
          <w:lang w:val="en-US" w:eastAsia="zh-CN" w:bidi="ar-SA"/>
        </w:rPr>
        <w:t>人：</w:t>
      </w:r>
      <w:r>
        <w:rPr>
          <w:rFonts w:hint="eastAsia" w:ascii="微软雅黑" w:hAnsi="微软雅黑" w:eastAsia="微软雅黑" w:cstheme="minorBidi"/>
          <w:spacing w:val="-3"/>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 xml:space="preserve">  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spacing w:val="-3"/>
          <w:kern w:val="0"/>
          <w:sz w:val="24"/>
          <w:szCs w:val="24"/>
          <w:u w:val="single"/>
          <w:lang w:val="en-US" w:eastAsia="zh-CN" w:bidi="ar-SA"/>
        </w:rPr>
        <w:t xml:space="preserve">                                               </w:t>
      </w:r>
    </w:p>
    <w:p>
      <w:pPr>
        <w:keepNext w:val="0"/>
        <w:keepLines w:val="0"/>
        <w:pageBreakBefore w:val="0"/>
        <w:widowControl w:val="0"/>
        <w:tabs>
          <w:tab w:val="left" w:pos="142"/>
          <w:tab w:val="left" w:pos="6643"/>
          <w:tab w:val="left" w:pos="7589"/>
          <w:tab w:val="left" w:pos="8533"/>
        </w:tabs>
        <w:kinsoku/>
        <w:wordWrap w:val="0"/>
        <w:overflowPunct/>
        <w:topLinePunct w:val="0"/>
        <w:autoSpaceDE/>
        <w:autoSpaceDN/>
        <w:bidi w:val="0"/>
        <w:adjustRightInd/>
        <w:snapToGrid/>
        <w:spacing w:before="36" w:after="120" w:afterLines="50"/>
        <w:ind w:left="780" w:right="11" w:firstLine="480"/>
        <w:jc w:val="right"/>
        <w:textAlignment w:val="auto"/>
        <w:outlineLvl w:val="9"/>
      </w:pPr>
      <w:r>
        <w:rPr>
          <w:rFonts w:hint="eastAsia" w:ascii="微软雅黑" w:hAnsi="微软雅黑" w:eastAsia="微软雅黑" w:cstheme="minorBidi"/>
          <w:kern w:val="0"/>
          <w:sz w:val="24"/>
          <w:szCs w:val="24"/>
          <w:u w:val="single" w:color="000000"/>
          <w:lang w:val="en-US" w:eastAsia="zh-CN" w:bidi="ar-SA"/>
        </w:rPr>
        <w:t xml:space="preserve">        </w:t>
      </w:r>
      <w:r>
        <w:rPr>
          <w:rFonts w:hint="eastAsia"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spacing w:val="-3"/>
          <w:kern w:val="0"/>
          <w:sz w:val="24"/>
          <w:szCs w:val="24"/>
          <w:lang w:val="en-US" w:eastAsia="zh-CN" w:bidi="ar-SA"/>
        </w:rPr>
        <w:t>月</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日</w:t>
      </w:r>
    </w:p>
    <w:p>
      <w:pPr>
        <w:pStyle w:val="4"/>
        <w:keepNext/>
        <w:keepLines/>
        <w:pageBreakBefore w:val="0"/>
        <w:widowControl w:val="0"/>
        <w:kinsoku/>
        <w:wordWrap/>
        <w:overflowPunct/>
        <w:topLinePunct w:val="0"/>
        <w:autoSpaceDE/>
        <w:autoSpaceDN/>
        <w:bidi w:val="0"/>
        <w:adjustRightInd/>
        <w:snapToGrid/>
        <w:spacing w:line="240" w:lineRule="auto"/>
        <w:ind w:left="0" w:hanging="2891" w:hangingChars="1200"/>
        <w:jc w:val="both"/>
        <w:textAlignment w:val="auto"/>
        <w:outlineLvl w:val="1"/>
        <w:rPr>
          <w:rFonts w:hint="eastAsia" w:ascii="黑体" w:hAnsi="黑体"/>
          <w:b/>
          <w:bCs/>
          <w:color w:val="000000" w:themeColor="text1"/>
          <w:sz w:val="24"/>
          <w:szCs w:val="24"/>
          <w:highlight w:val="none"/>
          <w:lang w:val="en-US" w:eastAsia="zh-CN"/>
          <w14:textFill>
            <w14:solidFill>
              <w14:schemeClr w14:val="tx1"/>
            </w14:solidFill>
          </w14:textFill>
        </w:rPr>
      </w:pPr>
      <w:r>
        <w:rPr>
          <w:rFonts w:hint="eastAsia" w:ascii="黑体" w:hAnsi="黑体"/>
          <w:b/>
          <w:bCs/>
          <w:color w:val="000000" w:themeColor="text1"/>
          <w:sz w:val="24"/>
          <w:szCs w:val="24"/>
          <w:highlight w:val="none"/>
          <w:lang w:val="en-US" w:eastAsia="zh-CN"/>
          <w14:textFill>
            <w14:solidFill>
              <w14:schemeClr w14:val="tx1"/>
            </w14:solidFill>
          </w14:textFill>
        </w:rPr>
        <w:t>5.6：股权证明文件</w:t>
      </w:r>
    </w:p>
    <w:p>
      <w:pPr>
        <w:rPr>
          <w:rFonts w:hint="eastAsia"/>
          <w:lang w:val="en-US" w:eastAsia="zh-CN"/>
        </w:rPr>
      </w:pPr>
    </w:p>
    <w:p>
      <w:pPr>
        <w:keepNext/>
        <w:keepLines/>
        <w:pageBreakBefore w:val="0"/>
        <w:widowControl w:val="0"/>
        <w:kinsoku/>
        <w:wordWrap/>
        <w:overflowPunct/>
        <w:topLinePunct w:val="0"/>
        <w:autoSpaceDE/>
        <w:autoSpaceDN/>
        <w:bidi w:val="0"/>
        <w:adjustRightInd/>
        <w:snapToGrid/>
        <w:spacing w:line="240" w:lineRule="auto"/>
        <w:ind w:left="2524" w:leftChars="1202" w:firstLineChars="0"/>
        <w:jc w:val="both"/>
        <w:textAlignment w:val="auto"/>
        <w:outlineLvl w:val="9"/>
        <w:rPr>
          <w:rFonts w:asciiTheme="minorEastAsia" w:hAnsiTheme="minorEastAsia"/>
          <w:highlight w:val="none"/>
          <w:lang w:eastAsia="zh-CN"/>
        </w:rPr>
      </w:pPr>
      <w:r>
        <w:rPr>
          <w:rFonts w:hint="eastAsia" w:ascii="宋体" w:hAnsi="宋体" w:eastAsia="宋体" w:cs="宋体"/>
          <w:sz w:val="24"/>
          <w:highlight w:val="none"/>
          <w:lang w:eastAsia="zh-CN"/>
        </w:rPr>
        <w:t>股权证明文件</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b w:val="0"/>
          <w:bCs w:val="0"/>
          <w:sz w:val="24"/>
          <w:highlight w:val="none"/>
          <w:lang w:eastAsia="zh-CN"/>
        </w:rPr>
      </w:pPr>
      <w:r>
        <w:rPr>
          <w:rFonts w:hint="eastAsia" w:ascii="宋体" w:hAnsi="宋体" w:eastAsia="宋体" w:cs="宋体"/>
          <w:b w:val="0"/>
          <w:bCs w:val="0"/>
          <w:sz w:val="24"/>
          <w:highlight w:val="none"/>
          <w:lang w:eastAsia="zh-CN"/>
        </w:rPr>
        <w:t>（应答人应在应答文件中提供其公司章程或其它能够体现出资人、股东信息的法定文件，此证明文件将作为评标/评审时的依据。）</w:t>
      </w:r>
    </w:p>
    <w:p>
      <w:pPr>
        <w:rPr>
          <w:rFonts w:hint="eastAsia"/>
          <w:lang w:val="en-US" w:eastAsia="zh-CN"/>
        </w:rPr>
      </w:pPr>
    </w:p>
    <w:p>
      <w:pPr>
        <w:rPr>
          <w:rFonts w:hint="eastAsia"/>
          <w:lang w:val="en-US" w:eastAsia="zh-CN"/>
        </w:rPr>
      </w:pPr>
    </w:p>
    <w:p>
      <w:pPr>
        <w:rPr>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7"/>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5.7：供应商承诺书              </w:t>
      </w:r>
    </w:p>
    <w:p>
      <w:pPr>
        <w:ind w:firstLine="3253" w:firstLineChars="900"/>
        <w:jc w:val="both"/>
        <w:outlineLvl w:val="9"/>
        <w:rPr>
          <w:rFonts w:hint="eastAsia" w:ascii="黑体" w:hAnsi="黑体" w:eastAsia="黑体"/>
          <w:b/>
          <w:color w:val="000000" w:themeColor="text1"/>
          <w:sz w:val="36"/>
          <w:szCs w:val="36"/>
          <w:highlight w:val="none"/>
          <w:lang w:val="en-US" w:eastAsia="zh-CN"/>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供应商承诺</w:t>
      </w:r>
      <w:r>
        <w:rPr>
          <w:rFonts w:hint="eastAsia" w:ascii="黑体" w:hAnsi="黑体" w:eastAsia="黑体"/>
          <w:b/>
          <w:color w:val="000000" w:themeColor="text1"/>
          <w:sz w:val="36"/>
          <w:szCs w:val="36"/>
          <w:highlight w:val="none"/>
          <w:lang w:val="en-US" w:eastAsia="zh-CN"/>
          <w14:textFill>
            <w14:solidFill>
              <w14:schemeClr w14:val="tx1"/>
            </w14:solidFill>
          </w14:textFill>
        </w:rPr>
        <w:t>书</w:t>
      </w:r>
    </w:p>
    <w:p>
      <w:pPr>
        <w:rPr>
          <w:color w:val="000000" w:themeColor="text1"/>
          <w:highlight w:val="none"/>
          <w14:textFill>
            <w14:solidFill>
              <w14:schemeClr w14:val="tx1"/>
            </w14:solidFill>
          </w14:textFill>
        </w:rPr>
      </w:pPr>
    </w:p>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中海油能源发展股份有限公司：</w:t>
      </w:r>
    </w:p>
    <w:p>
      <w:pPr>
        <w:spacing w:line="360" w:lineRule="auto"/>
        <w:ind w:firstLine="42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我公司/单位对以下情况经认真核查后确认及承诺如下</w:t>
      </w:r>
      <w:r>
        <w:rPr>
          <w:rFonts w:hint="eastAsia" w:ascii="宋体" w:hAnsi="宋体" w:eastAsia="宋体" w:cs="宋体"/>
          <w:b/>
          <w:bCs/>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经查询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信用中国”网站（https://www.creditchina.gov.cn/）或</w:t>
      </w:r>
      <w:r>
        <w:rPr>
          <w:rFonts w:hint="eastAsia" w:ascii="宋体" w:hAnsi="宋体" w:eastAsia="宋体" w:cs="宋体"/>
          <w:color w:val="000000" w:themeColor="text1"/>
          <w:sz w:val="21"/>
          <w:szCs w:val="21"/>
          <w:highlight w:val="none"/>
          <w14:textFill>
            <w14:solidFill>
              <w14:schemeClr w14:val="tx1"/>
            </w14:solidFill>
          </w14:textFill>
        </w:rPr>
        <w:t>“中国执行信息公开网”网站（http://zxgk.court.gov.cn/），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经查询“国家企业信用信息公示系统”（http://www.gsxt.gov.cn），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被列入严重违法失信企业名单；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经查询“中国裁判文书网”（http://wenshu.court.gov.cn），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我公司近三年不</w:t>
      </w:r>
      <w:r>
        <w:rPr>
          <w:rFonts w:hint="eastAsia" w:ascii="宋体" w:hAnsi="宋体" w:eastAsia="宋体" w:cs="宋体"/>
          <w:color w:val="000000" w:themeColor="text1"/>
          <w:sz w:val="21"/>
          <w:szCs w:val="21"/>
          <w:highlight w:val="none"/>
          <w14:textFill>
            <w14:solidFill>
              <w14:schemeClr w14:val="tx1"/>
            </w14:solidFill>
          </w14:textFill>
        </w:rPr>
        <w:t>存在行贿犯罪记录；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我公司与本采购项目其它应答人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lang w:eastAsia="zh-CN"/>
          <w14:textFill>
            <w14:solidFill>
              <w14:schemeClr w14:val="tx1"/>
            </w14:solidFill>
          </w14:textFill>
        </w:rPr>
        <w:t>存在控股关系或管理关系、单位负责人为同一人，同一自然人同时持有两家公司非公开上市股份的情形。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确认，我公司不存在中国海油员工（不含中国海油正式派出的）、海油发展离职未满三年的员工在我公司担任股东、法人代表、董事、监事和其它任职人员</w:t>
      </w:r>
      <w:r>
        <w:rPr>
          <w:rFonts w:hint="eastAsia" w:ascii="宋体" w:hAnsi="宋体" w:eastAsia="宋体" w:cs="宋体"/>
          <w:color w:val="000000" w:themeColor="text1"/>
          <w:sz w:val="21"/>
          <w:szCs w:val="21"/>
          <w:highlight w:val="none"/>
          <w14:textFill>
            <w14:solidFill>
              <w14:schemeClr w14:val="tx1"/>
            </w14:solidFill>
          </w14:textFill>
        </w:rPr>
        <w:t>。</w:t>
      </w:r>
    </w:p>
    <w:p>
      <w:pPr>
        <w:spacing w:line="360" w:lineRule="auto"/>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6、我公司如涉及雇用农民工，承诺与农民工签订劳动合同，及时、足额发放工资、缴纳社会保险费用。</w:t>
      </w:r>
    </w:p>
    <w:p>
      <w:pPr>
        <w:pStyle w:val="8"/>
        <w:ind w:left="0" w:firstLine="420" w:firstLineChars="200"/>
        <w:rPr>
          <w:rFonts w:hint="default" w:eastAsia="宋体"/>
          <w:lang w:val="en-US" w:eastAsia="zh-CN"/>
        </w:rPr>
      </w:pPr>
      <w:r>
        <w:rPr>
          <w:rFonts w:hint="eastAsia" w:cs="宋体"/>
          <w:color w:val="000000" w:themeColor="text1"/>
          <w:sz w:val="21"/>
          <w:szCs w:val="21"/>
          <w:highlight w:val="none"/>
          <w:lang w:val="en-US" w:eastAsia="zh-CN"/>
          <w14:textFill>
            <w14:solidFill>
              <w14:schemeClr w14:val="tx1"/>
            </w14:solidFill>
          </w14:textFill>
        </w:rPr>
        <w:t>7、我公司承诺</w:t>
      </w:r>
      <w:r>
        <w:rPr>
          <w:rFonts w:hint="eastAsia" w:ascii="宋体" w:hAnsi="宋体" w:eastAsia="宋体" w:cs="宋体"/>
          <w:lang w:eastAsia="zh-CN"/>
        </w:rPr>
        <w:t>积极响应国家节能减排和绿色环保政策，切实推进绿色供应链建设</w:t>
      </w:r>
      <w:r>
        <w:rPr>
          <w:rFonts w:hint="eastAsia" w:cs="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8、我公司此次投标涉及供应商属性为：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贸易商；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代理商；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制造商；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集成商。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9、我公司为：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中小微企业；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大型企业；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国有企业、事业单位、大学；</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境外或港澳台企业。</w:t>
      </w:r>
    </w:p>
    <w:p>
      <w:pPr>
        <w:pStyle w:val="8"/>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10、</w:t>
      </w:r>
      <w:r>
        <w:rPr>
          <w:color w:val="000000" w:themeColor="text1"/>
          <w:sz w:val="21"/>
          <w:szCs w:val="21"/>
          <w:highlight w:val="none"/>
          <w:lang w:eastAsia="zh-CN"/>
          <w14:textFill>
            <w14:solidFill>
              <w14:schemeClr w14:val="tx1"/>
            </w14:solidFill>
          </w14:textFill>
        </w:rPr>
        <w:t>我公司财务状况、业绩状况、人员社保状况如下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贸易商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lang w:eastAsia="zh-CN"/>
          <w14:textFill>
            <w14:solidFill>
              <w14:schemeClr w14:val="tx1"/>
            </w14:solidFill>
          </w14:textFill>
        </w:rPr>
        <w:t>：</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563"/>
        <w:gridCol w:w="3100"/>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64" w:type="dxa"/>
            <w:gridSpan w:val="2"/>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3100"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2558" w:type="dxa"/>
            <w:vMerge w:val="restart"/>
            <w:vAlign w:val="center"/>
          </w:tcPr>
          <w:p>
            <w:pPr>
              <w:jc w:val="center"/>
              <w:rPr>
                <w:color w:val="000000" w:themeColor="text1"/>
                <w:sz w:val="21"/>
                <w:szCs w:val="2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continue"/>
          </w:tcPr>
          <w:p>
            <w:pPr>
              <w:rPr>
                <w:color w:val="000000" w:themeColor="text1"/>
                <w:sz w:val="21"/>
                <w:szCs w:val="21"/>
                <w:highlight w:val="none"/>
                <w:lang w:eastAsia="zh-CN"/>
                <w14:textFill>
                  <w14:solidFill>
                    <w14:schemeClr w14:val="tx1"/>
                  </w14:solidFill>
                </w14:textFill>
              </w:rPr>
            </w:pPr>
          </w:p>
        </w:tc>
        <w:tc>
          <w:tcPr>
            <w:tcW w:w="2558" w:type="dxa"/>
            <w:vMerge w:val="continue"/>
          </w:tcPr>
          <w:p>
            <w:pPr>
              <w:rPr>
                <w:color w:val="000000" w:themeColor="text1"/>
                <w:sz w:val="21"/>
                <w:szCs w:val="21"/>
                <w:highlight w:val="none"/>
                <w:lang w:eastAsia="zh-CN"/>
                <w14:textFill>
                  <w14:solidFill>
                    <w14:schemeClr w14:val="tx1"/>
                  </w14:solidFill>
                </w14:textFill>
              </w:rPr>
            </w:pPr>
          </w:p>
        </w:tc>
      </w:tr>
    </w:tbl>
    <w:p>
      <w:pPr>
        <w:pStyle w:val="8"/>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11、</w:t>
      </w:r>
      <w:r>
        <w:rPr>
          <w:color w:val="000000" w:themeColor="text1"/>
          <w:sz w:val="21"/>
          <w:szCs w:val="21"/>
          <w:highlight w:val="none"/>
          <w14:textFill>
            <w14:solidFill>
              <w14:schemeClr w14:val="tx1"/>
            </w14:solidFill>
          </w14:textFill>
        </w:rPr>
        <w:t>我公司财务状况、业绩状况、人员社保状况、代理状况如下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代理商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15"/>
        <w:tblW w:w="8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834"/>
        <w:gridCol w:w="2346"/>
        <w:gridCol w:w="1444"/>
        <w:gridCol w:w="106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51" w:type="dxa"/>
            <w:gridSpan w:val="2"/>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2346"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1444"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106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代理模式</w:t>
            </w:r>
          </w:p>
        </w:tc>
        <w:tc>
          <w:tcPr>
            <w:tcW w:w="165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是否为项目代理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17"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834"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444"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06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650" w:type="dxa"/>
            <w:vMerge w:val="restart"/>
            <w:vAlign w:val="center"/>
          </w:tcPr>
          <w:p>
            <w:pPr>
              <w:jc w:val="center"/>
              <w:rPr>
                <w:rFonts w:hint="eastAsia"/>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是</w:t>
            </w:r>
          </w:p>
          <w:p>
            <w:pPr>
              <w:jc w:val="center"/>
              <w:rPr>
                <w:rFonts w:hint="default"/>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317"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834" w:type="dxa"/>
          </w:tcPr>
          <w:p>
            <w:pP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continue"/>
          </w:tcPr>
          <w:p>
            <w:pPr>
              <w:rPr>
                <w:color w:val="000000" w:themeColor="text1"/>
                <w:sz w:val="21"/>
                <w:szCs w:val="21"/>
                <w:highlight w:val="none"/>
                <w:lang w:eastAsia="zh-CN"/>
                <w14:textFill>
                  <w14:solidFill>
                    <w14:schemeClr w14:val="tx1"/>
                  </w14:solidFill>
                </w14:textFill>
              </w:rPr>
            </w:pPr>
          </w:p>
        </w:tc>
        <w:tc>
          <w:tcPr>
            <w:tcW w:w="1444" w:type="dxa"/>
            <w:vMerge w:val="continue"/>
          </w:tcPr>
          <w:p>
            <w:pPr>
              <w:rPr>
                <w:color w:val="000000" w:themeColor="text1"/>
                <w:sz w:val="21"/>
                <w:szCs w:val="21"/>
                <w:highlight w:val="none"/>
                <w:lang w:eastAsia="zh-CN"/>
                <w14:textFill>
                  <w14:solidFill>
                    <w14:schemeClr w14:val="tx1"/>
                  </w14:solidFill>
                </w14:textFill>
              </w:rPr>
            </w:pPr>
          </w:p>
        </w:tc>
        <w:tc>
          <w:tcPr>
            <w:tcW w:w="1060" w:type="dxa"/>
            <w:vMerge w:val="continue"/>
          </w:tcPr>
          <w:p>
            <w:pPr>
              <w:rPr>
                <w:color w:val="000000" w:themeColor="text1"/>
                <w:sz w:val="21"/>
                <w:szCs w:val="21"/>
                <w:highlight w:val="none"/>
                <w:lang w:eastAsia="zh-CN"/>
                <w14:textFill>
                  <w14:solidFill>
                    <w14:schemeClr w14:val="tx1"/>
                  </w14:solidFill>
                </w14:textFill>
              </w:rPr>
            </w:pPr>
          </w:p>
        </w:tc>
        <w:tc>
          <w:tcPr>
            <w:tcW w:w="1650" w:type="dxa"/>
            <w:vMerge w:val="continue"/>
          </w:tcPr>
          <w:p>
            <w:pPr>
              <w:rPr>
                <w:color w:val="000000" w:themeColor="text1"/>
                <w:sz w:val="21"/>
                <w:szCs w:val="21"/>
                <w:highlight w:val="none"/>
                <w:lang w:eastAsia="zh-CN"/>
                <w14:textFill>
                  <w14:solidFill>
                    <w14:schemeClr w14:val="tx1"/>
                  </w14:solidFill>
                </w14:textFill>
              </w:rPr>
            </w:pPr>
          </w:p>
        </w:tc>
      </w:tr>
    </w:tbl>
    <w:p>
      <w:pPr>
        <w:pStyle w:val="8"/>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w:t>
      </w:r>
      <w:r>
        <w:rPr>
          <w:color w:val="000000" w:themeColor="text1"/>
          <w:sz w:val="21"/>
          <w:szCs w:val="21"/>
          <w:highlight w:val="none"/>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12、</w:t>
      </w:r>
      <w:r>
        <w:rPr>
          <w:color w:val="000000" w:themeColor="text1"/>
          <w:sz w:val="21"/>
          <w:szCs w:val="21"/>
          <w:highlight w:val="none"/>
          <w14:textFill>
            <w14:solidFill>
              <w14:schemeClr w14:val="tx1"/>
            </w14:solidFill>
          </w14:textFill>
        </w:rPr>
        <w:t>我公司业绩状况、</w:t>
      </w:r>
      <w:r>
        <w:rPr>
          <w:rFonts w:hint="eastAsia" w:eastAsia="宋体"/>
          <w:color w:val="000000" w:themeColor="text1"/>
          <w:sz w:val="21"/>
          <w:szCs w:val="21"/>
          <w:highlight w:val="none"/>
          <w:lang w:val="en-US" w:eastAsia="zh-CN"/>
          <w14:textFill>
            <w14:solidFill>
              <w14:schemeClr w14:val="tx1"/>
            </w14:solidFill>
          </w14:textFill>
        </w:rPr>
        <w:t>人员社保状况、实缴注册资本状况</w:t>
      </w:r>
      <w:r>
        <w:rPr>
          <w:color w:val="000000" w:themeColor="text1"/>
          <w:sz w:val="21"/>
          <w:szCs w:val="21"/>
          <w:highlight w:val="none"/>
          <w14:textFill>
            <w14:solidFill>
              <w14:schemeClr w14:val="tx1"/>
            </w14:solidFill>
          </w14:textFill>
        </w:rPr>
        <w:t>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服务商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15"/>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552"/>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97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322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实缴注册资本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972" w:type="dxa"/>
          </w:tcPr>
          <w:p>
            <w:pPr>
              <w:rPr>
                <w:b/>
                <w:color w:val="000000" w:themeColor="text1"/>
                <w:sz w:val="21"/>
                <w:szCs w:val="21"/>
                <w:highlight w:val="none"/>
                <w:lang w:eastAsia="zh-CN"/>
                <w14:textFill>
                  <w14:solidFill>
                    <w14:schemeClr w14:val="tx1"/>
                  </w14:solidFill>
                </w14:textFill>
              </w:rPr>
            </w:pPr>
          </w:p>
        </w:tc>
        <w:tc>
          <w:tcPr>
            <w:tcW w:w="2552" w:type="dxa"/>
          </w:tcPr>
          <w:p>
            <w:pPr>
              <w:rPr>
                <w:b/>
                <w:color w:val="000000" w:themeColor="text1"/>
                <w:sz w:val="21"/>
                <w:szCs w:val="21"/>
                <w:highlight w:val="none"/>
                <w:lang w:eastAsia="zh-CN"/>
                <w14:textFill>
                  <w14:solidFill>
                    <w14:schemeClr w14:val="tx1"/>
                  </w14:solidFill>
                </w14:textFill>
              </w:rPr>
            </w:pPr>
          </w:p>
        </w:tc>
        <w:tc>
          <w:tcPr>
            <w:tcW w:w="3228" w:type="dxa"/>
          </w:tcPr>
          <w:p>
            <w:pPr>
              <w:rPr>
                <w:b/>
                <w:color w:val="000000" w:themeColor="text1"/>
                <w:sz w:val="21"/>
                <w:szCs w:val="21"/>
                <w:highlight w:val="none"/>
                <w:lang w:eastAsia="zh-CN"/>
                <w14:textFill>
                  <w14:solidFill>
                    <w14:schemeClr w14:val="tx1"/>
                  </w14:solidFill>
                </w14:textFill>
              </w:rPr>
            </w:pPr>
          </w:p>
        </w:tc>
      </w:tr>
    </w:tbl>
    <w:p>
      <w:pPr>
        <w:spacing w:line="348"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郑重承诺：</w:t>
      </w:r>
      <w:r>
        <w:rPr>
          <w:rFonts w:hint="eastAsia" w:ascii="宋体" w:hAnsi="宋体" w:eastAsia="宋体" w:cs="宋体"/>
          <w:color w:val="000000" w:themeColor="text1"/>
          <w:sz w:val="21"/>
          <w:szCs w:val="21"/>
          <w:highlight w:val="none"/>
          <w14:textFill>
            <w14:solidFill>
              <w14:schemeClr w14:val="tx1"/>
            </w14:solidFill>
          </w14:textFill>
        </w:rPr>
        <w:t>我公司在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本次</w:t>
      </w:r>
      <w:r>
        <w:rPr>
          <w:rFonts w:hint="eastAsia" w:ascii="宋体" w:hAnsi="宋体" w:eastAsia="宋体" w:cs="宋体"/>
          <w:color w:val="000000" w:themeColor="text1"/>
          <w:sz w:val="21"/>
          <w:szCs w:val="21"/>
          <w:highlight w:val="none"/>
          <w14:textFill>
            <w14:solidFill>
              <w14:schemeClr w14:val="tx1"/>
            </w14:solidFill>
          </w14:textFill>
        </w:rPr>
        <w:t>采办项目中</w:t>
      </w:r>
      <w:r>
        <w:rPr>
          <w:rFonts w:hint="eastAsia" w:ascii="宋体" w:hAnsi="宋体" w:eastAsia="宋体" w:cs="宋体"/>
          <w:color w:val="000000" w:themeColor="text1"/>
          <w:sz w:val="21"/>
          <w:szCs w:val="21"/>
          <w:highlight w:val="none"/>
          <w:lang w:val="en-US" w:eastAsia="zh-CN"/>
          <w14:textFill>
            <w14:solidFill>
              <w14:schemeClr w14:val="tx1"/>
            </w14:solidFill>
          </w14:textFill>
        </w:rPr>
        <w:t>将严格遵守法律法规和中国海油各项管理要求</w:t>
      </w:r>
      <w:r>
        <w:rPr>
          <w:rFonts w:hint="eastAsia" w:ascii="宋体" w:hAnsi="宋体" w:eastAsia="宋体" w:cs="宋体"/>
          <w:color w:val="000000" w:themeColor="text1"/>
          <w:sz w:val="21"/>
          <w:szCs w:val="21"/>
          <w:highlight w:val="none"/>
          <w14:textFill>
            <w14:solidFill>
              <w14:schemeClr w14:val="tx1"/>
            </w14:solidFill>
          </w14:textFill>
        </w:rPr>
        <w:t>，不发生关联公司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共同</w:t>
      </w:r>
      <w:r>
        <w:rPr>
          <w:rFonts w:hint="eastAsia" w:ascii="宋体" w:hAnsi="宋体" w:eastAsia="宋体" w:cs="宋体"/>
          <w:color w:val="000000" w:themeColor="text1"/>
          <w:sz w:val="21"/>
          <w:szCs w:val="21"/>
          <w:highlight w:val="none"/>
          <w14:textFill>
            <w14:solidFill>
              <w14:schemeClr w14:val="tx1"/>
            </w14:solidFill>
          </w14:textFill>
        </w:rPr>
        <w:t>参与</w:t>
      </w:r>
      <w:r>
        <w:rPr>
          <w:rFonts w:hint="eastAsia" w:ascii="宋体" w:hAnsi="宋体" w:eastAsia="宋体" w:cs="宋体"/>
          <w:color w:val="000000" w:themeColor="text1"/>
          <w:sz w:val="21"/>
          <w:szCs w:val="21"/>
          <w:highlight w:val="none"/>
          <w:lang w:val="en-US" w:eastAsia="zh-CN"/>
          <w14:textFill>
            <w14:solidFill>
              <w14:schemeClr w14:val="tx1"/>
            </w14:solidFill>
          </w14:textFill>
        </w:rPr>
        <w:t>采办</w:t>
      </w:r>
      <w:r>
        <w:rPr>
          <w:rFonts w:hint="eastAsia" w:ascii="宋体" w:hAnsi="宋体" w:eastAsia="宋体" w:cs="宋体"/>
          <w:color w:val="000000" w:themeColor="text1"/>
          <w:sz w:val="21"/>
          <w:szCs w:val="21"/>
          <w:highlight w:val="none"/>
          <w14:textFill>
            <w14:solidFill>
              <w14:schemeClr w14:val="tx1"/>
            </w14:solidFill>
          </w14:textFill>
        </w:rPr>
        <w:t>竞争情况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不发生围标串标情况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我公司所提供信息真实、准确、合法、有效，不存在为规避中海油能源发展股份有限公司（简称“海油发展”）有关要求采取的变通行为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上述信息如有虚假我公司将承担相关责任，并按照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14:textFill>
            <w14:solidFill>
              <w14:schemeClr w14:val="tx1"/>
            </w14:solidFill>
          </w14:textFill>
        </w:rPr>
        <w:t>相关管理规定接受处</w:t>
      </w:r>
      <w:r>
        <w:rPr>
          <w:rFonts w:hint="eastAsia" w:ascii="宋体" w:hAnsi="宋体" w:eastAsia="宋体" w:cs="宋体"/>
          <w:color w:val="000000" w:themeColor="text1"/>
          <w:sz w:val="21"/>
          <w:szCs w:val="21"/>
          <w:highlight w:val="none"/>
          <w:lang w:val="en-US" w:eastAsia="zh-CN"/>
          <w14:textFill>
            <w14:solidFill>
              <w14:schemeClr w14:val="tx1"/>
            </w14:solidFill>
          </w14:textFill>
        </w:rPr>
        <w:t>理</w:t>
      </w:r>
      <w:r>
        <w:rPr>
          <w:rFonts w:hint="eastAsia" w:ascii="宋体" w:hAnsi="宋体" w:eastAsia="宋体" w:cs="宋体"/>
          <w:color w:val="000000" w:themeColor="text1"/>
          <w:sz w:val="21"/>
          <w:szCs w:val="21"/>
          <w:highlight w:val="none"/>
          <w:lang w:eastAsia="zh-CN"/>
          <w14:textFill>
            <w14:solidFill>
              <w14:schemeClr w14:val="tx1"/>
            </w14:solidFill>
          </w14:textFill>
        </w:rPr>
        <w:t>。我公司将严格遵守国家相关法律法规</w:t>
      </w:r>
      <w:r>
        <w:rPr>
          <w:rFonts w:hint="eastAsia" w:ascii="宋体" w:hAnsi="宋体" w:eastAsia="宋体" w:cs="宋体"/>
          <w:color w:val="000000" w:themeColor="text1"/>
          <w:sz w:val="21"/>
          <w:szCs w:val="21"/>
          <w:highlight w:val="none"/>
          <w:lang w:val="en-US" w:eastAsia="zh-CN"/>
          <w14:textFill>
            <w14:solidFill>
              <w14:schemeClr w14:val="tx1"/>
            </w14:solidFill>
          </w14:textFill>
        </w:rPr>
        <w:t>以</w:t>
      </w: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lang w:eastAsia="zh-CN"/>
          <w14:textFill>
            <w14:solidFill>
              <w14:schemeClr w14:val="tx1"/>
            </w14:solidFill>
          </w14:textFill>
        </w:rPr>
        <w:t>对供应商管理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及准入时效</w:t>
      </w:r>
      <w:r>
        <w:rPr>
          <w:rFonts w:hint="eastAsia" w:ascii="宋体" w:hAnsi="宋体" w:eastAsia="宋体" w:cs="宋体"/>
          <w:color w:val="000000" w:themeColor="text1"/>
          <w:sz w:val="21"/>
          <w:szCs w:val="21"/>
          <w:highlight w:val="none"/>
          <w:lang w:eastAsia="zh-CN"/>
          <w14:textFill>
            <w14:solidFill>
              <w14:schemeClr w14:val="tx1"/>
            </w14:solidFill>
          </w14:textFill>
        </w:rPr>
        <w:t>的要求，</w:t>
      </w:r>
      <w:r>
        <w:rPr>
          <w:rFonts w:hint="eastAsia" w:ascii="宋体" w:hAnsi="宋体" w:eastAsia="宋体" w:cs="宋体"/>
          <w:color w:val="000000" w:themeColor="text1"/>
          <w:sz w:val="21"/>
          <w:szCs w:val="21"/>
          <w:highlight w:val="none"/>
          <w14:textFill>
            <w14:solidFill>
              <w14:schemeClr w14:val="tx1"/>
            </w14:solidFill>
          </w14:textFill>
        </w:rPr>
        <w:t>无条件接</w:t>
      </w:r>
      <w:r>
        <w:rPr>
          <w:rFonts w:hint="eastAsia" w:ascii="宋体" w:hAnsi="宋体" w:eastAsia="宋体" w:cs="宋体"/>
          <w:color w:val="000000" w:themeColor="text1"/>
          <w:sz w:val="21"/>
          <w:szCs w:val="21"/>
          <w:highlight w:val="none"/>
          <w:lang w:val="en-US" w:eastAsia="zh-CN"/>
          <w14:textFill>
            <w14:solidFill>
              <w14:schemeClr w14:val="tx1"/>
            </w14:solidFill>
          </w14:textFill>
        </w:rPr>
        <w:t>受</w:t>
      </w:r>
      <w:r>
        <w:rPr>
          <w:rFonts w:hint="eastAsia" w:ascii="宋体" w:hAnsi="宋体" w:eastAsia="宋体" w:cs="宋体"/>
          <w:color w:val="000000" w:themeColor="text1"/>
          <w:sz w:val="21"/>
          <w:szCs w:val="21"/>
          <w:highlight w:val="none"/>
          <w14:textFill>
            <w14:solidFill>
              <w14:schemeClr w14:val="tx1"/>
            </w14:solidFill>
          </w14:textFill>
        </w:rPr>
        <w:t>和配合海油发展或海油发展委托的有关机构进行的与上述内容相关的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核查与审计</w:t>
      </w:r>
      <w:r>
        <w:rPr>
          <w:rFonts w:hint="eastAsia" w:ascii="宋体" w:hAnsi="宋体" w:eastAsia="宋体" w:cs="宋体"/>
          <w:color w:val="000000" w:themeColor="text1"/>
          <w:sz w:val="21"/>
          <w:szCs w:val="21"/>
          <w:highlight w:val="none"/>
          <w14:textFill>
            <w14:solidFill>
              <w14:schemeClr w14:val="tx1"/>
            </w14:solidFill>
          </w14:textFill>
        </w:rPr>
        <w:t>。当相关信息发生变更时将及时主动办理更新手续。</w:t>
      </w:r>
    </w:p>
    <w:p>
      <w:pPr>
        <w:pStyle w:val="8"/>
        <w:rPr>
          <w:rFonts w:hint="eastAsia"/>
          <w:color w:val="000000" w:themeColor="text1"/>
          <w:sz w:val="21"/>
          <w:szCs w:val="21"/>
          <w:highlight w:val="none"/>
          <w14:textFill>
            <w14:solidFill>
              <w14:schemeClr w14:val="tx1"/>
            </w14:solidFill>
          </w14:textFill>
        </w:rPr>
      </w:pPr>
    </w:p>
    <w:p>
      <w:pPr>
        <w:spacing w:line="348" w:lineRule="auto"/>
        <w:ind w:firstLine="540"/>
        <w:jc w:val="center"/>
        <w:outlineLvl w:val="9"/>
        <w:rPr>
          <w:rFonts w:hint="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（公司/单位盖章）</w:t>
      </w:r>
    </w:p>
    <w:p>
      <w:pPr>
        <w:spacing w:line="348" w:lineRule="auto"/>
        <w:jc w:val="right"/>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年    月    日</w:t>
      </w: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1</w:t>
      </w:r>
      <w:r>
        <w:rPr>
          <w:rFonts w:hint="eastAsia"/>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信用中国”或</w:t>
      </w:r>
      <w:r>
        <w:rPr>
          <w:rFonts w:hint="eastAsia" w:asciiTheme="minorEastAsia" w:hAnsiTheme="minorEastAsia" w:cstheme="minorEastAsia"/>
          <w:b w:val="0"/>
          <w:bCs w:val="0"/>
          <w:color w:val="000000" w:themeColor="text1"/>
          <w:sz w:val="21"/>
          <w:szCs w:val="21"/>
          <w:highlight w:val="none"/>
          <w14:textFill>
            <w14:solidFill>
              <w14:schemeClr w14:val="tx1"/>
            </w14:solidFill>
          </w14:textFill>
        </w:rPr>
        <w:t>“中国执行信息公开网”</w:t>
      </w:r>
      <w:r>
        <w:rPr>
          <w:rFonts w:hint="eastAsia" w:asciiTheme="minorEastAsia" w:hAnsiTheme="minorEastAsia" w:cstheme="minorEastAsia"/>
          <w:color w:val="000000" w:themeColor="text1"/>
          <w:sz w:val="21"/>
          <w:szCs w:val="21"/>
          <w:highlight w:val="none"/>
          <w14:textFill>
            <w14:solidFill>
              <w14:schemeClr w14:val="tx1"/>
            </w14:solidFill>
          </w14:textFill>
        </w:rPr>
        <w:t>网站查询截图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8"/>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2：“中国裁判文书网”查询截图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8"/>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3：“国家企业信用信息公示系统”查询截图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default" w:ascii="仿宋" w:hAnsi="仿宋" w:eastAsia="仿宋" w:cs="仿宋"/>
          <w:b/>
          <w:bCs w:val="0"/>
          <w:sz w:val="28"/>
          <w:szCs w:val="28"/>
          <w:lang w:val="en-US" w:eastAsia="zh-CN"/>
        </w:rPr>
      </w:pPr>
      <w:r>
        <w:rPr>
          <w:rFonts w:hint="eastAsia" w:ascii="黑体" w:hAnsi="黑体" w:eastAsia="黑体" w:cstheme="minorBidi"/>
          <w:b/>
          <w:bCs/>
          <w:color w:val="auto"/>
          <w:kern w:val="2"/>
          <w:sz w:val="24"/>
          <w:szCs w:val="24"/>
          <w:lang w:val="en-US" w:eastAsia="zh-CN" w:bidi="ar-SA"/>
        </w:rPr>
        <w:t>5.9：制造商承诺书</w:t>
      </w:r>
    </w:p>
    <w:p>
      <w:pPr>
        <w:keepNext w:val="0"/>
        <w:keepLines w:val="0"/>
        <w:widowControl/>
        <w:suppressLineNumbers w:val="0"/>
        <w:jc w:val="center"/>
        <w:rPr>
          <w:rFonts w:hint="eastAsia" w:ascii="仿宋" w:hAnsi="仿宋" w:eastAsia="仿宋" w:cs="仿宋"/>
          <w:b/>
          <w:bCs/>
          <w:sz w:val="44"/>
          <w:szCs w:val="44"/>
          <w:lang w:val="en-US" w:eastAsia="zh-CN"/>
        </w:rPr>
      </w:pPr>
    </w:p>
    <w:p>
      <w:pPr>
        <w:keepNext w:val="0"/>
        <w:keepLines w:val="0"/>
        <w:widowControl/>
        <w:suppressLineNumbers w:val="0"/>
        <w:jc w:val="center"/>
        <w:rPr>
          <w:rFonts w:hint="eastAsia" w:ascii="仿宋" w:hAnsi="仿宋" w:eastAsia="仿宋" w:cs="仿宋"/>
          <w:sz w:val="28"/>
          <w:szCs w:val="28"/>
          <w:lang w:val="en-US" w:eastAsia="zh-CN"/>
        </w:rPr>
      </w:pPr>
      <w:r>
        <w:rPr>
          <w:rFonts w:hint="eastAsia" w:ascii="仿宋" w:hAnsi="仿宋" w:eastAsia="仿宋" w:cs="仿宋"/>
          <w:b/>
          <w:bCs/>
          <w:sz w:val="44"/>
          <w:szCs w:val="44"/>
          <w:lang w:val="en-US" w:eastAsia="zh-CN"/>
        </w:rPr>
        <w:t>制造商承诺书</w:t>
      </w:r>
    </w:p>
    <w:p>
      <w:pPr>
        <w:keepNext w:val="0"/>
        <w:keepLines w:val="0"/>
        <w:widowControl/>
        <w:suppressLineNumbers w:val="0"/>
        <w:jc w:val="center"/>
        <w:rPr>
          <w:rFonts w:hint="eastAsia" w:ascii="仿宋" w:hAnsi="仿宋" w:eastAsia="仿宋" w:cs="仿宋"/>
          <w:sz w:val="28"/>
          <w:szCs w:val="28"/>
          <w:lang w:val="en-US" w:eastAsia="zh-CN"/>
        </w:rPr>
      </w:pPr>
    </w:p>
    <w:p>
      <w:pPr>
        <w:keepNext w:val="0"/>
        <w:keepLines w:val="0"/>
        <w:widowControl/>
        <w:suppressLineNumbers w:val="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致：</w:t>
      </w:r>
      <w:r>
        <w:rPr>
          <w:rFonts w:hint="eastAsia" w:ascii="仿宋" w:hAnsi="仿宋" w:eastAsia="仿宋" w:cs="仿宋"/>
          <w:sz w:val="28"/>
          <w:szCs w:val="28"/>
          <w:u w:val="single"/>
          <w:lang w:val="en-US" w:eastAsia="zh-CN"/>
        </w:rPr>
        <w:t xml:space="preserve">  招标人/招标代理机构   </w:t>
      </w:r>
    </w:p>
    <w:p>
      <w:pPr>
        <w:keepNext w:val="0"/>
        <w:keepLines w:val="0"/>
        <w:widowControl/>
        <w:suppressLineNumbers w:val="0"/>
        <w:ind w:firstLine="560" w:firstLineChars="200"/>
        <w:jc w:val="both"/>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我们</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公司名称）</w:t>
      </w:r>
      <w:r>
        <w:rPr>
          <w:rFonts w:hint="eastAsia" w:ascii="仿宋" w:hAnsi="仿宋" w:eastAsia="仿宋" w:cs="仿宋"/>
          <w:sz w:val="28"/>
          <w:szCs w:val="28"/>
          <w:lang w:val="en-US" w:eastAsia="zh-CN"/>
        </w:rPr>
        <w:t>是按中华人民共和国法律于</w:t>
      </w:r>
      <w:r>
        <w:rPr>
          <w:rFonts w:hint="eastAsia" w:ascii="仿宋" w:hAnsi="仿宋" w:eastAsia="仿宋" w:cs="仿宋"/>
          <w:sz w:val="28"/>
          <w:szCs w:val="28"/>
          <w:u w:val="single"/>
          <w:lang w:val="en-US" w:eastAsia="zh-CN"/>
        </w:rPr>
        <w:t xml:space="preserve">    年 月 日</w:t>
      </w:r>
      <w:r>
        <w:rPr>
          <w:rFonts w:hint="eastAsia" w:ascii="仿宋" w:hAnsi="仿宋" w:eastAsia="仿宋" w:cs="仿宋"/>
          <w:sz w:val="28"/>
          <w:szCs w:val="28"/>
          <w:lang w:val="en-US" w:eastAsia="zh-CN"/>
        </w:rPr>
        <w:t>成立的一家制造商，主要营业地点设在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。兹声明我司就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项目(招标编号：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）使用我公司 □自行生产制造/ □</w:t>
      </w:r>
      <w:r>
        <w:rPr>
          <w:rFonts w:hint="eastAsia" w:ascii="仿宋" w:hAnsi="仿宋" w:eastAsia="仿宋" w:cs="仿宋"/>
          <w:sz w:val="28"/>
          <w:szCs w:val="28"/>
          <w:lang w:val="en-US" w:eastAsia="zh-Hans"/>
        </w:rPr>
        <w:t>代工方式</w:t>
      </w:r>
      <w:r>
        <w:rPr>
          <w:rFonts w:hint="eastAsia" w:ascii="仿宋" w:hAnsi="仿宋" w:eastAsia="仿宋" w:cs="仿宋"/>
          <w:sz w:val="28"/>
          <w:szCs w:val="28"/>
          <w:lang w:val="en-US" w:eastAsia="zh-CN"/>
        </w:rPr>
        <w:t>/□集成方式</w:t>
      </w:r>
      <w:r>
        <w:rPr>
          <w:rFonts w:hint="eastAsia" w:ascii="仿宋" w:hAnsi="仿宋" w:eastAsia="仿宋" w:cs="仿宋"/>
          <w:sz w:val="28"/>
          <w:szCs w:val="28"/>
          <w:lang w:val="en-US" w:eastAsia="zh-Hans"/>
        </w:rPr>
        <w:t>生产</w:t>
      </w:r>
      <w:r>
        <w:rPr>
          <w:rFonts w:hint="eastAsia" w:ascii="仿宋" w:hAnsi="仿宋" w:eastAsia="仿宋" w:cs="仿宋"/>
          <w:sz w:val="28"/>
          <w:szCs w:val="28"/>
          <w:lang w:val="en-US" w:eastAsia="zh-CN"/>
        </w:rPr>
        <w:t>的</w:t>
      </w:r>
      <w:r>
        <w:rPr>
          <w:rFonts w:hint="eastAsia" w:ascii="仿宋" w:hAnsi="仿宋" w:eastAsia="仿宋" w:cs="仿宋"/>
          <w:sz w:val="28"/>
          <w:szCs w:val="28"/>
          <w:u w:val="single"/>
          <w:lang w:val="en-US" w:eastAsia="zh-CN"/>
        </w:rPr>
        <w:t xml:space="preserve">                                                                </w:t>
      </w:r>
    </w:p>
    <w:p>
      <w:pPr>
        <w:keepNext w:val="0"/>
        <w:keepLines w:val="0"/>
        <w:widowControl/>
        <w:suppressLineNumbers w:val="0"/>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sz w:val="28"/>
          <w:szCs w:val="28"/>
          <w:u w:val="none"/>
          <w:lang w:val="en-US" w:eastAsia="zh-CN"/>
        </w:rPr>
        <w:t>产品</w:t>
      </w:r>
      <w:r>
        <w:rPr>
          <w:rFonts w:hint="eastAsia" w:ascii="仿宋" w:hAnsi="仿宋" w:eastAsia="仿宋" w:cs="仿宋"/>
          <w:sz w:val="28"/>
          <w:szCs w:val="28"/>
          <w:lang w:val="en-US" w:eastAsia="zh-CN"/>
        </w:rPr>
        <w:t>参与投标。</w:t>
      </w:r>
    </w:p>
    <w:p>
      <w:pPr>
        <w:keepNext w:val="0"/>
        <w:keepLines w:val="0"/>
        <w:widowControl/>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我公司就项目承诺如下：</w:t>
      </w:r>
    </w:p>
    <w:p>
      <w:pPr>
        <w:keepNext w:val="0"/>
        <w:keepLines w:val="0"/>
        <w:widowControl/>
        <w:suppressLineNumbers w:val="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 我公司为</w:t>
      </w:r>
      <w:r>
        <w:rPr>
          <w:rFonts w:hint="eastAsia" w:ascii="仿宋" w:hAnsi="仿宋" w:eastAsia="仿宋" w:cs="仿宋"/>
          <w:b/>
          <w:bCs/>
          <w:sz w:val="28"/>
          <w:szCs w:val="28"/>
          <w:lang w:val="en-US" w:eastAsia="zh-CN"/>
        </w:rPr>
        <w:t>传统型制造商，</w:t>
      </w:r>
      <w:r>
        <w:rPr>
          <w:rFonts w:hint="eastAsia" w:ascii="仿宋" w:hAnsi="仿宋" w:eastAsia="仿宋" w:cs="仿宋"/>
          <w:sz w:val="28"/>
          <w:szCs w:val="28"/>
          <w:lang w:val="en-US" w:eastAsia="zh-CN"/>
        </w:rPr>
        <w:t>投标产品系我公司自行生产制造，我公司具备制造必须的资质、厂房、设备、人力等资源。</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 xml:space="preserve"> 我公司为</w:t>
      </w:r>
      <w:r>
        <w:rPr>
          <w:rFonts w:hint="eastAsia" w:ascii="仿宋" w:hAnsi="仿宋" w:eastAsia="仿宋" w:cs="仿宋"/>
          <w:b/>
          <w:bCs/>
          <w:sz w:val="28"/>
          <w:szCs w:val="28"/>
          <w:lang w:val="en-US" w:eastAsia="zh-CN"/>
        </w:rPr>
        <w:t>OEM型制造商，</w:t>
      </w:r>
      <w:r>
        <w:rPr>
          <w:rFonts w:hint="eastAsia" w:ascii="仿宋" w:hAnsi="仿宋" w:eastAsia="仿宋" w:cs="仿宋"/>
          <w:sz w:val="28"/>
          <w:szCs w:val="28"/>
          <w:lang w:val="en-US" w:eastAsia="zh-CN"/>
        </w:rPr>
        <w:t>投标产品系我公司以</w:t>
      </w:r>
      <w:r>
        <w:rPr>
          <w:rFonts w:hint="eastAsia" w:ascii="仿宋" w:hAnsi="仿宋" w:eastAsia="仿宋" w:cs="仿宋"/>
          <w:sz w:val="28"/>
          <w:szCs w:val="28"/>
          <w:lang w:val="en-US" w:eastAsia="zh-Hans"/>
        </w:rPr>
        <w:t>代工方式生产</w:t>
      </w:r>
      <w:r>
        <w:rPr>
          <w:rFonts w:hint="eastAsia" w:ascii="仿宋" w:hAnsi="仿宋" w:eastAsia="仿宋" w:cs="仿宋"/>
          <w:sz w:val="28"/>
          <w:szCs w:val="28"/>
          <w:lang w:val="en-US" w:eastAsia="zh-CN"/>
        </w:rPr>
        <w:t>，我公司具备供货的资质和能力。</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 xml:space="preserve"> 我公司为</w:t>
      </w:r>
      <w:r>
        <w:rPr>
          <w:rFonts w:hint="eastAsia" w:ascii="仿宋" w:hAnsi="仿宋" w:eastAsia="仿宋" w:cs="仿宋"/>
          <w:b/>
          <w:bCs/>
          <w:sz w:val="28"/>
          <w:szCs w:val="28"/>
          <w:lang w:val="en-US" w:eastAsia="zh-CN"/>
        </w:rPr>
        <w:t>集成型制造商，</w:t>
      </w:r>
      <w:r>
        <w:rPr>
          <w:rFonts w:hint="eastAsia" w:ascii="仿宋" w:hAnsi="仿宋" w:eastAsia="仿宋" w:cs="仿宋"/>
          <w:sz w:val="28"/>
          <w:szCs w:val="28"/>
          <w:lang w:val="en-US" w:eastAsia="zh-CN"/>
        </w:rPr>
        <w:t>投标产品系我公司集成</w:t>
      </w:r>
      <w:r>
        <w:rPr>
          <w:rFonts w:hint="eastAsia" w:ascii="仿宋" w:hAnsi="仿宋" w:eastAsia="仿宋" w:cs="仿宋"/>
          <w:sz w:val="28"/>
          <w:szCs w:val="28"/>
          <w:lang w:val="en-US" w:eastAsia="zh-Hans"/>
        </w:rPr>
        <w:t>方式生产</w:t>
      </w:r>
      <w:r>
        <w:rPr>
          <w:rFonts w:hint="eastAsia" w:ascii="仿宋" w:hAnsi="仿宋" w:eastAsia="仿宋" w:cs="仿宋"/>
          <w:sz w:val="28"/>
          <w:szCs w:val="28"/>
          <w:lang w:val="en-US" w:eastAsia="zh-CN"/>
        </w:rPr>
        <w:t>，我公司具备集成必须的资质、厂房、设备、人力等资源。</w:t>
      </w:r>
    </w:p>
    <w:p>
      <w:pPr>
        <w:keepNext w:val="0"/>
        <w:keepLines w:val="0"/>
        <w:widowControl/>
        <w:suppressLineNumbers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（2）我司对所投产品拥有知识产权和产品销售权。</w:t>
      </w:r>
    </w:p>
    <w:p>
      <w:pPr>
        <w:keepNext w:val="0"/>
        <w:keepLines w:val="0"/>
        <w:widowControl/>
        <w:suppressLineNumbers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（3）后附我公司相关证明材料真实有效。</w:t>
      </w:r>
    </w:p>
    <w:p>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投标人名称（盖章）：</w:t>
      </w:r>
      <w:r>
        <w:rPr>
          <w:rFonts w:hint="eastAsia" w:ascii="仿宋" w:hAnsi="仿宋" w:eastAsia="仿宋" w:cs="仿宋"/>
          <w:sz w:val="28"/>
          <w:szCs w:val="28"/>
          <w:u w:val="single"/>
          <w:lang w:val="en-US" w:eastAsia="zh-CN"/>
        </w:rPr>
        <w:t xml:space="preserve">                 </w:t>
      </w:r>
    </w:p>
    <w:p>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法定代表人或授权人签章：</w:t>
      </w:r>
      <w:r>
        <w:rPr>
          <w:rFonts w:hint="eastAsia" w:ascii="仿宋" w:hAnsi="仿宋" w:eastAsia="仿宋" w:cs="仿宋"/>
          <w:sz w:val="28"/>
          <w:szCs w:val="28"/>
          <w:u w:val="single"/>
          <w:lang w:val="en-US" w:eastAsia="zh-CN"/>
        </w:rPr>
        <w:t xml:space="preserve">                 </w:t>
      </w:r>
    </w:p>
    <w:p>
      <w:pPr>
        <w:keepNext w:val="0"/>
        <w:keepLines w:val="0"/>
        <w:widowControl/>
        <w:suppressLineNumbers w:val="0"/>
        <w:wordWrap w:val="0"/>
        <w:jc w:val="right"/>
        <w:rPr>
          <w:rFonts w:hint="default"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日   期：</w:t>
      </w:r>
      <w:r>
        <w:rPr>
          <w:rFonts w:hint="eastAsia" w:ascii="仿宋" w:hAnsi="仿宋" w:eastAsia="仿宋" w:cs="仿宋"/>
          <w:sz w:val="28"/>
          <w:szCs w:val="28"/>
          <w:u w:val="single"/>
          <w:lang w:val="en-US" w:eastAsia="zh-CN"/>
        </w:rPr>
        <w:t xml:space="preserve">                 </w:t>
      </w:r>
    </w:p>
    <w:p>
      <w:pPr>
        <w:keepNext w:val="0"/>
        <w:keepLines w:val="0"/>
        <w:widowControl/>
        <w:suppressLineNumbers w:val="0"/>
        <w:ind w:firstLine="440" w:firstLineChars="100"/>
        <w:jc w:val="left"/>
        <w:rPr>
          <w:rFonts w:hint="eastAsia" w:ascii="仿宋" w:hAnsi="仿宋" w:eastAsia="仿宋" w:cs="仿宋"/>
          <w:b w:val="0"/>
          <w:bCs w:val="0"/>
          <w:sz w:val="44"/>
          <w:szCs w:val="44"/>
          <w:lang w:val="en-US" w:eastAsia="zh-CN"/>
        </w:rPr>
      </w:pPr>
      <w:r>
        <w:rPr>
          <w:rFonts w:hint="eastAsia" w:ascii="仿宋" w:hAnsi="仿宋" w:eastAsia="仿宋" w:cs="仿宋"/>
          <w:b w:val="0"/>
          <w:bCs w:val="0"/>
          <w:sz w:val="44"/>
          <w:szCs w:val="44"/>
          <w:lang w:val="en-US" w:eastAsia="zh-CN"/>
        </w:rPr>
        <w:t>制造商证明相关材料</w:t>
      </w:r>
    </w:p>
    <w:p>
      <w:pPr>
        <w:keepNext w:val="0"/>
        <w:keepLines w:val="0"/>
        <w:widowControl/>
        <w:suppressLineNumbers w:val="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 xml:space="preserve">（提示：1、各单位可根据实际需求情况，自行设置制造商需提供的证明材料。2、标黄内容均为提示性信息，用于辅助制定相关要求，正式文件中应注意删除，避免产生歧义。） </w:t>
      </w:r>
    </w:p>
    <w:p>
      <w:pPr>
        <w:keepNext w:val="0"/>
        <w:keepLines w:val="0"/>
        <w:widowControl/>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供应商应根据《制造商承诺书》所选类型提供相关证明材料（选择一类提供即可），逐页加盖公章，原件备查。</w:t>
      </w:r>
    </w:p>
    <w:p>
      <w:pPr>
        <w:keepNext w:val="0"/>
        <w:keepLines w:val="0"/>
        <w:widowControl/>
        <w:suppressLineNumbers w:val="0"/>
        <w:ind w:firstLine="560" w:firstLineChars="200"/>
        <w:jc w:val="both"/>
        <w:rPr>
          <w:rFonts w:hint="default" w:ascii="仿宋" w:hAnsi="仿宋" w:eastAsia="仿宋" w:cs="仿宋"/>
          <w:b w:val="0"/>
          <w:bCs w:val="0"/>
          <w:sz w:val="28"/>
          <w:szCs w:val="28"/>
          <w:highlight w:val="none"/>
          <w:lang w:val="en-US" w:eastAsia="zh-CN"/>
        </w:rPr>
      </w:pP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传统型制造商应提供的证明材料：</w:t>
      </w:r>
    </w:p>
    <w:p>
      <w:pPr>
        <w:keepNext w:val="0"/>
        <w:keepLines w:val="0"/>
        <w:widowControl/>
        <w:numPr>
          <w:ilvl w:val="0"/>
          <w:numId w:val="69"/>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69"/>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69"/>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69"/>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69"/>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生产工艺（需提供****工艺介绍和供流程图）：</w:t>
      </w:r>
    </w:p>
    <w:p>
      <w:pPr>
        <w:keepNext w:val="0"/>
        <w:keepLines w:val="0"/>
        <w:widowControl/>
        <w:numPr>
          <w:ilvl w:val="0"/>
          <w:numId w:val="69"/>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69"/>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69"/>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69"/>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其它证明材料（如涉及）：</w:t>
      </w:r>
    </w:p>
    <w:p>
      <w:pPr>
        <w:keepNext w:val="0"/>
        <w:keepLines w:val="0"/>
        <w:widowControl/>
        <w:numPr>
          <w:ilvl w:val="0"/>
          <w:numId w:val="0"/>
        </w:numPr>
        <w:suppressLineNumbers w:val="0"/>
        <w:jc w:val="both"/>
        <w:rPr>
          <w:rFonts w:hint="eastAsia" w:ascii="仿宋" w:hAnsi="仿宋" w:eastAsia="仿宋" w:cs="仿宋"/>
          <w:b w:val="0"/>
          <w:bCs w:val="0"/>
          <w:sz w:val="28"/>
          <w:szCs w:val="28"/>
          <w:lang w:val="en-US" w:eastAsia="zh-CN"/>
        </w:rPr>
      </w:pP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OEM型制造商应提供的证明材料：</w:t>
      </w:r>
    </w:p>
    <w:p>
      <w:pPr>
        <w:keepNext w:val="0"/>
        <w:keepLines w:val="0"/>
        <w:widowControl/>
        <w:numPr>
          <w:ilvl w:val="0"/>
          <w:numId w:val="70"/>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70"/>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70"/>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代工协议：</w:t>
      </w:r>
    </w:p>
    <w:p>
      <w:pPr>
        <w:keepNext w:val="0"/>
        <w:keepLines w:val="0"/>
        <w:widowControl/>
        <w:numPr>
          <w:ilvl w:val="0"/>
          <w:numId w:val="70"/>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70"/>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70"/>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70"/>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生产工艺（需提供****工艺介绍和流程图）：</w:t>
      </w:r>
    </w:p>
    <w:p>
      <w:pPr>
        <w:keepNext w:val="0"/>
        <w:keepLines w:val="0"/>
        <w:widowControl/>
        <w:numPr>
          <w:ilvl w:val="0"/>
          <w:numId w:val="70"/>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70"/>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70"/>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其它证明材料（如涉及）：</w:t>
      </w:r>
    </w:p>
    <w:p>
      <w:pPr>
        <w:keepNext w:val="0"/>
        <w:keepLines w:val="0"/>
        <w:widowControl/>
        <w:numPr>
          <w:ilvl w:val="0"/>
          <w:numId w:val="0"/>
        </w:numPr>
        <w:suppressLineNumbers w:val="0"/>
        <w:jc w:val="both"/>
        <w:rPr>
          <w:rFonts w:hint="eastAsia" w:ascii="仿宋" w:hAnsi="仿宋" w:eastAsia="仿宋" w:cs="仿宋"/>
          <w:b w:val="0"/>
          <w:bCs w:val="0"/>
          <w:sz w:val="28"/>
          <w:szCs w:val="28"/>
          <w:lang w:val="en-US" w:eastAsia="zh-CN"/>
        </w:rPr>
      </w:pPr>
    </w:p>
    <w:p>
      <w:pPr>
        <w:keepNext w:val="0"/>
        <w:keepLines w:val="0"/>
        <w:widowControl/>
        <w:suppressLineNumbers w:val="0"/>
        <w:ind w:firstLine="720" w:firstLineChars="200"/>
        <w:jc w:val="both"/>
        <w:rPr>
          <w:rFonts w:hint="eastAsia"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集成型制造商应提供的证明材料：</w:t>
      </w:r>
    </w:p>
    <w:p>
      <w:pPr>
        <w:keepNext w:val="0"/>
        <w:keepLines w:val="0"/>
        <w:widowControl/>
        <w:numPr>
          <w:ilvl w:val="0"/>
          <w:numId w:val="7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7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7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7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7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7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生产工艺（需提供****工艺介绍和流程图）：</w:t>
      </w:r>
    </w:p>
    <w:p>
      <w:pPr>
        <w:keepNext w:val="0"/>
        <w:keepLines w:val="0"/>
        <w:widowControl/>
        <w:numPr>
          <w:ilvl w:val="0"/>
          <w:numId w:val="7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7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71"/>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其它证明材料（如涉及）：</w:t>
      </w:r>
    </w:p>
    <w:p>
      <w:pPr>
        <w:keepNext w:val="0"/>
        <w:keepLines w:val="0"/>
        <w:widowControl/>
        <w:suppressLineNumbers w:val="0"/>
        <w:jc w:val="both"/>
        <w:rPr>
          <w:rFonts w:hint="default" w:ascii="仿宋" w:hAnsi="仿宋" w:eastAsia="仿宋" w:cs="仿宋"/>
          <w:b/>
          <w:bCs/>
          <w:sz w:val="28"/>
          <w:szCs w:val="28"/>
          <w:highlight w:val="yellow"/>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22"/>
        <w:adjustRightInd/>
        <w:jc w:val="both"/>
        <w:outlineLvl w:val="1"/>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t>5.11：商务偏离表</w:t>
      </w:r>
    </w:p>
    <w:p>
      <w:pPr>
        <w:pStyle w:val="22"/>
        <w:adjustRightInd/>
        <w:jc w:val="center"/>
        <w:rPr>
          <w:rFonts w:hint="eastAsia" w:hAnsi="宋体" w:eastAsiaTheme="minorEastAsia" w:cstheme="minorBidi"/>
          <w:b w:val="0"/>
          <w:kern w:val="2"/>
          <w:sz w:val="21"/>
          <w:szCs w:val="22"/>
          <w:lang w:eastAsia="zh-CN"/>
        </w:rPr>
      </w:pPr>
      <w:r>
        <w:rPr>
          <w:rFonts w:hint="eastAsia" w:hAnsi="宋体"/>
          <w:b/>
          <w:sz w:val="21"/>
          <w:szCs w:val="21"/>
        </w:rPr>
        <w:t>商务偏离条款</w:t>
      </w:r>
    </w:p>
    <w:p>
      <w:pPr>
        <w:pStyle w:val="22"/>
        <w:adjustRightInd/>
        <w:jc w:val="center"/>
        <w:rPr>
          <w:rFonts w:hAnsi="宋体"/>
          <w:b/>
          <w:sz w:val="21"/>
          <w:szCs w:val="21"/>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488"/>
        <w:gridCol w:w="1537"/>
        <w:gridCol w:w="3538"/>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序号</w:t>
            </w:r>
          </w:p>
        </w:tc>
        <w:tc>
          <w:tcPr>
            <w:tcW w:w="1488" w:type="dxa"/>
            <w:vAlign w:val="center"/>
          </w:tcPr>
          <w:p>
            <w:pPr>
              <w:spacing w:line="360" w:lineRule="auto"/>
              <w:jc w:val="center"/>
              <w:rPr>
                <w:rFonts w:ascii="宋体" w:hAnsi="宋体"/>
                <w:color w:val="000000"/>
              </w:rPr>
            </w:pPr>
            <w:r>
              <w:rPr>
                <w:rFonts w:hint="eastAsia" w:ascii="宋体" w:hAnsi="宋体"/>
                <w:color w:val="000000"/>
              </w:rPr>
              <w:t>商务参数</w:t>
            </w:r>
          </w:p>
        </w:tc>
        <w:tc>
          <w:tcPr>
            <w:tcW w:w="1537" w:type="dxa"/>
            <w:vAlign w:val="center"/>
          </w:tcPr>
          <w:p>
            <w:pPr>
              <w:spacing w:line="360" w:lineRule="auto"/>
              <w:jc w:val="center"/>
              <w:rPr>
                <w:rFonts w:ascii="宋体" w:hAnsi="宋体"/>
                <w:color w:val="000000"/>
              </w:rPr>
            </w:pPr>
            <w:r>
              <w:rPr>
                <w:rFonts w:hint="eastAsia" w:ascii="宋体" w:hAnsi="宋体"/>
                <w:color w:val="000000"/>
              </w:rPr>
              <w:t>是否存在异议</w:t>
            </w:r>
          </w:p>
        </w:tc>
        <w:tc>
          <w:tcPr>
            <w:tcW w:w="3538" w:type="dxa"/>
            <w:vAlign w:val="center"/>
          </w:tcPr>
          <w:p>
            <w:pPr>
              <w:spacing w:line="360" w:lineRule="auto"/>
              <w:jc w:val="center"/>
              <w:rPr>
                <w:rFonts w:ascii="宋体" w:hAnsi="宋体"/>
                <w:color w:val="000000"/>
              </w:rPr>
            </w:pPr>
            <w:r>
              <w:rPr>
                <w:rFonts w:hint="eastAsia" w:ascii="宋体" w:hAnsi="宋体"/>
                <w:color w:val="000000"/>
              </w:rPr>
              <w:t>解决方法</w:t>
            </w:r>
          </w:p>
          <w:p>
            <w:pPr>
              <w:spacing w:line="360" w:lineRule="auto"/>
              <w:jc w:val="center"/>
              <w:rPr>
                <w:rFonts w:ascii="宋体" w:hAnsi="宋体"/>
                <w:color w:val="000000"/>
              </w:rPr>
            </w:pPr>
            <w:r>
              <w:rPr>
                <w:rFonts w:hint="eastAsia" w:ascii="宋体" w:hAnsi="宋体"/>
                <w:color w:val="000000"/>
              </w:rPr>
              <w:t>（不接受/协商/接受询价方条件）</w:t>
            </w:r>
          </w:p>
        </w:tc>
        <w:tc>
          <w:tcPr>
            <w:tcW w:w="1010" w:type="dxa"/>
            <w:vAlign w:val="center"/>
          </w:tcPr>
          <w:p>
            <w:pPr>
              <w:spacing w:line="360" w:lineRule="auto"/>
              <w:jc w:val="center"/>
              <w:rPr>
                <w:rFonts w:ascii="宋体" w:hAnsi="宋体"/>
                <w:color w:val="000000"/>
              </w:rPr>
            </w:pPr>
            <w:r>
              <w:rPr>
                <w:rFonts w:hint="eastAsia" w:ascii="宋体" w:hAnsi="宋体"/>
                <w:color w:val="00000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1</w:t>
            </w:r>
          </w:p>
        </w:tc>
        <w:tc>
          <w:tcPr>
            <w:tcW w:w="1488" w:type="dxa"/>
            <w:vAlign w:val="center"/>
          </w:tcPr>
          <w:p>
            <w:pPr>
              <w:spacing w:line="360" w:lineRule="auto"/>
              <w:jc w:val="center"/>
              <w:rPr>
                <w:rFonts w:ascii="宋体" w:hAnsi="宋体"/>
                <w:color w:val="000000"/>
              </w:rPr>
            </w:pPr>
            <w:r>
              <w:rPr>
                <w:rFonts w:hint="eastAsia" w:ascii="宋体" w:hAnsi="宋体"/>
                <w:color w:val="000000"/>
              </w:rPr>
              <w:t>违约条款</w:t>
            </w:r>
          </w:p>
        </w:tc>
        <w:tc>
          <w:tcPr>
            <w:tcW w:w="1537" w:type="dxa"/>
            <w:vAlign w:val="center"/>
          </w:tcPr>
          <w:p>
            <w:pPr>
              <w:spacing w:line="360" w:lineRule="auto"/>
              <w:jc w:val="center"/>
              <w:rPr>
                <w:rFonts w:ascii="宋体" w:hAnsi="宋体"/>
                <w:color w:val="000000"/>
              </w:rPr>
            </w:pPr>
          </w:p>
        </w:tc>
        <w:tc>
          <w:tcPr>
            <w:tcW w:w="3538" w:type="dxa"/>
            <w:vAlign w:val="center"/>
          </w:tcPr>
          <w:p>
            <w:pPr>
              <w:spacing w:line="360" w:lineRule="auto"/>
              <w:jc w:val="center"/>
              <w:rPr>
                <w:rFonts w:ascii="宋体" w:hAnsi="宋体"/>
                <w:color w:val="000000"/>
              </w:rPr>
            </w:pPr>
          </w:p>
        </w:tc>
        <w:tc>
          <w:tcPr>
            <w:tcW w:w="1010"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2</w:t>
            </w:r>
          </w:p>
        </w:tc>
        <w:tc>
          <w:tcPr>
            <w:tcW w:w="1488" w:type="dxa"/>
            <w:vAlign w:val="center"/>
          </w:tcPr>
          <w:p>
            <w:pPr>
              <w:spacing w:line="360" w:lineRule="auto"/>
              <w:jc w:val="center"/>
              <w:rPr>
                <w:rFonts w:ascii="宋体" w:hAnsi="宋体"/>
                <w:color w:val="000000"/>
              </w:rPr>
            </w:pPr>
            <w:r>
              <w:rPr>
                <w:rFonts w:hint="eastAsia" w:ascii="宋体" w:hAnsi="宋体"/>
                <w:color w:val="000000"/>
              </w:rPr>
              <w:t>付款方式</w:t>
            </w:r>
          </w:p>
        </w:tc>
        <w:tc>
          <w:tcPr>
            <w:tcW w:w="1537" w:type="dxa"/>
            <w:vAlign w:val="center"/>
          </w:tcPr>
          <w:p>
            <w:pPr>
              <w:spacing w:line="360" w:lineRule="auto"/>
              <w:jc w:val="center"/>
              <w:rPr>
                <w:rFonts w:ascii="宋体" w:hAnsi="宋体"/>
                <w:color w:val="000000"/>
              </w:rPr>
            </w:pPr>
          </w:p>
        </w:tc>
        <w:tc>
          <w:tcPr>
            <w:tcW w:w="3538" w:type="dxa"/>
            <w:vAlign w:val="center"/>
          </w:tcPr>
          <w:p>
            <w:pPr>
              <w:spacing w:line="360" w:lineRule="auto"/>
              <w:jc w:val="center"/>
              <w:rPr>
                <w:rFonts w:ascii="宋体" w:hAnsi="宋体"/>
                <w:color w:val="000000"/>
              </w:rPr>
            </w:pPr>
          </w:p>
        </w:tc>
        <w:tc>
          <w:tcPr>
            <w:tcW w:w="1010"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3</w:t>
            </w:r>
          </w:p>
        </w:tc>
        <w:tc>
          <w:tcPr>
            <w:tcW w:w="1488" w:type="dxa"/>
            <w:vAlign w:val="center"/>
          </w:tcPr>
          <w:p>
            <w:pPr>
              <w:spacing w:line="360" w:lineRule="auto"/>
              <w:jc w:val="center"/>
              <w:rPr>
                <w:rFonts w:ascii="宋体" w:hAnsi="宋体"/>
                <w:color w:val="000000"/>
              </w:rPr>
            </w:pPr>
            <w:r>
              <w:rPr>
                <w:rFonts w:hint="eastAsia" w:ascii="宋体" w:hAnsi="宋体"/>
                <w:color w:val="000000"/>
              </w:rPr>
              <w:t>服务期</w:t>
            </w:r>
          </w:p>
        </w:tc>
        <w:tc>
          <w:tcPr>
            <w:tcW w:w="1537" w:type="dxa"/>
            <w:vAlign w:val="center"/>
          </w:tcPr>
          <w:p>
            <w:pPr>
              <w:spacing w:line="360" w:lineRule="auto"/>
              <w:jc w:val="center"/>
              <w:rPr>
                <w:rFonts w:ascii="宋体" w:hAnsi="宋体"/>
                <w:color w:val="000000"/>
              </w:rPr>
            </w:pPr>
          </w:p>
        </w:tc>
        <w:tc>
          <w:tcPr>
            <w:tcW w:w="3538" w:type="dxa"/>
            <w:vAlign w:val="center"/>
          </w:tcPr>
          <w:p>
            <w:pPr>
              <w:spacing w:line="360" w:lineRule="auto"/>
              <w:jc w:val="center"/>
              <w:rPr>
                <w:rFonts w:ascii="宋体" w:hAnsi="宋体"/>
                <w:color w:val="000000"/>
              </w:rPr>
            </w:pPr>
          </w:p>
        </w:tc>
        <w:tc>
          <w:tcPr>
            <w:tcW w:w="1010"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4</w:t>
            </w:r>
          </w:p>
        </w:tc>
        <w:tc>
          <w:tcPr>
            <w:tcW w:w="1488" w:type="dxa"/>
            <w:vAlign w:val="center"/>
          </w:tcPr>
          <w:p>
            <w:pPr>
              <w:spacing w:line="360" w:lineRule="auto"/>
              <w:jc w:val="center"/>
              <w:rPr>
                <w:rFonts w:ascii="宋体" w:hAnsi="宋体"/>
                <w:color w:val="000000"/>
              </w:rPr>
            </w:pPr>
            <w:r>
              <w:rPr>
                <w:rFonts w:hint="eastAsia" w:ascii="宋体" w:hAnsi="宋体"/>
                <w:color w:val="000000"/>
              </w:rPr>
              <w:t>报价有效期</w:t>
            </w:r>
          </w:p>
        </w:tc>
        <w:tc>
          <w:tcPr>
            <w:tcW w:w="1537" w:type="dxa"/>
            <w:vAlign w:val="center"/>
          </w:tcPr>
          <w:p>
            <w:pPr>
              <w:spacing w:line="360" w:lineRule="auto"/>
              <w:jc w:val="center"/>
              <w:rPr>
                <w:rFonts w:ascii="宋体" w:hAnsi="宋体"/>
                <w:color w:val="000000"/>
              </w:rPr>
            </w:pPr>
          </w:p>
        </w:tc>
        <w:tc>
          <w:tcPr>
            <w:tcW w:w="3538" w:type="dxa"/>
            <w:vAlign w:val="center"/>
          </w:tcPr>
          <w:p>
            <w:pPr>
              <w:spacing w:line="360" w:lineRule="auto"/>
              <w:jc w:val="center"/>
              <w:rPr>
                <w:rFonts w:ascii="宋体" w:hAnsi="宋体"/>
                <w:color w:val="000000"/>
              </w:rPr>
            </w:pPr>
          </w:p>
        </w:tc>
        <w:tc>
          <w:tcPr>
            <w:tcW w:w="1010"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5</w:t>
            </w:r>
          </w:p>
        </w:tc>
        <w:tc>
          <w:tcPr>
            <w:tcW w:w="1488" w:type="dxa"/>
            <w:vAlign w:val="center"/>
          </w:tcPr>
          <w:p>
            <w:pPr>
              <w:spacing w:line="360" w:lineRule="auto"/>
              <w:jc w:val="center"/>
              <w:rPr>
                <w:rFonts w:ascii="宋体" w:hAnsi="宋体"/>
                <w:color w:val="000000"/>
              </w:rPr>
            </w:pPr>
            <w:r>
              <w:rPr>
                <w:rFonts w:hint="eastAsia" w:ascii="宋体" w:hAnsi="宋体"/>
                <w:color w:val="000000"/>
              </w:rPr>
              <w:t>合同条款</w:t>
            </w:r>
          </w:p>
        </w:tc>
        <w:tc>
          <w:tcPr>
            <w:tcW w:w="1537" w:type="dxa"/>
            <w:vAlign w:val="center"/>
          </w:tcPr>
          <w:p>
            <w:pPr>
              <w:spacing w:line="360" w:lineRule="auto"/>
              <w:jc w:val="center"/>
              <w:rPr>
                <w:rFonts w:ascii="宋体" w:hAnsi="宋体"/>
                <w:color w:val="000000"/>
              </w:rPr>
            </w:pPr>
          </w:p>
        </w:tc>
        <w:tc>
          <w:tcPr>
            <w:tcW w:w="3538" w:type="dxa"/>
            <w:vAlign w:val="center"/>
          </w:tcPr>
          <w:p>
            <w:pPr>
              <w:spacing w:line="360" w:lineRule="auto"/>
              <w:jc w:val="center"/>
              <w:rPr>
                <w:rFonts w:ascii="宋体" w:hAnsi="宋体"/>
                <w:color w:val="000000"/>
              </w:rPr>
            </w:pPr>
          </w:p>
        </w:tc>
        <w:tc>
          <w:tcPr>
            <w:tcW w:w="1010"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6</w:t>
            </w:r>
          </w:p>
        </w:tc>
        <w:tc>
          <w:tcPr>
            <w:tcW w:w="1488" w:type="dxa"/>
            <w:vAlign w:val="center"/>
          </w:tcPr>
          <w:p>
            <w:pPr>
              <w:spacing w:line="360" w:lineRule="auto"/>
              <w:jc w:val="center"/>
              <w:rPr>
                <w:rFonts w:hint="eastAsia" w:ascii="宋体" w:hAnsi="宋体" w:eastAsiaTheme="minorEastAsia"/>
                <w:color w:val="000000"/>
                <w:lang w:eastAsia="zh-CN"/>
              </w:rPr>
            </w:pPr>
            <w:r>
              <w:rPr>
                <w:rFonts w:hint="eastAsia" w:ascii="宋体" w:hAnsi="宋体"/>
                <w:color w:val="000000"/>
                <w:lang w:eastAsia="zh-CN"/>
              </w:rPr>
              <w:t>其它</w:t>
            </w:r>
          </w:p>
        </w:tc>
        <w:tc>
          <w:tcPr>
            <w:tcW w:w="1537" w:type="dxa"/>
            <w:vAlign w:val="center"/>
          </w:tcPr>
          <w:p>
            <w:pPr>
              <w:spacing w:line="360" w:lineRule="auto"/>
              <w:jc w:val="center"/>
              <w:rPr>
                <w:rFonts w:ascii="宋体" w:hAnsi="宋体"/>
                <w:color w:val="000000"/>
              </w:rPr>
            </w:pPr>
          </w:p>
        </w:tc>
        <w:tc>
          <w:tcPr>
            <w:tcW w:w="3538" w:type="dxa"/>
            <w:vAlign w:val="center"/>
          </w:tcPr>
          <w:p>
            <w:pPr>
              <w:spacing w:line="360" w:lineRule="auto"/>
              <w:jc w:val="center"/>
              <w:rPr>
                <w:rFonts w:ascii="宋体" w:hAnsi="宋体"/>
                <w:color w:val="000000"/>
              </w:rPr>
            </w:pPr>
          </w:p>
        </w:tc>
        <w:tc>
          <w:tcPr>
            <w:tcW w:w="1010" w:type="dxa"/>
            <w:vAlign w:val="center"/>
          </w:tcPr>
          <w:p>
            <w:pPr>
              <w:spacing w:line="360" w:lineRule="auto"/>
              <w:jc w:val="center"/>
              <w:rPr>
                <w:rFonts w:ascii="宋体" w:hAnsi="宋体"/>
                <w:color w:val="000000"/>
              </w:rPr>
            </w:pPr>
          </w:p>
        </w:tc>
      </w:tr>
    </w:tbl>
    <w:p>
      <w:pPr>
        <w:spacing w:line="360" w:lineRule="auto"/>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注：如果</w:t>
      </w:r>
      <w:r>
        <w:rPr>
          <w:rFonts w:hint="eastAsia" w:ascii="宋体" w:hAnsi="宋体"/>
          <w:color w:val="000000"/>
          <w:szCs w:val="21"/>
          <w:lang w:val="en-US" w:eastAsia="zh-CN"/>
        </w:rPr>
        <w:t>应答</w:t>
      </w:r>
      <w:r>
        <w:rPr>
          <w:rFonts w:hint="eastAsia" w:ascii="宋体" w:hAnsi="宋体"/>
          <w:color w:val="000000"/>
          <w:szCs w:val="21"/>
        </w:rPr>
        <w:t>人对询价文件的商务条款有异议，请在此处一一列出，</w:t>
      </w:r>
      <w:r>
        <w:rPr>
          <w:rFonts w:hint="eastAsia" w:ascii="宋体" w:hAnsi="宋体"/>
          <w:color w:val="000000"/>
          <w:szCs w:val="21"/>
          <w:lang w:val="en-US" w:eastAsia="zh-CN"/>
        </w:rPr>
        <w:t>应答</w:t>
      </w:r>
      <w:r>
        <w:rPr>
          <w:rFonts w:hint="eastAsia" w:ascii="宋体" w:hAnsi="宋体"/>
          <w:color w:val="000000"/>
          <w:szCs w:val="21"/>
        </w:rPr>
        <w:t>人的商务偏离条款将作为评标的依据之一；如若没有异议请标明“无”，否则视为放弃。</w:t>
      </w:r>
    </w:p>
    <w:p>
      <w:pPr>
        <w:spacing w:before="120" w:line="360" w:lineRule="auto"/>
        <w:rPr>
          <w:rFonts w:ascii="宋体" w:hAnsi="宋体"/>
          <w:b/>
          <w:bCs/>
          <w:color w:val="000000"/>
          <w:szCs w:val="21"/>
        </w:rPr>
      </w:pPr>
    </w:p>
    <w:p>
      <w:pPr>
        <w:spacing w:line="360" w:lineRule="auto"/>
        <w:rPr>
          <w:rFonts w:ascii="宋体" w:hAnsi="宋体"/>
          <w:color w:val="000000"/>
          <w:szCs w:val="21"/>
        </w:rPr>
      </w:pPr>
    </w:p>
    <w:p>
      <w:pPr>
        <w:spacing w:line="360" w:lineRule="auto"/>
        <w:ind w:right="840"/>
        <w:jc w:val="center"/>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eastAsia="zh-CN"/>
        </w:rPr>
        <w:t>应答人</w:t>
      </w:r>
      <w:r>
        <w:rPr>
          <w:rFonts w:ascii="宋体" w:hAnsi="宋体"/>
          <w:color w:val="000000"/>
          <w:szCs w:val="21"/>
        </w:rPr>
        <w:t>：（盖章）</w:t>
      </w:r>
    </w:p>
    <w:p>
      <w:pPr>
        <w:spacing w:line="360" w:lineRule="auto"/>
        <w:jc w:val="right"/>
        <w:rPr>
          <w:rFonts w:ascii="宋体" w:hAnsi="宋体"/>
          <w:color w:val="000000"/>
          <w:szCs w:val="21"/>
        </w:rPr>
      </w:pPr>
    </w:p>
    <w:p>
      <w:pPr>
        <w:spacing w:line="360" w:lineRule="auto"/>
        <w:ind w:right="1680"/>
        <w:jc w:val="center"/>
        <w:rPr>
          <w:rFonts w:ascii="宋体" w:hAnsi="宋体"/>
          <w:color w:val="000000"/>
          <w:szCs w:val="21"/>
        </w:rPr>
      </w:pPr>
      <w:r>
        <w:rPr>
          <w:rFonts w:hint="eastAsia" w:ascii="宋体" w:hAnsi="宋体"/>
          <w:color w:val="000000"/>
          <w:szCs w:val="21"/>
        </w:rPr>
        <w:t xml:space="preserve">                               </w:t>
      </w:r>
      <w:r>
        <w:rPr>
          <w:rFonts w:ascii="宋体" w:hAnsi="宋体"/>
          <w:color w:val="000000"/>
          <w:szCs w:val="21"/>
        </w:rPr>
        <w:t>法定代表人或委托代理人：（签字）</w:t>
      </w:r>
    </w:p>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br w:type="page"/>
      </w:r>
    </w:p>
    <w:p>
      <w:pPr>
        <w:keepNext w:val="0"/>
        <w:keepLines w:val="0"/>
        <w:pageBreakBefore w:val="0"/>
        <w:widowControl/>
        <w:kinsoku/>
        <w:wordWrap/>
        <w:overflowPunct/>
        <w:topLinePunct w:val="0"/>
        <w:autoSpaceDE/>
        <w:autoSpaceDN/>
        <w:bidi w:val="0"/>
        <w:adjustRightInd/>
        <w:snapToGrid/>
        <w:textAlignment w:val="auto"/>
        <w:outlineLvl w:val="9"/>
        <w:rPr>
          <w:rFonts w:hint="default" w:ascii="黑体" w:hAnsi="黑体" w:eastAsia="黑体"/>
          <w:b/>
          <w:bCs/>
          <w:sz w:val="24"/>
          <w:szCs w:val="24"/>
          <w:lang w:val="en-US" w:eastAsia="zh-CN"/>
        </w:rPr>
      </w:pPr>
      <w:r>
        <w:rPr>
          <w:rFonts w:hint="eastAsia" w:ascii="黑体" w:hAnsi="黑体" w:eastAsia="黑体"/>
          <w:b/>
          <w:bCs/>
          <w:sz w:val="24"/>
          <w:szCs w:val="24"/>
        </w:rPr>
        <w:t>附件</w:t>
      </w:r>
      <w:r>
        <w:rPr>
          <w:rFonts w:hint="eastAsia" w:ascii="黑体" w:hAnsi="黑体" w:eastAsia="黑体"/>
          <w:b/>
          <w:bCs/>
          <w:sz w:val="24"/>
          <w:szCs w:val="24"/>
          <w:lang w:val="en-US" w:eastAsia="zh-CN"/>
        </w:rPr>
        <w:t>6：</w:t>
      </w:r>
      <w:r>
        <w:rPr>
          <w:rFonts w:hint="eastAsia" w:ascii="黑体" w:hAnsi="黑体" w:eastAsia="黑体"/>
          <w:b/>
          <w:bCs/>
          <w:sz w:val="24"/>
          <w:szCs w:val="24"/>
        </w:rPr>
        <w:t xml:space="preserve"> </w:t>
      </w:r>
      <w:r>
        <w:rPr>
          <w:rFonts w:hint="eastAsia" w:ascii="黑体" w:hAnsi="黑体" w:eastAsia="黑体"/>
          <w:b/>
          <w:bCs/>
          <w:sz w:val="24"/>
          <w:szCs w:val="24"/>
          <w:lang w:val="en-US" w:eastAsia="zh-CN"/>
        </w:rPr>
        <w:t>技术文件</w:t>
      </w:r>
    </w:p>
    <w:p>
      <w:pPr>
        <w:rPr>
          <w:rFonts w:hint="eastAsia" w:ascii="黑体" w:hAnsi="黑体" w:eastAsia="黑体"/>
          <w:sz w:val="24"/>
          <w:szCs w:val="24"/>
          <w:lang w:val="en-US" w:eastAsia="zh-CN"/>
        </w:rPr>
      </w:pPr>
    </w:p>
    <w:p>
      <w:pPr>
        <w:widowControl w:val="0"/>
        <w:numPr>
          <w:ilvl w:val="0"/>
          <w:numId w:val="0"/>
        </w:numPr>
        <w:jc w:val="both"/>
        <w:rPr>
          <w:rFonts w:hint="default"/>
          <w:lang w:val="en-US" w:eastAsia="zh-CN"/>
        </w:rPr>
      </w:pPr>
    </w:p>
    <w:p>
      <w:pPr>
        <w:tabs>
          <w:tab w:val="left" w:pos="6480"/>
          <w:tab w:val="left" w:pos="6660"/>
          <w:tab w:val="left" w:pos="9360"/>
        </w:tabs>
        <w:spacing w:line="360" w:lineRule="auto"/>
        <w:ind w:right="36" w:rightChars="17"/>
        <w:jc w:val="center"/>
        <w:rPr>
          <w:rFonts w:ascii="宋体" w:hAnsi="宋体"/>
          <w:b/>
          <w:color w:val="000000"/>
          <w:szCs w:val="21"/>
        </w:rPr>
      </w:pPr>
      <w:r>
        <w:rPr>
          <w:rFonts w:hint="eastAsia" w:ascii="宋体" w:hAnsi="宋体"/>
          <w:b/>
          <w:color w:val="000000"/>
          <w:szCs w:val="21"/>
        </w:rPr>
        <w:t>技术</w:t>
      </w:r>
      <w:r>
        <w:rPr>
          <w:rFonts w:hint="eastAsia" w:ascii="宋体" w:hAnsi="宋体"/>
          <w:b/>
          <w:color w:val="000000"/>
          <w:szCs w:val="21"/>
          <w:lang w:val="en-US" w:eastAsia="zh-CN"/>
        </w:rPr>
        <w:t>偏离</w:t>
      </w:r>
      <w:r>
        <w:rPr>
          <w:rFonts w:hint="eastAsia" w:ascii="宋体" w:hAnsi="宋体"/>
          <w:b/>
          <w:color w:val="000000"/>
          <w:szCs w:val="21"/>
        </w:rPr>
        <w:t>表</w:t>
      </w:r>
    </w:p>
    <w:tbl>
      <w:tblPr>
        <w:tblStyle w:val="14"/>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3288"/>
        <w:gridCol w:w="1012"/>
        <w:gridCol w:w="2863"/>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序号</w:t>
            </w:r>
          </w:p>
        </w:tc>
        <w:tc>
          <w:tcPr>
            <w:tcW w:w="3288"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技术参数</w:t>
            </w:r>
          </w:p>
        </w:tc>
        <w:tc>
          <w:tcPr>
            <w:tcW w:w="101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是否存在异议</w:t>
            </w:r>
          </w:p>
        </w:tc>
        <w:tc>
          <w:tcPr>
            <w:tcW w:w="2863"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解决方法</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（不接受/协商/接受询价方条件）</w:t>
            </w:r>
          </w:p>
        </w:tc>
        <w:tc>
          <w:tcPr>
            <w:tcW w:w="96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pStyle w:val="23"/>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1</w:t>
            </w:r>
          </w:p>
        </w:tc>
        <w:tc>
          <w:tcPr>
            <w:tcW w:w="3288" w:type="dxa"/>
            <w:vAlign w:val="center"/>
          </w:tcPr>
          <w:p>
            <w:pPr>
              <w:pStyle w:val="23"/>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101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2863"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96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Theme="minorEastAsia"/>
                <w:color w:val="000000"/>
                <w:sz w:val="18"/>
                <w:szCs w:val="18"/>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pStyle w:val="23"/>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2</w:t>
            </w:r>
          </w:p>
        </w:tc>
        <w:tc>
          <w:tcPr>
            <w:tcW w:w="3288" w:type="dxa"/>
            <w:vAlign w:val="center"/>
          </w:tcPr>
          <w:p>
            <w:pPr>
              <w:pStyle w:val="23"/>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101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2863"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96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pStyle w:val="23"/>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3</w:t>
            </w:r>
          </w:p>
        </w:tc>
        <w:tc>
          <w:tcPr>
            <w:tcW w:w="3288" w:type="dxa"/>
            <w:vAlign w:val="center"/>
          </w:tcPr>
          <w:p>
            <w:pPr>
              <w:pStyle w:val="23"/>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101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2863"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96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pStyle w:val="23"/>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4</w:t>
            </w:r>
          </w:p>
        </w:tc>
        <w:tc>
          <w:tcPr>
            <w:tcW w:w="3288" w:type="dxa"/>
            <w:vAlign w:val="center"/>
          </w:tcPr>
          <w:p>
            <w:pPr>
              <w:pStyle w:val="23"/>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101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2863"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96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pStyle w:val="23"/>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5</w:t>
            </w:r>
          </w:p>
        </w:tc>
        <w:tc>
          <w:tcPr>
            <w:tcW w:w="3288" w:type="dxa"/>
            <w:vAlign w:val="center"/>
          </w:tcPr>
          <w:p>
            <w:pPr>
              <w:pStyle w:val="23"/>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101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2863"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96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pStyle w:val="23"/>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6</w:t>
            </w:r>
          </w:p>
        </w:tc>
        <w:tc>
          <w:tcPr>
            <w:tcW w:w="3288" w:type="dxa"/>
            <w:vAlign w:val="center"/>
          </w:tcPr>
          <w:p>
            <w:pPr>
              <w:pStyle w:val="23"/>
              <w:keepNext w:val="0"/>
              <w:keepLines w:val="0"/>
              <w:pageBreakBefore w:val="0"/>
              <w:kinsoku/>
              <w:wordWrap/>
              <w:overflowPunct/>
              <w:topLinePunct w:val="0"/>
              <w:autoSpaceDE/>
              <w:autoSpaceDN/>
              <w:bidi w:val="0"/>
              <w:adjustRightInd/>
              <w:snapToGrid/>
              <w:spacing w:line="280" w:lineRule="exact"/>
              <w:jc w:val="left"/>
              <w:textAlignment w:val="auto"/>
              <w:rPr>
                <w:rFonts w:hint="default" w:ascii="宋体" w:hAnsi="宋体" w:eastAsiaTheme="minorEastAsia" w:cstheme="minorBidi"/>
                <w:color w:val="000000"/>
                <w:kern w:val="2"/>
                <w:sz w:val="18"/>
                <w:szCs w:val="18"/>
                <w:highlight w:val="green"/>
                <w:lang w:val="en-US" w:eastAsia="zh-CN" w:bidi="ar-SA"/>
              </w:rPr>
            </w:pPr>
          </w:p>
        </w:tc>
        <w:tc>
          <w:tcPr>
            <w:tcW w:w="101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2863"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96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bl>
    <w:p>
      <w:pPr>
        <w:spacing w:before="50" w:line="360" w:lineRule="auto"/>
        <w:ind w:firstLine="3885" w:firstLineChars="1850"/>
        <w:rPr>
          <w:rFonts w:ascii="宋体" w:hAnsi="宋体"/>
          <w:color w:val="000000"/>
          <w:szCs w:val="21"/>
        </w:rPr>
      </w:pPr>
    </w:p>
    <w:p>
      <w:pPr>
        <w:keepNext w:val="0"/>
        <w:keepLines w:val="0"/>
        <w:pageBreakBefore w:val="0"/>
        <w:widowControl w:val="0"/>
        <w:kinsoku/>
        <w:wordWrap/>
        <w:overflowPunct/>
        <w:topLinePunct w:val="0"/>
        <w:autoSpaceDE/>
        <w:autoSpaceDN/>
        <w:bidi w:val="0"/>
        <w:adjustRightInd/>
        <w:snapToGrid/>
        <w:spacing w:before="50" w:line="240" w:lineRule="auto"/>
        <w:textAlignment w:val="auto"/>
        <w:rPr>
          <w:rFonts w:ascii="宋体" w:hAnsi="宋体"/>
          <w:color w:val="000000"/>
          <w:szCs w:val="21"/>
        </w:rPr>
      </w:pPr>
      <w:r>
        <w:rPr>
          <w:rFonts w:hint="eastAsia" w:ascii="宋体" w:hAnsi="宋体"/>
          <w:color w:val="000000"/>
          <w:szCs w:val="21"/>
        </w:rPr>
        <w:t>说明：</w:t>
      </w:r>
    </w:p>
    <w:p>
      <w:pPr>
        <w:keepNext w:val="0"/>
        <w:keepLines w:val="0"/>
        <w:pageBreakBefore w:val="0"/>
        <w:widowControl w:val="0"/>
        <w:numPr>
          <w:ilvl w:val="0"/>
          <w:numId w:val="72"/>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以上技术如无偏差，则都填“无”字。</w:t>
      </w:r>
    </w:p>
    <w:p>
      <w:pPr>
        <w:keepNext w:val="0"/>
        <w:keepLines w:val="0"/>
        <w:pageBreakBefore w:val="0"/>
        <w:widowControl w:val="0"/>
        <w:numPr>
          <w:ilvl w:val="0"/>
          <w:numId w:val="72"/>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技术标准以技术要求为基准。</w:t>
      </w:r>
    </w:p>
    <w:p>
      <w:pPr>
        <w:keepNext w:val="0"/>
        <w:keepLines w:val="0"/>
        <w:pageBreakBefore w:val="0"/>
        <w:widowControl w:val="0"/>
        <w:numPr>
          <w:ilvl w:val="0"/>
          <w:numId w:val="72"/>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以上技术偏差将作为</w:t>
      </w:r>
      <w:r>
        <w:rPr>
          <w:rFonts w:hint="eastAsia" w:ascii="宋体" w:hAnsi="宋体"/>
          <w:color w:val="000000"/>
          <w:szCs w:val="21"/>
          <w:lang w:val="en-US" w:eastAsia="zh-CN"/>
        </w:rPr>
        <w:t>采购</w:t>
      </w:r>
      <w:r>
        <w:rPr>
          <w:rFonts w:hint="eastAsia" w:ascii="宋体" w:hAnsi="宋体"/>
          <w:color w:val="000000"/>
          <w:szCs w:val="21"/>
        </w:rPr>
        <w:t>人判断应答人报价的重要依据，请慎重考虑、酌情填写。</w:t>
      </w:r>
    </w:p>
    <w:p>
      <w:pPr>
        <w:spacing w:line="360" w:lineRule="auto"/>
        <w:rPr>
          <w:rFonts w:ascii="宋体" w:hAnsi="宋体"/>
          <w:color w:val="000000"/>
          <w:szCs w:val="21"/>
        </w:rPr>
      </w:pPr>
    </w:p>
    <w:p>
      <w:pPr>
        <w:tabs>
          <w:tab w:val="left" w:pos="0"/>
        </w:tabs>
        <w:spacing w:line="360" w:lineRule="auto"/>
        <w:ind w:firstLine="3570" w:firstLineChars="1700"/>
        <w:rPr>
          <w:rFonts w:ascii="宋体" w:hAnsi="宋体"/>
          <w:color w:val="000000"/>
          <w:szCs w:val="21"/>
          <w:u w:val="single"/>
        </w:rPr>
      </w:pPr>
      <w:r>
        <w:rPr>
          <w:rFonts w:hint="eastAsia" w:ascii="宋体" w:hAnsi="宋体"/>
          <w:color w:val="000000"/>
          <w:szCs w:val="21"/>
          <w:lang w:eastAsia="zh-CN"/>
        </w:rPr>
        <w:t>应答人</w:t>
      </w:r>
      <w:r>
        <w:rPr>
          <w:rFonts w:hint="eastAsia" w:ascii="宋体" w:hAnsi="宋体"/>
          <w:color w:val="000000"/>
          <w:szCs w:val="21"/>
        </w:rPr>
        <w:t>：（盖章）</w:t>
      </w:r>
    </w:p>
    <w:p>
      <w:pPr>
        <w:tabs>
          <w:tab w:val="left" w:pos="4320"/>
        </w:tabs>
        <w:spacing w:line="360" w:lineRule="auto"/>
        <w:ind w:firstLine="3465" w:firstLineChars="1650"/>
        <w:jc w:val="center"/>
        <w:rPr>
          <w:rFonts w:ascii="宋体" w:hAnsi="宋体"/>
          <w:color w:val="000000"/>
          <w:szCs w:val="21"/>
        </w:rPr>
      </w:pPr>
    </w:p>
    <w:p>
      <w:pPr>
        <w:tabs>
          <w:tab w:val="left" w:pos="4320"/>
        </w:tabs>
        <w:spacing w:line="360" w:lineRule="auto"/>
        <w:ind w:firstLine="3570" w:firstLineChars="1700"/>
        <w:rPr>
          <w:rFonts w:hint="eastAsia" w:ascii="宋体" w:hAnsi="宋体"/>
          <w:color w:val="000000"/>
          <w:szCs w:val="21"/>
        </w:rPr>
      </w:pPr>
      <w:r>
        <w:rPr>
          <w:rFonts w:ascii="宋体" w:hAnsi="宋体"/>
          <w:color w:val="000000"/>
          <w:szCs w:val="21"/>
        </w:rPr>
        <w:t>法定代表人或委托代理人：（签字</w:t>
      </w:r>
      <w:r>
        <w:rPr>
          <w:rFonts w:hint="eastAsia" w:ascii="宋体" w:hAnsi="宋体"/>
          <w:color w:val="000000"/>
          <w:szCs w:val="21"/>
        </w:rPr>
        <w:t>）</w:t>
      </w:r>
    </w:p>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附件7：</w:t>
      </w:r>
      <w:r>
        <w:rPr>
          <w:rFonts w:hint="eastAsia" w:ascii="黑体" w:hAnsi="黑体" w:eastAsia="黑体"/>
          <w:b/>
          <w:bCs/>
          <w:color w:val="000000" w:themeColor="text1"/>
          <w:sz w:val="24"/>
          <w:szCs w:val="24"/>
          <w:highlight w:val="none"/>
          <w14:textFill>
            <w14:solidFill>
              <w14:schemeClr w14:val="tx1"/>
            </w14:solidFill>
          </w14:textFill>
        </w:rPr>
        <w:t>报价</w:t>
      </w:r>
      <w:r>
        <w:rPr>
          <w:rFonts w:hint="eastAsia" w:ascii="黑体" w:hAnsi="黑体" w:eastAsia="黑体"/>
          <w:b/>
          <w:bCs/>
          <w:color w:val="000000" w:themeColor="text1"/>
          <w:sz w:val="24"/>
          <w:szCs w:val="24"/>
          <w:highlight w:val="none"/>
          <w:lang w:val="en-US" w:eastAsia="zh-CN"/>
          <w14:textFill>
            <w14:solidFill>
              <w14:schemeClr w14:val="tx1"/>
            </w14:solidFill>
          </w14:textFill>
        </w:rPr>
        <w:t>文件</w:t>
      </w:r>
    </w:p>
    <w:p>
      <w:pPr>
        <w:rPr>
          <w:rFonts w:ascii="黑体" w:hAnsi="黑体" w:eastAsia="黑体"/>
          <w:color w:val="000000" w:themeColor="text1"/>
          <w:sz w:val="21"/>
          <w:szCs w:val="21"/>
          <w:highlight w:val="none"/>
          <w14:textFill>
            <w14:solidFill>
              <w14:schemeClr w14:val="tx1"/>
            </w14:solidFill>
          </w14:textFill>
        </w:rPr>
      </w:pPr>
    </w:p>
    <w:p>
      <w:pPr>
        <w:pStyle w:val="19"/>
        <w:spacing w:line="360" w:lineRule="auto"/>
        <w:ind w:firstLine="0"/>
        <w:jc w:val="center"/>
        <w:rPr>
          <w:rFonts w:asciiTheme="minorEastAsia" w:hAnsiTheme="minorEastAsia" w:eastAsia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b/>
          <w:color w:val="000000" w:themeColor="text1"/>
          <w:sz w:val="21"/>
          <w:szCs w:val="21"/>
          <w:highlight w:val="none"/>
          <w14:textFill>
            <w14:solidFill>
              <w14:schemeClr w14:val="tx1"/>
            </w14:solidFill>
          </w14:textFill>
        </w:rPr>
        <w:t>报 价 单</w:t>
      </w:r>
    </w:p>
    <w:p>
      <w:pPr>
        <w:pStyle w:val="19"/>
        <w:spacing w:line="360" w:lineRule="auto"/>
        <w:ind w:firstLine="0"/>
        <w:jc w:val="center"/>
        <w:rPr>
          <w:rFonts w:asciiTheme="minorEastAsia" w:hAnsiTheme="minorEastAsia" w:eastAsiaTheme="minorEastAsia"/>
          <w:b/>
          <w:color w:val="000000" w:themeColor="text1"/>
          <w:sz w:val="21"/>
          <w:szCs w:val="21"/>
          <w:highlight w:val="none"/>
          <w14:textFill>
            <w14:solidFill>
              <w14:schemeClr w14:val="tx1"/>
            </w14:solidFill>
          </w14:textFill>
        </w:rPr>
      </w:pPr>
    </w:p>
    <w:p>
      <w:pPr>
        <w:pStyle w:val="19"/>
        <w:spacing w:line="360" w:lineRule="auto"/>
        <w:ind w:left="-18" w:leftChars="-67" w:hanging="123" w:hangingChars="59"/>
        <w:rPr>
          <w:rFonts w:cs="Arial" w:asciiTheme="minorEastAsia" w:hAnsiTheme="minorEastAsia" w:eastAsiaTheme="minorEastAsia"/>
          <w:color w:val="000000" w:themeColor="text1"/>
          <w:sz w:val="21"/>
          <w:szCs w:val="21"/>
          <w:highlight w:val="none"/>
          <w14:textFill>
            <w14:solidFill>
              <w14:schemeClr w14:val="tx1"/>
            </w14:solidFill>
          </w14:textFill>
        </w:rPr>
      </w:pPr>
      <w:r>
        <w:rPr>
          <w:rFonts w:hint="eastAsia" w:cs="Arial" w:asciiTheme="minorEastAsia" w:hAnsiTheme="minorEastAsia" w:eastAsiaTheme="minorEastAsia"/>
          <w:color w:val="000000" w:themeColor="text1"/>
          <w:sz w:val="21"/>
          <w:szCs w:val="21"/>
          <w:highlight w:val="none"/>
          <w14:textFill>
            <w14:solidFill>
              <w14:schemeClr w14:val="tx1"/>
            </w14:solidFill>
          </w14:textFill>
        </w:rPr>
        <w:t>项目</w:t>
      </w:r>
      <w:r>
        <w:rPr>
          <w:rFonts w:cs="Arial"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cs="Arial" w:asciiTheme="minorEastAsia" w:hAnsiTheme="minorEastAsia" w:eastAsiaTheme="minorEastAsia"/>
          <w:color w:val="000000" w:themeColor="text1"/>
          <w:sz w:val="21"/>
          <w:szCs w:val="21"/>
          <w:highlight w:val="none"/>
          <w14:textFill>
            <w14:solidFill>
              <w14:schemeClr w14:val="tx1"/>
            </w14:solidFill>
          </w14:textFill>
        </w:rPr>
        <w:t xml:space="preserve">                       </w:t>
      </w:r>
      <w:r>
        <w:rPr>
          <w:rFonts w:cs="Arial" w:asciiTheme="minorEastAsia" w:hAnsiTheme="minorEastAsia" w:eastAsiaTheme="minorEastAsia"/>
          <w:color w:val="000000" w:themeColor="text1"/>
          <w:sz w:val="21"/>
          <w:szCs w:val="21"/>
          <w:highlight w:val="none"/>
          <w14:textFill>
            <w14:solidFill>
              <w14:schemeClr w14:val="tx1"/>
            </w14:solidFill>
          </w14:textFill>
        </w:rPr>
        <w:t xml:space="preserve">  </w:t>
      </w:r>
      <w:r>
        <w:rPr>
          <w:rFonts w:hint="eastAsia" w:cs="Arial"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r>
        <w:rPr>
          <w:rFonts w:asciiTheme="minorEastAsia" w:hAnsiTheme="minorEastAsia" w:eastAsiaTheme="minorEastAsia"/>
          <w:color w:val="000000" w:themeColor="text1"/>
          <w:sz w:val="21"/>
          <w:szCs w:val="21"/>
          <w:highlight w:val="none"/>
          <w14:textFill>
            <w14:solidFill>
              <w14:schemeClr w14:val="tx1"/>
            </w14:solidFill>
          </w14:textFill>
        </w:rPr>
        <w:t>报价</w:t>
      </w:r>
      <w:r>
        <w:rPr>
          <w:rFonts w:hint="eastAsia" w:asciiTheme="minorEastAsia" w:hAnsiTheme="minorEastAsia" w:eastAsiaTheme="minorEastAsia"/>
          <w:color w:val="000000" w:themeColor="text1"/>
          <w:sz w:val="21"/>
          <w:szCs w:val="21"/>
          <w:highlight w:val="none"/>
          <w14:textFill>
            <w14:solidFill>
              <w14:schemeClr w14:val="tx1"/>
            </w14:solidFill>
          </w14:textFill>
        </w:rPr>
        <w:t>单位：元；    货币</w:t>
      </w:r>
      <w:r>
        <w:rPr>
          <w:rFonts w:asciiTheme="minorEastAsia" w:hAnsiTheme="minorEastAsia" w:eastAsiaTheme="minorEastAsia"/>
          <w:color w:val="000000" w:themeColor="text1"/>
          <w:sz w:val="21"/>
          <w:szCs w:val="21"/>
          <w:highlight w:val="none"/>
          <w14:textFill>
            <w14:solidFill>
              <w14:schemeClr w14:val="tx1"/>
            </w14:solidFill>
          </w14:textFill>
        </w:rPr>
        <w:t>单位：</w:t>
      </w:r>
      <w:r>
        <w:rPr>
          <w:rFonts w:hint="eastAsia" w:asciiTheme="minorEastAsia" w:hAnsiTheme="minorEastAsia" w:eastAsiaTheme="minorEastAsia"/>
          <w:color w:val="000000" w:themeColor="text1"/>
          <w:sz w:val="21"/>
          <w:szCs w:val="21"/>
          <w:highlight w:val="none"/>
          <w14:textFill>
            <w14:solidFill>
              <w14:schemeClr w14:val="tx1"/>
            </w14:solidFill>
          </w14:textFill>
        </w:rPr>
        <w:t>人民币</w:t>
      </w:r>
    </w:p>
    <w:tbl>
      <w:tblPr>
        <w:tblStyle w:val="14"/>
        <w:tblW w:w="9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123"/>
        <w:gridCol w:w="763"/>
        <w:gridCol w:w="700"/>
        <w:gridCol w:w="750"/>
        <w:gridCol w:w="1350"/>
        <w:gridCol w:w="1300"/>
        <w:gridCol w:w="155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shd w:val="clear" w:color="auto" w:fill="auto"/>
            <w:vAlign w:val="center"/>
          </w:tcPr>
          <w:p>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序号</w:t>
            </w:r>
          </w:p>
        </w:tc>
        <w:tc>
          <w:tcPr>
            <w:tcW w:w="1123" w:type="dxa"/>
            <w:shd w:val="clear" w:color="auto" w:fill="auto"/>
            <w:vAlign w:val="center"/>
          </w:tcPr>
          <w:p>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货物名称</w:t>
            </w:r>
          </w:p>
        </w:tc>
        <w:tc>
          <w:tcPr>
            <w:tcW w:w="763" w:type="dxa"/>
            <w:shd w:val="clear" w:color="auto" w:fill="auto"/>
            <w:vAlign w:val="center"/>
          </w:tcPr>
          <w:p>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数量</w:t>
            </w:r>
          </w:p>
        </w:tc>
        <w:tc>
          <w:tcPr>
            <w:tcW w:w="700" w:type="dxa"/>
            <w:shd w:val="clear" w:color="auto" w:fill="auto"/>
            <w:vAlign w:val="center"/>
          </w:tcPr>
          <w:p>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单位</w:t>
            </w:r>
          </w:p>
        </w:tc>
        <w:tc>
          <w:tcPr>
            <w:tcW w:w="750" w:type="dxa"/>
            <w:shd w:val="clear" w:color="auto" w:fill="auto"/>
            <w:vAlign w:val="center"/>
          </w:tcPr>
          <w:p>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税率</w:t>
            </w:r>
          </w:p>
        </w:tc>
        <w:tc>
          <w:tcPr>
            <w:tcW w:w="1350" w:type="dxa"/>
            <w:shd w:val="clear" w:color="auto" w:fill="auto"/>
            <w:vAlign w:val="center"/>
          </w:tcPr>
          <w:p>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不含税单价</w:t>
            </w:r>
          </w:p>
        </w:tc>
        <w:tc>
          <w:tcPr>
            <w:tcW w:w="1300" w:type="dxa"/>
            <w:shd w:val="clear" w:color="auto" w:fill="auto"/>
            <w:vAlign w:val="center"/>
          </w:tcPr>
          <w:p>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含税单价</w:t>
            </w:r>
          </w:p>
        </w:tc>
        <w:tc>
          <w:tcPr>
            <w:tcW w:w="1550" w:type="dxa"/>
            <w:shd w:val="clear" w:color="auto" w:fill="auto"/>
            <w:vAlign w:val="center"/>
          </w:tcPr>
          <w:p>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不含税小计</w:t>
            </w:r>
          </w:p>
        </w:tc>
        <w:tc>
          <w:tcPr>
            <w:tcW w:w="1354" w:type="dxa"/>
            <w:shd w:val="clear" w:color="auto" w:fill="auto"/>
            <w:vAlign w:val="center"/>
          </w:tcPr>
          <w:p>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含税小计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shd w:val="clear" w:color="auto" w:fill="auto"/>
            <w:vAlign w:val="center"/>
          </w:tcPr>
          <w:p>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1</w:t>
            </w:r>
          </w:p>
        </w:tc>
        <w:tc>
          <w:tcPr>
            <w:tcW w:w="1123" w:type="dxa"/>
            <w:shd w:val="clear" w:color="auto" w:fill="auto"/>
            <w:vAlign w:val="center"/>
          </w:tcPr>
          <w:p>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异辛醇</w:t>
            </w:r>
          </w:p>
        </w:tc>
        <w:tc>
          <w:tcPr>
            <w:tcW w:w="763" w:type="dxa"/>
            <w:shd w:val="clear" w:color="auto" w:fill="auto"/>
            <w:vAlign w:val="center"/>
          </w:tcPr>
          <w:p>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55</w:t>
            </w:r>
          </w:p>
        </w:tc>
        <w:tc>
          <w:tcPr>
            <w:tcW w:w="700" w:type="dxa"/>
            <w:shd w:val="clear" w:color="auto" w:fill="auto"/>
            <w:vAlign w:val="center"/>
          </w:tcPr>
          <w:p>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吨</w:t>
            </w:r>
          </w:p>
        </w:tc>
        <w:tc>
          <w:tcPr>
            <w:tcW w:w="750" w:type="dxa"/>
            <w:shd w:val="clear" w:color="auto" w:fill="auto"/>
          </w:tcPr>
          <w:p>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13%</w:t>
            </w:r>
          </w:p>
        </w:tc>
        <w:tc>
          <w:tcPr>
            <w:tcW w:w="1350" w:type="dxa"/>
            <w:shd w:val="clear" w:color="auto" w:fill="auto"/>
          </w:tcPr>
          <w:p>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p>
        </w:tc>
        <w:tc>
          <w:tcPr>
            <w:tcW w:w="1300" w:type="dxa"/>
            <w:shd w:val="clear" w:color="auto" w:fill="auto"/>
          </w:tcPr>
          <w:p>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p>
        </w:tc>
        <w:tc>
          <w:tcPr>
            <w:tcW w:w="1550" w:type="dxa"/>
            <w:shd w:val="clear" w:color="auto" w:fill="auto"/>
          </w:tcPr>
          <w:p>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p>
        </w:tc>
        <w:tc>
          <w:tcPr>
            <w:tcW w:w="1354" w:type="dxa"/>
            <w:shd w:val="clear" w:color="auto" w:fill="auto"/>
          </w:tcPr>
          <w:p>
            <w:pPr>
              <w:pStyle w:val="1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0" w:type="dxa"/>
            <w:gridSpan w:val="7"/>
            <w:shd w:val="clear" w:color="auto" w:fill="auto"/>
          </w:tcPr>
          <w:p>
            <w:pPr>
              <w:pStyle w:val="19"/>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合计</w:t>
            </w:r>
            <w:r>
              <w:rPr>
                <w:rFonts w:asciiTheme="minorEastAsia" w:hAnsiTheme="minorEastAsia" w:eastAsiaTheme="minorEastAsia"/>
                <w:color w:val="000000" w:themeColor="text1"/>
                <w:sz w:val="21"/>
                <w:szCs w:val="21"/>
                <w:highlight w:val="none"/>
                <w14:textFill>
                  <w14:solidFill>
                    <w14:schemeClr w14:val="tx1"/>
                  </w14:solidFill>
                </w14:textFill>
              </w:rPr>
              <w:t>：</w:t>
            </w:r>
          </w:p>
        </w:tc>
        <w:tc>
          <w:tcPr>
            <w:tcW w:w="1550" w:type="dxa"/>
            <w:shd w:val="clear" w:color="auto" w:fill="auto"/>
          </w:tcPr>
          <w:p>
            <w:pPr>
              <w:pStyle w:val="19"/>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p>
        </w:tc>
        <w:tc>
          <w:tcPr>
            <w:tcW w:w="1354" w:type="dxa"/>
            <w:shd w:val="clear" w:color="auto" w:fill="auto"/>
          </w:tcPr>
          <w:p>
            <w:pPr>
              <w:pStyle w:val="19"/>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4" w:type="dxa"/>
            <w:gridSpan w:val="9"/>
            <w:shd w:val="clear" w:color="auto" w:fill="auto"/>
          </w:tcPr>
          <w:p>
            <w:pPr>
              <w:pStyle w:val="19"/>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含税</w:t>
            </w:r>
            <w:r>
              <w:rPr>
                <w:rFonts w:asciiTheme="minorEastAsia" w:hAnsiTheme="minorEastAsia" w:eastAsiaTheme="minorEastAsia"/>
                <w:color w:val="000000" w:themeColor="text1"/>
                <w:sz w:val="21"/>
                <w:szCs w:val="21"/>
                <w:highlight w:val="none"/>
                <w14:textFill>
                  <w14:solidFill>
                    <w14:schemeClr w14:val="tx1"/>
                  </w14:solidFill>
                </w14:textFill>
              </w:rPr>
              <w:t>总价</w:t>
            </w:r>
            <w:r>
              <w:rPr>
                <w:rFonts w:hint="eastAsia" w:asciiTheme="minorEastAsia" w:hAnsiTheme="minorEastAsia" w:eastAsiaTheme="minorEastAsia"/>
                <w:color w:val="000000" w:themeColor="text1"/>
                <w:sz w:val="21"/>
                <w:szCs w:val="21"/>
                <w:highlight w:val="none"/>
                <w14:textFill>
                  <w14:solidFill>
                    <w14:schemeClr w14:val="tx1"/>
                  </w14:solidFill>
                </w14:textFill>
              </w:rPr>
              <w:t>（大写</w:t>
            </w:r>
            <w:r>
              <w:rPr>
                <w:rFonts w:asciiTheme="minorEastAsia" w:hAnsiTheme="minorEastAsia" w:eastAsiaTheme="minorEastAsia"/>
                <w:color w:val="000000" w:themeColor="text1"/>
                <w:sz w:val="21"/>
                <w:szCs w:val="21"/>
                <w:highlight w:val="none"/>
                <w14:textFill>
                  <w14:solidFill>
                    <w14:schemeClr w14:val="tx1"/>
                  </w14:solidFill>
                </w14:textFill>
              </w:rPr>
              <w:t>人民币</w:t>
            </w:r>
            <w:r>
              <w:rPr>
                <w:rFonts w:hint="eastAsia" w:asciiTheme="minorEastAsia" w:hAnsiTheme="minorEastAsia" w:eastAsiaTheme="minorEastAsia"/>
                <w:color w:val="000000" w:themeColor="text1"/>
                <w:sz w:val="21"/>
                <w:szCs w:val="21"/>
                <w:highlight w:val="none"/>
                <w14:textFill>
                  <w14:solidFill>
                    <w14:schemeClr w14:val="tx1"/>
                  </w14:solidFill>
                </w14:textFill>
              </w:rPr>
              <w:t>）：圆整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4" w:type="dxa"/>
            <w:gridSpan w:val="9"/>
            <w:shd w:val="clear" w:color="auto" w:fill="auto"/>
          </w:tcPr>
          <w:p>
            <w:pPr>
              <w:pStyle w:val="19"/>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不含税</w:t>
            </w:r>
            <w:r>
              <w:rPr>
                <w:rFonts w:asciiTheme="minorEastAsia" w:hAnsiTheme="minorEastAsia" w:eastAsiaTheme="minorEastAsia"/>
                <w:color w:val="000000" w:themeColor="text1"/>
                <w:sz w:val="21"/>
                <w:szCs w:val="21"/>
                <w:highlight w:val="none"/>
                <w14:textFill>
                  <w14:solidFill>
                    <w14:schemeClr w14:val="tx1"/>
                  </w14:solidFill>
                </w14:textFill>
              </w:rPr>
              <w:t>总价</w:t>
            </w:r>
            <w:r>
              <w:rPr>
                <w:rFonts w:hint="eastAsia" w:asciiTheme="minorEastAsia" w:hAnsiTheme="minorEastAsia" w:eastAsiaTheme="minorEastAsia"/>
                <w:color w:val="000000" w:themeColor="text1"/>
                <w:sz w:val="21"/>
                <w:szCs w:val="21"/>
                <w:highlight w:val="none"/>
                <w14:textFill>
                  <w14:solidFill>
                    <w14:schemeClr w14:val="tx1"/>
                  </w14:solidFill>
                </w14:textFill>
              </w:rPr>
              <w:t>（大写</w:t>
            </w:r>
            <w:r>
              <w:rPr>
                <w:rFonts w:asciiTheme="minorEastAsia" w:hAnsiTheme="minorEastAsia" w:eastAsiaTheme="minorEastAsia"/>
                <w:color w:val="000000" w:themeColor="text1"/>
                <w:sz w:val="21"/>
                <w:szCs w:val="21"/>
                <w:highlight w:val="none"/>
                <w14:textFill>
                  <w14:solidFill>
                    <w14:schemeClr w14:val="tx1"/>
                  </w14:solidFill>
                </w14:textFill>
              </w:rPr>
              <w:t>人民币</w:t>
            </w:r>
            <w:r>
              <w:rPr>
                <w:rFonts w:hint="eastAsia" w:asciiTheme="minorEastAsia" w:hAnsiTheme="minorEastAsia" w:eastAsiaTheme="minorEastAsia"/>
                <w:color w:val="000000" w:themeColor="text1"/>
                <w:sz w:val="21"/>
                <w:szCs w:val="21"/>
                <w:highlight w:val="none"/>
                <w14:textFill>
                  <w14:solidFill>
                    <w14:schemeClr w14:val="tx1"/>
                  </w14:solidFill>
                </w14:textFill>
              </w:rPr>
              <w:t>）：圆整</w:t>
            </w:r>
          </w:p>
        </w:tc>
      </w:tr>
    </w:tbl>
    <w:p>
      <w:pPr>
        <w:snapToGrid w:val="0"/>
        <w:spacing w:line="360" w:lineRule="auto"/>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注：</w:t>
      </w:r>
    </w:p>
    <w:p>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1、</w:t>
      </w:r>
      <w:r>
        <w:rPr>
          <w:rFonts w:asciiTheme="minorEastAsia" w:hAnsiTheme="minorEastAsia"/>
          <w:color w:val="000000" w:themeColor="text1"/>
          <w:sz w:val="21"/>
          <w:szCs w:val="21"/>
          <w:highlight w:val="none"/>
          <w14:textFill>
            <w14:solidFill>
              <w14:schemeClr w14:val="tx1"/>
            </w14:solidFill>
          </w14:textFill>
        </w:rPr>
        <w:t>报价有效期：</w:t>
      </w:r>
      <w:r>
        <w:rPr>
          <w:rFonts w:hint="eastAsia" w:asciiTheme="minorEastAsia" w:hAnsiTheme="minorEastAsia"/>
          <w:color w:val="000000" w:themeColor="text1"/>
          <w:sz w:val="21"/>
          <w:szCs w:val="21"/>
          <w:highlight w:val="none"/>
          <w14:textFill>
            <w14:solidFill>
              <w14:schemeClr w14:val="tx1"/>
            </w14:solidFill>
          </w14:textFill>
        </w:rPr>
        <w:t>自应答截止日次日起</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货物类）</w:t>
      </w:r>
      <w:r>
        <w:rPr>
          <w:rFonts w:hint="eastAsia" w:asciiTheme="minorEastAsia" w:hAnsiTheme="minorEastAsia"/>
          <w:color w:val="000000" w:themeColor="text1"/>
          <w:sz w:val="21"/>
          <w:szCs w:val="21"/>
          <w:highlight w:val="none"/>
          <w14:textFill>
            <w14:solidFill>
              <w14:schemeClr w14:val="tx1"/>
            </w14:solidFill>
          </w14:textFill>
        </w:rPr>
        <w:t>交货期</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自合同订立之日起</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pStyle w:val="19"/>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asciiTheme="minorEastAsia" w:hAnsiTheme="minorEastAsia" w:eastAsia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olor w:val="000000" w:themeColor="text1"/>
          <w:sz w:val="21"/>
          <w:szCs w:val="21"/>
          <w:highlight w:val="none"/>
          <w14:textFill>
            <w14:solidFill>
              <w14:schemeClr w14:val="tx1"/>
            </w14:solidFill>
          </w14:textFill>
        </w:rPr>
        <w:t>、以上报价包括：</w:t>
      </w:r>
      <w:r>
        <w:rPr>
          <w:rFonts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费用。人工费、材料费、设施设备费、管理费、服务费、税费、利润、税金/其它应付款项，报价文件中规定的其它义务/风险/责任有关的费用及一切与履行本询价文件有关的于此处未列明的其它所有费用。（请应答人</w:t>
      </w:r>
      <w:r>
        <w:rPr>
          <w:rFonts w:asciiTheme="minorEastAsia" w:hAnsiTheme="minorEastAsia" w:eastAsiaTheme="minorEastAsia"/>
          <w:color w:val="000000" w:themeColor="text1"/>
          <w:sz w:val="21"/>
          <w:szCs w:val="21"/>
          <w:highlight w:val="none"/>
          <w14:textFill>
            <w14:solidFill>
              <w14:schemeClr w14:val="tx1"/>
            </w14:solidFill>
          </w14:textFill>
        </w:rPr>
        <w:t>响应</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19"/>
        <w:spacing w:line="276" w:lineRule="auto"/>
        <w:ind w:firstLine="0"/>
        <w:jc w:val="lef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4、开具</w:t>
      </w:r>
      <w:r>
        <w:rPr>
          <w:rFonts w:asciiTheme="minorEastAsia" w:hAnsiTheme="minorEastAsia" w:eastAsiaTheme="minorEastAsia"/>
          <w:color w:val="000000" w:themeColor="text1"/>
          <w:sz w:val="21"/>
          <w:szCs w:val="21"/>
          <w:highlight w:val="none"/>
          <w14:textFill>
            <w14:solidFill>
              <w14:schemeClr w14:val="tx1"/>
            </w14:solidFill>
          </w14:textFill>
        </w:rPr>
        <w:t>发票种类：增值税专用发票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增值税普通发票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其它</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如实填写</w:t>
      </w:r>
      <w:r>
        <w:rPr>
          <w:rFonts w:hint="eastAsia" w:asciiTheme="minorEastAsia" w:hAnsiTheme="minorEastAsia" w:eastAsiaTheme="minorEastAsia"/>
          <w:color w:val="000000" w:themeColor="text1"/>
          <w:sz w:val="21"/>
          <w:szCs w:val="21"/>
          <w:highlight w:val="none"/>
          <w14:textFill>
            <w14:solidFill>
              <w14:schemeClr w14:val="tx1"/>
            </w14:solidFill>
          </w14:textFill>
        </w:rPr>
        <w:t>具体</w:t>
      </w:r>
      <w:r>
        <w:rPr>
          <w:rFonts w:asciiTheme="minorEastAsia" w:hAnsiTheme="minorEastAsia" w:eastAsiaTheme="minorEastAsia"/>
          <w:color w:val="000000" w:themeColor="text1"/>
          <w:sz w:val="21"/>
          <w:szCs w:val="21"/>
          <w:highlight w:val="none"/>
          <w14:textFill>
            <w14:solidFill>
              <w14:schemeClr w14:val="tx1"/>
            </w14:solidFill>
          </w14:textFill>
        </w:rPr>
        <w:t>发票种类</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3"/>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cs="Calibri" w:asciiTheme="minorEastAsia" w:hAnsiTheme="minorEastAsia" w:eastAsiaTheme="minorEastAsia"/>
          <w:color w:val="000000" w:themeColor="text1"/>
          <w:kern w:val="0"/>
          <w:sz w:val="21"/>
          <w:szCs w:val="21"/>
          <w:highlight w:val="none"/>
          <w:lang w:val="en-US" w:eastAsia="zh-CN" w:bidi="ar-SA"/>
          <w14:textFill>
            <w14:solidFill>
              <w14:schemeClr w14:val="tx1"/>
            </w14:solidFill>
          </w14:textFill>
        </w:rPr>
      </w:pPr>
      <w:r>
        <w:rPr>
          <w:rFonts w:hint="eastAsia" w:cs="Calibri" w:asciiTheme="minorEastAsia" w:hAnsiTheme="minorEastAsia" w:eastAsiaTheme="minorEastAsia"/>
          <w:color w:val="000000" w:themeColor="text1"/>
          <w:kern w:val="0"/>
          <w:sz w:val="21"/>
          <w:szCs w:val="21"/>
          <w:highlight w:val="none"/>
          <w:lang w:val="en-US" w:eastAsia="zh-CN" w:bidi="ar-SA"/>
          <w14:textFill>
            <w14:solidFill>
              <w14:schemeClr w14:val="tx1"/>
            </w14:solidFill>
          </w14:textFill>
        </w:rPr>
        <w:t>5</w:t>
      </w:r>
      <w:r>
        <w:rPr>
          <w:rFonts w:hint="eastAsia" w:cs="Calibri" w:asciiTheme="minorEastAsia" w:hAnsiTheme="minorEastAsia"/>
          <w:color w:val="000000" w:themeColor="text1"/>
          <w:kern w:val="0"/>
          <w:sz w:val="21"/>
          <w:szCs w:val="21"/>
          <w:highlight w:val="none"/>
          <w:lang w:val="en-US" w:eastAsia="zh-CN" w:bidi="ar-SA"/>
          <w14:textFill>
            <w14:solidFill>
              <w14:schemeClr w14:val="tx1"/>
            </w14:solidFill>
          </w14:textFill>
        </w:rPr>
        <w:t>、</w:t>
      </w:r>
      <w:r>
        <w:rPr>
          <w:rFonts w:hint="eastAsia" w:cs="Calibri" w:asciiTheme="minorEastAsia" w:hAnsiTheme="minorEastAsia" w:eastAsiaTheme="minorEastAsia"/>
          <w:color w:val="000000" w:themeColor="text1"/>
          <w:kern w:val="0"/>
          <w:sz w:val="21"/>
          <w:szCs w:val="21"/>
          <w:highlight w:val="none"/>
          <w:lang w:val="en-US" w:eastAsia="zh-CN" w:bidi="ar-SA"/>
          <w14:textFill>
            <w14:solidFill>
              <w14:schemeClr w14:val="tx1"/>
            </w14:solidFill>
          </w14:textFill>
        </w:rPr>
        <w:t>合同定价模式：</w:t>
      </w:r>
      <w:r>
        <w:rPr>
          <w:rFonts w:hint="eastAsia" w:cs="Calibri" w:asciiTheme="minorEastAsia" w:hAnsiTheme="minorEastAsia"/>
          <w:color w:val="000000" w:themeColor="text1"/>
          <w:kern w:val="0"/>
          <w:sz w:val="21"/>
          <w:szCs w:val="21"/>
          <w:highlight w:val="none"/>
          <w:lang w:val="en-US" w:eastAsia="zh-CN" w:bidi="ar-SA"/>
          <w14:textFill>
            <w14:solidFill>
              <w14:schemeClr w14:val="tx1"/>
            </w14:solidFill>
          </w14:textFill>
        </w:rPr>
        <w:t>浮动</w:t>
      </w:r>
      <w:r>
        <w:rPr>
          <w:rFonts w:hint="eastAsia" w:cs="Calibri" w:asciiTheme="minorEastAsia" w:hAnsiTheme="minorEastAsia" w:eastAsiaTheme="minorEastAsia"/>
          <w:color w:val="000000" w:themeColor="text1"/>
          <w:kern w:val="0"/>
          <w:sz w:val="21"/>
          <w:szCs w:val="21"/>
          <w:highlight w:val="none"/>
          <w:lang w:val="en-US" w:eastAsia="zh-CN" w:bidi="ar-SA"/>
          <w14:textFill>
            <w14:solidFill>
              <w14:schemeClr w14:val="tx1"/>
            </w14:solidFill>
          </w14:textFill>
        </w:rPr>
        <w:t>单价/费率合同。</w:t>
      </w:r>
    </w:p>
    <w:p>
      <w:pPr>
        <w:pStyle w:val="19"/>
        <w:spacing w:line="276" w:lineRule="auto"/>
        <w:ind w:firstLine="0"/>
        <w:jc w:val="left"/>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异辛醇采购订单价格 =订货市场价+价格差， </w:t>
      </w:r>
    </w:p>
    <w:p>
      <w:pPr>
        <w:pStyle w:val="19"/>
        <w:spacing w:line="276" w:lineRule="auto"/>
        <w:ind w:firstLine="0"/>
        <w:jc w:val="left"/>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含税价格差=中标价格（合同基准价格）-市场基准价；（含税价格差指除原材料成本以外的所有费用之和） </w:t>
      </w:r>
    </w:p>
    <w:p>
      <w:pPr>
        <w:pStyle w:val="19"/>
        <w:spacing w:line="276" w:lineRule="auto"/>
        <w:ind w:firstLine="0"/>
        <w:jc w:val="left"/>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市场基准价=项目发标前一工作日，</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辛醇华东地区江苏市场</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平均价；订货市场价=通知订货前一工作日，</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辛醇华东地区江苏市场</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平均价。</w:t>
      </w:r>
    </w:p>
    <w:p>
      <w:pPr>
        <w:pStyle w:val="19"/>
        <w:spacing w:line="276" w:lineRule="auto"/>
        <w:ind w:firstLine="0"/>
        <w:jc w:val="left"/>
        <w:rPr>
          <w:rFonts w:hint="eastAsia" w:cs="Calibri" w:asciiTheme="minorEastAsia" w:hAnsiTheme="minorEastAsia" w:eastAsiaTheme="minorEastAsia"/>
          <w:color w:val="000000" w:themeColor="text1"/>
          <w:kern w:val="0"/>
          <w:sz w:val="21"/>
          <w:szCs w:val="21"/>
          <w:highlight w:val="none"/>
          <w:lang w:val="en-US" w:eastAsia="zh-CN" w:bidi="ar-SA"/>
          <w14:textFill>
            <w14:solidFill>
              <w14:schemeClr w14:val="tx1"/>
            </w14:solidFill>
          </w14:textFill>
        </w:rPr>
      </w:pPr>
      <w:r>
        <w:rPr>
          <w:rFonts w:hint="eastAsia" w:cs="Calibri" w:asciiTheme="minorEastAsia" w:hAnsiTheme="minorEastAsia" w:eastAsiaTheme="minorEastAsia"/>
          <w:color w:val="000000" w:themeColor="text1"/>
          <w:kern w:val="0"/>
          <w:sz w:val="21"/>
          <w:szCs w:val="21"/>
          <w:highlight w:val="none"/>
          <w:lang w:val="en-US" w:eastAsia="zh-CN" w:bidi="ar-SA"/>
          <w14:textFill>
            <w14:solidFill>
              <w14:schemeClr w14:val="tx1"/>
            </w14:solidFill>
          </w14:textFill>
        </w:rPr>
        <w:t>6、其它。应答人如有其它说明请补充。</w:t>
      </w:r>
    </w:p>
    <w:p>
      <w:pPr>
        <w:pStyle w:val="19"/>
        <w:spacing w:line="276" w:lineRule="auto"/>
        <w:ind w:firstLine="0"/>
        <w:jc w:val="left"/>
        <w:rPr>
          <w:rFonts w:hint="eastAsia" w:cs="Calibri" w:asciiTheme="minorEastAsia" w:hAnsiTheme="minorEastAsia" w:eastAsiaTheme="minorEastAsia"/>
          <w:color w:val="000000" w:themeColor="text1"/>
          <w:kern w:val="0"/>
          <w:sz w:val="21"/>
          <w:szCs w:val="21"/>
          <w:highlight w:val="none"/>
          <w:lang w:val="en-US" w:eastAsia="zh-CN" w:bidi="ar-SA"/>
          <w14:textFill>
            <w14:solidFill>
              <w14:schemeClr w14:val="tx1"/>
            </w14:solidFill>
          </w14:textFill>
        </w:rPr>
      </w:pPr>
      <w:r>
        <w:rPr>
          <w:rFonts w:hint="eastAsia" w:cs="Calibri" w:asciiTheme="minorEastAsia" w:hAnsiTheme="minorEastAsia" w:eastAsiaTheme="minorEastAsia"/>
          <w:color w:val="000000" w:themeColor="text1"/>
          <w:kern w:val="0"/>
          <w:sz w:val="21"/>
          <w:szCs w:val="21"/>
          <w:highlight w:val="none"/>
          <w:lang w:val="en-US" w:eastAsia="zh-CN" w:bidi="ar-SA"/>
          <w14:textFill>
            <w14:solidFill>
              <w14:schemeClr w14:val="tx1"/>
            </w14:solidFill>
          </w14:textFill>
        </w:rPr>
        <w:t>7、应答人商务联系人姓名________电话_______________邮箱_______________</w:t>
      </w:r>
    </w:p>
    <w:p>
      <w:pPr>
        <w:pStyle w:val="19"/>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报价单位</w:t>
      </w:r>
      <w:r>
        <w:rPr>
          <w:rFonts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加</w:t>
      </w:r>
      <w:r>
        <w:rPr>
          <w:rFonts w:hint="eastAsia" w:asciiTheme="minorEastAsia" w:hAnsiTheme="minorEastAsia" w:eastAsiaTheme="minorEastAsia"/>
          <w:color w:val="000000" w:themeColor="text1"/>
          <w:sz w:val="21"/>
          <w:szCs w:val="21"/>
          <w:highlight w:val="none"/>
          <w14:textFill>
            <w14:solidFill>
              <w14:schemeClr w14:val="tx1"/>
            </w14:solidFill>
          </w14:textFill>
        </w:rPr>
        <w:t>盖</w:t>
      </w:r>
      <w:r>
        <w:rPr>
          <w:rFonts w:asciiTheme="minorEastAsia" w:hAnsiTheme="minorEastAsia" w:eastAsiaTheme="minorEastAsia"/>
          <w:color w:val="000000" w:themeColor="text1"/>
          <w:sz w:val="21"/>
          <w:szCs w:val="21"/>
          <w:highlight w:val="none"/>
          <w14:textFill>
            <w14:solidFill>
              <w14:schemeClr w14:val="tx1"/>
            </w14:solidFill>
          </w14:textFill>
        </w:rPr>
        <w:t>公章</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19"/>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仿宋" w:hAnsi="仿宋" w:eastAsia="仿宋" w:cs="仿宋"/>
          <w:bCs/>
          <w:color w:val="auto"/>
          <w:sz w:val="21"/>
          <w:szCs w:val="21"/>
          <w:highlight w:val="none"/>
          <w:lang w:eastAsia="zh-CN"/>
        </w:rPr>
        <w:t>法定代表人（单位负责人）或其委托代理人签字：</w:t>
      </w:r>
    </w:p>
    <w:p>
      <w:pPr>
        <w:pStyle w:val="19"/>
        <w:spacing w:line="360" w:lineRule="auto"/>
        <w:ind w:right="560" w:firstLine="4830" w:firstLineChars="2300"/>
        <w:rPr>
          <w:lang w:val="en-US" w:eastAsia="zh-CN"/>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报价日期</w:t>
      </w:r>
      <w:r>
        <w:rPr>
          <w:rFonts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***年**月**日</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CJK DemiLight">
    <w:altName w:val="宋体"/>
    <w:panose1 w:val="00000000000000000000"/>
    <w:charset w:val="86"/>
    <w:family w:val="swiss"/>
    <w:pitch w:val="default"/>
    <w:sig w:usb0="00000000" w:usb1="00000000" w:usb2="00000016" w:usb3="00000000" w:csb0="002E0107"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宋">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4216" w:firstLineChars="2000"/>
      <w:rPr>
        <w:lang w:val="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decimal"/>
      <w:lvlText w:val="21.%1"/>
      <w:lvlJc w:val="left"/>
      <w:pPr>
        <w:tabs>
          <w:tab w:val="left" w:pos="420"/>
        </w:tabs>
        <w:ind w:left="420" w:hanging="420"/>
      </w:pPr>
      <w:rPr>
        <w:rFonts w:ascii="Times New Roman" w:hAnsi="Times New Roman" w:cs="Times New Roman"/>
        <w:b w:val="0"/>
        <w:bCs w:val="0"/>
        <w:i w:val="0"/>
        <w:iCs w:val="0"/>
        <w:color w:val="000000"/>
        <w:spacing w:val="0"/>
        <w:kern w:val="2"/>
        <w:sz w:val="24"/>
        <w:szCs w:val="24"/>
      </w:rPr>
    </w:lvl>
    <w:lvl w:ilvl="1" w:tentative="0">
      <w:start w:val="1"/>
      <w:numFmt w:val="lowerLetter"/>
      <w:lvlText w:val="%2)"/>
      <w:lvlJc w:val="left"/>
      <w:pPr>
        <w:tabs>
          <w:tab w:val="left" w:pos="840"/>
        </w:tabs>
        <w:ind w:left="840" w:hanging="420"/>
      </w:pPr>
      <w:rPr>
        <w:rFonts w:ascii="Times New Roman" w:hAnsi="Times New Roman" w:cs="Times New Roman"/>
        <w:spacing w:val="0"/>
        <w:kern w:val="2"/>
        <w:sz w:val="21"/>
        <w:szCs w:val="21"/>
      </w:rPr>
    </w:lvl>
    <w:lvl w:ilvl="2" w:tentative="0">
      <w:start w:val="1"/>
      <w:numFmt w:val="lowerRoman"/>
      <w:lvlText w:val="%3."/>
      <w:lvlJc w:val="right"/>
      <w:pPr>
        <w:tabs>
          <w:tab w:val="left" w:pos="1260"/>
        </w:tabs>
        <w:ind w:left="1260" w:hanging="420"/>
      </w:pPr>
      <w:rPr>
        <w:rFonts w:ascii="Times New Roman" w:hAnsi="Times New Roman" w:cs="Times New Roman"/>
        <w:spacing w:val="0"/>
        <w:kern w:val="2"/>
        <w:sz w:val="21"/>
        <w:szCs w:val="21"/>
      </w:rPr>
    </w:lvl>
    <w:lvl w:ilvl="3" w:tentative="0">
      <w:start w:val="1"/>
      <w:numFmt w:val="decimal"/>
      <w:lvlText w:val="%4."/>
      <w:lvlJc w:val="left"/>
      <w:pPr>
        <w:tabs>
          <w:tab w:val="left" w:pos="1680"/>
        </w:tabs>
        <w:ind w:left="1680" w:hanging="420"/>
      </w:pPr>
      <w:rPr>
        <w:rFonts w:ascii="Times New Roman" w:hAnsi="Times New Roman" w:cs="Times New Roman"/>
        <w:spacing w:val="0"/>
        <w:kern w:val="2"/>
        <w:sz w:val="21"/>
        <w:szCs w:val="21"/>
      </w:rPr>
    </w:lvl>
    <w:lvl w:ilvl="4" w:tentative="0">
      <w:start w:val="1"/>
      <w:numFmt w:val="lowerLetter"/>
      <w:lvlText w:val="%5)"/>
      <w:lvlJc w:val="left"/>
      <w:pPr>
        <w:tabs>
          <w:tab w:val="left" w:pos="2100"/>
        </w:tabs>
        <w:ind w:left="2100" w:hanging="420"/>
      </w:pPr>
      <w:rPr>
        <w:rFonts w:ascii="Times New Roman" w:hAnsi="Times New Roman" w:cs="Times New Roman"/>
        <w:spacing w:val="0"/>
        <w:kern w:val="2"/>
        <w:sz w:val="21"/>
        <w:szCs w:val="21"/>
      </w:rPr>
    </w:lvl>
    <w:lvl w:ilvl="5" w:tentative="0">
      <w:start w:val="1"/>
      <w:numFmt w:val="lowerRoman"/>
      <w:lvlText w:val="%6."/>
      <w:lvlJc w:val="right"/>
      <w:pPr>
        <w:tabs>
          <w:tab w:val="left" w:pos="2520"/>
        </w:tabs>
        <w:ind w:left="2520" w:hanging="420"/>
      </w:pPr>
      <w:rPr>
        <w:rFonts w:ascii="Times New Roman" w:hAnsi="Times New Roman" w:cs="Times New Roman"/>
        <w:spacing w:val="0"/>
        <w:kern w:val="2"/>
        <w:sz w:val="21"/>
        <w:szCs w:val="21"/>
      </w:rPr>
    </w:lvl>
    <w:lvl w:ilvl="6" w:tentative="0">
      <w:start w:val="1"/>
      <w:numFmt w:val="decimal"/>
      <w:lvlText w:val="%7."/>
      <w:lvlJc w:val="left"/>
      <w:pPr>
        <w:tabs>
          <w:tab w:val="left" w:pos="2940"/>
        </w:tabs>
        <w:ind w:left="2940" w:hanging="420"/>
      </w:pPr>
      <w:rPr>
        <w:rFonts w:ascii="Times New Roman" w:hAnsi="Times New Roman" w:cs="Times New Roman"/>
        <w:spacing w:val="0"/>
        <w:kern w:val="2"/>
        <w:sz w:val="21"/>
        <w:szCs w:val="21"/>
      </w:rPr>
    </w:lvl>
    <w:lvl w:ilvl="7" w:tentative="0">
      <w:start w:val="1"/>
      <w:numFmt w:val="lowerLetter"/>
      <w:lvlText w:val="%8)"/>
      <w:lvlJc w:val="left"/>
      <w:pPr>
        <w:tabs>
          <w:tab w:val="left" w:pos="3360"/>
        </w:tabs>
        <w:ind w:left="3360" w:hanging="420"/>
      </w:pPr>
      <w:rPr>
        <w:rFonts w:ascii="Times New Roman" w:hAnsi="Times New Roman" w:cs="Times New Roman"/>
        <w:spacing w:val="0"/>
        <w:kern w:val="2"/>
        <w:sz w:val="21"/>
        <w:szCs w:val="21"/>
      </w:rPr>
    </w:lvl>
    <w:lvl w:ilvl="8" w:tentative="0">
      <w:start w:val="1"/>
      <w:numFmt w:val="lowerRoman"/>
      <w:lvlText w:val="%9."/>
      <w:lvlJc w:val="right"/>
      <w:pPr>
        <w:tabs>
          <w:tab w:val="left" w:pos="3780"/>
        </w:tabs>
        <w:ind w:left="3780" w:hanging="420"/>
      </w:pPr>
      <w:rPr>
        <w:rFonts w:ascii="Times New Roman" w:hAnsi="Times New Roman" w:cs="Times New Roman"/>
        <w:spacing w:val="0"/>
        <w:kern w:val="2"/>
        <w:sz w:val="21"/>
        <w:szCs w:val="21"/>
      </w:rPr>
    </w:lvl>
  </w:abstractNum>
  <w:abstractNum w:abstractNumId="1">
    <w:nsid w:val="004D49EC"/>
    <w:multiLevelType w:val="multilevel"/>
    <w:tmpl w:val="004D49EC"/>
    <w:lvl w:ilvl="0" w:tentative="0">
      <w:start w:val="1"/>
      <w:numFmt w:val="decimal"/>
      <w:lvlText w:val="5.%1"/>
      <w:lvlJc w:val="left"/>
      <w:pPr>
        <w:tabs>
          <w:tab w:val="left" w:pos="1468"/>
        </w:tabs>
        <w:ind w:left="1468" w:firstLine="1260"/>
      </w:pPr>
      <w:rPr>
        <w:rFonts w:hint="default" w:ascii="Times New Roman" w:hAnsi="Times New Roman" w:cs="Times New Roman"/>
        <w:b w:val="0"/>
        <w:bCs/>
        <w:i w:val="0"/>
        <w:iCs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1A952B9"/>
    <w:multiLevelType w:val="multilevel"/>
    <w:tmpl w:val="01A952B9"/>
    <w:lvl w:ilvl="0" w:tentative="0">
      <w:start w:val="1"/>
      <w:numFmt w:val="decimal"/>
      <w:lvlText w:val="1.%1"/>
      <w:lvlJc w:val="left"/>
      <w:pPr>
        <w:tabs>
          <w:tab w:val="left" w:pos="-1140"/>
        </w:tabs>
        <w:ind w:left="-1140" w:firstLine="1260"/>
      </w:pPr>
      <w:rPr>
        <w:rFonts w:hint="default" w:ascii="Times New Roman" w:hAnsi="Times New Roman" w:eastAsia="宋体"/>
      </w:rPr>
    </w:lvl>
    <w:lvl w:ilvl="1" w:tentative="0">
      <w:start w:val="1"/>
      <w:numFmt w:val="decimal"/>
      <w:lvlText w:val="(%2)"/>
      <w:lvlJc w:val="left"/>
      <w:pPr>
        <w:ind w:left="-1798" w:hanging="390"/>
      </w:pPr>
      <w:rPr>
        <w:rFonts w:hint="default"/>
      </w:rPr>
    </w:lvl>
    <w:lvl w:ilvl="2" w:tentative="0">
      <w:start w:val="1"/>
      <w:numFmt w:val="lowerRoman"/>
      <w:lvlText w:val="%3."/>
      <w:lvlJc w:val="right"/>
      <w:pPr>
        <w:tabs>
          <w:tab w:val="left" w:pos="-1348"/>
        </w:tabs>
        <w:ind w:left="-1348" w:hanging="420"/>
      </w:pPr>
    </w:lvl>
    <w:lvl w:ilvl="3" w:tentative="0">
      <w:start w:val="1"/>
      <w:numFmt w:val="decimal"/>
      <w:lvlText w:val="%4."/>
      <w:lvlJc w:val="left"/>
      <w:pPr>
        <w:tabs>
          <w:tab w:val="left" w:pos="-928"/>
        </w:tabs>
        <w:ind w:left="-928" w:hanging="420"/>
      </w:pPr>
    </w:lvl>
    <w:lvl w:ilvl="4" w:tentative="0">
      <w:start w:val="1"/>
      <w:numFmt w:val="lowerLetter"/>
      <w:lvlText w:val="%5)"/>
      <w:lvlJc w:val="left"/>
      <w:pPr>
        <w:tabs>
          <w:tab w:val="left" w:pos="-508"/>
        </w:tabs>
        <w:ind w:left="-508" w:hanging="420"/>
      </w:pPr>
    </w:lvl>
    <w:lvl w:ilvl="5" w:tentative="0">
      <w:start w:val="1"/>
      <w:numFmt w:val="lowerRoman"/>
      <w:lvlText w:val="%6."/>
      <w:lvlJc w:val="right"/>
      <w:pPr>
        <w:tabs>
          <w:tab w:val="left" w:pos="-88"/>
        </w:tabs>
        <w:ind w:left="-88" w:hanging="420"/>
      </w:pPr>
    </w:lvl>
    <w:lvl w:ilvl="6" w:tentative="0">
      <w:start w:val="1"/>
      <w:numFmt w:val="decimal"/>
      <w:lvlText w:val="%7."/>
      <w:lvlJc w:val="left"/>
      <w:pPr>
        <w:tabs>
          <w:tab w:val="left" w:pos="332"/>
        </w:tabs>
        <w:ind w:left="332" w:hanging="420"/>
      </w:pPr>
    </w:lvl>
    <w:lvl w:ilvl="7" w:tentative="0">
      <w:start w:val="1"/>
      <w:numFmt w:val="lowerLetter"/>
      <w:lvlText w:val="%8)"/>
      <w:lvlJc w:val="left"/>
      <w:pPr>
        <w:tabs>
          <w:tab w:val="left" w:pos="752"/>
        </w:tabs>
        <w:ind w:left="752" w:hanging="420"/>
      </w:pPr>
    </w:lvl>
    <w:lvl w:ilvl="8" w:tentative="0">
      <w:start w:val="1"/>
      <w:numFmt w:val="lowerRoman"/>
      <w:lvlText w:val="%9."/>
      <w:lvlJc w:val="right"/>
      <w:pPr>
        <w:tabs>
          <w:tab w:val="left" w:pos="1172"/>
        </w:tabs>
        <w:ind w:left="1172" w:hanging="420"/>
      </w:pPr>
    </w:lvl>
  </w:abstractNum>
  <w:abstractNum w:abstractNumId="3">
    <w:nsid w:val="048C2553"/>
    <w:multiLevelType w:val="multilevel"/>
    <w:tmpl w:val="048C2553"/>
    <w:lvl w:ilvl="0" w:tentative="0">
      <w:start w:val="1"/>
      <w:numFmt w:val="decimal"/>
      <w:lvlText w:val="12.%1"/>
      <w:lvlJc w:val="left"/>
      <w:pPr>
        <w:tabs>
          <w:tab w:val="left" w:pos="2248"/>
        </w:tabs>
        <w:ind w:left="3148"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6CF52F1"/>
    <w:multiLevelType w:val="multilevel"/>
    <w:tmpl w:val="06CF52F1"/>
    <w:lvl w:ilvl="0" w:tentative="0">
      <w:start w:val="1"/>
      <w:numFmt w:val="decimal"/>
      <w:lvlText w:val="3.%1"/>
      <w:lvlJc w:val="left"/>
      <w:pPr>
        <w:tabs>
          <w:tab w:val="left" w:pos="1468"/>
        </w:tabs>
        <w:ind w:left="1468" w:firstLine="1260"/>
      </w:pPr>
      <w:rPr>
        <w:rFonts w:hint="default" w:ascii="Times New Roman" w:hAnsi="Times New Roman"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75744EF"/>
    <w:multiLevelType w:val="multilevel"/>
    <w:tmpl w:val="075744EF"/>
    <w:lvl w:ilvl="0" w:tentative="0">
      <w:start w:val="1"/>
      <w:numFmt w:val="decimal"/>
      <w:lvlText w:val="5.%1"/>
      <w:lvlJc w:val="left"/>
      <w:pPr>
        <w:tabs>
          <w:tab w:val="left" w:pos="1468"/>
        </w:tabs>
        <w:ind w:left="1468" w:firstLine="1260"/>
      </w:pPr>
      <w:rPr>
        <w:rFonts w:hint="default" w:ascii="Times New Roman" w:hAnsi="Times New Roman"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78F2E65"/>
    <w:multiLevelType w:val="multilevel"/>
    <w:tmpl w:val="078F2E65"/>
    <w:lvl w:ilvl="0" w:tentative="0">
      <w:start w:val="1"/>
      <w:numFmt w:val="decimal"/>
      <w:lvlText w:val="(%1)"/>
      <w:lvlJc w:val="left"/>
      <w:pPr>
        <w:tabs>
          <w:tab w:val="left" w:pos="900"/>
        </w:tabs>
        <w:ind w:left="900" w:hanging="420"/>
      </w:pPr>
      <w:rPr>
        <w:rFonts w:hint="eastAsia" w:ascii="Times New Roman" w:hAnsi="宋体" w:eastAsia="宋体"/>
      </w:rPr>
    </w:lvl>
    <w:lvl w:ilvl="1" w:tentative="0">
      <w:start w:val="3"/>
      <w:numFmt w:val="decimal"/>
      <w:isLgl/>
      <w:lvlText w:val="%1.%2"/>
      <w:lvlJc w:val="left"/>
      <w:pPr>
        <w:tabs>
          <w:tab w:val="left" w:pos="840"/>
        </w:tabs>
        <w:ind w:left="840" w:hanging="360"/>
      </w:pPr>
      <w:rPr>
        <w:rFonts w:hint="default"/>
      </w:rPr>
    </w:lvl>
    <w:lvl w:ilvl="2" w:tentative="0">
      <w:start w:val="1"/>
      <w:numFmt w:val="decimal"/>
      <w:isLgl/>
      <w:lvlText w:val="%1.%2.%3"/>
      <w:lvlJc w:val="left"/>
      <w:pPr>
        <w:tabs>
          <w:tab w:val="left" w:pos="1200"/>
        </w:tabs>
        <w:ind w:left="1200" w:hanging="720"/>
      </w:pPr>
      <w:rPr>
        <w:rFonts w:hint="default"/>
      </w:rPr>
    </w:lvl>
    <w:lvl w:ilvl="3" w:tentative="0">
      <w:start w:val="1"/>
      <w:numFmt w:val="decimal"/>
      <w:isLgl/>
      <w:lvlText w:val="%1.%2.%3.%4"/>
      <w:lvlJc w:val="left"/>
      <w:pPr>
        <w:tabs>
          <w:tab w:val="left" w:pos="1200"/>
        </w:tabs>
        <w:ind w:left="1200" w:hanging="720"/>
      </w:pPr>
      <w:rPr>
        <w:rFonts w:hint="default"/>
      </w:rPr>
    </w:lvl>
    <w:lvl w:ilvl="4" w:tentative="0">
      <w:start w:val="1"/>
      <w:numFmt w:val="decimal"/>
      <w:isLgl/>
      <w:lvlText w:val="%1.%2.%3.%4.%5"/>
      <w:lvlJc w:val="left"/>
      <w:pPr>
        <w:tabs>
          <w:tab w:val="left" w:pos="1560"/>
        </w:tabs>
        <w:ind w:left="1560" w:hanging="1080"/>
      </w:pPr>
      <w:rPr>
        <w:rFonts w:hint="default"/>
      </w:rPr>
    </w:lvl>
    <w:lvl w:ilvl="5" w:tentative="0">
      <w:start w:val="1"/>
      <w:numFmt w:val="decimal"/>
      <w:isLgl/>
      <w:lvlText w:val="%1.%2.%3.%4.%5.%6"/>
      <w:lvlJc w:val="left"/>
      <w:pPr>
        <w:tabs>
          <w:tab w:val="left" w:pos="1560"/>
        </w:tabs>
        <w:ind w:left="1560" w:hanging="1080"/>
      </w:pPr>
      <w:rPr>
        <w:rFonts w:hint="default"/>
      </w:rPr>
    </w:lvl>
    <w:lvl w:ilvl="6" w:tentative="0">
      <w:start w:val="1"/>
      <w:numFmt w:val="decimal"/>
      <w:isLgl/>
      <w:lvlText w:val="%1.%2.%3.%4.%5.%6.%7"/>
      <w:lvlJc w:val="left"/>
      <w:pPr>
        <w:tabs>
          <w:tab w:val="left" w:pos="1920"/>
        </w:tabs>
        <w:ind w:left="1920" w:hanging="1440"/>
      </w:pPr>
      <w:rPr>
        <w:rFonts w:hint="default"/>
      </w:rPr>
    </w:lvl>
    <w:lvl w:ilvl="7" w:tentative="0">
      <w:start w:val="1"/>
      <w:numFmt w:val="decimal"/>
      <w:isLgl/>
      <w:lvlText w:val="%1.%2.%3.%4.%5.%6.%7.%8"/>
      <w:lvlJc w:val="left"/>
      <w:pPr>
        <w:tabs>
          <w:tab w:val="left" w:pos="1920"/>
        </w:tabs>
        <w:ind w:left="1920" w:hanging="1440"/>
      </w:pPr>
      <w:rPr>
        <w:rFonts w:hint="default"/>
      </w:rPr>
    </w:lvl>
    <w:lvl w:ilvl="8" w:tentative="0">
      <w:start w:val="1"/>
      <w:numFmt w:val="decimal"/>
      <w:isLgl/>
      <w:lvlText w:val="%1.%2.%3.%4.%5.%6.%7.%8.%9"/>
      <w:lvlJc w:val="left"/>
      <w:pPr>
        <w:tabs>
          <w:tab w:val="left" w:pos="2280"/>
        </w:tabs>
        <w:ind w:left="2280" w:hanging="1800"/>
      </w:pPr>
      <w:rPr>
        <w:rFonts w:hint="default"/>
      </w:rPr>
    </w:lvl>
  </w:abstractNum>
  <w:abstractNum w:abstractNumId="7">
    <w:nsid w:val="09D14F57"/>
    <w:multiLevelType w:val="multilevel"/>
    <w:tmpl w:val="09D14F57"/>
    <w:lvl w:ilvl="0" w:tentative="0">
      <w:start w:val="1"/>
      <w:numFmt w:val="decimal"/>
      <w:lvlText w:val="15.%1"/>
      <w:lvlJc w:val="left"/>
      <w:pPr>
        <w:tabs>
          <w:tab w:val="left" w:pos="1468"/>
        </w:tabs>
        <w:ind w:left="1468" w:firstLine="1260"/>
      </w:pPr>
      <w:rPr>
        <w:rFonts w:hint="default" w:ascii="Times New Roman" w:hAnsi="Times New Roman" w:cs="Times New Roman"/>
        <w:b w:val="0"/>
        <w:color w:val="auto"/>
        <w:sz w:val="24"/>
        <w:szCs w:val="24"/>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BFE5371"/>
    <w:multiLevelType w:val="multilevel"/>
    <w:tmpl w:val="0BFE5371"/>
    <w:lvl w:ilvl="0" w:tentative="0">
      <w:start w:val="1"/>
      <w:numFmt w:val="decimal"/>
      <w:lvlText w:val="25.%1"/>
      <w:lvlJc w:val="left"/>
      <w:pPr>
        <w:tabs>
          <w:tab w:val="left" w:pos="420"/>
        </w:tabs>
        <w:ind w:left="420" w:hanging="420"/>
      </w:pPr>
      <w:rPr>
        <w:rFonts w:ascii="Times New Roman" w:hAnsi="Times New Roman" w:cs="Times New Roman"/>
        <w:b w:val="0"/>
        <w:bCs w:val="0"/>
        <w:i w:val="0"/>
        <w:iCs w:val="0"/>
        <w:color w:val="000000"/>
        <w:spacing w:val="0"/>
        <w:kern w:val="2"/>
        <w:sz w:val="21"/>
        <w:szCs w:val="21"/>
      </w:rPr>
    </w:lvl>
    <w:lvl w:ilvl="1" w:tentative="0">
      <w:start w:val="1"/>
      <w:numFmt w:val="decimal"/>
      <w:lvlText w:val="21.%2"/>
      <w:lvlJc w:val="left"/>
      <w:pPr>
        <w:tabs>
          <w:tab w:val="left" w:pos="840"/>
        </w:tabs>
        <w:ind w:left="840" w:hanging="420"/>
      </w:pPr>
      <w:rPr>
        <w:rFonts w:ascii="Times New Roman" w:hAnsi="Times New Roman" w:cs="Times New Roman"/>
        <w:color w:val="000000"/>
        <w:spacing w:val="0"/>
        <w:kern w:val="2"/>
        <w:sz w:val="21"/>
        <w:szCs w:val="21"/>
      </w:rPr>
    </w:lvl>
    <w:lvl w:ilvl="2" w:tentative="0">
      <w:start w:val="1"/>
      <w:numFmt w:val="lowerRoman"/>
      <w:lvlText w:val="%3."/>
      <w:lvlJc w:val="right"/>
      <w:pPr>
        <w:tabs>
          <w:tab w:val="left" w:pos="1260"/>
        </w:tabs>
        <w:ind w:left="1260" w:hanging="420"/>
      </w:pPr>
      <w:rPr>
        <w:rFonts w:ascii="Times New Roman" w:hAnsi="Times New Roman" w:cs="Times New Roman"/>
        <w:spacing w:val="0"/>
        <w:kern w:val="2"/>
        <w:sz w:val="21"/>
        <w:szCs w:val="21"/>
      </w:rPr>
    </w:lvl>
    <w:lvl w:ilvl="3" w:tentative="0">
      <w:start w:val="1"/>
      <w:numFmt w:val="decimal"/>
      <w:lvlText w:val="%4."/>
      <w:lvlJc w:val="left"/>
      <w:pPr>
        <w:tabs>
          <w:tab w:val="left" w:pos="1680"/>
        </w:tabs>
        <w:ind w:left="1680" w:hanging="420"/>
      </w:pPr>
      <w:rPr>
        <w:rFonts w:ascii="Times New Roman" w:hAnsi="Times New Roman" w:cs="Times New Roman"/>
        <w:spacing w:val="0"/>
        <w:kern w:val="2"/>
        <w:sz w:val="21"/>
        <w:szCs w:val="21"/>
      </w:rPr>
    </w:lvl>
    <w:lvl w:ilvl="4" w:tentative="0">
      <w:start w:val="1"/>
      <w:numFmt w:val="lowerLetter"/>
      <w:lvlText w:val="%5)"/>
      <w:lvlJc w:val="left"/>
      <w:pPr>
        <w:tabs>
          <w:tab w:val="left" w:pos="2100"/>
        </w:tabs>
        <w:ind w:left="2100" w:hanging="420"/>
      </w:pPr>
      <w:rPr>
        <w:rFonts w:ascii="Times New Roman" w:hAnsi="Times New Roman" w:cs="Times New Roman"/>
        <w:spacing w:val="0"/>
        <w:kern w:val="2"/>
        <w:sz w:val="21"/>
        <w:szCs w:val="21"/>
      </w:rPr>
    </w:lvl>
    <w:lvl w:ilvl="5" w:tentative="0">
      <w:start w:val="1"/>
      <w:numFmt w:val="lowerRoman"/>
      <w:lvlText w:val="%6."/>
      <w:lvlJc w:val="right"/>
      <w:pPr>
        <w:tabs>
          <w:tab w:val="left" w:pos="2520"/>
        </w:tabs>
        <w:ind w:left="2520" w:hanging="420"/>
      </w:pPr>
      <w:rPr>
        <w:rFonts w:ascii="Times New Roman" w:hAnsi="Times New Roman" w:cs="Times New Roman"/>
        <w:spacing w:val="0"/>
        <w:kern w:val="2"/>
        <w:sz w:val="21"/>
        <w:szCs w:val="21"/>
      </w:rPr>
    </w:lvl>
    <w:lvl w:ilvl="6" w:tentative="0">
      <w:start w:val="1"/>
      <w:numFmt w:val="decimal"/>
      <w:lvlText w:val="%7."/>
      <w:lvlJc w:val="left"/>
      <w:pPr>
        <w:tabs>
          <w:tab w:val="left" w:pos="2940"/>
        </w:tabs>
        <w:ind w:left="2940" w:hanging="420"/>
      </w:pPr>
      <w:rPr>
        <w:rFonts w:ascii="Times New Roman" w:hAnsi="Times New Roman" w:cs="Times New Roman"/>
        <w:spacing w:val="0"/>
        <w:kern w:val="2"/>
        <w:sz w:val="21"/>
        <w:szCs w:val="21"/>
      </w:rPr>
    </w:lvl>
    <w:lvl w:ilvl="7" w:tentative="0">
      <w:start w:val="1"/>
      <w:numFmt w:val="lowerLetter"/>
      <w:lvlText w:val="%8)"/>
      <w:lvlJc w:val="left"/>
      <w:pPr>
        <w:tabs>
          <w:tab w:val="left" w:pos="3360"/>
        </w:tabs>
        <w:ind w:left="3360" w:hanging="420"/>
      </w:pPr>
      <w:rPr>
        <w:rFonts w:ascii="Times New Roman" w:hAnsi="Times New Roman" w:cs="Times New Roman"/>
        <w:spacing w:val="0"/>
        <w:kern w:val="2"/>
        <w:sz w:val="21"/>
        <w:szCs w:val="21"/>
      </w:rPr>
    </w:lvl>
    <w:lvl w:ilvl="8" w:tentative="0">
      <w:start w:val="1"/>
      <w:numFmt w:val="lowerRoman"/>
      <w:lvlText w:val="%9."/>
      <w:lvlJc w:val="right"/>
      <w:pPr>
        <w:tabs>
          <w:tab w:val="left" w:pos="3780"/>
        </w:tabs>
        <w:ind w:left="3780" w:hanging="420"/>
      </w:pPr>
      <w:rPr>
        <w:rFonts w:ascii="Times New Roman" w:hAnsi="Times New Roman" w:cs="Times New Roman"/>
        <w:spacing w:val="0"/>
        <w:kern w:val="2"/>
        <w:sz w:val="21"/>
        <w:szCs w:val="21"/>
      </w:rPr>
    </w:lvl>
  </w:abstractNum>
  <w:abstractNum w:abstractNumId="9">
    <w:nsid w:val="10EC70B3"/>
    <w:multiLevelType w:val="multilevel"/>
    <w:tmpl w:val="10EC70B3"/>
    <w:lvl w:ilvl="0" w:tentative="0">
      <w:start w:val="1"/>
      <w:numFmt w:val="decimal"/>
      <w:lvlText w:val="11.%1"/>
      <w:lvlJc w:val="left"/>
      <w:pPr>
        <w:ind w:left="900" w:hanging="420"/>
      </w:pPr>
      <w:rPr>
        <w:rFonts w:hint="eastAsia" w:cs="Times New Roman"/>
        <w:b w:val="0"/>
        <w:i w:val="0"/>
        <w:color w:val="000000"/>
        <w:sz w:val="24"/>
        <w:szCs w:val="24"/>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10">
    <w:nsid w:val="1265667D"/>
    <w:multiLevelType w:val="multilevel"/>
    <w:tmpl w:val="1265667D"/>
    <w:lvl w:ilvl="0" w:tentative="0">
      <w:start w:val="1"/>
      <w:numFmt w:val="decimal"/>
      <w:lvlText w:val="2.%1"/>
      <w:lvlJc w:val="left"/>
      <w:pPr>
        <w:tabs>
          <w:tab w:val="left" w:pos="1468"/>
        </w:tabs>
        <w:ind w:left="1468" w:firstLine="1260"/>
      </w:pPr>
      <w:rPr>
        <w:rFonts w:hint="default" w:ascii="Times New Roman" w:hAnsi="Times New Roman"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3777C73"/>
    <w:multiLevelType w:val="multilevel"/>
    <w:tmpl w:val="13777C73"/>
    <w:lvl w:ilvl="0" w:tentative="0">
      <w:start w:val="1"/>
      <w:numFmt w:val="decimal"/>
      <w:lvlText w:val="%1"/>
      <w:lvlJc w:val="left"/>
      <w:pPr>
        <w:ind w:left="540" w:hanging="540"/>
      </w:pPr>
      <w:rPr>
        <w:rFonts w:hint="default"/>
      </w:rPr>
    </w:lvl>
    <w:lvl w:ilvl="1" w:tentative="0">
      <w:start w:val="1"/>
      <w:numFmt w:val="decimal"/>
      <w:lvlText w:val="%1.%2"/>
      <w:lvlJc w:val="left"/>
      <w:pPr>
        <w:ind w:left="542" w:hanging="540"/>
      </w:pPr>
      <w:rPr>
        <w:rFonts w:hint="default" w:ascii="Times New Roman" w:hAnsi="Times New Roman" w:cs="Times New Roman"/>
        <w:b w:val="0"/>
        <w:bCs w:val="0"/>
      </w:rPr>
    </w:lvl>
    <w:lvl w:ilvl="2" w:tentative="0">
      <w:start w:val="1"/>
      <w:numFmt w:val="decimal"/>
      <w:lvlText w:val="%1.%2.%3"/>
      <w:lvlJc w:val="left"/>
      <w:pPr>
        <w:ind w:left="724" w:hanging="720"/>
      </w:pPr>
      <w:rPr>
        <w:rFonts w:hint="default"/>
      </w:rPr>
    </w:lvl>
    <w:lvl w:ilvl="3" w:tentative="0">
      <w:start w:val="1"/>
      <w:numFmt w:val="decimal"/>
      <w:lvlText w:val="%1.%2.%3.%4"/>
      <w:lvlJc w:val="left"/>
      <w:pPr>
        <w:ind w:left="726" w:hanging="720"/>
      </w:pPr>
      <w:rPr>
        <w:rFonts w:hint="default"/>
      </w:rPr>
    </w:lvl>
    <w:lvl w:ilvl="4" w:tentative="0">
      <w:start w:val="1"/>
      <w:numFmt w:val="decimal"/>
      <w:lvlText w:val="%1.%2.%3.%4.%5"/>
      <w:lvlJc w:val="left"/>
      <w:pPr>
        <w:ind w:left="1088" w:hanging="1080"/>
      </w:pPr>
      <w:rPr>
        <w:rFonts w:hint="default"/>
      </w:rPr>
    </w:lvl>
    <w:lvl w:ilvl="5" w:tentative="0">
      <w:start w:val="1"/>
      <w:numFmt w:val="decimal"/>
      <w:lvlText w:val="%1.%2.%3.%4.%5.%6"/>
      <w:lvlJc w:val="left"/>
      <w:pPr>
        <w:ind w:left="1090" w:hanging="1080"/>
      </w:pPr>
      <w:rPr>
        <w:rFonts w:hint="default"/>
      </w:rPr>
    </w:lvl>
    <w:lvl w:ilvl="6" w:tentative="0">
      <w:start w:val="1"/>
      <w:numFmt w:val="decimal"/>
      <w:lvlText w:val="%1.%2.%3.%4.%5.%6.%7"/>
      <w:lvlJc w:val="left"/>
      <w:pPr>
        <w:ind w:left="1452" w:hanging="1440"/>
      </w:pPr>
      <w:rPr>
        <w:rFonts w:hint="default"/>
      </w:rPr>
    </w:lvl>
    <w:lvl w:ilvl="7" w:tentative="0">
      <w:start w:val="1"/>
      <w:numFmt w:val="decimal"/>
      <w:lvlText w:val="%1.%2.%3.%4.%5.%6.%7.%8"/>
      <w:lvlJc w:val="left"/>
      <w:pPr>
        <w:ind w:left="1454" w:hanging="1440"/>
      </w:pPr>
      <w:rPr>
        <w:rFonts w:hint="default"/>
      </w:rPr>
    </w:lvl>
    <w:lvl w:ilvl="8" w:tentative="0">
      <w:start w:val="1"/>
      <w:numFmt w:val="decimal"/>
      <w:lvlText w:val="%1.%2.%3.%4.%5.%6.%7.%8.%9"/>
      <w:lvlJc w:val="left"/>
      <w:pPr>
        <w:ind w:left="1816" w:hanging="1800"/>
      </w:pPr>
      <w:rPr>
        <w:rFonts w:hint="default"/>
      </w:rPr>
    </w:lvl>
  </w:abstractNum>
  <w:abstractNum w:abstractNumId="12">
    <w:nsid w:val="14890B8C"/>
    <w:multiLevelType w:val="multilevel"/>
    <w:tmpl w:val="14890B8C"/>
    <w:lvl w:ilvl="0" w:tentative="0">
      <w:start w:val="1"/>
      <w:numFmt w:val="decimal"/>
      <w:lvlText w:val="4.%1"/>
      <w:lvlJc w:val="left"/>
      <w:pPr>
        <w:tabs>
          <w:tab w:val="left" w:pos="1468"/>
        </w:tabs>
        <w:ind w:left="1468" w:firstLine="1260"/>
      </w:pPr>
      <w:rPr>
        <w:rFonts w:hint="default" w:ascii="Times New Roman" w:hAnsi="Times New Roman" w:eastAsia="宋体"/>
      </w:rPr>
    </w:lvl>
    <w:lvl w:ilvl="1" w:tentative="0">
      <w:start w:val="1"/>
      <w:numFmt w:val="decimal"/>
      <w:lvlText w:val="(%2)"/>
      <w:lvlJc w:val="left"/>
      <w:pPr>
        <w:ind w:left="810" w:hanging="390"/>
      </w:pPr>
      <w:rPr>
        <w:rFonts w:hint="default" w:ascii="Times New Roman" w:hAnsi="Times New Roman" w:cs="Times New Roman"/>
        <w:sz w:val="24"/>
        <w:szCs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55F0A0A"/>
    <w:multiLevelType w:val="multilevel"/>
    <w:tmpl w:val="155F0A0A"/>
    <w:lvl w:ilvl="0" w:tentative="0">
      <w:start w:val="1"/>
      <w:numFmt w:val="lowerRoman"/>
      <w:lvlText w:val="(%1) "/>
      <w:lvlJc w:val="left"/>
      <w:pPr>
        <w:tabs>
          <w:tab w:val="left" w:pos="780"/>
        </w:tabs>
        <w:ind w:left="780" w:hanging="360"/>
      </w:pPr>
      <w:rPr>
        <w:rFonts w:hint="default" w:ascii="Times New Roman" w:hAnsi="Times New Roman" w:cs="Times New Roman"/>
        <w:b w:val="0"/>
        <w:bCs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82338AD"/>
    <w:multiLevelType w:val="multilevel"/>
    <w:tmpl w:val="182338AD"/>
    <w:lvl w:ilvl="0" w:tentative="0">
      <w:start w:val="1"/>
      <w:numFmt w:val="decimal"/>
      <w:lvlText w:val="6.%1"/>
      <w:lvlJc w:val="left"/>
      <w:pPr>
        <w:tabs>
          <w:tab w:val="left" w:pos="1468"/>
        </w:tabs>
        <w:ind w:left="1468" w:firstLine="1260"/>
      </w:pPr>
      <w:rPr>
        <w:rFonts w:hint="default" w:ascii="Times New Roman" w:hAnsi="Times New Roman" w:eastAsia="宋体"/>
        <w:b w:val="0"/>
        <w:i w:val="0"/>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18324A0E"/>
    <w:multiLevelType w:val="singleLevel"/>
    <w:tmpl w:val="18324A0E"/>
    <w:lvl w:ilvl="0" w:tentative="0">
      <w:start w:val="1"/>
      <w:numFmt w:val="decimal"/>
      <w:suff w:val="nothing"/>
      <w:lvlText w:val="%1、"/>
      <w:lvlJc w:val="left"/>
    </w:lvl>
  </w:abstractNum>
  <w:abstractNum w:abstractNumId="16">
    <w:nsid w:val="1BC03D45"/>
    <w:multiLevelType w:val="multilevel"/>
    <w:tmpl w:val="1BC03D45"/>
    <w:lvl w:ilvl="0" w:tentative="0">
      <w:start w:val="1"/>
      <w:numFmt w:val="decimal"/>
      <w:lvlText w:val="(%1)"/>
      <w:lvlJc w:val="left"/>
      <w:pPr>
        <w:ind w:left="1128" w:hanging="420"/>
      </w:pPr>
      <w:rPr>
        <w:rFonts w:hint="eastAsia"/>
      </w:rPr>
    </w:lvl>
    <w:lvl w:ilvl="1" w:tentative="0">
      <w:start w:val="1"/>
      <w:numFmt w:val="decimal"/>
      <w:lvlText w:val="(%2)"/>
      <w:lvlJc w:val="left"/>
      <w:pPr>
        <w:ind w:left="1548" w:hanging="420"/>
      </w:pPr>
      <w:rPr>
        <w:rFonts w:hint="eastAsia"/>
      </w:r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17">
    <w:nsid w:val="20714EDA"/>
    <w:multiLevelType w:val="multilevel"/>
    <w:tmpl w:val="20714EDA"/>
    <w:lvl w:ilvl="0" w:tentative="0">
      <w:start w:val="1"/>
      <w:numFmt w:val="decimal"/>
      <w:lvlText w:val="(%1)"/>
      <w:lvlJc w:val="left"/>
      <w:pPr>
        <w:ind w:left="1128" w:hanging="42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230D4FA5"/>
    <w:multiLevelType w:val="multilevel"/>
    <w:tmpl w:val="230D4FA5"/>
    <w:lvl w:ilvl="0" w:tentative="0">
      <w:start w:val="1"/>
      <w:numFmt w:val="decimal"/>
      <w:lvlText w:val="14.%1"/>
      <w:lvlJc w:val="left"/>
      <w:pPr>
        <w:ind w:left="562"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982" w:hanging="420"/>
      </w:pPr>
      <w:rPr>
        <w:rFonts w:cs="Times New Roman"/>
      </w:rPr>
    </w:lvl>
    <w:lvl w:ilvl="2" w:tentative="0">
      <w:start w:val="1"/>
      <w:numFmt w:val="lowerRoman"/>
      <w:lvlText w:val="%3."/>
      <w:lvlJc w:val="right"/>
      <w:pPr>
        <w:ind w:left="1402" w:hanging="420"/>
      </w:pPr>
      <w:rPr>
        <w:rFonts w:cs="Times New Roman"/>
      </w:rPr>
    </w:lvl>
    <w:lvl w:ilvl="3" w:tentative="0">
      <w:start w:val="1"/>
      <w:numFmt w:val="decimal"/>
      <w:lvlText w:val="%4."/>
      <w:lvlJc w:val="left"/>
      <w:pPr>
        <w:ind w:left="1822" w:hanging="420"/>
      </w:pPr>
      <w:rPr>
        <w:rFonts w:cs="Times New Roman"/>
      </w:rPr>
    </w:lvl>
    <w:lvl w:ilvl="4" w:tentative="0">
      <w:start w:val="1"/>
      <w:numFmt w:val="lowerLetter"/>
      <w:lvlText w:val="%5)"/>
      <w:lvlJc w:val="left"/>
      <w:pPr>
        <w:ind w:left="2242" w:hanging="420"/>
      </w:pPr>
      <w:rPr>
        <w:rFonts w:cs="Times New Roman"/>
      </w:rPr>
    </w:lvl>
    <w:lvl w:ilvl="5" w:tentative="0">
      <w:start w:val="1"/>
      <w:numFmt w:val="lowerRoman"/>
      <w:lvlText w:val="%6."/>
      <w:lvlJc w:val="right"/>
      <w:pPr>
        <w:ind w:left="2662" w:hanging="420"/>
      </w:pPr>
      <w:rPr>
        <w:rFonts w:cs="Times New Roman"/>
      </w:rPr>
    </w:lvl>
    <w:lvl w:ilvl="6" w:tentative="0">
      <w:start w:val="1"/>
      <w:numFmt w:val="decimal"/>
      <w:lvlText w:val="%7."/>
      <w:lvlJc w:val="left"/>
      <w:pPr>
        <w:ind w:left="3082" w:hanging="420"/>
      </w:pPr>
      <w:rPr>
        <w:rFonts w:cs="Times New Roman"/>
      </w:rPr>
    </w:lvl>
    <w:lvl w:ilvl="7" w:tentative="0">
      <w:start w:val="1"/>
      <w:numFmt w:val="lowerLetter"/>
      <w:lvlText w:val="%8)"/>
      <w:lvlJc w:val="left"/>
      <w:pPr>
        <w:ind w:left="3502" w:hanging="420"/>
      </w:pPr>
      <w:rPr>
        <w:rFonts w:cs="Times New Roman"/>
      </w:rPr>
    </w:lvl>
    <w:lvl w:ilvl="8" w:tentative="0">
      <w:start w:val="1"/>
      <w:numFmt w:val="lowerRoman"/>
      <w:lvlText w:val="%9."/>
      <w:lvlJc w:val="right"/>
      <w:pPr>
        <w:ind w:left="3922" w:hanging="420"/>
      </w:pPr>
      <w:rPr>
        <w:rFonts w:cs="Times New Roman"/>
      </w:rPr>
    </w:lvl>
  </w:abstractNum>
  <w:abstractNum w:abstractNumId="19">
    <w:nsid w:val="2549136A"/>
    <w:multiLevelType w:val="multilevel"/>
    <w:tmpl w:val="2549136A"/>
    <w:lvl w:ilvl="0" w:tentative="0">
      <w:start w:val="1"/>
      <w:numFmt w:val="decimal"/>
      <w:lvlText w:val="26.%1"/>
      <w:lvlJc w:val="left"/>
      <w:pPr>
        <w:tabs>
          <w:tab w:val="left" w:pos="0"/>
        </w:tabs>
        <w:ind w:left="42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254B6397"/>
    <w:multiLevelType w:val="multilevel"/>
    <w:tmpl w:val="254B6397"/>
    <w:lvl w:ilvl="0" w:tentative="0">
      <w:start w:val="1"/>
      <w:numFmt w:val="decimal"/>
      <w:lvlText w:val="4.%1"/>
      <w:lvlJc w:val="left"/>
      <w:pPr>
        <w:ind w:left="420" w:hanging="420"/>
      </w:pPr>
      <w:rPr>
        <w:rFonts w:hint="default" w:ascii="Times New Roman" w:hAnsi="Times New Roman" w:cs="Times New Roman"/>
        <w:b w:val="0"/>
        <w:bCs w:val="0"/>
        <w:i w:val="0"/>
        <w:iCs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5E87648"/>
    <w:multiLevelType w:val="multilevel"/>
    <w:tmpl w:val="25E87648"/>
    <w:lvl w:ilvl="0" w:tentative="0">
      <w:start w:val="1"/>
      <w:numFmt w:val="decimal"/>
      <w:lvlText w:val="9.%1"/>
      <w:lvlJc w:val="left"/>
      <w:pPr>
        <w:tabs>
          <w:tab w:val="left" w:pos="1468"/>
        </w:tabs>
        <w:ind w:left="1468" w:firstLine="12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28DE7901"/>
    <w:multiLevelType w:val="multilevel"/>
    <w:tmpl w:val="28DE7901"/>
    <w:lvl w:ilvl="0" w:tentative="0">
      <w:start w:val="1"/>
      <w:numFmt w:val="decimal"/>
      <w:lvlText w:val="16.%1"/>
      <w:lvlJc w:val="left"/>
      <w:pPr>
        <w:ind w:left="562"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23">
    <w:nsid w:val="2ACF0067"/>
    <w:multiLevelType w:val="multilevel"/>
    <w:tmpl w:val="2ACF0067"/>
    <w:lvl w:ilvl="0" w:tentative="0">
      <w:start w:val="1"/>
      <w:numFmt w:val="decimal"/>
      <w:lvlText w:val="8.%1"/>
      <w:lvlJc w:val="left"/>
      <w:pPr>
        <w:ind w:left="420" w:hanging="420"/>
      </w:pPr>
      <w:rPr>
        <w:rFonts w:hint="eastAsia"/>
        <w:color w:val="auto"/>
        <w:sz w:val="24"/>
        <w:szCs w:val="24"/>
      </w:rPr>
    </w:lvl>
    <w:lvl w:ilvl="1" w:tentative="0">
      <w:start w:val="1"/>
      <w:numFmt w:val="lowerLetter"/>
      <w:lvlText w:val="%2)"/>
      <w:lvlJc w:val="left"/>
      <w:pPr>
        <w:ind w:left="840" w:hanging="420"/>
      </w:pPr>
    </w:lvl>
    <w:lvl w:ilvl="2" w:tentative="0">
      <w:start w:val="1"/>
      <w:numFmt w:val="decimal"/>
      <w:lvlText w:val="(%3)"/>
      <w:lvlJc w:val="left"/>
      <w:pPr>
        <w:ind w:left="1365" w:hanging="525"/>
      </w:pPr>
      <w:rPr>
        <w:rFonts w:hint="default" w:ascii="Times New Roman" w:hAnsi="Times New Roman" w:cs="Times New Roman"/>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2CD81BE9"/>
    <w:multiLevelType w:val="multilevel"/>
    <w:tmpl w:val="2CD81BE9"/>
    <w:lvl w:ilvl="0" w:tentative="0">
      <w:start w:val="1"/>
      <w:numFmt w:val="decimal"/>
      <w:lvlText w:val="8.%1"/>
      <w:lvlJc w:val="left"/>
      <w:pPr>
        <w:ind w:left="1140" w:hanging="420"/>
      </w:pPr>
      <w:rPr>
        <w:rFonts w:hint="default" w:ascii="Times New Roman" w:hAnsi="Times New Roman" w:cs="Times New Roman"/>
        <w:color w:val="auto"/>
        <w:sz w:val="24"/>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5">
    <w:nsid w:val="2DD57E63"/>
    <w:multiLevelType w:val="multilevel"/>
    <w:tmpl w:val="2DD57E63"/>
    <w:lvl w:ilvl="0" w:tentative="0">
      <w:start w:val="1"/>
      <w:numFmt w:val="decimal"/>
      <w:lvlText w:val="(%1)"/>
      <w:lvlJc w:val="left"/>
      <w:pPr>
        <w:tabs>
          <w:tab w:val="left" w:pos="-560"/>
        </w:tabs>
        <w:ind w:left="1125" w:hanging="1125"/>
      </w:pPr>
      <w:rPr>
        <w:rFonts w:hint="default" w:ascii="Times New Roman" w:hAnsi="Times New Roman" w:cs="Times New Roman"/>
      </w:rPr>
    </w:lvl>
    <w:lvl w:ilvl="1" w:tentative="0">
      <w:start w:val="1"/>
      <w:numFmt w:val="lowerLetter"/>
      <w:lvlText w:val="%2)"/>
      <w:lvlJc w:val="left"/>
      <w:pPr>
        <w:tabs>
          <w:tab w:val="left" w:pos="1260"/>
        </w:tabs>
        <w:ind w:left="1260" w:hanging="420"/>
      </w:pPr>
      <w:rPr>
        <w:rFonts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abstractNum w:abstractNumId="26">
    <w:nsid w:val="30B14288"/>
    <w:multiLevelType w:val="multilevel"/>
    <w:tmpl w:val="30B14288"/>
    <w:lvl w:ilvl="0" w:tentative="0">
      <w:start w:val="1"/>
      <w:numFmt w:val="decimal"/>
      <w:lvlText w:val="14.%1"/>
      <w:lvlJc w:val="left"/>
      <w:pPr>
        <w:ind w:left="420" w:hanging="420"/>
      </w:pPr>
      <w:rPr>
        <w:rFonts w:hint="default" w:ascii="Times New Roman" w:hAnsi="Times New Roman" w:cs="Times New Roman"/>
        <w:b w:val="0"/>
        <w:i w:val="0"/>
        <w:color w:val="auto"/>
        <w:sz w:val="21"/>
        <w:szCs w:val="21"/>
        <w:lang w:eastAsia="zh-CN"/>
      </w:rPr>
    </w:lvl>
    <w:lvl w:ilvl="1" w:tentative="0">
      <w:start w:val="1"/>
      <w:numFmt w:val="lowerLetter"/>
      <w:lvlText w:val="%2)"/>
      <w:lvlJc w:val="left"/>
      <w:pPr>
        <w:ind w:left="840" w:hanging="420"/>
      </w:pPr>
      <w:rPr>
        <w:rFonts w:cs="Times New Roman"/>
      </w:rPr>
    </w:lvl>
    <w:lvl w:ilvl="2" w:tentative="0">
      <w:start w:val="1"/>
      <w:numFmt w:val="decimal"/>
      <w:lvlText w:val="(%3)"/>
      <w:lvlJc w:val="left"/>
      <w:pPr>
        <w:ind w:left="1365" w:hanging="525"/>
      </w:pPr>
      <w:rPr>
        <w:rFonts w:cs="Times New Roman"/>
      </w:rPr>
    </w:lvl>
    <w:lvl w:ilvl="3" w:tentative="0">
      <w:start w:val="11"/>
      <w:numFmt w:val="bullet"/>
      <w:lvlText w:val="□"/>
      <w:lvlJc w:val="left"/>
      <w:pPr>
        <w:tabs>
          <w:tab w:val="left" w:pos="1620"/>
        </w:tabs>
        <w:ind w:left="1620" w:hanging="360"/>
      </w:pPr>
      <w:rPr>
        <w:rFonts w:hint="eastAsia" w:ascii="宋体" w:hAnsi="宋体" w:eastAsia="宋体"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7">
    <w:nsid w:val="34833FB0"/>
    <w:multiLevelType w:val="multilevel"/>
    <w:tmpl w:val="34833FB0"/>
    <w:lvl w:ilvl="0" w:tentative="0">
      <w:start w:val="1"/>
      <w:numFmt w:val="lowerRoman"/>
      <w:lvlText w:val="(%1) "/>
      <w:lvlJc w:val="left"/>
      <w:pPr>
        <w:tabs>
          <w:tab w:val="left" w:pos="780"/>
        </w:tabs>
        <w:ind w:left="780" w:hanging="360"/>
      </w:pPr>
      <w:rPr>
        <w:rFonts w:hint="default" w:ascii="Times New Roman" w:hAnsi="Times New Roman" w:cs="Times New Roman"/>
        <w:b w:val="0"/>
        <w:bCs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354F523D"/>
    <w:multiLevelType w:val="multilevel"/>
    <w:tmpl w:val="354F523D"/>
    <w:lvl w:ilvl="0" w:tentative="0">
      <w:start w:val="1"/>
      <w:numFmt w:val="decimal"/>
      <w:lvlText w:val="(%1)"/>
      <w:lvlJc w:val="left"/>
      <w:pPr>
        <w:tabs>
          <w:tab w:val="left" w:pos="1140"/>
        </w:tabs>
        <w:ind w:left="1140" w:hanging="720"/>
      </w:pPr>
      <w:rPr>
        <w:rFonts w:hint="eastAsia" w:ascii="Times New Roman" w:hAnsi="Times New Roman" w:eastAsia="宋体"/>
      </w:rPr>
    </w:lvl>
    <w:lvl w:ilvl="1" w:tentative="0">
      <w:start w:val="1"/>
      <w:numFmt w:val="lowerLetter"/>
      <w:lvlText w:val="%2)"/>
      <w:lvlJc w:val="left"/>
      <w:pPr>
        <w:tabs>
          <w:tab w:val="left" w:pos="300"/>
        </w:tabs>
        <w:ind w:left="300" w:hanging="420"/>
      </w:pPr>
    </w:lvl>
    <w:lvl w:ilvl="2" w:tentative="0">
      <w:start w:val="1"/>
      <w:numFmt w:val="lowerRoman"/>
      <w:lvlText w:val="%3."/>
      <w:lvlJc w:val="right"/>
      <w:pPr>
        <w:tabs>
          <w:tab w:val="left" w:pos="720"/>
        </w:tabs>
        <w:ind w:left="720" w:hanging="420"/>
      </w:pPr>
    </w:lvl>
    <w:lvl w:ilvl="3" w:tentative="0">
      <w:start w:val="1"/>
      <w:numFmt w:val="decimal"/>
      <w:lvlText w:val="%4."/>
      <w:lvlJc w:val="left"/>
      <w:pPr>
        <w:tabs>
          <w:tab w:val="left" w:pos="1140"/>
        </w:tabs>
        <w:ind w:left="1140" w:hanging="420"/>
      </w:pPr>
    </w:lvl>
    <w:lvl w:ilvl="4" w:tentative="0">
      <w:start w:val="1"/>
      <w:numFmt w:val="lowerLetter"/>
      <w:lvlText w:val="%5)"/>
      <w:lvlJc w:val="left"/>
      <w:pPr>
        <w:tabs>
          <w:tab w:val="left" w:pos="1560"/>
        </w:tabs>
        <w:ind w:left="1560" w:hanging="420"/>
      </w:pPr>
    </w:lvl>
    <w:lvl w:ilvl="5" w:tentative="0">
      <w:start w:val="1"/>
      <w:numFmt w:val="lowerRoman"/>
      <w:lvlText w:val="%6."/>
      <w:lvlJc w:val="right"/>
      <w:pPr>
        <w:tabs>
          <w:tab w:val="left" w:pos="1980"/>
        </w:tabs>
        <w:ind w:left="1980" w:hanging="420"/>
      </w:pPr>
    </w:lvl>
    <w:lvl w:ilvl="6" w:tentative="0">
      <w:start w:val="1"/>
      <w:numFmt w:val="decimal"/>
      <w:lvlText w:val="%7."/>
      <w:lvlJc w:val="left"/>
      <w:pPr>
        <w:tabs>
          <w:tab w:val="left" w:pos="2400"/>
        </w:tabs>
        <w:ind w:left="2400" w:hanging="420"/>
      </w:pPr>
    </w:lvl>
    <w:lvl w:ilvl="7" w:tentative="0">
      <w:start w:val="1"/>
      <w:numFmt w:val="lowerLetter"/>
      <w:lvlText w:val="%8)"/>
      <w:lvlJc w:val="left"/>
      <w:pPr>
        <w:tabs>
          <w:tab w:val="left" w:pos="2820"/>
        </w:tabs>
        <w:ind w:left="2820" w:hanging="420"/>
      </w:pPr>
    </w:lvl>
    <w:lvl w:ilvl="8" w:tentative="0">
      <w:start w:val="1"/>
      <w:numFmt w:val="lowerRoman"/>
      <w:lvlText w:val="%9."/>
      <w:lvlJc w:val="right"/>
      <w:pPr>
        <w:tabs>
          <w:tab w:val="left" w:pos="3240"/>
        </w:tabs>
        <w:ind w:left="3240" w:hanging="420"/>
      </w:pPr>
    </w:lvl>
  </w:abstractNum>
  <w:abstractNum w:abstractNumId="29">
    <w:nsid w:val="37B67DAE"/>
    <w:multiLevelType w:val="multilevel"/>
    <w:tmpl w:val="37B67DAE"/>
    <w:lvl w:ilvl="0" w:tentative="0">
      <w:start w:val="1"/>
      <w:numFmt w:val="chineseCountingThousand"/>
      <w:lvlText w:val="第%1条"/>
      <w:lvlJc w:val="left"/>
      <w:pPr>
        <w:tabs>
          <w:tab w:val="left" w:pos="3688"/>
        </w:tabs>
        <w:ind w:left="3688" w:hanging="960"/>
      </w:pPr>
      <w:rPr>
        <w:rFonts w:hint="eastAsia"/>
        <w:lang w:val="en-US"/>
      </w:rPr>
    </w:lvl>
    <w:lvl w:ilvl="1" w:tentative="0">
      <w:start w:val="1"/>
      <w:numFmt w:val="decimal"/>
      <w:lvlText w:val="2.%2"/>
      <w:lvlJc w:val="left"/>
      <w:pPr>
        <w:tabs>
          <w:tab w:val="left" w:pos="1468"/>
        </w:tabs>
        <w:ind w:left="1468" w:firstLine="1260"/>
      </w:pPr>
      <w:rPr>
        <w:rFonts w:hint="default" w:ascii="Times New Roman" w:hAnsi="Times New Roman"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37BB4534"/>
    <w:multiLevelType w:val="multilevel"/>
    <w:tmpl w:val="37BB4534"/>
    <w:lvl w:ilvl="0" w:tentative="0">
      <w:start w:val="1"/>
      <w:numFmt w:val="decimal"/>
      <w:lvlText w:val="(%1)"/>
      <w:lvlJc w:val="left"/>
      <w:pPr>
        <w:ind w:left="1068" w:hanging="420"/>
      </w:pPr>
      <w:rPr>
        <w:rFonts w:hint="eastAsia" w:ascii="Times New Roman" w:hAnsi="Times New Roman" w:eastAsia="宋体" w:cs="Times New Roman"/>
      </w:rPr>
    </w:lvl>
    <w:lvl w:ilvl="1" w:tentative="0">
      <w:start w:val="1"/>
      <w:numFmt w:val="decimal"/>
      <w:lvlText w:val="(%2)"/>
      <w:lvlJc w:val="left"/>
      <w:pPr>
        <w:ind w:left="1488" w:hanging="420"/>
      </w:pPr>
      <w:rPr>
        <w:rFonts w:hint="eastAsia" w:ascii="Times New Roman" w:hAnsi="Times New Roman" w:eastAsia="宋体" w:cs="Times New Roman"/>
      </w:rPr>
    </w:lvl>
    <w:lvl w:ilvl="2" w:tentative="0">
      <w:start w:val="1"/>
      <w:numFmt w:val="lowerRoman"/>
      <w:lvlText w:val="%3."/>
      <w:lvlJc w:val="right"/>
      <w:pPr>
        <w:ind w:left="1908" w:hanging="420"/>
      </w:p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abstractNum w:abstractNumId="31">
    <w:nsid w:val="3A576153"/>
    <w:multiLevelType w:val="multilevel"/>
    <w:tmpl w:val="3A576153"/>
    <w:lvl w:ilvl="0" w:tentative="0">
      <w:start w:val="1"/>
      <w:numFmt w:val="decimal"/>
      <w:lvlText w:val="7.%1"/>
      <w:lvlJc w:val="left"/>
      <w:pPr>
        <w:tabs>
          <w:tab w:val="left" w:pos="1468"/>
        </w:tabs>
        <w:ind w:left="1468" w:firstLine="1260"/>
      </w:pPr>
      <w:rPr>
        <w:rFonts w:hint="default" w:ascii="Times New Roman" w:hAnsi="Times New Roman" w:eastAsia="宋体"/>
        <w:b w:val="0"/>
        <w:bCs w:val="0"/>
        <w:i w:val="0"/>
        <w:i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3ABB4496"/>
    <w:multiLevelType w:val="multilevel"/>
    <w:tmpl w:val="3ABB4496"/>
    <w:lvl w:ilvl="0" w:tentative="0">
      <w:start w:val="1"/>
      <w:numFmt w:val="decimal"/>
      <w:lvlText w:val="9.%1"/>
      <w:lvlJc w:val="left"/>
      <w:pPr>
        <w:tabs>
          <w:tab w:val="left" w:pos="0"/>
        </w:tabs>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3AF631A7"/>
    <w:multiLevelType w:val="multilevel"/>
    <w:tmpl w:val="3AF631A7"/>
    <w:lvl w:ilvl="0" w:tentative="0">
      <w:start w:val="1"/>
      <w:numFmt w:val="decimal"/>
      <w:lvlText w:val="(%1)"/>
      <w:lvlJc w:val="left"/>
      <w:pPr>
        <w:tabs>
          <w:tab w:val="left" w:pos="900"/>
        </w:tabs>
        <w:ind w:left="900" w:hanging="420"/>
      </w:pPr>
      <w:rPr>
        <w:rFonts w:hint="eastAsia" w:ascii="Times New Roman" w:hAnsi="宋体" w:eastAsia="宋体"/>
      </w:rPr>
    </w:lvl>
    <w:lvl w:ilvl="1" w:tentative="0">
      <w:start w:val="3"/>
      <w:numFmt w:val="decimal"/>
      <w:isLgl/>
      <w:lvlText w:val="%1.%2"/>
      <w:lvlJc w:val="left"/>
      <w:pPr>
        <w:tabs>
          <w:tab w:val="left" w:pos="840"/>
        </w:tabs>
        <w:ind w:left="840" w:hanging="360"/>
      </w:pPr>
      <w:rPr>
        <w:rFonts w:hint="default"/>
      </w:rPr>
    </w:lvl>
    <w:lvl w:ilvl="2" w:tentative="0">
      <w:start w:val="1"/>
      <w:numFmt w:val="decimal"/>
      <w:isLgl/>
      <w:lvlText w:val="%1.%2.%3"/>
      <w:lvlJc w:val="left"/>
      <w:pPr>
        <w:tabs>
          <w:tab w:val="left" w:pos="1200"/>
        </w:tabs>
        <w:ind w:left="1200" w:hanging="720"/>
      </w:pPr>
      <w:rPr>
        <w:rFonts w:hint="default"/>
      </w:rPr>
    </w:lvl>
    <w:lvl w:ilvl="3" w:tentative="0">
      <w:start w:val="1"/>
      <w:numFmt w:val="decimal"/>
      <w:isLgl/>
      <w:lvlText w:val="%1.%2.%3.%4"/>
      <w:lvlJc w:val="left"/>
      <w:pPr>
        <w:tabs>
          <w:tab w:val="left" w:pos="1200"/>
        </w:tabs>
        <w:ind w:left="1200" w:hanging="720"/>
      </w:pPr>
      <w:rPr>
        <w:rFonts w:hint="default"/>
      </w:rPr>
    </w:lvl>
    <w:lvl w:ilvl="4" w:tentative="0">
      <w:start w:val="1"/>
      <w:numFmt w:val="decimal"/>
      <w:isLgl/>
      <w:lvlText w:val="%1.%2.%3.%4.%5"/>
      <w:lvlJc w:val="left"/>
      <w:pPr>
        <w:tabs>
          <w:tab w:val="left" w:pos="1560"/>
        </w:tabs>
        <w:ind w:left="1560" w:hanging="1080"/>
      </w:pPr>
      <w:rPr>
        <w:rFonts w:hint="default"/>
      </w:rPr>
    </w:lvl>
    <w:lvl w:ilvl="5" w:tentative="0">
      <w:start w:val="1"/>
      <w:numFmt w:val="decimal"/>
      <w:isLgl/>
      <w:lvlText w:val="%1.%2.%3.%4.%5.%6"/>
      <w:lvlJc w:val="left"/>
      <w:pPr>
        <w:tabs>
          <w:tab w:val="left" w:pos="1560"/>
        </w:tabs>
        <w:ind w:left="1560" w:hanging="1080"/>
      </w:pPr>
      <w:rPr>
        <w:rFonts w:hint="default"/>
      </w:rPr>
    </w:lvl>
    <w:lvl w:ilvl="6" w:tentative="0">
      <w:start w:val="1"/>
      <w:numFmt w:val="decimal"/>
      <w:isLgl/>
      <w:lvlText w:val="%1.%2.%3.%4.%5.%6.%7"/>
      <w:lvlJc w:val="left"/>
      <w:pPr>
        <w:tabs>
          <w:tab w:val="left" w:pos="1920"/>
        </w:tabs>
        <w:ind w:left="1920" w:hanging="1440"/>
      </w:pPr>
      <w:rPr>
        <w:rFonts w:hint="default"/>
      </w:rPr>
    </w:lvl>
    <w:lvl w:ilvl="7" w:tentative="0">
      <w:start w:val="1"/>
      <w:numFmt w:val="decimal"/>
      <w:isLgl/>
      <w:lvlText w:val="%1.%2.%3.%4.%5.%6.%7.%8"/>
      <w:lvlJc w:val="left"/>
      <w:pPr>
        <w:tabs>
          <w:tab w:val="left" w:pos="1920"/>
        </w:tabs>
        <w:ind w:left="1920" w:hanging="1440"/>
      </w:pPr>
      <w:rPr>
        <w:rFonts w:hint="default"/>
      </w:rPr>
    </w:lvl>
    <w:lvl w:ilvl="8" w:tentative="0">
      <w:start w:val="1"/>
      <w:numFmt w:val="decimal"/>
      <w:isLgl/>
      <w:lvlText w:val="%1.%2.%3.%4.%5.%6.%7.%8.%9"/>
      <w:lvlJc w:val="left"/>
      <w:pPr>
        <w:tabs>
          <w:tab w:val="left" w:pos="2280"/>
        </w:tabs>
        <w:ind w:left="2280" w:hanging="1800"/>
      </w:pPr>
      <w:rPr>
        <w:rFonts w:hint="default"/>
      </w:rPr>
    </w:lvl>
  </w:abstractNum>
  <w:abstractNum w:abstractNumId="34">
    <w:nsid w:val="3DBA3BCE"/>
    <w:multiLevelType w:val="multilevel"/>
    <w:tmpl w:val="3DBA3BCE"/>
    <w:lvl w:ilvl="0" w:tentative="0">
      <w:start w:val="1"/>
      <w:numFmt w:val="decimal"/>
      <w:lvlText w:val="(%1)"/>
      <w:lvlJc w:val="left"/>
      <w:pPr>
        <w:ind w:left="825" w:hanging="405"/>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3DF82515"/>
    <w:multiLevelType w:val="multilevel"/>
    <w:tmpl w:val="3DF82515"/>
    <w:lvl w:ilvl="0" w:tentative="0">
      <w:start w:val="1"/>
      <w:numFmt w:val="decimal"/>
      <w:lvlText w:val="18.%1"/>
      <w:lvlJc w:val="left"/>
      <w:pPr>
        <w:tabs>
          <w:tab w:val="left" w:pos="0"/>
        </w:tabs>
        <w:ind w:left="42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40B6C9A8"/>
    <w:multiLevelType w:val="singleLevel"/>
    <w:tmpl w:val="40B6C9A8"/>
    <w:lvl w:ilvl="0" w:tentative="0">
      <w:start w:val="1"/>
      <w:numFmt w:val="decimal"/>
      <w:suff w:val="nothing"/>
      <w:lvlText w:val="%1、"/>
      <w:lvlJc w:val="left"/>
    </w:lvl>
  </w:abstractNum>
  <w:abstractNum w:abstractNumId="37">
    <w:nsid w:val="4C6F71BF"/>
    <w:multiLevelType w:val="multilevel"/>
    <w:tmpl w:val="4C6F71BF"/>
    <w:lvl w:ilvl="0" w:tentative="0">
      <w:start w:val="1"/>
      <w:numFmt w:val="decimal"/>
      <w:lvlText w:val="29.%1"/>
      <w:lvlJc w:val="left"/>
      <w:pPr>
        <w:tabs>
          <w:tab w:val="left" w:pos="0"/>
        </w:tabs>
        <w:ind w:left="1260" w:hanging="420"/>
      </w:pPr>
      <w:rPr>
        <w:rFonts w:hint="default" w:ascii="Times New Roman" w:hAnsi="Times New Roman" w:cs="Times New Roman"/>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4F5111A7"/>
    <w:multiLevelType w:val="multilevel"/>
    <w:tmpl w:val="4F5111A7"/>
    <w:lvl w:ilvl="0" w:tentative="0">
      <w:start w:val="1"/>
      <w:numFmt w:val="decimal"/>
      <w:lvlText w:val="(%1)"/>
      <w:lvlJc w:val="left"/>
      <w:pPr>
        <w:ind w:left="1128" w:hanging="420"/>
      </w:pPr>
      <w:rPr>
        <w:rFonts w:hint="eastAsia"/>
      </w:r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39">
    <w:nsid w:val="5138266F"/>
    <w:multiLevelType w:val="multilevel"/>
    <w:tmpl w:val="5138266F"/>
    <w:lvl w:ilvl="0" w:tentative="0">
      <w:start w:val="1"/>
      <w:numFmt w:val="decimal"/>
      <w:lvlText w:val="7.%1"/>
      <w:lvlJc w:val="left"/>
      <w:pPr>
        <w:tabs>
          <w:tab w:val="left" w:pos="2728"/>
        </w:tabs>
        <w:ind w:left="3148" w:hanging="420"/>
      </w:pPr>
      <w:rPr>
        <w:rFonts w:hint="default" w:ascii="Times New Roman" w:hAnsi="Times New Roman" w:eastAsia="宋体"/>
        <w:b w:val="0"/>
        <w:bCs w:val="0"/>
        <w:i w:val="0"/>
        <w:i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5252687B"/>
    <w:multiLevelType w:val="multilevel"/>
    <w:tmpl w:val="5252687B"/>
    <w:lvl w:ilvl="0" w:tentative="0">
      <w:start w:val="1"/>
      <w:numFmt w:val="decimal"/>
      <w:lvlText w:val="26.%1"/>
      <w:lvlJc w:val="left"/>
      <w:pPr>
        <w:ind w:left="420" w:hanging="420"/>
      </w:pPr>
      <w:rPr>
        <w:rFonts w:hint="default" w:ascii="Times New Roman" w:hAnsi="Times New Roman" w:cs="Times New Roman"/>
        <w:b w:val="0"/>
        <w:bCs w:val="0"/>
        <w:i w:val="0"/>
        <w:iCs w:val="0"/>
      </w:rPr>
    </w:lvl>
    <w:lvl w:ilvl="1" w:tentative="0">
      <w:start w:val="1"/>
      <w:numFmt w:val="lowerLetter"/>
      <w:lvlText w:val="%2)"/>
      <w:lvlJc w:val="left"/>
      <w:pPr>
        <w:ind w:left="840" w:hanging="420"/>
      </w:pPr>
    </w:lvl>
    <w:lvl w:ilvl="2" w:tentative="0">
      <w:start w:val="1"/>
      <w:numFmt w:val="decimal"/>
      <w:lvlText w:val="27.%3"/>
      <w:lvlJc w:val="left"/>
      <w:pPr>
        <w:tabs>
          <w:tab w:val="left" w:pos="0"/>
        </w:tabs>
        <w:ind w:left="1260" w:hanging="420"/>
      </w:pPr>
      <w:rPr>
        <w:rFonts w:hint="default" w:ascii="Times New Roman" w:hAnsi="Times New Roman" w:cs="Times New Roman"/>
        <w:b w:val="0"/>
        <w:bCs w:val="0"/>
        <w:i w:val="0"/>
        <w:iCs w:val="0"/>
        <w:color w:val="auto"/>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53EF47A1"/>
    <w:multiLevelType w:val="multilevel"/>
    <w:tmpl w:val="53EF47A1"/>
    <w:lvl w:ilvl="0" w:tentative="0">
      <w:start w:val="1"/>
      <w:numFmt w:val="decimal"/>
      <w:lvlText w:val="28.%1"/>
      <w:lvlJc w:val="left"/>
      <w:pPr>
        <w:tabs>
          <w:tab w:val="left" w:pos="0"/>
        </w:tabs>
        <w:ind w:left="1260" w:hanging="420"/>
      </w:pPr>
      <w:rPr>
        <w:rFonts w:hint="default" w:ascii="Times New Roman" w:hAnsi="Times New Roman" w:eastAsia="宋体"/>
        <w:b w:val="0"/>
        <w:bCs w:val="0"/>
        <w:i w:val="0"/>
        <w:iCs w:val="0"/>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56791D3E"/>
    <w:multiLevelType w:val="multilevel"/>
    <w:tmpl w:val="56791D3E"/>
    <w:lvl w:ilvl="0" w:tentative="0">
      <w:start w:val="1"/>
      <w:numFmt w:val="decimal"/>
      <w:lvlText w:val="(%1)"/>
      <w:lvlJc w:val="left"/>
      <w:pPr>
        <w:tabs>
          <w:tab w:val="left" w:pos="840"/>
        </w:tabs>
        <w:ind w:left="840" w:hanging="420"/>
      </w:pPr>
      <w:rPr>
        <w:rFonts w:ascii="Times New Roman" w:hAnsi="宋体" w:eastAsia="宋体" w:cs="Times New Roman"/>
      </w:rPr>
    </w:lvl>
    <w:lvl w:ilvl="1" w:tentative="0">
      <w:start w:val="1"/>
      <w:numFmt w:val="lowerLetter"/>
      <w:lvlText w:val="%2)"/>
      <w:lvlJc w:val="left"/>
      <w:pPr>
        <w:tabs>
          <w:tab w:val="left" w:pos="360"/>
        </w:tabs>
        <w:ind w:left="360" w:hanging="420"/>
      </w:pPr>
    </w:lvl>
    <w:lvl w:ilvl="2" w:tentative="0">
      <w:start w:val="1"/>
      <w:numFmt w:val="lowerRoman"/>
      <w:lvlText w:val="%3."/>
      <w:lvlJc w:val="right"/>
      <w:pPr>
        <w:tabs>
          <w:tab w:val="left" w:pos="780"/>
        </w:tabs>
        <w:ind w:left="780" w:hanging="420"/>
      </w:pPr>
    </w:lvl>
    <w:lvl w:ilvl="3" w:tentative="0">
      <w:start w:val="1"/>
      <w:numFmt w:val="decimal"/>
      <w:lvlText w:val="%4."/>
      <w:lvlJc w:val="left"/>
      <w:pPr>
        <w:tabs>
          <w:tab w:val="left" w:pos="1200"/>
        </w:tabs>
        <w:ind w:left="1200" w:hanging="420"/>
      </w:pPr>
    </w:lvl>
    <w:lvl w:ilvl="4" w:tentative="0">
      <w:start w:val="1"/>
      <w:numFmt w:val="lowerLetter"/>
      <w:lvlText w:val="%5)"/>
      <w:lvlJc w:val="left"/>
      <w:pPr>
        <w:tabs>
          <w:tab w:val="left" w:pos="1620"/>
        </w:tabs>
        <w:ind w:left="1620" w:hanging="420"/>
      </w:pPr>
    </w:lvl>
    <w:lvl w:ilvl="5" w:tentative="0">
      <w:start w:val="1"/>
      <w:numFmt w:val="lowerRoman"/>
      <w:lvlText w:val="%6."/>
      <w:lvlJc w:val="right"/>
      <w:pPr>
        <w:tabs>
          <w:tab w:val="left" w:pos="2040"/>
        </w:tabs>
        <w:ind w:left="2040" w:hanging="420"/>
      </w:pPr>
    </w:lvl>
    <w:lvl w:ilvl="6" w:tentative="0">
      <w:start w:val="1"/>
      <w:numFmt w:val="decimal"/>
      <w:lvlText w:val="%7."/>
      <w:lvlJc w:val="left"/>
      <w:pPr>
        <w:tabs>
          <w:tab w:val="left" w:pos="2460"/>
        </w:tabs>
        <w:ind w:left="2460" w:hanging="420"/>
      </w:pPr>
    </w:lvl>
    <w:lvl w:ilvl="7" w:tentative="0">
      <w:start w:val="1"/>
      <w:numFmt w:val="lowerLetter"/>
      <w:lvlText w:val="%8)"/>
      <w:lvlJc w:val="left"/>
      <w:pPr>
        <w:tabs>
          <w:tab w:val="left" w:pos="2880"/>
        </w:tabs>
        <w:ind w:left="2880" w:hanging="420"/>
      </w:pPr>
    </w:lvl>
    <w:lvl w:ilvl="8" w:tentative="0">
      <w:start w:val="1"/>
      <w:numFmt w:val="lowerRoman"/>
      <w:lvlText w:val="%9."/>
      <w:lvlJc w:val="right"/>
      <w:pPr>
        <w:tabs>
          <w:tab w:val="left" w:pos="3300"/>
        </w:tabs>
        <w:ind w:left="3300" w:hanging="420"/>
      </w:pPr>
    </w:lvl>
  </w:abstractNum>
  <w:abstractNum w:abstractNumId="43">
    <w:nsid w:val="58BC59F2"/>
    <w:multiLevelType w:val="multilevel"/>
    <w:tmpl w:val="58BC59F2"/>
    <w:lvl w:ilvl="0" w:tentative="0">
      <w:start w:val="1"/>
      <w:numFmt w:val="decimal"/>
      <w:lvlText w:val="3.%1"/>
      <w:lvlJc w:val="left"/>
      <w:pPr>
        <w:tabs>
          <w:tab w:val="left" w:pos="1468"/>
        </w:tabs>
        <w:ind w:left="1468" w:firstLine="1260"/>
      </w:pPr>
      <w:rPr>
        <w:rFonts w:hint="default" w:ascii="Times New Roman" w:hAnsi="Times New Roman" w:eastAsia="宋体"/>
      </w:rPr>
    </w:lvl>
    <w:lvl w:ilvl="1" w:tentative="0">
      <w:start w:val="1"/>
      <w:numFmt w:val="decimal"/>
      <w:lvlText w:val="(%2)"/>
      <w:lvlJc w:val="left"/>
      <w:pPr>
        <w:ind w:left="825" w:hanging="405"/>
      </w:pPr>
      <w:rPr>
        <w:rFonts w:hint="default" w:ascii="Times New Roman" w:hAnsi="Times New Roman"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4">
    <w:nsid w:val="59C22B04"/>
    <w:multiLevelType w:val="multilevel"/>
    <w:tmpl w:val="59C22B04"/>
    <w:lvl w:ilvl="0" w:tentative="0">
      <w:start w:val="1"/>
      <w:numFmt w:val="ideographDigital"/>
      <w:lvlText w:val="第%1条"/>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5A5D5973"/>
    <w:multiLevelType w:val="multilevel"/>
    <w:tmpl w:val="5A5D5973"/>
    <w:lvl w:ilvl="0" w:tentative="0">
      <w:start w:val="1"/>
      <w:numFmt w:val="decimal"/>
      <w:lvlText w:val="(%1)"/>
      <w:lvlJc w:val="left"/>
      <w:pPr>
        <w:ind w:left="420" w:hanging="420"/>
      </w:pPr>
      <w:rPr>
        <w:rFonts w:hint="eastAsia"/>
      </w:rPr>
    </w:lvl>
    <w:lvl w:ilvl="1" w:tentative="0">
      <w:start w:val="1"/>
      <w:numFmt w:val="decimal"/>
      <w:lvlText w:val="(%2)"/>
      <w:lvlJc w:val="left"/>
      <w:pPr>
        <w:ind w:left="420" w:hanging="420"/>
      </w:pPr>
      <w:rPr>
        <w:rFonts w:hint="eastAsia"/>
      </w:rPr>
    </w:lvl>
    <w:lvl w:ilvl="2" w:tentative="0">
      <w:start w:val="1"/>
      <w:numFmt w:val="decimal"/>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5CD51FE0"/>
    <w:multiLevelType w:val="multilevel"/>
    <w:tmpl w:val="5CD51FE0"/>
    <w:lvl w:ilvl="0" w:tentative="0">
      <w:start w:val="1"/>
      <w:numFmt w:val="decimal"/>
      <w:lvlText w:val="10.%1"/>
      <w:lvlJc w:val="left"/>
      <w:pPr>
        <w:ind w:left="420" w:hanging="420"/>
      </w:pPr>
      <w:rPr>
        <w:rFonts w:hint="eastAsia" w:cs="Times New Roman"/>
        <w:b w:val="0"/>
        <w:i w:val="0"/>
        <w:color w:val="auto"/>
        <w:sz w:val="24"/>
        <w:szCs w:val="24"/>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7">
    <w:nsid w:val="5FF748D3"/>
    <w:multiLevelType w:val="multilevel"/>
    <w:tmpl w:val="5FF748D3"/>
    <w:lvl w:ilvl="0" w:tentative="0">
      <w:start w:val="1"/>
      <w:numFmt w:val="decimal"/>
      <w:lvlText w:val="25.%1"/>
      <w:lvlJc w:val="left"/>
      <w:pPr>
        <w:tabs>
          <w:tab w:val="left" w:pos="0"/>
        </w:tabs>
        <w:ind w:left="42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61694D6C"/>
    <w:multiLevelType w:val="singleLevel"/>
    <w:tmpl w:val="61694D6C"/>
    <w:lvl w:ilvl="0" w:tentative="0">
      <w:start w:val="1"/>
      <w:numFmt w:val="decimal"/>
      <w:suff w:val="nothing"/>
      <w:lvlText w:val="%1、"/>
      <w:lvlJc w:val="left"/>
    </w:lvl>
  </w:abstractNum>
  <w:abstractNum w:abstractNumId="49">
    <w:nsid w:val="62257693"/>
    <w:multiLevelType w:val="multilevel"/>
    <w:tmpl w:val="62257693"/>
    <w:lvl w:ilvl="0" w:tentative="0">
      <w:start w:val="1"/>
      <w:numFmt w:val="decimal"/>
      <w:lvlText w:val="17.%1"/>
      <w:lvlJc w:val="left"/>
      <w:pPr>
        <w:ind w:left="420" w:hanging="420"/>
      </w:pPr>
      <w:rPr>
        <w:rFonts w:hint="default" w:ascii="Times New Roman" w:hAnsi="Times New Roman"/>
        <w:b w:val="0"/>
        <w:bCs w:val="0"/>
        <w:i w:val="0"/>
        <w:iCs w:val="0"/>
        <w:color w:val="auto"/>
        <w:spacing w:val="0"/>
        <w:kern w:val="2"/>
        <w:sz w:val="24"/>
        <w:szCs w:val="24"/>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638C4BB5"/>
    <w:multiLevelType w:val="multilevel"/>
    <w:tmpl w:val="638C4BB5"/>
    <w:lvl w:ilvl="0" w:tentative="0">
      <w:start w:val="1"/>
      <w:numFmt w:val="decimal"/>
      <w:lvlText w:val="13.%1"/>
      <w:lvlJc w:val="left"/>
      <w:pPr>
        <w:tabs>
          <w:tab w:val="left" w:pos="1468"/>
        </w:tabs>
        <w:ind w:left="1468" w:firstLine="1260"/>
      </w:pPr>
      <w:rPr>
        <w:rFonts w:hint="default" w:ascii="Times New Roman" w:hAnsi="Times New Roman" w:cs="Times New Roman"/>
        <w:b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1">
    <w:nsid w:val="65CE644A"/>
    <w:multiLevelType w:val="multilevel"/>
    <w:tmpl w:val="65CE644A"/>
    <w:lvl w:ilvl="0" w:tentative="0">
      <w:start w:val="1"/>
      <w:numFmt w:val="decimal"/>
      <w:lvlText w:val="24.%1"/>
      <w:lvlJc w:val="left"/>
      <w:pPr>
        <w:tabs>
          <w:tab w:val="left" w:pos="120"/>
        </w:tabs>
        <w:ind w:left="54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ind w:left="960" w:hanging="420"/>
      </w:p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52">
    <w:nsid w:val="671B442A"/>
    <w:multiLevelType w:val="multilevel"/>
    <w:tmpl w:val="671B442A"/>
    <w:lvl w:ilvl="0" w:tentative="0">
      <w:start w:val="1"/>
      <w:numFmt w:val="decimal"/>
      <w:lvlText w:val="9.%1"/>
      <w:lvlJc w:val="left"/>
      <w:pPr>
        <w:tabs>
          <w:tab w:val="left" w:pos="840"/>
        </w:tabs>
        <w:ind w:left="840" w:hanging="420"/>
      </w:pPr>
      <w:rPr>
        <w:rFonts w:hint="eastAsia"/>
      </w:rPr>
    </w:lvl>
    <w:lvl w:ilvl="1" w:tentative="0">
      <w:start w:val="1"/>
      <w:numFmt w:val="decimal"/>
      <w:lvlText w:val="(%2)"/>
      <w:lvlJc w:val="left"/>
      <w:pPr>
        <w:tabs>
          <w:tab w:val="left" w:pos="-140"/>
        </w:tabs>
        <w:ind w:left="1545" w:hanging="1125"/>
      </w:pPr>
      <w:rPr>
        <w:rFonts w:hint="default"/>
      </w:rPr>
    </w:lvl>
    <w:lvl w:ilvl="2" w:tentative="0">
      <w:start w:val="1"/>
      <w:numFmt w:val="lowerRoman"/>
      <w:lvlText w:val="(%3)"/>
      <w:lvlJc w:val="left"/>
      <w:pPr>
        <w:tabs>
          <w:tab w:val="left" w:pos="420"/>
        </w:tabs>
        <w:ind w:left="420" w:hanging="420"/>
      </w:pPr>
      <w:rPr>
        <w:rFonts w:hint="default" w:ascii="Times New Roman" w:hAnsi="Times New Roman" w:cs="Times New Roman"/>
        <w:b w:val="0"/>
        <w:bCs w:val="0"/>
        <w:i w:val="0"/>
        <w:iCs w:val="0"/>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3">
    <w:nsid w:val="67A163D5"/>
    <w:multiLevelType w:val="multilevel"/>
    <w:tmpl w:val="67A163D5"/>
    <w:lvl w:ilvl="0" w:tentative="0">
      <w:start w:val="1"/>
      <w:numFmt w:val="decimal"/>
      <w:lvlText w:val="6.%1"/>
      <w:lvlJc w:val="left"/>
      <w:pPr>
        <w:tabs>
          <w:tab w:val="left" w:pos="2728"/>
        </w:tabs>
        <w:ind w:left="3148" w:hanging="420"/>
      </w:pPr>
      <w:rPr>
        <w:rFonts w:hint="default" w:ascii="Times New Roman" w:hAnsi="Times New Roman" w:cs="Times New Roman"/>
        <w:b w:val="0"/>
        <w:bCs w:val="0"/>
        <w:i w:val="0"/>
        <w:iCs w:val="0"/>
        <w:color w:val="00000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4">
    <w:nsid w:val="67A55F7A"/>
    <w:multiLevelType w:val="multilevel"/>
    <w:tmpl w:val="67A55F7A"/>
    <w:lvl w:ilvl="0" w:tentative="0">
      <w:start w:val="1"/>
      <w:numFmt w:val="decimal"/>
      <w:lvlText w:val="8.%1"/>
      <w:lvlJc w:val="left"/>
      <w:pPr>
        <w:ind w:left="418" w:hanging="420"/>
      </w:pPr>
      <w:rPr>
        <w:rFonts w:hint="default" w:ascii="Times New Roman" w:hAnsi="Times New Roman" w:cs="Times New Roman"/>
        <w:b w:val="0"/>
        <w:i w:val="0"/>
        <w:color w:val="auto"/>
        <w:sz w:val="24"/>
      </w:rPr>
    </w:lvl>
    <w:lvl w:ilvl="1" w:tentative="0">
      <w:start w:val="1"/>
      <w:numFmt w:val="decimal"/>
      <w:lvlText w:val="(%2)"/>
      <w:lvlJc w:val="left"/>
      <w:pPr>
        <w:ind w:left="808" w:hanging="390"/>
      </w:pPr>
      <w:rPr>
        <w:rFonts w:hint="default" w:cs="Times New Roman"/>
      </w:rPr>
    </w:lvl>
    <w:lvl w:ilvl="2" w:tentative="0">
      <w:start w:val="1"/>
      <w:numFmt w:val="lowerRoman"/>
      <w:lvlText w:val="%3."/>
      <w:lvlJc w:val="right"/>
      <w:pPr>
        <w:ind w:left="1258" w:hanging="420"/>
      </w:pPr>
      <w:rPr>
        <w:rFonts w:cs="Times New Roman"/>
      </w:rPr>
    </w:lvl>
    <w:lvl w:ilvl="3" w:tentative="0">
      <w:start w:val="1"/>
      <w:numFmt w:val="decimal"/>
      <w:lvlText w:val="%4."/>
      <w:lvlJc w:val="left"/>
      <w:pPr>
        <w:ind w:left="1678" w:hanging="420"/>
      </w:pPr>
      <w:rPr>
        <w:rFonts w:cs="Times New Roman"/>
      </w:rPr>
    </w:lvl>
    <w:lvl w:ilvl="4" w:tentative="0">
      <w:start w:val="1"/>
      <w:numFmt w:val="lowerLetter"/>
      <w:lvlText w:val="%5)"/>
      <w:lvlJc w:val="left"/>
      <w:pPr>
        <w:ind w:left="2098" w:hanging="420"/>
      </w:pPr>
      <w:rPr>
        <w:rFonts w:cs="Times New Roman"/>
      </w:rPr>
    </w:lvl>
    <w:lvl w:ilvl="5" w:tentative="0">
      <w:start w:val="1"/>
      <w:numFmt w:val="lowerRoman"/>
      <w:lvlText w:val="%6."/>
      <w:lvlJc w:val="right"/>
      <w:pPr>
        <w:ind w:left="2518" w:hanging="420"/>
      </w:pPr>
      <w:rPr>
        <w:rFonts w:cs="Times New Roman"/>
      </w:rPr>
    </w:lvl>
    <w:lvl w:ilvl="6" w:tentative="0">
      <w:start w:val="1"/>
      <w:numFmt w:val="decimal"/>
      <w:lvlText w:val="%7."/>
      <w:lvlJc w:val="left"/>
      <w:pPr>
        <w:ind w:left="2938" w:hanging="420"/>
      </w:pPr>
      <w:rPr>
        <w:rFonts w:cs="Times New Roman"/>
      </w:rPr>
    </w:lvl>
    <w:lvl w:ilvl="7" w:tentative="0">
      <w:start w:val="1"/>
      <w:numFmt w:val="lowerLetter"/>
      <w:lvlText w:val="%8)"/>
      <w:lvlJc w:val="left"/>
      <w:pPr>
        <w:ind w:left="3358" w:hanging="420"/>
      </w:pPr>
      <w:rPr>
        <w:rFonts w:cs="Times New Roman"/>
      </w:rPr>
    </w:lvl>
    <w:lvl w:ilvl="8" w:tentative="0">
      <w:start w:val="1"/>
      <w:numFmt w:val="lowerRoman"/>
      <w:lvlText w:val="%9."/>
      <w:lvlJc w:val="right"/>
      <w:pPr>
        <w:ind w:left="3778" w:hanging="420"/>
      </w:pPr>
      <w:rPr>
        <w:rFonts w:cs="Times New Roman"/>
      </w:rPr>
    </w:lvl>
  </w:abstractNum>
  <w:abstractNum w:abstractNumId="55">
    <w:nsid w:val="693A1FA8"/>
    <w:multiLevelType w:val="multilevel"/>
    <w:tmpl w:val="693A1FA8"/>
    <w:lvl w:ilvl="0" w:tentative="0">
      <w:start w:val="1"/>
      <w:numFmt w:val="decimal"/>
      <w:lvlText w:val="23.%1"/>
      <w:lvlJc w:val="left"/>
      <w:pPr>
        <w:tabs>
          <w:tab w:val="left" w:pos="0"/>
        </w:tabs>
        <w:ind w:left="42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69B179D7"/>
    <w:multiLevelType w:val="multilevel"/>
    <w:tmpl w:val="69B179D7"/>
    <w:lvl w:ilvl="0" w:tentative="0">
      <w:start w:val="1"/>
      <w:numFmt w:val="decimalFullWidth"/>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7">
    <w:nsid w:val="6A896198"/>
    <w:multiLevelType w:val="multilevel"/>
    <w:tmpl w:val="6A896198"/>
    <w:lvl w:ilvl="0" w:tentative="0">
      <w:start w:val="1"/>
      <w:numFmt w:val="decimal"/>
      <w:lvlText w:val="4.%1"/>
      <w:lvlJc w:val="left"/>
      <w:pPr>
        <w:tabs>
          <w:tab w:val="left" w:pos="1468"/>
        </w:tabs>
        <w:ind w:left="1468" w:firstLine="1260"/>
      </w:pPr>
      <w:rPr>
        <w:rFonts w:hint="default" w:ascii="Times New Roman" w:hAnsi="Times New Roman" w:cs="Times New Roman"/>
        <w:b w:val="0"/>
      </w:rPr>
    </w:lvl>
    <w:lvl w:ilvl="1" w:tentative="0">
      <w:start w:val="1"/>
      <w:numFmt w:val="decimal"/>
      <w:lvlText w:val="(%2)"/>
      <w:lvlJc w:val="left"/>
      <w:pPr>
        <w:ind w:left="780" w:hanging="360"/>
      </w:pPr>
      <w:rPr>
        <w:rFonts w:hint="default" w:ascii="Times New Roman" w:hAnsi="Times New Roman"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8">
    <w:nsid w:val="75F9288F"/>
    <w:multiLevelType w:val="multilevel"/>
    <w:tmpl w:val="75F9288F"/>
    <w:lvl w:ilvl="0" w:tentative="0">
      <w:start w:val="1"/>
      <w:numFmt w:val="decimal"/>
      <w:lvlText w:val="(%1)"/>
      <w:lvlJc w:val="left"/>
      <w:pPr>
        <w:tabs>
          <w:tab w:val="left" w:pos="900"/>
        </w:tabs>
        <w:ind w:left="900" w:hanging="420"/>
      </w:pPr>
      <w:rPr>
        <w:rFonts w:hint="eastAsia" w:ascii="Times New Roman" w:hAnsi="宋体" w:eastAsia="宋体"/>
      </w:rPr>
    </w:lvl>
    <w:lvl w:ilvl="1" w:tentative="0">
      <w:start w:val="3"/>
      <w:numFmt w:val="decimal"/>
      <w:isLgl/>
      <w:lvlText w:val="%1.%2"/>
      <w:lvlJc w:val="left"/>
      <w:pPr>
        <w:tabs>
          <w:tab w:val="left" w:pos="840"/>
        </w:tabs>
        <w:ind w:left="840" w:hanging="360"/>
      </w:pPr>
      <w:rPr>
        <w:rFonts w:hint="default"/>
      </w:rPr>
    </w:lvl>
    <w:lvl w:ilvl="2" w:tentative="0">
      <w:start w:val="1"/>
      <w:numFmt w:val="decimal"/>
      <w:isLgl/>
      <w:lvlText w:val="%1.%2.%3"/>
      <w:lvlJc w:val="left"/>
      <w:pPr>
        <w:tabs>
          <w:tab w:val="left" w:pos="1200"/>
        </w:tabs>
        <w:ind w:left="1200" w:hanging="720"/>
      </w:pPr>
      <w:rPr>
        <w:rFonts w:hint="default"/>
      </w:rPr>
    </w:lvl>
    <w:lvl w:ilvl="3" w:tentative="0">
      <w:start w:val="1"/>
      <w:numFmt w:val="decimal"/>
      <w:isLgl/>
      <w:lvlText w:val="%1.%2.%3.%4"/>
      <w:lvlJc w:val="left"/>
      <w:pPr>
        <w:tabs>
          <w:tab w:val="left" w:pos="1200"/>
        </w:tabs>
        <w:ind w:left="1200" w:hanging="720"/>
      </w:pPr>
      <w:rPr>
        <w:rFonts w:hint="default"/>
      </w:rPr>
    </w:lvl>
    <w:lvl w:ilvl="4" w:tentative="0">
      <w:start w:val="1"/>
      <w:numFmt w:val="decimal"/>
      <w:isLgl/>
      <w:lvlText w:val="%1.%2.%3.%4.%5"/>
      <w:lvlJc w:val="left"/>
      <w:pPr>
        <w:tabs>
          <w:tab w:val="left" w:pos="1560"/>
        </w:tabs>
        <w:ind w:left="1560" w:hanging="1080"/>
      </w:pPr>
      <w:rPr>
        <w:rFonts w:hint="default"/>
      </w:rPr>
    </w:lvl>
    <w:lvl w:ilvl="5" w:tentative="0">
      <w:start w:val="1"/>
      <w:numFmt w:val="decimal"/>
      <w:isLgl/>
      <w:lvlText w:val="%1.%2.%3.%4.%5.%6"/>
      <w:lvlJc w:val="left"/>
      <w:pPr>
        <w:tabs>
          <w:tab w:val="left" w:pos="1560"/>
        </w:tabs>
        <w:ind w:left="1560" w:hanging="1080"/>
      </w:pPr>
      <w:rPr>
        <w:rFonts w:hint="default"/>
      </w:rPr>
    </w:lvl>
    <w:lvl w:ilvl="6" w:tentative="0">
      <w:start w:val="1"/>
      <w:numFmt w:val="decimal"/>
      <w:isLgl/>
      <w:lvlText w:val="%1.%2.%3.%4.%5.%6.%7"/>
      <w:lvlJc w:val="left"/>
      <w:pPr>
        <w:tabs>
          <w:tab w:val="left" w:pos="1920"/>
        </w:tabs>
        <w:ind w:left="1920" w:hanging="1440"/>
      </w:pPr>
      <w:rPr>
        <w:rFonts w:hint="default"/>
      </w:rPr>
    </w:lvl>
    <w:lvl w:ilvl="7" w:tentative="0">
      <w:start w:val="1"/>
      <w:numFmt w:val="decimal"/>
      <w:isLgl/>
      <w:lvlText w:val="%1.%2.%3.%4.%5.%6.%7.%8"/>
      <w:lvlJc w:val="left"/>
      <w:pPr>
        <w:tabs>
          <w:tab w:val="left" w:pos="1920"/>
        </w:tabs>
        <w:ind w:left="1920" w:hanging="1440"/>
      </w:pPr>
      <w:rPr>
        <w:rFonts w:hint="default"/>
      </w:rPr>
    </w:lvl>
    <w:lvl w:ilvl="8" w:tentative="0">
      <w:start w:val="1"/>
      <w:numFmt w:val="decimal"/>
      <w:isLgl/>
      <w:lvlText w:val="%1.%2.%3.%4.%5.%6.%7.%8.%9"/>
      <w:lvlJc w:val="left"/>
      <w:pPr>
        <w:tabs>
          <w:tab w:val="left" w:pos="2280"/>
        </w:tabs>
        <w:ind w:left="2280" w:hanging="1800"/>
      </w:pPr>
      <w:rPr>
        <w:rFonts w:hint="default"/>
      </w:rPr>
    </w:lvl>
  </w:abstractNum>
  <w:abstractNum w:abstractNumId="59">
    <w:nsid w:val="760A4196"/>
    <w:multiLevelType w:val="multilevel"/>
    <w:tmpl w:val="760A4196"/>
    <w:lvl w:ilvl="0" w:tentative="0">
      <w:start w:val="1"/>
      <w:numFmt w:val="ideographDigital"/>
      <w:lvlText w:val="第%1条"/>
      <w:lvlJc w:val="left"/>
      <w:pPr>
        <w:ind w:left="420" w:hanging="420"/>
      </w:pPr>
      <w:rPr>
        <w:rFonts w:hint="eastAsia"/>
      </w:rPr>
    </w:lvl>
    <w:lvl w:ilvl="1" w:tentative="0">
      <w:start w:val="0"/>
      <w:numFmt w:val="bullet"/>
      <w:lvlText w:val="★"/>
      <w:lvlJc w:val="left"/>
      <w:pPr>
        <w:ind w:left="780" w:hanging="360"/>
      </w:pPr>
      <w:rPr>
        <w:rFonts w:hint="eastAsia"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76FC7CCA"/>
    <w:multiLevelType w:val="multilevel"/>
    <w:tmpl w:val="76FC7CCA"/>
    <w:lvl w:ilvl="0" w:tentative="0">
      <w:start w:val="1"/>
      <w:numFmt w:val="decimal"/>
      <w:lvlText w:val="12.%1"/>
      <w:lvlJc w:val="left"/>
      <w:pPr>
        <w:ind w:left="42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1">
    <w:nsid w:val="79494086"/>
    <w:multiLevelType w:val="multilevel"/>
    <w:tmpl w:val="79494086"/>
    <w:lvl w:ilvl="0" w:tentative="0">
      <w:start w:val="1"/>
      <w:numFmt w:val="decimal"/>
      <w:lvlText w:val="20.%1"/>
      <w:lvlJc w:val="left"/>
      <w:pPr>
        <w:tabs>
          <w:tab w:val="left" w:pos="0"/>
        </w:tabs>
        <w:ind w:left="42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79504466"/>
    <w:multiLevelType w:val="multilevel"/>
    <w:tmpl w:val="79504466"/>
    <w:lvl w:ilvl="0" w:tentative="0">
      <w:start w:val="1"/>
      <w:numFmt w:val="ideographDigital"/>
      <w:lvlText w:val="第%1条"/>
      <w:lvlJc w:val="left"/>
      <w:pPr>
        <w:tabs>
          <w:tab w:val="left" w:pos="3728"/>
        </w:tabs>
        <w:ind w:left="3728" w:hanging="1000"/>
      </w:pPr>
      <w:rPr>
        <w:rFonts w:hint="eastAsia"/>
      </w:rPr>
    </w:lvl>
    <w:lvl w:ilvl="1" w:tentative="0">
      <w:start w:val="1"/>
      <w:numFmt w:val="ideographDigital"/>
      <w:lvlText w:val="第%2条"/>
      <w:lvlJc w:val="left"/>
      <w:pPr>
        <w:tabs>
          <w:tab w:val="left" w:pos="3688"/>
        </w:tabs>
        <w:ind w:left="3688" w:hanging="9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3">
    <w:nsid w:val="79504467"/>
    <w:multiLevelType w:val="multilevel"/>
    <w:tmpl w:val="79504467"/>
    <w:lvl w:ilvl="0" w:tentative="0">
      <w:start w:val="1"/>
      <w:numFmt w:val="decimal"/>
      <w:lvlText w:val="%1"/>
      <w:lvlJc w:val="left"/>
      <w:pPr>
        <w:tabs>
          <w:tab w:val="left" w:pos="540"/>
        </w:tabs>
        <w:ind w:left="540" w:hanging="540"/>
      </w:pPr>
      <w:rPr>
        <w:rFonts w:hint="default" w:hAnsi="Times New Roman"/>
      </w:rPr>
    </w:lvl>
    <w:lvl w:ilvl="1" w:tentative="0">
      <w:start w:val="1"/>
      <w:numFmt w:val="decimal"/>
      <w:lvlText w:val="1.%2"/>
      <w:lvlJc w:val="left"/>
      <w:pPr>
        <w:tabs>
          <w:tab w:val="left" w:pos="1440"/>
        </w:tabs>
        <w:ind w:left="542" w:hanging="542"/>
      </w:pPr>
      <w:rPr>
        <w:rFonts w:hint="default" w:ascii="Times New Roman" w:hAnsi="Times New Roman" w:cs="Times New Roman"/>
      </w:rPr>
    </w:lvl>
    <w:lvl w:ilvl="2" w:tentative="0">
      <w:start w:val="1"/>
      <w:numFmt w:val="decimal"/>
      <w:lvlText w:val="%1.%2.%3"/>
      <w:lvlJc w:val="left"/>
      <w:pPr>
        <w:tabs>
          <w:tab w:val="left" w:pos="724"/>
        </w:tabs>
        <w:ind w:left="724" w:hanging="720"/>
      </w:pPr>
      <w:rPr>
        <w:rFonts w:hint="default" w:hAnsi="Times New Roman"/>
      </w:rPr>
    </w:lvl>
    <w:lvl w:ilvl="3" w:tentative="0">
      <w:start w:val="1"/>
      <w:numFmt w:val="decimal"/>
      <w:lvlText w:val="%1.%2.%3.%4"/>
      <w:lvlJc w:val="left"/>
      <w:pPr>
        <w:tabs>
          <w:tab w:val="left" w:pos="726"/>
        </w:tabs>
        <w:ind w:left="726" w:hanging="720"/>
      </w:pPr>
      <w:rPr>
        <w:rFonts w:hint="default" w:hAnsi="Times New Roman"/>
      </w:rPr>
    </w:lvl>
    <w:lvl w:ilvl="4" w:tentative="0">
      <w:start w:val="1"/>
      <w:numFmt w:val="decimal"/>
      <w:lvlText w:val="%1.%2.%3.%4.%5"/>
      <w:lvlJc w:val="left"/>
      <w:pPr>
        <w:tabs>
          <w:tab w:val="left" w:pos="1088"/>
        </w:tabs>
        <w:ind w:left="1088" w:hanging="1080"/>
      </w:pPr>
      <w:rPr>
        <w:rFonts w:hint="default" w:hAnsi="Times New Roman"/>
      </w:rPr>
    </w:lvl>
    <w:lvl w:ilvl="5" w:tentative="0">
      <w:start w:val="1"/>
      <w:numFmt w:val="decimal"/>
      <w:lvlText w:val="%1.%2.%3.%4.%5.%6"/>
      <w:lvlJc w:val="left"/>
      <w:pPr>
        <w:tabs>
          <w:tab w:val="left" w:pos="1090"/>
        </w:tabs>
        <w:ind w:left="1090" w:hanging="1080"/>
      </w:pPr>
      <w:rPr>
        <w:rFonts w:hint="default" w:hAnsi="Times New Roman"/>
      </w:rPr>
    </w:lvl>
    <w:lvl w:ilvl="6" w:tentative="0">
      <w:start w:val="1"/>
      <w:numFmt w:val="decimal"/>
      <w:lvlText w:val="%1.%2.%3.%4.%5.%6.%7"/>
      <w:lvlJc w:val="left"/>
      <w:pPr>
        <w:tabs>
          <w:tab w:val="left" w:pos="1452"/>
        </w:tabs>
        <w:ind w:left="1452" w:hanging="1440"/>
      </w:pPr>
      <w:rPr>
        <w:rFonts w:hint="default" w:hAnsi="Times New Roman"/>
      </w:rPr>
    </w:lvl>
    <w:lvl w:ilvl="7" w:tentative="0">
      <w:start w:val="1"/>
      <w:numFmt w:val="decimal"/>
      <w:lvlText w:val="%1.%2.%3.%4.%5.%6.%7.%8"/>
      <w:lvlJc w:val="left"/>
      <w:pPr>
        <w:tabs>
          <w:tab w:val="left" w:pos="1454"/>
        </w:tabs>
        <w:ind w:left="1454" w:hanging="1440"/>
      </w:pPr>
      <w:rPr>
        <w:rFonts w:hint="default" w:hAnsi="Times New Roman"/>
      </w:rPr>
    </w:lvl>
    <w:lvl w:ilvl="8" w:tentative="0">
      <w:start w:val="1"/>
      <w:numFmt w:val="decimal"/>
      <w:lvlText w:val="%1.%2.%3.%4.%5.%6.%7.%8.%9"/>
      <w:lvlJc w:val="left"/>
      <w:pPr>
        <w:tabs>
          <w:tab w:val="left" w:pos="1816"/>
        </w:tabs>
        <w:ind w:left="1816" w:hanging="1800"/>
      </w:pPr>
      <w:rPr>
        <w:rFonts w:hint="default" w:hAnsi="Times New Roman"/>
      </w:rPr>
    </w:lvl>
  </w:abstractNum>
  <w:abstractNum w:abstractNumId="64">
    <w:nsid w:val="79504468"/>
    <w:multiLevelType w:val="multilevel"/>
    <w:tmpl w:val="79504468"/>
    <w:lvl w:ilvl="0" w:tentative="0">
      <w:start w:val="1"/>
      <w:numFmt w:val="decimal"/>
      <w:lvlText w:val="2.%1"/>
      <w:lvlJc w:val="left"/>
      <w:pPr>
        <w:ind w:left="422" w:hanging="420"/>
      </w:pPr>
      <w:rPr>
        <w:rFonts w:hint="default" w:ascii="Times New Roman" w:hAnsi="Times New Roman" w:cs="Times New Roman"/>
        <w:sz w:val="24"/>
        <w:szCs w:val="24"/>
      </w:r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65">
    <w:nsid w:val="79504469"/>
    <w:multiLevelType w:val="multilevel"/>
    <w:tmpl w:val="79504469"/>
    <w:lvl w:ilvl="0" w:tentative="0">
      <w:start w:val="1"/>
      <w:numFmt w:val="ideographDigital"/>
      <w:lvlText w:val="第%1条"/>
      <w:lvlJc w:val="left"/>
      <w:pPr>
        <w:tabs>
          <w:tab w:val="left" w:pos="3688"/>
        </w:tabs>
        <w:ind w:left="3688" w:hanging="960"/>
      </w:pPr>
      <w:rPr>
        <w:rFonts w:hint="eastAsia"/>
      </w:rPr>
    </w:lvl>
    <w:lvl w:ilvl="1" w:tentative="0">
      <w:start w:val="1"/>
      <w:numFmt w:val="ideographDigital"/>
      <w:lvlText w:val="第%2条"/>
      <w:lvlJc w:val="left"/>
      <w:pPr>
        <w:tabs>
          <w:tab w:val="left" w:pos="1380"/>
        </w:tabs>
        <w:ind w:left="1380" w:hanging="960"/>
      </w:pPr>
      <w:rPr>
        <w:rFonts w:hint="eastAsia"/>
      </w:rPr>
    </w:lvl>
    <w:lvl w:ilvl="2" w:tentative="0">
      <w:start w:val="1"/>
      <w:numFmt w:val="decimal"/>
      <w:lvlText w:val="1.%3"/>
      <w:lvlJc w:val="left"/>
      <w:pPr>
        <w:tabs>
          <w:tab w:val="left" w:pos="1468"/>
        </w:tabs>
        <w:ind w:left="1468" w:firstLine="1260"/>
      </w:pPr>
      <w:rPr>
        <w:rFonts w:hint="default" w:ascii="Times New Roman" w:hAnsi="Times New Roman" w:eastAsia="宋体"/>
      </w:rPr>
    </w:lvl>
    <w:lvl w:ilvl="3" w:tentative="0">
      <w:start w:val="1"/>
      <w:numFmt w:val="decimal"/>
      <w:lvlText w:val="3.%4"/>
      <w:lvlJc w:val="left"/>
      <w:pPr>
        <w:tabs>
          <w:tab w:val="left" w:pos="1468"/>
        </w:tabs>
        <w:ind w:left="1468" w:firstLine="1260"/>
      </w:pPr>
      <w:rPr>
        <w:rFonts w:hint="default" w:ascii="Times New Roman" w:hAnsi="Times New Roman" w:eastAsia="宋体"/>
      </w:rPr>
    </w:lvl>
    <w:lvl w:ilvl="4" w:tentative="0">
      <w:start w:val="1"/>
      <w:numFmt w:val="lowerLetter"/>
      <w:lvlText w:val="%5)"/>
      <w:lvlJc w:val="left"/>
      <w:pPr>
        <w:tabs>
          <w:tab w:val="left" w:pos="2100"/>
        </w:tabs>
        <w:ind w:left="2100" w:hanging="420"/>
      </w:pPr>
    </w:lvl>
    <w:lvl w:ilvl="5" w:tentative="0">
      <w:start w:val="1"/>
      <w:numFmt w:val="decimal"/>
      <w:lvlText w:val="(%6)"/>
      <w:lvlJc w:val="left"/>
      <w:pPr>
        <w:ind w:left="2490" w:hanging="390"/>
      </w:pPr>
      <w:rPr>
        <w:rFonts w:hint="default" w:ascii="Times New Roman" w:hAnsi="Times New Roman" w:cs="Times New Roman"/>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6">
    <w:nsid w:val="7950446A"/>
    <w:multiLevelType w:val="multilevel"/>
    <w:tmpl w:val="7950446A"/>
    <w:lvl w:ilvl="0" w:tentative="0">
      <w:start w:val="1"/>
      <w:numFmt w:val="decimal"/>
      <w:lvlText w:val="4.%1"/>
      <w:lvlJc w:val="left"/>
      <w:pPr>
        <w:tabs>
          <w:tab w:val="left" w:pos="1468"/>
        </w:tabs>
        <w:ind w:left="1468" w:firstLine="1260"/>
      </w:pPr>
      <w:rPr>
        <w:rFonts w:hint="default" w:ascii="Times New Roman" w:hAnsi="Times New Roman" w:eastAsia="宋体"/>
      </w:rPr>
    </w:lvl>
    <w:lvl w:ilvl="1" w:tentative="0">
      <w:start w:val="1"/>
      <w:numFmt w:val="decimal"/>
      <w:lvlText w:val="(%2)"/>
      <w:lvlJc w:val="left"/>
      <w:pPr>
        <w:ind w:left="810" w:hanging="390"/>
      </w:pPr>
      <w:rPr>
        <w:rFonts w:hint="default" w:ascii="Times New Roman" w:hAnsi="Times New Roman" w:cs="Times New Roman"/>
        <w:sz w:val="24"/>
        <w:szCs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7">
    <w:nsid w:val="7950446B"/>
    <w:multiLevelType w:val="multilevel"/>
    <w:tmpl w:val="7950446B"/>
    <w:lvl w:ilvl="0" w:tentative="0">
      <w:start w:val="1"/>
      <w:numFmt w:val="decimal"/>
      <w:lvlText w:val="5.%1"/>
      <w:lvlJc w:val="left"/>
      <w:pPr>
        <w:tabs>
          <w:tab w:val="left" w:pos="1468"/>
        </w:tabs>
        <w:ind w:left="1468" w:firstLine="1260"/>
      </w:pPr>
      <w:rPr>
        <w:rFonts w:hint="default" w:ascii="Times New Roman" w:hAnsi="Times New Roman"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8">
    <w:nsid w:val="7950446C"/>
    <w:multiLevelType w:val="multilevel"/>
    <w:tmpl w:val="7950446C"/>
    <w:lvl w:ilvl="0" w:tentative="0">
      <w:start w:val="1"/>
      <w:numFmt w:val="decimal"/>
      <w:lvlText w:val="6.%1"/>
      <w:lvlJc w:val="left"/>
      <w:pPr>
        <w:tabs>
          <w:tab w:val="left" w:pos="1468"/>
        </w:tabs>
        <w:ind w:left="1468" w:firstLine="1260"/>
      </w:pPr>
      <w:rPr>
        <w:rFonts w:hint="default" w:ascii="Times New Roman" w:hAnsi="Times New Roman" w:eastAsia="宋体"/>
        <w:b w:val="0"/>
        <w:i w:val="0"/>
        <w:color w:val="auto"/>
      </w:rPr>
    </w:lvl>
    <w:lvl w:ilvl="1" w:tentative="0">
      <w:start w:val="2"/>
      <w:numFmt w:val="ideographDigital"/>
      <w:lvlText w:val="第%2条"/>
      <w:lvlJc w:val="left"/>
      <w:pPr>
        <w:tabs>
          <w:tab w:val="left" w:pos="4020"/>
        </w:tabs>
        <w:ind w:left="4020" w:hanging="9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9">
    <w:nsid w:val="7950446D"/>
    <w:multiLevelType w:val="multilevel"/>
    <w:tmpl w:val="7950446D"/>
    <w:lvl w:ilvl="0" w:tentative="0">
      <w:start w:val="11"/>
      <w:numFmt w:val="bullet"/>
      <w:lvlText w:val="□"/>
      <w:lvlJc w:val="left"/>
      <w:pPr>
        <w:ind w:left="840" w:hanging="420"/>
      </w:pPr>
      <w:rPr>
        <w:rFonts w:hint="eastAsia" w:ascii="宋体" w:hAnsi="宋体" w:eastAsia="宋体" w:cs="Times New Roman"/>
      </w:rPr>
    </w:lvl>
    <w:lvl w:ilvl="1" w:tentative="0">
      <w:start w:val="1"/>
      <w:numFmt w:val="bullet"/>
      <w:lvlText w:val=""/>
      <w:lvlJc w:val="left"/>
      <w:pPr>
        <w:ind w:left="1260" w:hanging="420"/>
      </w:pPr>
      <w:rPr>
        <w:rFonts w:hint="default" w:ascii="Wingdings" w:hAnsi="Wingdings"/>
      </w:rPr>
    </w:lvl>
    <w:lvl w:ilvl="2" w:tentative="0">
      <w:start w:val="11"/>
      <w:numFmt w:val="bullet"/>
      <w:lvlText w:val="□"/>
      <w:lvlJc w:val="left"/>
      <w:pPr>
        <w:ind w:left="420" w:hanging="420"/>
      </w:pPr>
      <w:rPr>
        <w:rFonts w:hint="eastAsia" w:ascii="宋体" w:hAnsi="宋体" w:eastAsia="宋体" w:cs="Times New Roman"/>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0">
    <w:nsid w:val="7A57321B"/>
    <w:multiLevelType w:val="multilevel"/>
    <w:tmpl w:val="7A57321B"/>
    <w:lvl w:ilvl="0" w:tentative="0">
      <w:start w:val="10"/>
      <w:numFmt w:val="decimal"/>
      <w:lvlText w:val="%1"/>
      <w:lvlJc w:val="left"/>
      <w:pPr>
        <w:tabs>
          <w:tab w:val="left" w:pos="420"/>
        </w:tabs>
        <w:ind w:left="420" w:hanging="420"/>
      </w:pPr>
      <w:rPr>
        <w:rFonts w:hint="default"/>
      </w:rPr>
    </w:lvl>
    <w:lvl w:ilvl="1" w:tentative="0">
      <w:start w:val="1"/>
      <w:numFmt w:val="decimal"/>
      <w:lvlText w:val="11.%2"/>
      <w:lvlJc w:val="left"/>
      <w:pPr>
        <w:tabs>
          <w:tab w:val="left" w:pos="420"/>
        </w:tabs>
        <w:ind w:left="420" w:hanging="420"/>
      </w:pPr>
      <w:rPr>
        <w:rFonts w:hint="default" w:ascii="Times New Roman" w:hAnsi="Times New Roman" w:eastAsia="宋体"/>
        <w:b w:val="0"/>
        <w:i w:val="0"/>
        <w:color w:val="auto"/>
        <w:sz w:val="24"/>
        <w:szCs w:val="24"/>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71">
    <w:nsid w:val="7BFA0A54"/>
    <w:multiLevelType w:val="multilevel"/>
    <w:tmpl w:val="7BFA0A54"/>
    <w:lvl w:ilvl="0" w:tentative="0">
      <w:start w:val="1"/>
      <w:numFmt w:val="decimal"/>
      <w:lvlText w:val="8.%1"/>
      <w:lvlJc w:val="left"/>
      <w:pPr>
        <w:tabs>
          <w:tab w:val="left" w:pos="1468"/>
        </w:tabs>
        <w:ind w:left="1468" w:firstLine="1260"/>
      </w:pPr>
      <w:rPr>
        <w:rFonts w:hint="default" w:ascii="Times New Roman" w:hAnsi="Times New Roman" w:eastAsia="宋体"/>
      </w:rPr>
    </w:lvl>
    <w:lvl w:ilvl="1" w:tentative="0">
      <w:start w:val="1"/>
      <w:numFmt w:val="decimal"/>
      <w:lvlText w:val="(%2)"/>
      <w:lvlJc w:val="left"/>
      <w:pPr>
        <w:ind w:left="810" w:hanging="390"/>
      </w:pPr>
      <w:rPr>
        <w:rFonts w:hint="default" w:ascii="Times New Roman" w:hAnsi="Times New Roman"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2"/>
  </w:num>
  <w:num w:numId="2">
    <w:abstractNumId w:val="63"/>
  </w:num>
  <w:num w:numId="3">
    <w:abstractNumId w:val="64"/>
  </w:num>
  <w:num w:numId="4">
    <w:abstractNumId w:val="65"/>
  </w:num>
  <w:num w:numId="5">
    <w:abstractNumId w:val="66"/>
  </w:num>
  <w:num w:numId="6">
    <w:abstractNumId w:val="12"/>
  </w:num>
  <w:num w:numId="7">
    <w:abstractNumId w:val="67"/>
  </w:num>
  <w:num w:numId="8">
    <w:abstractNumId w:val="68"/>
  </w:num>
  <w:num w:numId="9">
    <w:abstractNumId w:val="69"/>
  </w:num>
  <w:num w:numId="10">
    <w:abstractNumId w:val="44"/>
  </w:num>
  <w:num w:numId="11">
    <w:abstractNumId w:val="2"/>
  </w:num>
  <w:num w:numId="12">
    <w:abstractNumId w:val="34"/>
  </w:num>
  <w:num w:numId="13">
    <w:abstractNumId w:val="10"/>
  </w:num>
  <w:num w:numId="14">
    <w:abstractNumId w:val="43"/>
  </w:num>
  <w:num w:numId="15">
    <w:abstractNumId w:val="20"/>
  </w:num>
  <w:num w:numId="16">
    <w:abstractNumId w:val="28"/>
  </w:num>
  <w:num w:numId="17">
    <w:abstractNumId w:val="25"/>
  </w:num>
  <w:num w:numId="18">
    <w:abstractNumId w:val="5"/>
  </w:num>
  <w:num w:numId="19">
    <w:abstractNumId w:val="53"/>
  </w:num>
  <w:num w:numId="20">
    <w:abstractNumId w:val="39"/>
  </w:num>
  <w:num w:numId="21">
    <w:abstractNumId w:val="24"/>
  </w:num>
  <w:num w:numId="22">
    <w:abstractNumId w:val="21"/>
  </w:num>
  <w:num w:numId="23">
    <w:abstractNumId w:val="26"/>
  </w:num>
  <w:num w:numId="24">
    <w:abstractNumId w:val="70"/>
  </w:num>
  <w:num w:numId="25">
    <w:abstractNumId w:val="3"/>
  </w:num>
  <w:num w:numId="26">
    <w:abstractNumId w:val="23"/>
  </w:num>
  <w:num w:numId="27">
    <w:abstractNumId w:val="59"/>
  </w:num>
  <w:num w:numId="28">
    <w:abstractNumId w:val="11"/>
  </w:num>
  <w:num w:numId="29">
    <w:abstractNumId w:val="38"/>
  </w:num>
  <w:num w:numId="30">
    <w:abstractNumId w:val="29"/>
  </w:num>
  <w:num w:numId="31">
    <w:abstractNumId w:val="4"/>
  </w:num>
  <w:num w:numId="32">
    <w:abstractNumId w:val="17"/>
  </w:num>
  <w:num w:numId="33">
    <w:abstractNumId w:val="57"/>
  </w:num>
  <w:num w:numId="34">
    <w:abstractNumId w:val="1"/>
  </w:num>
  <w:num w:numId="35">
    <w:abstractNumId w:val="71"/>
  </w:num>
  <w:num w:numId="36">
    <w:abstractNumId w:val="14"/>
  </w:num>
  <w:num w:numId="37">
    <w:abstractNumId w:val="31"/>
  </w:num>
  <w:num w:numId="38">
    <w:abstractNumId w:val="54"/>
  </w:num>
  <w:num w:numId="39">
    <w:abstractNumId w:val="58"/>
  </w:num>
  <w:num w:numId="40">
    <w:abstractNumId w:val="32"/>
  </w:num>
  <w:num w:numId="41">
    <w:abstractNumId w:val="6"/>
  </w:num>
  <w:num w:numId="42">
    <w:abstractNumId w:val="33"/>
  </w:num>
  <w:num w:numId="43">
    <w:abstractNumId w:val="16"/>
  </w:num>
  <w:num w:numId="44">
    <w:abstractNumId w:val="45"/>
  </w:num>
  <w:num w:numId="45">
    <w:abstractNumId w:val="46"/>
  </w:num>
  <w:num w:numId="46">
    <w:abstractNumId w:val="9"/>
  </w:num>
  <w:num w:numId="47">
    <w:abstractNumId w:val="60"/>
  </w:num>
  <w:num w:numId="48">
    <w:abstractNumId w:val="50"/>
  </w:num>
  <w:num w:numId="49">
    <w:abstractNumId w:val="18"/>
  </w:num>
  <w:num w:numId="50">
    <w:abstractNumId w:val="7"/>
  </w:num>
  <w:num w:numId="51">
    <w:abstractNumId w:val="52"/>
  </w:num>
  <w:num w:numId="52">
    <w:abstractNumId w:val="13"/>
  </w:num>
  <w:num w:numId="53">
    <w:abstractNumId w:val="27"/>
  </w:num>
  <w:num w:numId="54">
    <w:abstractNumId w:val="22"/>
  </w:num>
  <w:num w:numId="55">
    <w:abstractNumId w:val="49"/>
  </w:num>
  <w:num w:numId="56">
    <w:abstractNumId w:val="35"/>
  </w:num>
  <w:num w:numId="57">
    <w:abstractNumId w:val="0"/>
    <w:lvlOverride w:ilvl="0">
      <w:lvl w:ilvl="0" w:tentative="1">
        <w:start w:val="1"/>
        <w:numFmt w:val="decimal"/>
        <w:lvlText w:val="19.%1"/>
        <w:lvlJc w:val="left"/>
        <w:pPr>
          <w:ind w:left="420" w:hanging="420"/>
        </w:pPr>
        <w:rPr>
          <w:rFonts w:hint="default" w:ascii="Times New Roman" w:hAnsi="Times New Roman" w:cs="Times New Roman"/>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58">
    <w:abstractNumId w:val="61"/>
  </w:num>
  <w:num w:numId="59">
    <w:abstractNumId w:val="42"/>
  </w:num>
  <w:num w:numId="60">
    <w:abstractNumId w:val="8"/>
    <w:lvlOverride w:ilvl="0">
      <w:lvl w:ilvl="0" w:tentative="1">
        <w:start w:val="1"/>
        <w:numFmt w:val="decimal"/>
        <w:lvlText w:val="22.%1"/>
        <w:lvlJc w:val="left"/>
        <w:pPr>
          <w:ind w:left="420" w:hanging="420"/>
        </w:pPr>
        <w:rPr>
          <w:rFonts w:hint="default" w:ascii="Times New Roman" w:hAnsi="Times New Roman" w:cs="Times New Roman"/>
          <w:b w:val="0"/>
          <w:i w:val="0"/>
          <w:color w:val="auto"/>
          <w:sz w:val="24"/>
          <w:szCs w:val="24"/>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61">
    <w:abstractNumId w:val="55"/>
  </w:num>
  <w:num w:numId="62">
    <w:abstractNumId w:val="51"/>
  </w:num>
  <w:num w:numId="63">
    <w:abstractNumId w:val="47"/>
  </w:num>
  <w:num w:numId="64">
    <w:abstractNumId w:val="30"/>
  </w:num>
  <w:num w:numId="65">
    <w:abstractNumId w:val="19"/>
  </w:num>
  <w:num w:numId="66">
    <w:abstractNumId w:val="40"/>
  </w:num>
  <w:num w:numId="67">
    <w:abstractNumId w:val="41"/>
  </w:num>
  <w:num w:numId="68">
    <w:abstractNumId w:val="37"/>
  </w:num>
  <w:num w:numId="69">
    <w:abstractNumId w:val="36"/>
  </w:num>
  <w:num w:numId="70">
    <w:abstractNumId w:val="15"/>
  </w:num>
  <w:num w:numId="71">
    <w:abstractNumId w:val="48"/>
  </w:num>
  <w:num w:numId="72">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33130"/>
    <w:rsid w:val="004D0EBD"/>
    <w:rsid w:val="009C34F0"/>
    <w:rsid w:val="00F30CA0"/>
    <w:rsid w:val="01D70F12"/>
    <w:rsid w:val="02006853"/>
    <w:rsid w:val="02421CDB"/>
    <w:rsid w:val="02EE5895"/>
    <w:rsid w:val="037F66DB"/>
    <w:rsid w:val="03E76233"/>
    <w:rsid w:val="04375579"/>
    <w:rsid w:val="06E120EF"/>
    <w:rsid w:val="07280C98"/>
    <w:rsid w:val="073272F5"/>
    <w:rsid w:val="0757641B"/>
    <w:rsid w:val="07C71F52"/>
    <w:rsid w:val="0875428E"/>
    <w:rsid w:val="087C5572"/>
    <w:rsid w:val="08B860BD"/>
    <w:rsid w:val="09573962"/>
    <w:rsid w:val="0A81181F"/>
    <w:rsid w:val="0ADD677E"/>
    <w:rsid w:val="0B5D4FB1"/>
    <w:rsid w:val="0D8F1A4E"/>
    <w:rsid w:val="0E452476"/>
    <w:rsid w:val="0EC664DA"/>
    <w:rsid w:val="0EEB1D0A"/>
    <w:rsid w:val="0F2E5C77"/>
    <w:rsid w:val="0F530435"/>
    <w:rsid w:val="0FF5346F"/>
    <w:rsid w:val="11042EC5"/>
    <w:rsid w:val="113918C4"/>
    <w:rsid w:val="12073A1C"/>
    <w:rsid w:val="12F3448D"/>
    <w:rsid w:val="137D719C"/>
    <w:rsid w:val="15DD256A"/>
    <w:rsid w:val="172B1928"/>
    <w:rsid w:val="173C79BB"/>
    <w:rsid w:val="17985CB9"/>
    <w:rsid w:val="189B6BED"/>
    <w:rsid w:val="18F25CE8"/>
    <w:rsid w:val="192E0C57"/>
    <w:rsid w:val="19AA6DAB"/>
    <w:rsid w:val="1A5A3C35"/>
    <w:rsid w:val="1AD7108E"/>
    <w:rsid w:val="1AE37DAC"/>
    <w:rsid w:val="1AE9389D"/>
    <w:rsid w:val="1B662AAD"/>
    <w:rsid w:val="1C893960"/>
    <w:rsid w:val="1E1A27E4"/>
    <w:rsid w:val="1E7C2C0C"/>
    <w:rsid w:val="1F3C3B8C"/>
    <w:rsid w:val="1FB42B93"/>
    <w:rsid w:val="20387CC7"/>
    <w:rsid w:val="216E6872"/>
    <w:rsid w:val="21DB5D37"/>
    <w:rsid w:val="23ED6AFF"/>
    <w:rsid w:val="240F0E72"/>
    <w:rsid w:val="248841DD"/>
    <w:rsid w:val="265170F2"/>
    <w:rsid w:val="26AE7B71"/>
    <w:rsid w:val="279E49F6"/>
    <w:rsid w:val="27F32EDB"/>
    <w:rsid w:val="2874590C"/>
    <w:rsid w:val="2ADE7961"/>
    <w:rsid w:val="2D3B2645"/>
    <w:rsid w:val="2DE769A6"/>
    <w:rsid w:val="2E431D9A"/>
    <w:rsid w:val="2E922BF6"/>
    <w:rsid w:val="2F4E2FA9"/>
    <w:rsid w:val="2F6D0DF3"/>
    <w:rsid w:val="30054CD6"/>
    <w:rsid w:val="3098143F"/>
    <w:rsid w:val="315D2567"/>
    <w:rsid w:val="31F93045"/>
    <w:rsid w:val="323F587B"/>
    <w:rsid w:val="329C187B"/>
    <w:rsid w:val="32D009ED"/>
    <w:rsid w:val="343A21BD"/>
    <w:rsid w:val="345C5525"/>
    <w:rsid w:val="3465020F"/>
    <w:rsid w:val="356868D5"/>
    <w:rsid w:val="35EF3A01"/>
    <w:rsid w:val="361E5946"/>
    <w:rsid w:val="36E20E17"/>
    <w:rsid w:val="376F3EFE"/>
    <w:rsid w:val="37F5325E"/>
    <w:rsid w:val="382117A3"/>
    <w:rsid w:val="38D171D2"/>
    <w:rsid w:val="3A247C6F"/>
    <w:rsid w:val="3A973157"/>
    <w:rsid w:val="3B3C3FBF"/>
    <w:rsid w:val="3B5A0327"/>
    <w:rsid w:val="3BAD090F"/>
    <w:rsid w:val="3C542BB6"/>
    <w:rsid w:val="3C577F8F"/>
    <w:rsid w:val="3C6E7BB4"/>
    <w:rsid w:val="3D034B2E"/>
    <w:rsid w:val="3D81222E"/>
    <w:rsid w:val="3DDF16E9"/>
    <w:rsid w:val="3E0D2ACA"/>
    <w:rsid w:val="3E1F74E7"/>
    <w:rsid w:val="3E2C300D"/>
    <w:rsid w:val="3F402224"/>
    <w:rsid w:val="407C4107"/>
    <w:rsid w:val="428432CD"/>
    <w:rsid w:val="428C263D"/>
    <w:rsid w:val="4377079F"/>
    <w:rsid w:val="439C027C"/>
    <w:rsid w:val="441A35FA"/>
    <w:rsid w:val="4576148D"/>
    <w:rsid w:val="48EF7936"/>
    <w:rsid w:val="48F16B2C"/>
    <w:rsid w:val="49507080"/>
    <w:rsid w:val="49514E3C"/>
    <w:rsid w:val="49966842"/>
    <w:rsid w:val="4AE97B73"/>
    <w:rsid w:val="4AF22C68"/>
    <w:rsid w:val="4B4760DF"/>
    <w:rsid w:val="4BE90D9B"/>
    <w:rsid w:val="4BED5D0A"/>
    <w:rsid w:val="4C1827E3"/>
    <w:rsid w:val="4C673E0C"/>
    <w:rsid w:val="4D3F0047"/>
    <w:rsid w:val="4DA201CB"/>
    <w:rsid w:val="4E516D9B"/>
    <w:rsid w:val="4EF7601C"/>
    <w:rsid w:val="52114FB5"/>
    <w:rsid w:val="526770C0"/>
    <w:rsid w:val="53A067BD"/>
    <w:rsid w:val="53A9514E"/>
    <w:rsid w:val="53EF05CA"/>
    <w:rsid w:val="53FE5A62"/>
    <w:rsid w:val="54B64D97"/>
    <w:rsid w:val="558105D7"/>
    <w:rsid w:val="55F27611"/>
    <w:rsid w:val="55FB32E5"/>
    <w:rsid w:val="567C34FB"/>
    <w:rsid w:val="57CE6254"/>
    <w:rsid w:val="580B7C81"/>
    <w:rsid w:val="582174D0"/>
    <w:rsid w:val="5909525E"/>
    <w:rsid w:val="5A4A66DB"/>
    <w:rsid w:val="5ADD347B"/>
    <w:rsid w:val="5BCE7E23"/>
    <w:rsid w:val="5C464AF3"/>
    <w:rsid w:val="5D65308C"/>
    <w:rsid w:val="5DB623CB"/>
    <w:rsid w:val="5E872AA3"/>
    <w:rsid w:val="5ED9003C"/>
    <w:rsid w:val="6055253B"/>
    <w:rsid w:val="61BE67BD"/>
    <w:rsid w:val="625B57DB"/>
    <w:rsid w:val="62EA1329"/>
    <w:rsid w:val="62EA2E75"/>
    <w:rsid w:val="63BC7730"/>
    <w:rsid w:val="650D10F3"/>
    <w:rsid w:val="65443899"/>
    <w:rsid w:val="65AC2C8F"/>
    <w:rsid w:val="664065D2"/>
    <w:rsid w:val="673E51F0"/>
    <w:rsid w:val="68431284"/>
    <w:rsid w:val="697C4766"/>
    <w:rsid w:val="69A233F9"/>
    <w:rsid w:val="69FF27F5"/>
    <w:rsid w:val="6A100511"/>
    <w:rsid w:val="6A1926AB"/>
    <w:rsid w:val="6AC64D38"/>
    <w:rsid w:val="6B3612AB"/>
    <w:rsid w:val="6DEC7814"/>
    <w:rsid w:val="6E6B699A"/>
    <w:rsid w:val="6E7A5957"/>
    <w:rsid w:val="6F8D656F"/>
    <w:rsid w:val="6FF923E0"/>
    <w:rsid w:val="709F7DD6"/>
    <w:rsid w:val="70DB6E3A"/>
    <w:rsid w:val="71275730"/>
    <w:rsid w:val="712B5FF7"/>
    <w:rsid w:val="717E6225"/>
    <w:rsid w:val="71BD085E"/>
    <w:rsid w:val="72BA079C"/>
    <w:rsid w:val="72C154D1"/>
    <w:rsid w:val="72E63415"/>
    <w:rsid w:val="73146ECE"/>
    <w:rsid w:val="753A632D"/>
    <w:rsid w:val="75691CF2"/>
    <w:rsid w:val="75C319CF"/>
    <w:rsid w:val="769A13A5"/>
    <w:rsid w:val="76C92DEE"/>
    <w:rsid w:val="783A477B"/>
    <w:rsid w:val="784616B8"/>
    <w:rsid w:val="78961331"/>
    <w:rsid w:val="78D75C86"/>
    <w:rsid w:val="79142542"/>
    <w:rsid w:val="795060B0"/>
    <w:rsid w:val="797A647E"/>
    <w:rsid w:val="7AED1DB5"/>
    <w:rsid w:val="7AF60ADD"/>
    <w:rsid w:val="7CE338D3"/>
    <w:rsid w:val="7D412A8D"/>
    <w:rsid w:val="7E3B6528"/>
    <w:rsid w:val="7E5C27F5"/>
    <w:rsid w:val="7E95593D"/>
    <w:rsid w:val="7EB90709"/>
    <w:rsid w:val="7F530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kern w:val="44"/>
      <w:sz w:val="44"/>
    </w:rPr>
  </w:style>
  <w:style w:type="paragraph" w:styleId="4">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6">
    <w:name w:val="Normal Indent"/>
    <w:basedOn w:val="1"/>
    <w:next w:val="1"/>
    <w:qFormat/>
    <w:uiPriority w:val="0"/>
    <w:pPr>
      <w:ind w:firstLine="420" w:firstLineChars="200"/>
    </w:pPr>
    <w:rPr>
      <w:rFonts w:ascii="Times New Roman" w:hAnsi="Times New Roman"/>
      <w:szCs w:val="24"/>
    </w:rPr>
  </w:style>
  <w:style w:type="paragraph" w:styleId="7">
    <w:name w:val="annotation text"/>
    <w:basedOn w:val="1"/>
    <w:unhideWhenUsed/>
    <w:qFormat/>
    <w:uiPriority w:val="99"/>
    <w:pPr>
      <w:jc w:val="left"/>
    </w:pPr>
  </w:style>
  <w:style w:type="paragraph" w:styleId="8">
    <w:name w:val="Body Text"/>
    <w:basedOn w:val="1"/>
    <w:next w:val="1"/>
    <w:qFormat/>
    <w:uiPriority w:val="1"/>
    <w:pPr>
      <w:spacing w:before="36"/>
      <w:ind w:left="780"/>
      <w:jc w:val="left"/>
    </w:pPr>
    <w:rPr>
      <w:rFonts w:ascii="宋体" w:hAnsi="宋体" w:eastAsia="宋体"/>
      <w:kern w:val="0"/>
      <w:szCs w:val="21"/>
      <w:lang w:eastAsia="en-US"/>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11">
    <w:name w:val="Title"/>
    <w:basedOn w:val="1"/>
    <w:qFormat/>
    <w:uiPriority w:val="10"/>
    <w:pPr>
      <w:jc w:val="center"/>
      <w:outlineLvl w:val="0"/>
    </w:pPr>
    <w:rPr>
      <w:rFonts w:ascii="Arial" w:hAnsi="Arial"/>
      <w:b/>
      <w:sz w:val="32"/>
    </w:rPr>
  </w:style>
  <w:style w:type="paragraph" w:styleId="12">
    <w:name w:val="annotation subject"/>
    <w:next w:val="7"/>
    <w:unhideWhenUsed/>
    <w:qFormat/>
    <w:uiPriority w:val="0"/>
    <w:pPr>
      <w:widowControl w:val="0"/>
      <w:jc w:val="left"/>
    </w:pPr>
    <w:rPr>
      <w:rFonts w:asciiTheme="minorHAnsi" w:hAnsiTheme="minorHAnsi" w:eastAsiaTheme="minorEastAsia" w:cstheme="minorBidi"/>
      <w:b/>
      <w:bCs/>
      <w:kern w:val="2"/>
      <w:sz w:val="21"/>
      <w:szCs w:val="22"/>
      <w:lang w:val="en-US" w:eastAsia="zh-CN" w:bidi="ar-SA"/>
    </w:rPr>
  </w:style>
  <w:style w:type="paragraph" w:styleId="13">
    <w:name w:val="Body Text First Indent"/>
    <w:basedOn w:val="8"/>
    <w:unhideWhenUsed/>
    <w:qFormat/>
    <w:uiPriority w:val="99"/>
    <w:pPr>
      <w:ind w:firstLine="420" w:firstLineChars="100"/>
    </w:p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书目1"/>
    <w:basedOn w:val="1"/>
    <w:next w:val="1"/>
    <w:unhideWhenUsed/>
    <w:qFormat/>
    <w:uiPriority w:val="37"/>
  </w:style>
  <w:style w:type="paragraph" w:customStyle="1" w:styleId="18">
    <w:name w:val="Table Paragraph"/>
    <w:basedOn w:val="1"/>
    <w:qFormat/>
    <w:uiPriority w:val="0"/>
    <w:pPr>
      <w:jc w:val="left"/>
    </w:pPr>
    <w:rPr>
      <w:kern w:val="0"/>
      <w:sz w:val="22"/>
      <w:lang w:eastAsia="en-US"/>
    </w:rPr>
  </w:style>
  <w:style w:type="paragraph" w:styleId="19">
    <w:name w:val="List Paragraph"/>
    <w:basedOn w:val="1"/>
    <w:qFormat/>
    <w:uiPriority w:val="34"/>
    <w:pPr>
      <w:widowControl/>
      <w:ind w:firstLine="420"/>
    </w:pPr>
    <w:rPr>
      <w:rFonts w:ascii="Calibri" w:hAnsi="Calibri" w:eastAsia="宋体" w:cs="Calibri"/>
      <w:kern w:val="0"/>
      <w:szCs w:val="21"/>
    </w:rPr>
  </w:style>
  <w:style w:type="character" w:customStyle="1" w:styleId="20">
    <w:name w:val="font01"/>
    <w:basedOn w:val="16"/>
    <w:qFormat/>
    <w:uiPriority w:val="0"/>
    <w:rPr>
      <w:rFonts w:hint="eastAsia" w:ascii="宋体" w:hAnsi="宋体" w:eastAsia="宋体" w:cs="宋体"/>
      <w:color w:val="000000"/>
      <w:sz w:val="20"/>
      <w:szCs w:val="20"/>
      <w:u w:val="none"/>
    </w:rPr>
  </w:style>
  <w:style w:type="paragraph" w:customStyle="1" w:styleId="21">
    <w:name w:val="标题 22"/>
    <w:qFormat/>
    <w:uiPriority w:val="1"/>
    <w:pPr>
      <w:widowControl w:val="0"/>
      <w:ind w:right="5" w:rightChars="5"/>
      <w:jc w:val="left"/>
      <w:outlineLvl w:val="2"/>
    </w:pPr>
    <w:rPr>
      <w:rFonts w:ascii="Noto Sans CJK DemiLight" w:hAnsi="Noto Sans CJK DemiLight" w:eastAsia="Noto Sans CJK DemiLight" w:cs="Times New Roman"/>
      <w:kern w:val="0"/>
      <w:sz w:val="32"/>
      <w:szCs w:val="32"/>
      <w:lang w:val="en-US" w:eastAsia="en-US" w:bidi="ar-SA"/>
    </w:rPr>
  </w:style>
  <w:style w:type="paragraph" w:customStyle="1" w:styleId="2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3">
    <w:name w:val="Normal_1"/>
    <w:next w:val="24"/>
    <w:qFormat/>
    <w:uiPriority w:val="0"/>
    <w:rPr>
      <w:rFonts w:ascii="Times New Roman" w:hAnsi="Times New Roman" w:eastAsia="Times New Roman" w:cs="Times New Roman"/>
      <w:sz w:val="24"/>
      <w:szCs w:val="24"/>
    </w:rPr>
  </w:style>
  <w:style w:type="paragraph" w:customStyle="1" w:styleId="24">
    <w:name w:val="默认段落字体 Para Char"/>
    <w:basedOn w:val="25"/>
    <w:next w:val="1"/>
    <w:qFormat/>
    <w:uiPriority w:val="0"/>
    <w:pPr>
      <w:widowControl w:val="0"/>
      <w:spacing w:before="80" w:after="80" w:line="360" w:lineRule="auto"/>
      <w:jc w:val="both"/>
    </w:pPr>
    <w:rPr>
      <w:rFonts w:ascii="Calibri" w:hAnsi="Calibri" w:cs="Times New Roman"/>
      <w:kern w:val="2"/>
      <w:szCs w:val="20"/>
    </w:rPr>
  </w:style>
  <w:style w:type="paragraph" w:customStyle="1" w:styleId="25">
    <w:name w:val="Normal_0"/>
    <w:next w:val="24"/>
    <w:qFormat/>
    <w:uiPriority w:val="0"/>
    <w:pPr>
      <w:overflowPunct w:val="0"/>
      <w:autoSpaceDE w:val="0"/>
      <w:autoSpaceDN w:val="0"/>
      <w:adjustRightInd w:val="0"/>
    </w:pPr>
    <w:rPr>
      <w:rFonts w:ascii="Times New Roman" w:hAnsi="Times New Roman" w:eastAsia="宋体" w:cs="Times New Roman"/>
      <w:lang w:val="en-US" w:eastAsia="en-US" w:bidi="ar-SA"/>
    </w:rPr>
  </w:style>
  <w:style w:type="paragraph" w:customStyle="1" w:styleId="26">
    <w:name w:val="正文_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标题 2_0"/>
    <w:basedOn w:val="26"/>
    <w:next w:val="26"/>
    <w:unhideWhenUsed/>
    <w:qFormat/>
    <w:uiPriority w:val="0"/>
    <w:pPr>
      <w:keepNext/>
      <w:keepLines/>
      <w:spacing w:before="260" w:after="260" w:line="416" w:lineRule="auto"/>
      <w:ind w:right="5" w:rightChars="5"/>
      <w:jc w:val="left"/>
      <w:outlineLvl w:val="1"/>
    </w:pPr>
    <w:rPr>
      <w:rFonts w:ascii="Cambria" w:hAnsi="Cambria"/>
      <w:b/>
      <w:bCs/>
      <w:kern w:val="0"/>
      <w:sz w:val="32"/>
      <w:szCs w:val="32"/>
      <w:lang w:eastAsia="en-US"/>
    </w:rPr>
  </w:style>
  <w:style w:type="paragraph" w:customStyle="1" w:styleId="28">
    <w:name w:val="列出段落_0"/>
    <w:basedOn w:val="29"/>
    <w:qFormat/>
    <w:uiPriority w:val="34"/>
    <w:pPr>
      <w:ind w:firstLine="420" w:firstLineChars="200"/>
    </w:pPr>
  </w:style>
  <w:style w:type="paragraph" w:customStyle="1" w:styleId="29">
    <w:name w:val="正文_0_0_0"/>
    <w:qFormat/>
    <w:uiPriority w:val="0"/>
    <w:pPr>
      <w:widowControl w:val="0"/>
      <w:jc w:val="both"/>
    </w:pPr>
    <w:rPr>
      <w:rFonts w:ascii="Times New Roman" w:hAnsi="Times New Roman" w:eastAsia="宋体" w:cs="Times New Roman"/>
      <w:kern w:val="0"/>
      <w:sz w:val="20"/>
      <w:szCs w:val="24"/>
      <w:lang w:val="en-US" w:eastAsia="zh-CN" w:bidi="ar-SA"/>
    </w:rPr>
  </w:style>
  <w:style w:type="paragraph" w:customStyle="1" w:styleId="30">
    <w:name w:val="标题 1_0"/>
    <w:basedOn w:val="26"/>
    <w:next w:val="26"/>
    <w:qFormat/>
    <w:uiPriority w:val="99"/>
    <w:pPr>
      <w:keepNext/>
      <w:keepLines/>
      <w:spacing w:before="340" w:after="330" w:line="578" w:lineRule="auto"/>
      <w:ind w:right="5" w:rightChars="5"/>
      <w:jc w:val="left"/>
      <w:outlineLvl w:val="0"/>
    </w:pPr>
    <w:rPr>
      <w:rFonts w:ascii="Calibri" w:hAnsi="Calibri"/>
      <w:b/>
      <w:bCs/>
      <w:kern w:val="44"/>
      <w:sz w:val="44"/>
      <w:szCs w:val="44"/>
      <w:lang w:eastAsia="en-US"/>
    </w:rPr>
  </w:style>
  <w:style w:type="paragraph" w:customStyle="1" w:styleId="31">
    <w:name w:val="列出段落1"/>
    <w:basedOn w:val="1"/>
    <w:qFormat/>
    <w:uiPriority w:val="34"/>
    <w:pPr>
      <w:widowControl/>
      <w:ind w:left="720"/>
      <w:contextualSpacing/>
      <w:jc w:val="left"/>
    </w:pPr>
    <w:rPr>
      <w:rFonts w:ascii="Calibri" w:hAnsi="Calibri" w:eastAsia="宋体" w:cs="Times New Roman"/>
      <w:kern w:val="0"/>
      <w:sz w:val="24"/>
      <w:szCs w:val="24"/>
    </w:rPr>
  </w:style>
  <w:style w:type="paragraph" w:customStyle="1" w:styleId="32">
    <w:name w:val="_Style 378"/>
    <w:basedOn w:val="1"/>
    <w:next w:val="19"/>
    <w:qFormat/>
    <w:uiPriority w:val="34"/>
    <w:pPr>
      <w:widowControl/>
      <w:overflowPunct w:val="0"/>
      <w:autoSpaceDE w:val="0"/>
      <w:autoSpaceDN w:val="0"/>
      <w:adjustRightInd w:val="0"/>
      <w:ind w:firstLine="420" w:firstLineChars="200"/>
      <w:jc w:val="left"/>
      <w:textAlignment w:val="baseline"/>
    </w:pPr>
    <w:rPr>
      <w:rFonts w:ascii="Calibri" w:hAnsi="Calibri" w:eastAsia="宋体" w:cs="Times New Roman"/>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2024-06-18T02:05:00Z</dcterms:created>
  <dc:creator>yuwch2</dc:creator>
  <cp:lastModifiedBy>于文超</cp:lastModifiedBy>
  <dcterms:modified xsi:type="dcterms:W3CDTF">2025-06-04T07:13:13Z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1A37AB23E7564E72BDF5D110A6D4A87B</vt:lpwstr>
  </property>
</Properties>
</file>