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u w:val="single"/>
          <w:lang w:eastAsia="zh-CN"/>
        </w:rPr>
        <w:t>常州院东海地区修复防护材料采购专有协议</w:t>
      </w:r>
      <w:r>
        <w:rPr>
          <w:rFonts w:hint="eastAsia" w:asciiTheme="minorEastAsia" w:hAnsiTheme="minorEastAsia"/>
          <w:color w:val="C00000"/>
          <w:spacing w:val="-3"/>
          <w:highlight w:val="none"/>
          <w:u w:val="single"/>
          <w:lang w:val="en-US" w:eastAsia="zh-CN"/>
        </w:rPr>
        <w:t xml:space="preserve">             </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color w:val="000000" w:themeColor="text1"/>
          <w:spacing w:val="-3"/>
          <w:highlight w:val="none"/>
          <w:u w:val="single"/>
          <w:lang w:eastAsia="zh-CN"/>
          <w14:textFill>
            <w14:solidFill>
              <w14:schemeClr w14:val="tx1"/>
            </w14:solidFill>
          </w14:textFill>
        </w:rPr>
        <w:t>GKXJ-2025-HG-1056</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lang w:eastAsia="zh-CN"/>
          <w14:textFill>
            <w14:solidFill>
              <w14:schemeClr w14:val="tx1"/>
            </w14:solidFill>
          </w14:textFill>
        </w:rPr>
        <w:t>常州院东海地区修复防护材料采购专有协议</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val="en-US" w:eastAsia="zh-CN"/>
          <w14:textFill>
            <w14:solidFill>
              <w14:schemeClr w14:val="tx1"/>
            </w14:solidFill>
          </w14:textFill>
        </w:rPr>
        <w:t>/邀请</w:t>
      </w:r>
      <w:r>
        <w:rPr>
          <w:rFonts w:hint="eastAsia" w:asciiTheme="minorEastAsia" w:hAnsiTheme="minorEastAsia"/>
          <w:color w:val="000000" w:themeColor="text1"/>
          <w:sz w:val="21"/>
          <w:szCs w:val="21"/>
          <w:highlight w:val="none"/>
          <w14:textFill>
            <w14:solidFill>
              <w14:schemeClr w14:val="tx1"/>
            </w14:solidFill>
          </w14:textFill>
        </w:rPr>
        <w:t>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16</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10</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16</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（7）合同定价模式：固定单价/费率合同。</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其它：</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p>
    <w:p>
      <w:pPr>
        <w:pStyle w:val="2"/>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于文超</w:t>
      </w:r>
    </w:p>
    <w:p>
      <w:pPr>
        <w:pStyle w:val="2"/>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022-25802271</w:t>
      </w:r>
    </w:p>
    <w:p>
      <w:pPr>
        <w:pStyle w:val="2"/>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yuwch2@cnooc.com.cn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5"/>
        <w:tblW w:w="6808" w:type="pct"/>
        <w:jc w:val="center"/>
        <w:tblLayout w:type="autofit"/>
        <w:tblCellMar>
          <w:top w:w="0" w:type="dxa"/>
          <w:left w:w="0" w:type="dxa"/>
          <w:bottom w:w="0" w:type="dxa"/>
          <w:right w:w="0" w:type="dxa"/>
        </w:tblCellMar>
      </w:tblPr>
      <w:tblGrid>
        <w:gridCol w:w="612"/>
        <w:gridCol w:w="548"/>
        <w:gridCol w:w="2258"/>
        <w:gridCol w:w="7905"/>
      </w:tblGrid>
      <w:tr>
        <w:tblPrEx>
          <w:tblCellMar>
            <w:top w:w="0" w:type="dxa"/>
            <w:left w:w="0" w:type="dxa"/>
            <w:bottom w:w="0" w:type="dxa"/>
            <w:right w:w="0" w:type="dxa"/>
          </w:tblCellMar>
        </w:tblPrEx>
        <w:trPr>
          <w:trHeight w:val="90" w:hRule="atLeast"/>
          <w:jc w:val="center"/>
        </w:trPr>
        <w:tc>
          <w:tcPr>
            <w:tcW w:w="512" w:type="pct"/>
            <w:gridSpan w:val="2"/>
            <w:tcBorders>
              <w:top w:val="single" w:color="000000" w:sz="4" w:space="0"/>
              <w:left w:val="single" w:color="000000" w:sz="4" w:space="0"/>
              <w:bottom w:val="single" w:color="000000" w:sz="4" w:space="0"/>
              <w:right w:val="single" w:color="000000" w:sz="4" w:space="0"/>
            </w:tcBorders>
            <w:vAlign w:val="center"/>
          </w:tcPr>
          <w:p>
            <w:pPr>
              <w:pStyle w:val="2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997"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490"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90" w:hRule="atLeast"/>
          <w:jc w:val="center"/>
        </w:trPr>
        <w:tc>
          <w:tcPr>
            <w:tcW w:w="270" w:type="pct"/>
            <w:vMerge w:val="restart"/>
            <w:tcBorders>
              <w:top w:val="nil"/>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42" w:type="pct"/>
            <w:vMerge w:val="restart"/>
            <w:tcBorders>
              <w:top w:val="nil"/>
              <w:left w:val="nil"/>
              <w:right w:val="single" w:color="000000" w:sz="6" w:space="0"/>
            </w:tcBorders>
            <w:textDirection w:val="tbRlV"/>
            <w:vAlign w:val="center"/>
          </w:tcPr>
          <w:p>
            <w:pPr>
              <w:pStyle w:val="2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997"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490" w:type="pct"/>
            <w:tcBorders>
              <w:top w:val="single" w:color="000000" w:sz="4" w:space="0"/>
              <w:left w:val="nil"/>
              <w:bottom w:val="single" w:color="000000" w:sz="4" w:space="0"/>
              <w:right w:val="single" w:color="000000" w:sz="4" w:space="0"/>
            </w:tcBorders>
            <w:vAlign w:val="center"/>
          </w:tcPr>
          <w:p>
            <w:pPr>
              <w:pStyle w:val="2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2"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nil"/>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490" w:type="pct"/>
            <w:tcBorders>
              <w:top w:val="single" w:color="000000" w:sz="4" w:space="0"/>
              <w:left w:val="nil"/>
              <w:bottom w:val="nil"/>
              <w:right w:val="single" w:color="000000" w:sz="4" w:space="0"/>
            </w:tcBorders>
            <w:vAlign w:val="center"/>
          </w:tcPr>
          <w:p>
            <w:pPr>
              <w:pStyle w:val="2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2"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49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2"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490" w:type="pct"/>
            <w:tcBorders>
              <w:top w:val="single" w:color="000000" w:sz="4" w:space="0"/>
              <w:left w:val="nil"/>
              <w:bottom w:val="single" w:color="000000" w:sz="4" w:space="0"/>
              <w:right w:val="single" w:color="000000" w:sz="4" w:space="0"/>
            </w:tcBorders>
            <w:vAlign w:val="center"/>
          </w:tcPr>
          <w:p>
            <w:pPr>
              <w:pStyle w:val="2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2"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p>
        </w:tc>
        <w:tc>
          <w:tcPr>
            <w:tcW w:w="997" w:type="pct"/>
            <w:tcBorders>
              <w:top w:val="single" w:color="000000" w:sz="4" w:space="0"/>
              <w:left w:val="single" w:color="000000" w:sz="6" w:space="0"/>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lang w:val="en-US" w:eastAsia="zh-CN"/>
              </w:rPr>
            </w:pPr>
            <w:r>
              <w:rPr>
                <w:rFonts w:hint="eastAsia" w:ascii="仿宋" w:hAnsi="仿宋" w:eastAsia="仿宋" w:cs="仿宋"/>
                <w:color w:val="auto"/>
                <w:kern w:val="0"/>
                <w:sz w:val="21"/>
                <w:szCs w:val="21"/>
                <w:highlight w:val="none"/>
                <w:lang w:val="en-US" w:eastAsia="zh-CN" w:bidi="ar-SA"/>
              </w:rPr>
              <w:t>★商务资格</w:t>
            </w:r>
          </w:p>
        </w:tc>
        <w:tc>
          <w:tcPr>
            <w:tcW w:w="3490" w:type="pct"/>
            <w:tcBorders>
              <w:top w:val="single" w:color="000000" w:sz="4" w:space="0"/>
              <w:left w:val="nil"/>
              <w:bottom w:val="single" w:color="auto" w:sz="4" w:space="0"/>
              <w:right w:val="single" w:color="000000" w:sz="4" w:space="0"/>
            </w:tcBorders>
            <w:vAlign w:val="center"/>
          </w:tcPr>
          <w:p>
            <w:pP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2.法定代表人（单位负责人）身份证明。</w:t>
            </w:r>
          </w:p>
          <w:p>
            <w:pPr>
              <w:rPr>
                <w:rFonts w:hint="eastAsia"/>
                <w:lang w:val="en-US" w:eastAsia="zh-CN"/>
              </w:rPr>
            </w:pPr>
            <w:r>
              <w:rPr>
                <w:rFonts w:hint="eastAsia" w:ascii="仿宋" w:hAnsi="仿宋" w:eastAsia="仿宋" w:cs="仿宋"/>
                <w:bCs/>
                <w:color w:val="auto"/>
                <w:sz w:val="21"/>
                <w:szCs w:val="21"/>
                <w:highlight w:val="none"/>
                <w:lang w:val="en-US" w:eastAsia="zh-CN"/>
              </w:rPr>
              <w:t>3.法定代表人授权委托书（如涉及）。</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000000" w:sz="6" w:space="0"/>
              <w:bottom w:val="single" w:color="000000" w:sz="4" w:space="0"/>
              <w:right w:val="single" w:color="000000" w:sz="4" w:space="0"/>
            </w:tcBorders>
            <w:vAlign w:val="center"/>
          </w:tcPr>
          <w:p>
            <w:pPr>
              <w:pStyle w:val="2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490" w:type="pct"/>
            <w:tcBorders>
              <w:top w:val="single" w:color="auto" w:sz="4" w:space="0"/>
              <w:left w:val="nil"/>
              <w:bottom w:val="single" w:color="000000" w:sz="4" w:space="0"/>
              <w:right w:val="single" w:color="000000" w:sz="4" w:space="0"/>
            </w:tcBorders>
            <w:vAlign w:val="center"/>
          </w:tcPr>
          <w:p>
            <w:pPr>
              <w:pStyle w:val="2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1.应答人不得是最高人民法院在“信用中国”网站（</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"http://www.creditchina.gov.cn）或"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www.creditchina.gov.cn）或</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“中国执行信息公开网</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"http://zxgk.court.gov.cn/）列入失信被执行人名单（应附查询结果复印件并加盖单位章"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http://zxgk.court.gov.cn/）列入失信被执行人名单</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2.近三年（2021年1月1日-报价截止日前）内应答人或其法定代表人、拟委任的项目负责人不得有行贿犯罪行为，查询网站为“中国裁判文书网”http://wenshu.court.gov.cn）；</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3.应答人不得被工商行政管理机关在全国企业信用信息公示系统（http://www.gsxt.gov.cn）中列入严重违法失信企业名单。事业单位、大学除外。</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应答人与本采购项目其它应答人不得存在控股关系或管理关系、单位负责人为同一人的情形。在非公开采购项目中，严禁存在控股关系或管理关系、单位负责人为同一人、同一自然人同时持有两家公司非公开上市股份的情形。</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5.应答人应在应答文件中提供其公司章程或其它能够体现出资人、股东信息的法定文件，作为评标/评审时的依据。</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6.应答人承诺：中国海油在职员工（不含正式派出的）未有在应答人单位担任股东、法人代表、董事、监事和其它任职人员的情形。</w:t>
            </w:r>
          </w:p>
          <w:p>
            <w:pPr>
              <w:pStyle w:val="20"/>
              <w:jc w:val="both"/>
              <w:rPr>
                <w:rFonts w:hint="default"/>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上述要求应答人应提供供应商承诺书。</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pPr>
              <w:pStyle w:val="2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应答人或应答人所提供的第三方不得存在的其它情形</w:t>
            </w:r>
          </w:p>
          <w:p>
            <w:pPr>
              <w:pStyle w:val="2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490" w:type="pct"/>
            <w:tcBorders>
              <w:top w:val="single" w:color="000000" w:sz="4" w:space="0"/>
              <w:left w:val="nil"/>
              <w:bottom w:val="single" w:color="000000" w:sz="4" w:space="0"/>
              <w:right w:val="single" w:color="000000" w:sz="4" w:space="0"/>
            </w:tcBorders>
            <w:vAlign w:val="center"/>
          </w:tcPr>
          <w:p>
            <w:pPr>
              <w:pStyle w:val="2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★生产商要求</w:t>
            </w:r>
          </w:p>
        </w:tc>
        <w:tc>
          <w:tcPr>
            <w:tcW w:w="349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生产商须提供质量管理体系认证证书（须包含防腐、复合材料的加工制造），或厂房（提供自有或租用合同）及生产设备照片（提供购买发票）。</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49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490" w:type="pct"/>
            <w:tcBorders>
              <w:top w:val="single" w:color="000000" w:sz="4" w:space="0"/>
              <w:left w:val="nil"/>
              <w:bottom w:val="single" w:color="000000" w:sz="4" w:space="0"/>
              <w:right w:val="single" w:color="000000" w:sz="4" w:space="0"/>
            </w:tcBorders>
            <w:vAlign w:val="center"/>
          </w:tcPr>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2022年1月1日至应答截止日（以合同签署时间为准），应答人应具有至少1个合同的防腐材料的已完成的供货业绩。</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spacing w:line="24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应答人所提交的业绩证明文件必须至少体现以下内容：合同签署时间、合同签署页（应有双方盖章）、制造商名称、货物名称及到货验收材料。</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997" w:type="pct"/>
            <w:tcBorders>
              <w:top w:val="single" w:color="auto" w:sz="4" w:space="0"/>
              <w:left w:val="single" w:color="000000" w:sz="6" w:space="0"/>
              <w:bottom w:val="nil"/>
              <w:right w:val="single" w:color="000000"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490" w:type="pct"/>
            <w:tcBorders>
              <w:top w:val="single" w:color="auto" w:sz="4" w:space="0"/>
              <w:left w:val="nil"/>
              <w:bottom w:val="nil"/>
              <w:right w:val="single" w:color="000000" w:sz="4" w:space="0"/>
            </w:tcBorders>
            <w:vAlign w:val="center"/>
          </w:tcPr>
          <w:p>
            <w:pPr>
              <w:pStyle w:val="8"/>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货到验收合格后、收到发票及所有验收材料之日起45天付银行电汇（如付款到期日为非银行工作日，则付款到期日顺延至下一个银行工作日）</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tc>
        <w:tc>
          <w:tcPr>
            <w:tcW w:w="242" w:type="pct"/>
            <w:vMerge w:val="continue"/>
            <w:tcBorders>
              <w:left w:val="single" w:color="000000" w:sz="6" w:space="0"/>
              <w:right w:val="single" w:color="000000" w:sz="6" w:space="0"/>
            </w:tcBorders>
            <w:vAlign w:val="center"/>
          </w:tcPr>
          <w:p/>
        </w:tc>
        <w:tc>
          <w:tcPr>
            <w:tcW w:w="997" w:type="pct"/>
            <w:tcBorders>
              <w:top w:val="single" w:color="000000" w:sz="4" w:space="0"/>
              <w:left w:val="single" w:color="000000" w:sz="6"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val="0"/>
                <w:kern w:val="0"/>
                <w:sz w:val="21"/>
                <w:szCs w:val="21"/>
                <w:highlight w:val="none"/>
                <w:lang w:val="en-US" w:eastAsia="zh-CN" w:bidi="ar-SA"/>
              </w:rPr>
            </w:pPr>
            <w:r>
              <w:rPr>
                <w:rFonts w:hint="eastAsia" w:ascii="仿宋" w:hAnsi="仿宋" w:eastAsia="仿宋" w:cs="仿宋"/>
                <w:b w:val="0"/>
                <w:bCs w:val="0"/>
                <w:kern w:val="0"/>
                <w:sz w:val="21"/>
                <w:szCs w:val="21"/>
                <w:highlight w:val="none"/>
                <w:lang w:val="en-US" w:eastAsia="zh-CN" w:bidi="ar-SA"/>
              </w:rPr>
              <w:t>合同条款</w:t>
            </w:r>
          </w:p>
        </w:tc>
        <w:tc>
          <w:tcPr>
            <w:tcW w:w="3490" w:type="pct"/>
            <w:tcBorders>
              <w:top w:val="single" w:color="000000" w:sz="4" w:space="0"/>
              <w:left w:val="nil"/>
              <w:bottom w:val="single" w:color="000000" w:sz="4" w:space="0"/>
              <w:right w:val="single" w:color="000000" w:sz="4" w:space="0"/>
            </w:tcBorders>
            <w:vAlign w:val="center"/>
          </w:tcPr>
          <w:p>
            <w:pPr>
              <w:pStyle w:val="8"/>
              <w:ind w:right="11"/>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固定单价/费率合同。</w:t>
            </w:r>
          </w:p>
          <w:p>
            <w:pPr>
              <w:pStyle w:val="8"/>
              <w:ind w:right="11"/>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+1年。合同执行一年期后，若双方对药剂性能、合同条款及合同价格均无异议，继续沿用1年；若无法达成一致，则合同自动终止。第3年同第2年的操作方式。协议期满后，如有未执行完毕的订单，该订单应履行完毕</w:t>
            </w:r>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w:t>
            </w:r>
          </w:p>
        </w:tc>
      </w:tr>
      <w:tr>
        <w:tblPrEx>
          <w:tblCellMar>
            <w:top w:w="0" w:type="dxa"/>
            <w:left w:w="0" w:type="dxa"/>
            <w:bottom w:w="0" w:type="dxa"/>
            <w:right w:w="0" w:type="dxa"/>
          </w:tblCellMar>
        </w:tblPrEx>
        <w:trPr>
          <w:trHeight w:val="90" w:hRule="atLeast"/>
          <w:jc w:val="center"/>
        </w:trPr>
        <w:tc>
          <w:tcPr>
            <w:tcW w:w="27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pPr>
              <w:pStyle w:val="2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490" w:type="pct"/>
            <w:tcBorders>
              <w:top w:val="single" w:color="000000" w:sz="4" w:space="0"/>
              <w:left w:val="nil"/>
              <w:bottom w:val="single" w:color="000000" w:sz="4" w:space="0"/>
              <w:right w:val="single" w:color="000000" w:sz="4" w:space="0"/>
            </w:tcBorders>
            <w:vAlign w:val="center"/>
          </w:tcPr>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1.一般商务指标偏离超过3项，则评议不合格。</w:t>
            </w:r>
          </w:p>
          <w:p>
            <w:pPr>
              <w:pStyle w:val="2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90" w:hRule="atLeast"/>
          <w:jc w:val="center"/>
        </w:trPr>
        <w:tc>
          <w:tcPr>
            <w:tcW w:w="270" w:type="pct"/>
            <w:vMerge w:val="restar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42"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997" w:type="pct"/>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★规格型号/服务范围</w:t>
            </w:r>
          </w:p>
        </w:tc>
        <w:tc>
          <w:tcPr>
            <w:tcW w:w="3490" w:type="pct"/>
            <w:tcBorders>
              <w:top w:val="single" w:color="000000" w:sz="4" w:space="0"/>
              <w:left w:val="single" w:color="auto" w:sz="4" w:space="0"/>
              <w:bottom w:val="single" w:color="000000" w:sz="4" w:space="0"/>
              <w:right w:val="single" w:color="000000" w:sz="4" w:space="0"/>
            </w:tcBorders>
            <w:vAlign w:val="center"/>
          </w:tcPr>
          <w:p>
            <w:pPr>
              <w:pStyle w:val="2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须承诺满足附件2：产品技术参数。</w:t>
            </w:r>
          </w:p>
        </w:tc>
      </w:tr>
      <w:tr>
        <w:tblPrEx>
          <w:tblCellMar>
            <w:top w:w="0" w:type="dxa"/>
            <w:left w:w="0" w:type="dxa"/>
            <w:bottom w:w="0" w:type="dxa"/>
            <w:right w:w="0" w:type="dxa"/>
          </w:tblCellMar>
        </w:tblPrEx>
        <w:trPr>
          <w:trHeight w:val="90" w:hRule="atLeast"/>
          <w:jc w:val="center"/>
        </w:trPr>
        <w:tc>
          <w:tcPr>
            <w:tcW w:w="27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top w:val="single" w:color="auto" w:sz="4" w:space="0"/>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vAlign w:val="center"/>
          </w:tcPr>
          <w:p>
            <w:pPr>
              <w:pStyle w:val="2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交货期/服务期</w:t>
            </w:r>
          </w:p>
        </w:tc>
        <w:tc>
          <w:tcPr>
            <w:tcW w:w="3490" w:type="pct"/>
            <w:tcBorders>
              <w:top w:val="single" w:color="000000" w:sz="4" w:space="0"/>
              <w:left w:val="single" w:color="auto" w:sz="4" w:space="0"/>
              <w:bottom w:val="single" w:color="000000" w:sz="4" w:space="0"/>
              <w:right w:val="single" w:color="000000" w:sz="4" w:space="0"/>
            </w:tcBorders>
            <w:vAlign w:val="center"/>
          </w:tcPr>
          <w:p>
            <w:pPr>
              <w:pStyle w:val="2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根据买方订单送货。</w:t>
            </w:r>
          </w:p>
        </w:tc>
      </w:tr>
      <w:tr>
        <w:tblPrEx>
          <w:tblCellMar>
            <w:top w:w="0" w:type="dxa"/>
            <w:left w:w="0" w:type="dxa"/>
            <w:bottom w:w="0" w:type="dxa"/>
            <w:right w:w="0" w:type="dxa"/>
          </w:tblCellMar>
        </w:tblPrEx>
        <w:trPr>
          <w:trHeight w:val="90" w:hRule="atLeast"/>
          <w:jc w:val="center"/>
        </w:trPr>
        <w:tc>
          <w:tcPr>
            <w:tcW w:w="27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2" w:type="pct"/>
            <w:vMerge w:val="continue"/>
            <w:tcBorders>
              <w:top w:val="single" w:color="auto" w:sz="4" w:space="0"/>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49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1.标注“★”号的条款为关键条款，对这些关键条款的任何偏离将导致应答文件被拒绝。</w:t>
            </w:r>
          </w:p>
          <w:p>
            <w:pPr>
              <w:pStyle w:val="7"/>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2.技术偏离表，不提供视为无偏离。</w:t>
            </w:r>
          </w:p>
        </w:tc>
      </w:tr>
      <w:tr>
        <w:tblPrEx>
          <w:tblCellMar>
            <w:top w:w="0" w:type="dxa"/>
            <w:left w:w="0" w:type="dxa"/>
            <w:bottom w:w="0" w:type="dxa"/>
            <w:right w:w="0" w:type="dxa"/>
          </w:tblCellMar>
        </w:tblPrEx>
        <w:trPr>
          <w:trHeight w:val="90" w:hRule="atLeast"/>
          <w:jc w:val="center"/>
        </w:trPr>
        <w:tc>
          <w:tcPr>
            <w:tcW w:w="270"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42"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997"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49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rPr>
      </w:pPr>
      <w:bookmarkStart w:id="0" w:name="_Toc13249325"/>
      <w:bookmarkStart w:id="1" w:name="_Toc13248928"/>
      <w:r>
        <w:rPr>
          <w:rFonts w:hint="eastAsia" w:asciiTheme="minorEastAsia" w:hAnsiTheme="minorEastAsia" w:eastAsiaTheme="minorEastAsia" w:cstheme="minorEastAsia"/>
          <w:sz w:val="28"/>
          <w:szCs w:val="16"/>
          <w:lang w:val="en-US" w:eastAsia="zh-CN"/>
        </w:rPr>
        <w:t>一、</w:t>
      </w:r>
      <w:r>
        <w:rPr>
          <w:rFonts w:hint="eastAsia" w:asciiTheme="minorEastAsia" w:hAnsiTheme="minorEastAsia" w:eastAsiaTheme="minorEastAsia" w:cstheme="minorEastAsia"/>
          <w:sz w:val="28"/>
          <w:szCs w:val="16"/>
        </w:rPr>
        <w:t>需求一览表</w:t>
      </w:r>
      <w:bookmarkEnd w:id="0"/>
      <w:bookmarkEnd w:id="1"/>
    </w:p>
    <w:tbl>
      <w:tblPr>
        <w:tblStyle w:val="15"/>
        <w:tblW w:w="50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078"/>
        <w:gridCol w:w="1729"/>
        <w:gridCol w:w="3524"/>
        <w:gridCol w:w="784"/>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2" w:name="_Toc13249326"/>
            <w:bookmarkStart w:id="3" w:name="_Toc13248929"/>
            <w:r>
              <w:rPr>
                <w:rFonts w:hint="eastAsia" w:ascii="宋体" w:hAnsi="宋体" w:eastAsia="宋体" w:cs="宋体"/>
                <w:b/>
                <w:bCs/>
                <w:i w:val="0"/>
                <w:iCs w:val="0"/>
                <w:color w:val="000000"/>
                <w:kern w:val="0"/>
                <w:sz w:val="20"/>
                <w:szCs w:val="20"/>
                <w:u w:val="none"/>
                <w:lang w:val="en-US" w:eastAsia="zh-CN" w:bidi="ar"/>
              </w:rPr>
              <w:t>序号</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物料组</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A020709</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冷焊型修补修复材料</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冷焊型修补修复材料\1kg/组</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A130117</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防火单向透气膜材料</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防火单向透气膜材料\22kg/组</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A020709</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膨胀型耐寒烫防护修复材料</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膨胀型耐寒烫防护修复材料\0.6L/组</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A020709</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船舶修补修复材料清洗剂</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船舶修补修复材料清洗剂\0.5L/组</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A020709</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玻璃纤维阻燃处理网材料</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玻璃纤维阻燃处理网材料\10*50m*23cm</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A020709</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增强带修复材料</w:t>
            </w:r>
          </w:p>
        </w:tc>
        <w:tc>
          <w:tcPr>
            <w:tcW w:w="20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增强带修复材料\22.5cm*10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bl>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二、执行标准/规范</w:t>
      </w:r>
    </w:p>
    <w:p>
      <w:pPr>
        <w:spacing w:line="360" w:lineRule="auto"/>
        <w:ind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《工业设备、管道防腐蚀工程施工及验收规范》（HGJ229-91)</w:t>
      </w:r>
    </w:p>
    <w:p>
      <w:pPr>
        <w:spacing w:line="360" w:lineRule="auto"/>
        <w:ind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GB/T 51410-2020建筑防火封堵应用技术标准</w:t>
      </w:r>
    </w:p>
    <w:p>
      <w:pPr>
        <w:spacing w:line="360" w:lineRule="auto"/>
        <w:ind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GB 14907-2018钢结构防火涂料</w:t>
      </w:r>
    </w:p>
    <w:p>
      <w:pPr>
        <w:spacing w:line="360" w:lineRule="auto"/>
        <w:ind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GB/T 43308-2023 玻璃纤维增强热塑性单向预浸料</w:t>
      </w:r>
    </w:p>
    <w:p>
      <w:pPr>
        <w:spacing w:line="360" w:lineRule="auto"/>
        <w:ind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‌GB 50608-2020纤维增强复合材料工程应用技术标准</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设计/使用条件</w:t>
      </w:r>
    </w:p>
    <w:p>
      <w:pPr>
        <w:spacing w:line="360" w:lineRule="auto"/>
        <w:ind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到货/安装或使用地点：舟山/东海海上各平台、宁波终端等。</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四、技术要求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各种货物须满足表中各项物料的规格和型号，同时满足货物订单的具体技术要求，如颜色、成分、性能、防腐、防爆等。货物须满足相应物料国家标准或企业标准。货物包装须满足海上船舶运输或货物吊装或海上油气田安全生产要求。部分产品要求如下：</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冷焊型修补修复材料：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【此材料部分引用《工业设备、管道防腐蚀工程施工及验收规范》（HGJ229-91)（第2.1）】。</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每组为1套，等同或相当于BELZONA1111、广西际圣金属铸模ZM01、南京辰辉金属修复Ⅰ型。机械和设备的修复和重建。基于硅钢合金并混合有高分子量反应型聚合物和低聚物。用作高强度结构粘合剂。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用于金属修复和表面重修的双组分修复复合材料，基于无溶剂环氧树脂，并用硅钢合金增强。这种修复材料不会腐蚀，而且耐多种化学品。它容易混合和敷涂，无需专业工具，可用普通工具加工。主要用于发动机和泵壳、管道、储罐和其它设备上的裂纹和孔洞的修复，点蚀金属面的表面重修，受损轴和液压活塞的修复，法兰的原位修复，用于金属粘接的高强度结构胶，不规则承重衬片的新建和轴承箱的改造等。适合与饮用水接触，获得船级社认证。</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无溶剂、100%固体、无析出物的环氧树脂、高分子双组份膏状级复合材料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粘合力：碳钢2790psi（19.2MPa）、不锈钢2960psi（20.4MPa）</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弹性模量：13.8×105/8350Mpa</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具有食品偶然接触等级认证</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‌材料类型‌：双组分环氧树脂基修复复合材料，采用硅钢合金增强，无溶剂设计。适用基材包括不锈钢、碳钢、铝、黄铜、铜等金属，以及玻璃、木材等部分非金属材料。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‌固化条件‌：常温固化（24小时内可加工），无需高温操作。</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拉伸强度：≥950 MPa；</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剪切强度：≥950 MPa；</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抗压强度：适配高载荷场景（如轴承座、轴套修复）。</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‌加工性‌：固化后可用普通工具（如车床、铣床）加工，无收缩或变形。</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长期耐温：‌-30℃至175℃‌（干燥环境）；潮湿环境下耐温上限为‌60℃。</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耐腐蚀性：对水、油、酸、碱等化学品（PH 0-14）具有优异防护性，适用于化工、能源等腐蚀性环境。</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典型应用：金属部件（轴类、轴承座、螺纹等）的磨损修复；不锈钢焊缝、铸铁件裂纹修补；应急修补。</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防火单向透气膜材料：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【此材料部分引用GB/T 51410-2020建筑防火封堵应用技术标准（第3条）】。</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 xml:space="preserve">等同或相当于BELZONA3211、广西际圣阻燃防水22、南京辰辉防水防火剂。配置型水基苯丙乳液聚合物，可与一种聚合物粘接的玻璃增强板结合使用，形成各种类型的隔离和覆盖材料的无缝防水、耐候性涂层。该材料有弹性、可防水并可抗风化，含有微孔，便于水分从基材中蒸发掉。  </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 xml:space="preserve">具有阻燃性，符合 EN 13501-1 标准的 C s2 d0 级要求。  </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 xml:space="preserve">适合在工作温度高达 100°C (212°F) 的环境中施工。 根据 ISO 4892-2 (Xenon Arc) 进行测试，经过 8500 小时以上的照射后， 不出现显著粉化或变色。 </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‌水蒸气透过量‌：≥984 g/(㎡·24h)，具备高透气性；部分产品透气性范围为20~200 g/(㎡·24h)。</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‌单向透气特性‌：实现空气单向流通，适应建筑防潮、防霉需求。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‌耐温范围‌：-60℃至120℃（常规使用），部分材料短期耐温达500℃。</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‌防水性‌：不透水性良好（如2m水柱2小时不透水）。</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‌耐候性‌：抗紫外线、耐腐蚀，适应多种气候条件。</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‌形态与规格‌：卷状或层状，厚度0.2~0.5mm，支持定制化尺寸（宽幅100-400mm）。</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‌颜色‌：灰、白、黑等常规色系。</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‌环保性‌：无有害气体释放，符合建筑环保要求。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典型应用：建筑外墙、屋顶、隔墙的防火防潮层；钢结构防潮隔气、金属屋顶防水透气；应急工程。</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 xml:space="preserve"> 引用标准有：油气管道管体修复技术规范，Q/SY 1592-2013 、防腐材料产品厂商说明书、买方相关施工技术要求与规范、《表面处理和防护涂层》（NORSOK Standard M-501）</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膨胀型耐寒烫防护修复材料：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【此材料部分引用GB 14907-2018钢结构防火涂料（第5.1）（有补充引用）】。</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每组为1套，等同或相当于BELZONA5871、广西际圣隔热0-6、南京辰辉保温防腐剂。双组分、无溶剂型聚合物，膨胀形成一种轻质、闭孔泡沫，具备耐腐蚀性、隔热性能及高温触手不烫、低温触手不冰的特性。具备耐干热性能，可耐 150°C/302°F 的高温，承受温度 120°C/248°F 的潮湿环境。 用于金属管道、导管系统及其他工业设备，用于保温层下腐蚀(CUI)防护，有隔热、防凝结性能。</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功能特性‌：提供“冷触碰”防护，表面温度可降至‌60℃以下‌，防止接触性灼伤，同时抑制冷凝、结冰及保温层下腐蚀（CUI）。无需额外底漆或面漆，单层施工即可满足防腐与隔热需求。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耐温与防护性能</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‌温度适应性‌：适用于金属管道、储罐等设备外壁，可降低表面温度至安全范围（≤60℃），减少热损失。耐受极端温度变化，固化后可在-30℃至高温环境下保持性能稳定。</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‌耐腐蚀性‌：对水、油及常见腐蚀介质（PH 0-14）具有优异防护能力，适用于化工、石油等严苛环境。</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‌密度‌：常温下密度为2.0-2.5 g/cm³。</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‌环保性‌：无有害物质释放，符合工业环保标准。</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典型应用：‌工业设备修复‌：高温管道、金属构件磨损或裂纹修补；‌极端环境防护‌：低温设备防冻裂、高温设备隔热层修复；‌复合结构防护‌：金属基材与高分子涂层的复合修复，适应冷热交替场景。</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引用标准有：油气管道管体修复技术规范，Q/SY 1592-2013 、防腐材料产品厂商说明书、买方相关施工技术要求与规范、《表面处理和防护涂层》（NORSOK Standard M-501）、《管道防腐层检漏试验方法》（SY/T 0063-1999）、《管道防腐层厚度的无损测量方法》（SY/T 0066-1999）；</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玻璃纤维阻燃处理网材料：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【此材料部分引用防GB/T 43308-2023 玻璃纤维增强热塑性单向预浸料（第6条）】。</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每组为1套，等同或相当于BELZONA9321、广西际圣高强度包扎带50、南京辰辉窄增强带。敞开式编织网、粘合防脱落的玻璃纤维阻燃处理网材料，规格为23㎝*50m，具备阻燃性能、采用玻璃纤维进行增强，具备网状结构，能够应用在管道外侧进行包覆和加固。</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‌阻燃等级‌：符合EN 13501-1标准（A2-s1,d0）及GB 8624-2012标准（A级防火）；</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‌耐高温性‌：短期耐温达900℃（阻燃电缆应用）；长期使用温度范围-60℃至170℃。</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常用于设备的修复、保护和重建</w:t>
      </w:r>
    </w:p>
    <w:p>
      <w:pPr>
        <w:pStyle w:val="2"/>
        <w:ind w:left="0" w:leftChars="0" w:firstLine="420" w:firstLineChars="200"/>
        <w:rPr>
          <w:rFonts w:hint="default"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引用标准有：油气管道管体修复技术规范，Q/SY 1592-2013 、防腐材料产品厂商说明书、买方相关施工技术要求与规范、管道缺陷玻璃纤维复合材料修复技术规范（第 1 部分：湿缠绕法），Q/SYGD 0215.1-2011 、《表面处理和防护涂层》（NORSOK Standard M-501）</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增强带修复材料：</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【此材料部分引用增强带修复材料‌GB 50608-2020纤维增强复合材料工程应用技术标准（第3条）】。</w:t>
      </w:r>
    </w:p>
    <w:p>
      <w:pPr>
        <w:pStyle w:val="2"/>
        <w:ind w:left="0" w:leftChars="0" w:firstLine="420" w:firstLineChars="200"/>
        <w:rPr>
          <w:rFonts w:hint="default"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每组为1套，等同或相当于BELZONA9341、广西际圣高强度包扎带225、南京辰辉宽增强带。</w:t>
      </w:r>
      <w:r>
        <w:rPr>
          <w:rFonts w:hint="default" w:ascii="微软雅黑 Light" w:hAnsi="微软雅黑 Light" w:eastAsia="微软雅黑 Light" w:cs="微软雅黑 Light"/>
          <w:kern w:val="2"/>
          <w:sz w:val="21"/>
          <w:szCs w:val="21"/>
          <w:lang w:val="en-US" w:eastAsia="zh-CN" w:bidi="ar-SA"/>
        </w:rPr>
        <w:t>具有很高的抗拉强度，在能够承受较大的拉力</w:t>
      </w:r>
      <w:r>
        <w:rPr>
          <w:rFonts w:hint="eastAsia" w:ascii="微软雅黑 Light" w:hAnsi="微软雅黑 Light" w:eastAsia="微软雅黑 Light" w:cs="微软雅黑 Light"/>
          <w:kern w:val="2"/>
          <w:sz w:val="21"/>
          <w:szCs w:val="21"/>
          <w:lang w:val="en-US" w:eastAsia="zh-CN" w:bidi="ar-SA"/>
        </w:rPr>
        <w:t>；</w:t>
      </w:r>
      <w:r>
        <w:rPr>
          <w:rFonts w:hint="default" w:ascii="微软雅黑 Light" w:hAnsi="微软雅黑 Light" w:eastAsia="微软雅黑 Light" w:cs="微软雅黑 Light"/>
          <w:kern w:val="2"/>
          <w:sz w:val="21"/>
          <w:szCs w:val="21"/>
          <w:lang w:val="en-US" w:eastAsia="zh-CN" w:bidi="ar-SA"/>
        </w:rPr>
        <w:t>具有良好的柔韧性</w:t>
      </w:r>
      <w:r>
        <w:rPr>
          <w:rFonts w:hint="eastAsia" w:ascii="微软雅黑 Light" w:hAnsi="微软雅黑 Light" w:eastAsia="微软雅黑 Light" w:cs="微软雅黑 Light"/>
          <w:kern w:val="2"/>
          <w:sz w:val="21"/>
          <w:szCs w:val="21"/>
          <w:lang w:val="en-US" w:eastAsia="zh-CN" w:bidi="ar-SA"/>
        </w:rPr>
        <w:t>；材料</w:t>
      </w:r>
      <w:r>
        <w:rPr>
          <w:rFonts w:hint="default" w:ascii="微软雅黑 Light" w:hAnsi="微软雅黑 Light" w:eastAsia="微软雅黑 Light" w:cs="微软雅黑 Light"/>
          <w:kern w:val="2"/>
          <w:sz w:val="21"/>
          <w:szCs w:val="21"/>
          <w:lang w:val="en-US" w:eastAsia="zh-CN" w:bidi="ar-SA"/>
        </w:rPr>
        <w:t>的耐磨性能出色。在长时间的物料摩擦下，</w:t>
      </w:r>
      <w:r>
        <w:rPr>
          <w:rFonts w:hint="eastAsia" w:ascii="微软雅黑 Light" w:hAnsi="微软雅黑 Light" w:eastAsia="微软雅黑 Light" w:cs="微软雅黑 Light"/>
          <w:kern w:val="2"/>
          <w:sz w:val="21"/>
          <w:szCs w:val="21"/>
          <w:lang w:val="en-US" w:eastAsia="zh-CN" w:bidi="ar-SA"/>
        </w:rPr>
        <w:t>材料</w:t>
      </w:r>
      <w:r>
        <w:rPr>
          <w:rFonts w:hint="default" w:ascii="微软雅黑 Light" w:hAnsi="微软雅黑 Light" w:eastAsia="微软雅黑 Light" w:cs="微软雅黑 Light"/>
          <w:kern w:val="2"/>
          <w:sz w:val="21"/>
          <w:szCs w:val="21"/>
          <w:lang w:val="en-US" w:eastAsia="zh-CN" w:bidi="ar-SA"/>
        </w:rPr>
        <w:t>自身不易磨损。</w:t>
      </w:r>
      <w:r>
        <w:rPr>
          <w:rFonts w:hint="eastAsia" w:ascii="微软雅黑 Light" w:hAnsi="微软雅黑 Light" w:eastAsia="微软雅黑 Light" w:cs="微软雅黑 Light"/>
          <w:kern w:val="2"/>
          <w:sz w:val="21"/>
          <w:szCs w:val="21"/>
          <w:lang w:val="en-US" w:eastAsia="zh-CN" w:bidi="ar-SA"/>
        </w:rPr>
        <w:t>材料</w:t>
      </w:r>
      <w:r>
        <w:rPr>
          <w:rFonts w:hint="default" w:ascii="微软雅黑 Light" w:hAnsi="微软雅黑 Light" w:eastAsia="微软雅黑 Light" w:cs="微软雅黑 Light"/>
          <w:kern w:val="2"/>
          <w:sz w:val="21"/>
          <w:szCs w:val="21"/>
          <w:lang w:val="en-US" w:eastAsia="zh-CN" w:bidi="ar-SA"/>
        </w:rPr>
        <w:t>操作简单，使用便捷，干燥迅速。优秀的耐腐蚀性，能够抵御多种化学物质的侵蚀。在可能会接触到酸碱等腐蚀性物质</w:t>
      </w:r>
      <w:r>
        <w:rPr>
          <w:rFonts w:hint="eastAsia" w:ascii="微软雅黑 Light" w:hAnsi="微软雅黑 Light" w:eastAsia="微软雅黑 Light" w:cs="微软雅黑 Light"/>
          <w:kern w:val="2"/>
          <w:sz w:val="21"/>
          <w:szCs w:val="21"/>
          <w:lang w:val="en-US" w:eastAsia="zh-CN" w:bidi="ar-SA"/>
        </w:rPr>
        <w:t>，</w:t>
      </w:r>
      <w:r>
        <w:rPr>
          <w:rFonts w:hint="default" w:ascii="微软雅黑 Light" w:hAnsi="微软雅黑 Light" w:eastAsia="微软雅黑 Light" w:cs="微软雅黑 Light"/>
          <w:kern w:val="2"/>
          <w:sz w:val="21"/>
          <w:szCs w:val="21"/>
          <w:lang w:val="en-US" w:eastAsia="zh-CN" w:bidi="ar-SA"/>
        </w:rPr>
        <w:t>可以在这样的环境下保持稳定的化学性质，不会被腐蚀而失去修补作用。</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机械性能</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‌抗拉强度‌：专为高载荷设计，可提升修复区域的抗冲击和抗振动能力，适配油污、潮湿基材的紧急修复场景。</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韧性‌：支持弯曲表面贴合，适用于管道、法兰等复杂几何结构。</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应用条件</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操作时需确保基材表面清洁、干燥且粗糙化（如喷砂或打磨处理）。</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‌施工流程‌：清洁基材后，涂抹环氧修补剂并缠绕增强带，通过多层包裹实现快速固化与强度提升。</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应用场景‌管道泄漏修复‌：用于石油、化工管道的实时堵漏，支持带压操作；‌承重结构加固‌：船舶舱壁、机械设备的裂缝增强修复。</w:t>
      </w:r>
    </w:p>
    <w:p>
      <w:pPr>
        <w:pStyle w:val="2"/>
        <w:ind w:left="0" w:leftChars="0" w:firstLine="420" w:firstLineChars="200"/>
        <w:rPr>
          <w:rFonts w:hint="default"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引用标准有：油气管道管体修复技术规范，Q/SY 1592-2013 、防腐材料产品厂商说明书、买方相关施工技术要求与规范、《表面处理和防护涂层》（NORSOK Standard M-501）</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船舶修补修复材料清洗剂：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每组为1套，等同或相当于BELZONA9111、广西际圣多功能清洗剂05、南京辰辉清洁剂。针对修补修复材料的专用清洗剂，能够去除旧材料的附着，并为新使用修补材料的附着提供良好的性能，材料使用要求简单易操作，本身材料具有化学稳定性。</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工作条件</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‌温度范围‌：常温至60℃，适应不同清洗需求。</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‌循环清洗时间‌：主清洗：1-8小时（根据污染程度调整）；防锈处理：0.5-1小时（LF-608）。</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‌流速要求‌：循环清洗时最小流速为1.2m/s，确保有效冲刷管道内壁。</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性能指标</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‌去污能力‌：可去除油污、锈迹及重油垢，适用于船舶管路、油舱等场景。中性配方避免对金属基材腐蚀，减少二次污染风险。</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‌防锈性能‌：LF-608防锈水提供短期防锈保护，支持后续修补工艺。</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‌环保性‌：无有害物质排放，符合工业环保标准。</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应用场景：‌船舶管路清洗‌：替代传统拆卸清洗，缩短维修周期；‌油舱及重油垢处理‌：兼容石油化工、船舶修造等行业的复杂油泥清洗需求；‌修补前表面处理‌：为环氧树脂修补剂（如TD-3366、WEICON C）提供清洁干燥的基材表面。</w:t>
      </w:r>
    </w:p>
    <w:p>
      <w:pPr>
        <w:pStyle w:val="2"/>
        <w:ind w:left="0" w:leftChars="0" w:firstLine="420" w:firstLineChars="200"/>
        <w:rPr>
          <w:rFonts w:hint="default"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引用标准有：油气管道管体修复技术规范，Q/SY 1592-2013 、防腐材料产品厂商说明书、买方相关施工技术要求与规范、《表面处理和防护涂层》（NORSOK Standard M-501）</w:t>
      </w: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五、检测和试验</w:t>
      </w:r>
    </w:p>
    <w:bookmarkEnd w:id="2"/>
    <w:bookmarkEnd w:id="3"/>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明确产品检测或试验要求，可明确相应的检测标准和试验方法，优先考虑采用公认的或已颁布的标准检验方法：</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a)包括但不限于产品合格证书（加盖供货商公章 原件）、材质证书、试验结果、出厂检验合格证书、产品证书、原产地证明等；</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b)提供质量监督部门检测机构报告。</w:t>
      </w:r>
    </w:p>
    <w:p>
      <w:pPr>
        <w:pStyle w:val="2"/>
        <w:ind w:left="0" w:leftChars="0" w:firstLine="420" w:firstLineChars="200"/>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c)★由于验收不合格导致的材料，由承包商免费负责更换，直至验收合格为止。</w:t>
      </w: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六、标识、包装、运输和存储</w:t>
      </w:r>
    </w:p>
    <w:p>
      <w:pPr>
        <w:pStyle w:val="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1. 产品标识：产品标志/标签要求：产品名称、规格型号、生产批号、生产日期、有效期、生产商名称、生产地址、MSDS等；</w:t>
      </w:r>
    </w:p>
    <w:p>
      <w:pPr>
        <w:pStyle w:val="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eastAsia"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2. 产品包装：满足海上运输要求包装要求。</w:t>
      </w:r>
    </w:p>
    <w:p>
      <w:pPr>
        <w:pStyle w:val="2"/>
        <w:keepNext w:val="0"/>
        <w:keepLines w:val="0"/>
        <w:pageBreakBefore w:val="0"/>
        <w:widowControl w:val="0"/>
        <w:kinsoku/>
        <w:wordWrap/>
        <w:overflowPunct/>
        <w:topLinePunct w:val="0"/>
        <w:autoSpaceDE/>
        <w:autoSpaceDN/>
        <w:bidi w:val="0"/>
        <w:adjustRightInd/>
        <w:snapToGrid/>
        <w:spacing w:before="0"/>
        <w:ind w:left="0" w:leftChars="0" w:firstLine="420" w:firstLineChars="200"/>
        <w:textAlignment w:val="auto"/>
        <w:rPr>
          <w:rFonts w:hint="default" w:ascii="微软雅黑 Light" w:hAnsi="微软雅黑 Light" w:eastAsia="微软雅黑 Light" w:cs="微软雅黑 Light"/>
          <w:kern w:val="2"/>
          <w:sz w:val="21"/>
          <w:szCs w:val="21"/>
          <w:lang w:val="en-US" w:eastAsia="zh-CN" w:bidi="ar-SA"/>
        </w:rPr>
      </w:pPr>
      <w:r>
        <w:rPr>
          <w:rFonts w:hint="eastAsia" w:ascii="微软雅黑 Light" w:hAnsi="微软雅黑 Light" w:eastAsia="微软雅黑 Light" w:cs="微软雅黑 Light"/>
          <w:kern w:val="2"/>
          <w:sz w:val="21"/>
          <w:szCs w:val="21"/>
          <w:lang w:val="en-US" w:eastAsia="zh-CN" w:bidi="ar-SA"/>
        </w:rPr>
        <w:t>3. 产品运输：明确产品运输方式，汽运、火运、海运或其他，以上皆可。</w:t>
      </w: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七、技术文件</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投标时需提供所投产品生产厂家、品牌、规格型号</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 </w:t>
      </w:r>
      <w:r>
        <w:rPr>
          <w:rFonts w:hint="eastAsia" w:ascii="宋体" w:hAnsi="宋体" w:eastAsia="宋体" w:cs="宋体"/>
          <w:sz w:val="24"/>
          <w:szCs w:val="24"/>
          <w:lang w:val="en-US" w:eastAsia="zh-CN"/>
        </w:rPr>
        <w:t>产品交付时，提供</w:t>
      </w:r>
      <w:r>
        <w:rPr>
          <w:rFonts w:hint="eastAsia" w:ascii="宋体" w:hAnsi="宋体" w:eastAsia="宋体" w:cs="宋体"/>
          <w:sz w:val="24"/>
          <w:szCs w:val="24"/>
          <w:lang w:eastAsia="zh-CN"/>
        </w:rPr>
        <w:t>产品合格证、出厂检验报告等。</w:t>
      </w: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inorEastAsia" w:hAnsiTheme="minorEastAsia" w:cstheme="minorEastAsia"/>
          <w:sz w:val="28"/>
          <w:szCs w:val="16"/>
          <w:lang w:val="en-US" w:eastAsia="zh-CN"/>
        </w:rPr>
      </w:pPr>
      <w:bookmarkStart w:id="4" w:name="_Toc13248931"/>
      <w:bookmarkStart w:id="5" w:name="_Toc13249328"/>
      <w:r>
        <w:rPr>
          <w:rFonts w:hint="eastAsia" w:asciiTheme="minorEastAsia" w:hAnsiTheme="minorEastAsia" w:cstheme="minorEastAsia"/>
          <w:sz w:val="28"/>
          <w:szCs w:val="16"/>
          <w:lang w:val="en-US" w:eastAsia="zh-CN"/>
        </w:rPr>
        <w:t>八、</w:t>
      </w:r>
      <w:bookmarkEnd w:id="4"/>
      <w:bookmarkEnd w:id="5"/>
      <w:r>
        <w:rPr>
          <w:rFonts w:hint="eastAsia" w:asciiTheme="minorEastAsia" w:hAnsiTheme="minorEastAsia" w:cstheme="minorEastAsia"/>
          <w:sz w:val="28"/>
          <w:szCs w:val="16"/>
          <w:lang w:val="en-US" w:eastAsia="zh-CN"/>
        </w:rPr>
        <w:t>工作进度、监造和现场验收</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1、供货计划及安排；</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项目实施计划</w:t>
      </w:r>
      <w:r>
        <w:rPr>
          <w:rFonts w:hint="eastAsia" w:ascii="宋体" w:hAnsi="宋体" w:eastAsia="宋体" w:cs="宋体"/>
          <w:sz w:val="24"/>
          <w:szCs w:val="24"/>
          <w:lang w:val="en-US" w:eastAsia="zh-CN"/>
        </w:rPr>
        <w:t>有效期为合同签订后</w:t>
      </w:r>
      <w:r>
        <w:rPr>
          <w:rFonts w:hint="eastAsia" w:ascii="宋体" w:hAnsi="宋体" w:eastAsia="宋体" w:cs="宋体"/>
          <w:sz w:val="24"/>
          <w:szCs w:val="24"/>
          <w:lang w:eastAsia="zh-CN"/>
        </w:rPr>
        <w:t>3年。</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2、验收方式：</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卖方按买方要求进行</w:t>
      </w:r>
      <w:r>
        <w:rPr>
          <w:rFonts w:hint="eastAsia" w:cs="宋体"/>
          <w:sz w:val="24"/>
          <w:szCs w:val="24"/>
          <w:lang w:val="en-US" w:eastAsia="zh-CN"/>
        </w:rPr>
        <w:t>送货</w:t>
      </w:r>
      <w:r>
        <w:rPr>
          <w:rFonts w:hint="eastAsia" w:ascii="宋体" w:hAnsi="宋体" w:eastAsia="宋体" w:cs="宋体"/>
          <w:sz w:val="24"/>
          <w:szCs w:val="24"/>
          <w:lang w:val="en-US" w:eastAsia="zh-CN"/>
        </w:rPr>
        <w:t>，买方收货人与卖方送货人双方进行现场验收，对外观、功能等状态进行查验。</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3、验收标准：</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提供产品出厂检验证书。订单记录、质量检验记录、验收签字单等原始资料要齐全完整。</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买方有权对疑似不达标的产品送第三方检测，如检出与合同技术指标不符，买方将货物退还卖方，其产生的检测费用及物流费由卖方承担，并保留追究卖方责任的权利。</w:t>
      </w: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九、技术服务与售后服务</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 技术培训要求：提供施工材料使用培训服务，需提供1名技术人员到现场培训，培训时间1周，其费用已包含在材料报价中；</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技术联络与响应要求：卖方在接到买方通知24小时内给予答复，48小时安排技术人员到达现场进行技术指导，其费用已包含在材料报价中；</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保密要求，本项目中涉及的合同商务文件、图纸资料、设计方案、施工过程文件等，未经业主方与上海海铠公司书面允许，承包商不可披露、使用、转让、复制或允许第三方使用上述信息或者资料。</w:t>
      </w: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十、质量保证</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质保期按厂家出厂标准周期进行质保，提供的货物必须是全新生产的，在有效质保期内的产品。质保期为产品交货验收合格之后一年</w:t>
      </w:r>
      <w:r>
        <w:rPr>
          <w:rFonts w:hint="eastAsia" w:cs="宋体"/>
          <w:sz w:val="24"/>
          <w:szCs w:val="24"/>
          <w:lang w:val="en-US" w:eastAsia="zh-CN"/>
        </w:rPr>
        <w:t>。</w:t>
      </w:r>
    </w:p>
    <w:p>
      <w:pPr>
        <w:rPr>
          <w:rFonts w:hint="eastAsia"/>
          <w:lang w:val="en-US" w:eastAsia="zh-CN"/>
        </w:rPr>
      </w:pPr>
    </w:p>
    <w:p>
      <w:pPr>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autoSpaceDE w:val="0"/>
        <w:autoSpaceDN w:val="0"/>
        <w:adjustRightInd w:val="0"/>
        <w:spacing w:before="72" w:beforeLines="30" w:after="72" w:afterLines="30"/>
        <w:jc w:val="center"/>
        <w:textAlignment w:val="baseline"/>
        <w:rPr>
          <w:rFonts w:asciiTheme="minorEastAsia" w:hAnsiTheme="minorEastAsia"/>
          <w:b/>
          <w:bCs/>
          <w:sz w:val="48"/>
          <w:szCs w:val="48"/>
          <w:highlight w:val="none"/>
        </w:rPr>
      </w:pPr>
      <w:r>
        <w:rPr>
          <w:rFonts w:asciiTheme="minorEastAsia" w:hAnsiTheme="minorEastAsia"/>
          <w:b/>
          <w:bCs/>
          <w:sz w:val="48"/>
          <w:szCs w:val="48"/>
          <w:highlight w:val="none"/>
        </w:rPr>
        <w:drawing>
          <wp:anchor distT="0" distB="0" distL="114300" distR="114300" simplePos="0" relativeHeight="251659264" behindDoc="0" locked="1" layoutInCell="1" allowOverlap="1">
            <wp:simplePos x="0" y="0"/>
            <wp:positionH relativeFrom="character">
              <wp:posOffset>-2731135</wp:posOffset>
            </wp:positionH>
            <wp:positionV relativeFrom="line">
              <wp:posOffset>368935</wp:posOffset>
            </wp:positionV>
            <wp:extent cx="1152525" cy="104775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6" cstate="print"/>
                    <a:srcRect/>
                    <a:stretch>
                      <a:fillRect/>
                    </a:stretch>
                  </pic:blipFill>
                  <pic:spPr>
                    <a:xfrm>
                      <a:off x="0" y="0"/>
                      <a:ext cx="1152525" cy="1047750"/>
                    </a:xfrm>
                    <a:prstGeom prst="rect">
                      <a:avLst/>
                    </a:prstGeom>
                    <a:noFill/>
                    <a:ln w="9525">
                      <a:noFill/>
                      <a:miter lim="800000"/>
                      <a:headEnd/>
                      <a:tailEnd/>
                    </a:ln>
                  </pic:spPr>
                </pic:pic>
              </a:graphicData>
            </a:graphic>
          </wp:anchor>
        </w:drawing>
      </w:r>
    </w:p>
    <w:p>
      <w:pPr>
        <w:autoSpaceDE w:val="0"/>
        <w:autoSpaceDN w:val="0"/>
        <w:adjustRightInd w:val="0"/>
        <w:spacing w:before="72" w:beforeLines="30" w:after="72" w:afterLines="30"/>
        <w:jc w:val="center"/>
        <w:textAlignment w:val="baseline"/>
        <w:rPr>
          <w:rFonts w:ascii="宋体" w:hAnsi="宋体"/>
          <w:b/>
          <w:bCs/>
          <w:sz w:val="52"/>
          <w:szCs w:val="52"/>
          <w:highlight w:val="none"/>
        </w:rPr>
      </w:pPr>
    </w:p>
    <w:p>
      <w:pPr>
        <w:pStyle w:val="3"/>
      </w:pPr>
    </w:p>
    <w:p>
      <w:pPr>
        <w:pStyle w:val="28"/>
        <w:autoSpaceDE w:val="0"/>
        <w:autoSpaceDN w:val="0"/>
        <w:adjustRightInd w:val="0"/>
        <w:spacing w:line="360" w:lineRule="auto"/>
        <w:ind w:right="10"/>
        <w:jc w:val="center"/>
        <w:textAlignment w:val="baseline"/>
        <w:rPr>
          <w:rFonts w:cs="宋体"/>
          <w:b/>
          <w:bCs/>
          <w:color w:val="000000"/>
          <w:sz w:val="52"/>
          <w:szCs w:val="52"/>
          <w:highlight w:val="none"/>
        </w:rPr>
      </w:pPr>
    </w:p>
    <w:p>
      <w:pPr>
        <w:pStyle w:val="28"/>
        <w:ind w:right="10"/>
        <w:jc w:val="center"/>
        <w:rPr>
          <w:b/>
          <w:bCs/>
          <w:highlight w:val="none"/>
        </w:rPr>
      </w:pPr>
      <w:r>
        <w:rPr>
          <w:rFonts w:hint="eastAsia" w:cs="宋体"/>
          <w:b/>
          <w:bCs/>
          <w:color w:val="000000"/>
          <w:kern w:val="2"/>
          <w:sz w:val="48"/>
          <w:szCs w:val="48"/>
          <w:highlight w:val="none"/>
          <w:lang w:val="en-US" w:eastAsia="zh-CN" w:bidi="ar-SA"/>
        </w:rPr>
        <w:t>常州院东海地区修复防护材料采购专有协议</w:t>
      </w:r>
    </w:p>
    <w:p>
      <w:pPr>
        <w:pStyle w:val="28"/>
        <w:ind w:right="10"/>
        <w:jc w:val="center"/>
        <w:rPr>
          <w:b/>
          <w:bCs/>
          <w:highlight w:val="none"/>
        </w:rPr>
      </w:pPr>
    </w:p>
    <w:p>
      <w:pPr>
        <w:pStyle w:val="28"/>
        <w:ind w:right="10"/>
        <w:jc w:val="center"/>
        <w:rPr>
          <w:b/>
          <w:bCs/>
          <w:sz w:val="28"/>
          <w:szCs w:val="28"/>
          <w:highlight w:val="none"/>
        </w:rPr>
      </w:pPr>
    </w:p>
    <w:p>
      <w:pPr>
        <w:pStyle w:val="28"/>
        <w:ind w:right="10"/>
        <w:jc w:val="center"/>
        <w:rPr>
          <w:b/>
          <w:bCs/>
          <w:sz w:val="30"/>
          <w:szCs w:val="30"/>
          <w:highlight w:val="none"/>
          <w:u w:val="single"/>
        </w:rPr>
      </w:pPr>
      <w:r>
        <w:rPr>
          <w:rFonts w:hint="eastAsia" w:hAnsi="宋体" w:cs="宋体"/>
          <w:b/>
          <w:bCs/>
          <w:color w:val="000000"/>
          <w:sz w:val="30"/>
          <w:szCs w:val="30"/>
          <w:highlight w:val="none"/>
        </w:rPr>
        <w:t>（合同编号：）</w:t>
      </w:r>
    </w:p>
    <w:p>
      <w:pPr>
        <w:pStyle w:val="28"/>
        <w:ind w:right="10" w:firstLine="3947" w:firstLineChars="756"/>
        <w:rPr>
          <w:b/>
          <w:bCs/>
          <w:sz w:val="52"/>
          <w:szCs w:val="52"/>
          <w:highlight w:val="none"/>
        </w:rPr>
      </w:pPr>
    </w:p>
    <w:p>
      <w:pPr>
        <w:pStyle w:val="28"/>
        <w:ind w:right="10"/>
        <w:rPr>
          <w:b/>
          <w:bCs/>
          <w:sz w:val="36"/>
          <w:szCs w:val="36"/>
          <w:highlight w:val="none"/>
        </w:rPr>
      </w:pPr>
    </w:p>
    <w:p>
      <w:pPr>
        <w:pStyle w:val="28"/>
        <w:spacing w:line="360" w:lineRule="auto"/>
        <w:ind w:right="10" w:firstLine="1433" w:firstLineChars="512"/>
        <w:rPr>
          <w:bCs/>
          <w:sz w:val="28"/>
          <w:szCs w:val="28"/>
          <w:highlight w:val="none"/>
        </w:rPr>
      </w:pPr>
      <w:r>
        <w:rPr>
          <w:rFonts w:hint="eastAsia"/>
          <w:bCs/>
          <w:sz w:val="28"/>
          <w:szCs w:val="28"/>
          <w:highlight w:val="none"/>
        </w:rPr>
        <w:t>买方：中海油能源发展股份有限公司</w:t>
      </w:r>
    </w:p>
    <w:p>
      <w:pPr>
        <w:pStyle w:val="28"/>
        <w:spacing w:line="360" w:lineRule="auto"/>
        <w:ind w:right="10" w:firstLine="1433" w:firstLineChars="512"/>
        <w:rPr>
          <w:rFonts w:hint="eastAsia"/>
          <w:bCs/>
          <w:sz w:val="28"/>
          <w:szCs w:val="28"/>
          <w:highlight w:val="none"/>
          <w:lang w:eastAsia="zh-CN"/>
        </w:rPr>
      </w:pPr>
      <w:r>
        <w:rPr>
          <w:rFonts w:hint="eastAsia"/>
          <w:bCs/>
          <w:sz w:val="28"/>
          <w:szCs w:val="28"/>
          <w:highlight w:val="none"/>
        </w:rPr>
        <w:t>买方执行方：</w:t>
      </w:r>
    </w:p>
    <w:p>
      <w:pPr>
        <w:pStyle w:val="28"/>
        <w:spacing w:line="360" w:lineRule="auto"/>
        <w:ind w:right="10" w:firstLine="1433" w:firstLineChars="512"/>
        <w:rPr>
          <w:rFonts w:hAnsi="宋体" w:cs="宋体"/>
          <w:bCs/>
          <w:color w:val="000000"/>
          <w:sz w:val="28"/>
          <w:szCs w:val="28"/>
          <w:highlight w:val="none"/>
        </w:rPr>
      </w:pPr>
    </w:p>
    <w:p>
      <w:pPr>
        <w:pStyle w:val="28"/>
        <w:spacing w:line="360" w:lineRule="auto"/>
        <w:ind w:right="10" w:firstLine="1433" w:firstLineChars="512"/>
        <w:rPr>
          <w:bCs/>
          <w:sz w:val="28"/>
          <w:szCs w:val="28"/>
          <w:highlight w:val="none"/>
        </w:rPr>
      </w:pPr>
      <w:r>
        <w:rPr>
          <w:rFonts w:hint="eastAsia" w:hAnsi="宋体" w:cs="宋体"/>
          <w:bCs/>
          <w:color w:val="000000"/>
          <w:sz w:val="28"/>
          <w:szCs w:val="28"/>
          <w:highlight w:val="none"/>
        </w:rPr>
        <w:t>卖方：</w:t>
      </w:r>
    </w:p>
    <w:p>
      <w:pPr>
        <w:pStyle w:val="28"/>
        <w:ind w:right="10"/>
        <w:rPr>
          <w:b/>
          <w:bCs/>
          <w:highlight w:val="none"/>
        </w:rPr>
      </w:pPr>
    </w:p>
    <w:p>
      <w:pPr>
        <w:pStyle w:val="28"/>
        <w:spacing w:line="360" w:lineRule="auto"/>
        <w:ind w:right="10" w:firstLine="1433" w:firstLineChars="512"/>
        <w:rPr>
          <w:rFonts w:hAnsi="宋体" w:cs="宋体"/>
          <w:bCs/>
          <w:color w:val="000000"/>
          <w:sz w:val="28"/>
          <w:szCs w:val="28"/>
          <w:highlight w:val="none"/>
        </w:rPr>
      </w:pPr>
      <w:r>
        <w:rPr>
          <w:rFonts w:hint="eastAsia" w:hAnsi="宋体" w:cs="宋体"/>
          <w:bCs/>
          <w:color w:val="000000"/>
          <w:sz w:val="28"/>
          <w:szCs w:val="28"/>
          <w:highlight w:val="none"/>
        </w:rPr>
        <w:t>签订地点：</w:t>
      </w:r>
    </w:p>
    <w:p>
      <w:pPr>
        <w:pStyle w:val="28"/>
        <w:spacing w:line="360" w:lineRule="auto"/>
        <w:ind w:right="10"/>
        <w:jc w:val="center"/>
        <w:rPr>
          <w:rFonts w:hAnsi="宋体" w:cs="宋体"/>
          <w:sz w:val="36"/>
          <w:szCs w:val="36"/>
          <w:highlight w:val="none"/>
        </w:rPr>
      </w:pPr>
      <w:r>
        <w:rPr>
          <w:highlight w:val="none"/>
        </w:rPr>
        <w:br w:type="page"/>
      </w:r>
      <w:bookmarkStart w:id="6" w:name="_Toc256000002"/>
      <w:bookmarkStart w:id="7" w:name="_Toc297055760"/>
      <w:bookmarkStart w:id="8" w:name="_Toc297106662"/>
      <w:bookmarkStart w:id="9" w:name="_Toc306354331"/>
      <w:bookmarkStart w:id="10" w:name="_Toc300671182"/>
      <w:r>
        <w:rPr>
          <w:rFonts w:hint="eastAsia" w:hAnsi="宋体" w:cs="宋体"/>
          <w:color w:val="000000"/>
          <w:sz w:val="36"/>
          <w:szCs w:val="36"/>
          <w:highlight w:val="none"/>
        </w:rPr>
        <w:t>第一部分合同书</w:t>
      </w:r>
      <w:bookmarkEnd w:id="6"/>
      <w:bookmarkEnd w:id="7"/>
      <w:bookmarkEnd w:id="8"/>
      <w:bookmarkEnd w:id="9"/>
      <w:bookmarkEnd w:id="10"/>
    </w:p>
    <w:p>
      <w:pPr>
        <w:pStyle w:val="28"/>
        <w:tabs>
          <w:tab w:val="left" w:pos="3060"/>
        </w:tabs>
        <w:adjustRightInd w:val="0"/>
        <w:snapToGrid w:val="0"/>
        <w:spacing w:line="360" w:lineRule="auto"/>
        <w:ind w:right="10"/>
        <w:rPr>
          <w:b/>
          <w:color w:val="000000"/>
          <w:highlight w:val="none"/>
        </w:rPr>
      </w:pPr>
    </w:p>
    <w:p>
      <w:pPr>
        <w:pStyle w:val="28"/>
        <w:tabs>
          <w:tab w:val="left" w:pos="3060"/>
        </w:tabs>
        <w:adjustRightInd w:val="0"/>
        <w:snapToGrid w:val="0"/>
        <w:spacing w:line="360" w:lineRule="auto"/>
        <w:ind w:right="10"/>
        <w:rPr>
          <w:b/>
          <w:color w:val="000000"/>
          <w:highlight w:val="none"/>
        </w:rPr>
      </w:pPr>
      <w:r>
        <w:rPr>
          <w:b/>
          <w:color w:val="000000"/>
          <w:highlight w:val="none"/>
        </w:rPr>
        <w:t>买方：</w:t>
      </w:r>
      <w:r>
        <w:rPr>
          <w:rFonts w:hint="eastAsia"/>
          <w:b/>
          <w:color w:val="000000"/>
          <w:highlight w:val="none"/>
        </w:rPr>
        <w:t>中海油能源发展股份有限公司</w:t>
      </w:r>
    </w:p>
    <w:p>
      <w:pPr>
        <w:pStyle w:val="28"/>
        <w:tabs>
          <w:tab w:val="left" w:pos="3060"/>
        </w:tabs>
        <w:adjustRightInd w:val="0"/>
        <w:snapToGrid w:val="0"/>
        <w:spacing w:line="360" w:lineRule="auto"/>
        <w:ind w:right="10"/>
        <w:rPr>
          <w:color w:val="000000"/>
          <w:highlight w:val="none"/>
        </w:rPr>
      </w:pPr>
      <w:r>
        <w:rPr>
          <w:rFonts w:hint="eastAsia"/>
          <w:color w:val="000000"/>
          <w:highlight w:val="none"/>
        </w:rPr>
        <w:t>注册地址：</w:t>
      </w:r>
      <w:r>
        <w:rPr>
          <w:color w:val="000000"/>
          <w:highlight w:val="none"/>
        </w:rPr>
        <w:t>北京市东城区东直门外小街6号</w:t>
      </w:r>
    </w:p>
    <w:p>
      <w:pPr>
        <w:pStyle w:val="28"/>
        <w:tabs>
          <w:tab w:val="left" w:pos="3060"/>
        </w:tabs>
        <w:adjustRightInd w:val="0"/>
        <w:snapToGrid w:val="0"/>
        <w:spacing w:line="360" w:lineRule="auto"/>
        <w:ind w:right="10"/>
        <w:rPr>
          <w:color w:val="000000"/>
          <w:highlight w:val="none"/>
        </w:rPr>
      </w:pPr>
      <w:r>
        <w:rPr>
          <w:rFonts w:hint="eastAsia"/>
          <w:color w:val="000000"/>
          <w:highlight w:val="none"/>
        </w:rPr>
        <w:t>统一社会信用代码：</w:t>
      </w:r>
      <w:r>
        <w:rPr>
          <w:color w:val="000000"/>
          <w:highlight w:val="none"/>
        </w:rPr>
        <w:t>91110101771554423Q</w:t>
      </w:r>
    </w:p>
    <w:p>
      <w:pPr>
        <w:pStyle w:val="28"/>
        <w:tabs>
          <w:tab w:val="left" w:pos="3060"/>
        </w:tabs>
        <w:adjustRightInd w:val="0"/>
        <w:snapToGrid w:val="0"/>
        <w:spacing w:line="360" w:lineRule="auto"/>
        <w:ind w:right="10"/>
        <w:rPr>
          <w:rFonts w:hint="eastAsia" w:eastAsia="宋体"/>
          <w:color w:val="000000"/>
          <w:highlight w:val="none"/>
          <w:lang w:eastAsia="zh-CN"/>
        </w:rPr>
      </w:pPr>
      <w:r>
        <w:rPr>
          <w:rFonts w:hint="eastAsia"/>
          <w:color w:val="000000"/>
          <w:highlight w:val="none"/>
        </w:rPr>
        <w:t>买方执行方：</w:t>
      </w:r>
    </w:p>
    <w:p>
      <w:pPr>
        <w:pStyle w:val="28"/>
        <w:tabs>
          <w:tab w:val="left" w:pos="3060"/>
        </w:tabs>
        <w:adjustRightInd w:val="0"/>
        <w:snapToGrid w:val="0"/>
        <w:spacing w:line="360" w:lineRule="auto"/>
        <w:ind w:right="10"/>
        <w:rPr>
          <w:b/>
          <w:color w:val="000000"/>
          <w:highlight w:val="none"/>
        </w:rPr>
      </w:pPr>
    </w:p>
    <w:p>
      <w:pPr>
        <w:pStyle w:val="28"/>
        <w:tabs>
          <w:tab w:val="left" w:pos="3060"/>
        </w:tabs>
        <w:adjustRightInd w:val="0"/>
        <w:snapToGrid w:val="0"/>
        <w:spacing w:line="360" w:lineRule="auto"/>
        <w:ind w:right="10"/>
        <w:rPr>
          <w:b/>
          <w:highlight w:val="none"/>
        </w:rPr>
      </w:pPr>
      <w:r>
        <w:rPr>
          <w:rFonts w:hint="eastAsia"/>
          <w:b/>
          <w:color w:val="000000"/>
          <w:highlight w:val="none"/>
        </w:rPr>
        <w:t>卖</w:t>
      </w:r>
      <w:r>
        <w:rPr>
          <w:b/>
          <w:color w:val="000000"/>
          <w:highlight w:val="none"/>
        </w:rPr>
        <w:t>方：</w:t>
      </w:r>
    </w:p>
    <w:p>
      <w:pPr>
        <w:pStyle w:val="28"/>
        <w:tabs>
          <w:tab w:val="left" w:pos="3060"/>
        </w:tabs>
        <w:adjustRightInd w:val="0"/>
        <w:snapToGrid w:val="0"/>
        <w:spacing w:line="360" w:lineRule="auto"/>
        <w:ind w:right="10"/>
        <w:rPr>
          <w:highlight w:val="none"/>
        </w:rPr>
      </w:pPr>
      <w:r>
        <w:rPr>
          <w:rFonts w:hint="eastAsia"/>
          <w:color w:val="000000"/>
          <w:highlight w:val="none"/>
        </w:rPr>
        <w:t>注册地址/住址：</w:t>
      </w:r>
    </w:p>
    <w:p>
      <w:pPr>
        <w:pStyle w:val="28"/>
        <w:spacing w:line="360" w:lineRule="auto"/>
        <w:ind w:right="10"/>
        <w:rPr>
          <w:highlight w:val="none"/>
        </w:rPr>
      </w:pPr>
    </w:p>
    <w:p>
      <w:pPr>
        <w:pStyle w:val="28"/>
        <w:snapToGrid w:val="0"/>
        <w:spacing w:line="360" w:lineRule="auto"/>
        <w:ind w:right="10" w:firstLine="660"/>
        <w:rPr>
          <w:highlight w:val="none"/>
        </w:rPr>
      </w:pPr>
      <w:r>
        <w:rPr>
          <w:rFonts w:hint="eastAsia" w:cs="宋体"/>
          <w:color w:val="000000"/>
          <w:highlight w:val="none"/>
        </w:rPr>
        <w:t>鉴于，买方是一家根据中华人民共和国法律合法设立并存续的企业，按照本合同约定的条件和采购订单,购买用于买方及其买方下属分公司、子公司（以下简称“</w:t>
      </w:r>
      <w:r>
        <w:rPr>
          <w:rFonts w:cs="宋体"/>
          <w:color w:val="000000"/>
          <w:highlight w:val="none"/>
        </w:rPr>
        <w:t>买方”</w:t>
      </w:r>
      <w:r>
        <w:rPr>
          <w:rFonts w:hint="eastAsia" w:cs="宋体"/>
          <w:color w:val="000000"/>
          <w:highlight w:val="none"/>
        </w:rPr>
        <w:t>），符合本合同要求的</w:t>
      </w:r>
      <w:r>
        <w:rPr>
          <w:rFonts w:hint="eastAsia" w:cs="宋体"/>
          <w:color w:val="000000"/>
          <w:highlight w:val="none"/>
          <w:lang w:val="en-US" w:eastAsia="zh-CN"/>
        </w:rPr>
        <w:t>XX</w:t>
      </w:r>
      <w:r>
        <w:rPr>
          <w:rFonts w:hint="eastAsia" w:cs="宋体"/>
          <w:color w:val="000000"/>
          <w:highlight w:val="none"/>
        </w:rPr>
        <w:t>（以下简称“货物”）；</w:t>
      </w:r>
    </w:p>
    <w:p>
      <w:pPr>
        <w:pStyle w:val="28"/>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鉴于，卖方是一家根据中华人民共和国法律合法设立并存续的企业，具备提供符合本合同要求的货物的全部资质、资格和条件；</w:t>
      </w:r>
    </w:p>
    <w:p>
      <w:pPr>
        <w:pStyle w:val="28"/>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鉴于，卖方在货物的制造、安装、质量保证、技术服务等方面具有较强的专业能力和良好信誉，愿意根据本合同的规定向买方提供货物；</w:t>
      </w:r>
    </w:p>
    <w:p>
      <w:pPr>
        <w:pStyle w:val="28"/>
        <w:tabs>
          <w:tab w:val="left" w:pos="3060"/>
        </w:tabs>
        <w:spacing w:line="360" w:lineRule="auto"/>
        <w:ind w:right="10" w:firstLine="420" w:firstLineChars="200"/>
        <w:rPr>
          <w:rFonts w:cs="宋体"/>
          <w:color w:val="000000"/>
          <w:highlight w:val="none"/>
        </w:rPr>
      </w:pPr>
      <w:r>
        <w:rPr>
          <w:rFonts w:hint="eastAsia" w:cs="宋体"/>
          <w:color w:val="000000"/>
          <w:highlight w:val="none"/>
        </w:rPr>
        <w:t>鉴于1.买方在生产上对本合同标的物有需求；2.买卖双方自愿按照本合同约束的各项条款，实施服务与被服务的商业贸易；3.本合同权利义务同样适用于买方及买方下属分公司、子公司。买方及买方子公司均为本合同的独立买方，均独立享有本合同的所有权利和义务，但互相之间不负有连带责任。卖方应分别向买方及买方子公司独立供货并履行相关义务和责任。</w:t>
      </w:r>
    </w:p>
    <w:p>
      <w:pPr>
        <w:pStyle w:val="28"/>
        <w:tabs>
          <w:tab w:val="left" w:pos="3060"/>
        </w:tabs>
        <w:spacing w:line="360" w:lineRule="auto"/>
        <w:ind w:right="10" w:firstLine="420" w:firstLineChars="200"/>
        <w:rPr>
          <w:highlight w:val="none"/>
        </w:rPr>
      </w:pPr>
      <w:r>
        <w:rPr>
          <w:rFonts w:hint="eastAsia" w:cs="宋体"/>
          <w:color w:val="000000"/>
          <w:highlight w:val="none"/>
        </w:rPr>
        <w:t>根据《中华人民共和国</w:t>
      </w:r>
      <w:r>
        <w:rPr>
          <w:rFonts w:hint="eastAsia" w:cs="宋体"/>
          <w:color w:val="000000"/>
          <w:highlight w:val="none"/>
          <w:lang w:val="en-US" w:eastAsia="zh-CN"/>
        </w:rPr>
        <w:t>民法典</w:t>
      </w:r>
      <w:r>
        <w:rPr>
          <w:rFonts w:hint="eastAsia" w:cs="宋体"/>
          <w:color w:val="000000"/>
          <w:highlight w:val="none"/>
        </w:rPr>
        <w:t>》及相关法律法规，在遵循平等、自愿、公平和诚实信用原则的基础上，经协商一致，双方订立本合同如下：</w:t>
      </w:r>
    </w:p>
    <w:p>
      <w:pPr>
        <w:pStyle w:val="29"/>
        <w:numPr>
          <w:ilvl w:val="1"/>
          <w:numId w:val="2"/>
        </w:numPr>
        <w:spacing w:before="360" w:after="360" w:line="240" w:lineRule="auto"/>
        <w:ind w:left="3685" w:right="11" w:rightChars="0" w:hanging="958"/>
        <w:jc w:val="both"/>
        <w:outlineLvl w:val="9"/>
        <w:rPr>
          <w:rFonts w:ascii="宋体"/>
          <w:iCs/>
          <w:sz w:val="24"/>
          <w:szCs w:val="24"/>
          <w:highlight w:val="none"/>
        </w:rPr>
      </w:pPr>
      <w:bookmarkStart w:id="11" w:name="_Toc274075952"/>
      <w:bookmarkStart w:id="12" w:name="_Toc274075953"/>
      <w:bookmarkStart w:id="13" w:name="_Toc274403529"/>
      <w:bookmarkStart w:id="14" w:name="_Toc276251151"/>
      <w:bookmarkStart w:id="15" w:name="_Toc287364267"/>
      <w:bookmarkStart w:id="16" w:name="_Toc300671183"/>
      <w:bookmarkStart w:id="17" w:name="_Toc287657099"/>
      <w:bookmarkStart w:id="18" w:name="_Toc274754019"/>
      <w:bookmarkStart w:id="19" w:name="_Toc274669313"/>
      <w:bookmarkStart w:id="20" w:name="_Toc274343600"/>
      <w:bookmarkStart w:id="21" w:name="_Toc306354332"/>
      <w:bookmarkStart w:id="22" w:name="_Toc276157510"/>
      <w:bookmarkStart w:id="23" w:name="_Toc275597818"/>
      <w:bookmarkStart w:id="24" w:name="_Toc274076141"/>
      <w:bookmarkStart w:id="25" w:name="_Toc288567127"/>
      <w:r>
        <w:rPr>
          <w:rFonts w:hint="eastAsia" w:ascii="宋体" w:hAnsi="宋体" w:cs="宋体"/>
          <w:iCs/>
          <w:color w:val="000000"/>
          <w:sz w:val="24"/>
          <w:szCs w:val="24"/>
          <w:highlight w:val="none"/>
        </w:rPr>
        <w:t>合同标的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28"/>
        <w:numPr>
          <w:ilvl w:val="1"/>
          <w:numId w:val="3"/>
        </w:numPr>
        <w:tabs>
          <w:tab w:val="left" w:pos="720"/>
        </w:tabs>
        <w:spacing w:line="360" w:lineRule="auto"/>
        <w:ind w:left="720" w:right="11" w:hanging="720"/>
        <w:rPr>
          <w:highlight w:val="none"/>
        </w:rPr>
      </w:pPr>
      <w:r>
        <w:rPr>
          <w:rFonts w:hint="eastAsia" w:cs="宋体"/>
          <w:color w:val="000000"/>
          <w:highlight w:val="none"/>
        </w:rPr>
        <w:t>卖方应根据本合同向买方销售货物，且就货物提供合同约定的培训、售后等相关服务。</w:t>
      </w:r>
    </w:p>
    <w:p>
      <w:pPr>
        <w:pStyle w:val="28"/>
        <w:numPr>
          <w:ilvl w:val="1"/>
          <w:numId w:val="3"/>
        </w:numPr>
        <w:tabs>
          <w:tab w:val="left" w:pos="709"/>
        </w:tabs>
        <w:spacing w:line="360" w:lineRule="auto"/>
        <w:ind w:left="720" w:right="11" w:hanging="720"/>
        <w:rPr>
          <w:highlight w:val="none"/>
        </w:rPr>
      </w:pPr>
      <w:r>
        <w:rPr>
          <w:rFonts w:hint="eastAsia" w:cs="宋体"/>
          <w:color w:val="000000"/>
          <w:highlight w:val="none"/>
        </w:rPr>
        <w:t>货物的型号、规格、数量、技术规范、指标、性能和要求等详见本合同附件一。</w:t>
      </w:r>
    </w:p>
    <w:p>
      <w:pPr>
        <w:pStyle w:val="28"/>
        <w:numPr>
          <w:ilvl w:val="1"/>
          <w:numId w:val="3"/>
        </w:numPr>
        <w:tabs>
          <w:tab w:val="left" w:pos="709"/>
        </w:tabs>
        <w:spacing w:line="360" w:lineRule="auto"/>
        <w:ind w:left="720" w:right="11" w:hanging="720"/>
        <w:rPr>
          <w:highlight w:val="none"/>
        </w:rPr>
      </w:pPr>
      <w:r>
        <w:rPr>
          <w:rFonts w:hint="eastAsia"/>
          <w:color w:val="000000"/>
          <w:highlight w:val="none"/>
        </w:rPr>
        <w:t>货物的供货范围和交货时间将根据双方另行签订的</w:t>
      </w:r>
      <w:r>
        <w:rPr>
          <w:rFonts w:hint="eastAsia" w:cs="宋体"/>
          <w:color w:val="000000"/>
          <w:highlight w:val="none"/>
        </w:rPr>
        <w:t>采购订单确定。</w:t>
      </w:r>
    </w:p>
    <w:p>
      <w:pPr>
        <w:pStyle w:val="28"/>
        <w:numPr>
          <w:ilvl w:val="1"/>
          <w:numId w:val="3"/>
        </w:numPr>
        <w:tabs>
          <w:tab w:val="left" w:pos="709"/>
        </w:tabs>
        <w:spacing w:line="360" w:lineRule="auto"/>
        <w:ind w:left="720" w:right="11" w:hanging="720"/>
        <w:rPr>
          <w:color w:val="000000"/>
          <w:highlight w:val="none"/>
        </w:rPr>
      </w:pPr>
      <w:r>
        <w:rPr>
          <w:rFonts w:hint="eastAsia" w:cs="宋体"/>
          <w:color w:val="000000"/>
          <w:highlight w:val="none"/>
        </w:rPr>
        <w:t>技术要求详见本合同附件二。</w:t>
      </w:r>
    </w:p>
    <w:p>
      <w:pPr>
        <w:pStyle w:val="29"/>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26" w:name="_Toc296959304"/>
      <w:bookmarkStart w:id="27" w:name="_Toc296955842"/>
      <w:bookmarkStart w:id="28" w:name="_Toc288479378"/>
      <w:bookmarkStart w:id="29" w:name="_Toc300671184"/>
      <w:bookmarkStart w:id="30" w:name="_Toc306354333"/>
      <w:bookmarkStart w:id="31" w:name="_Toc274343601"/>
      <w:bookmarkStart w:id="32" w:name="_Toc273451896"/>
      <w:bookmarkStart w:id="33" w:name="_Toc291435828"/>
      <w:bookmarkStart w:id="34" w:name="_Toc273451829"/>
      <w:bookmarkStart w:id="35" w:name="_Toc291435895"/>
      <w:bookmarkStart w:id="36" w:name="_Toc274668316"/>
      <w:bookmarkStart w:id="37" w:name="_Toc278889775"/>
      <w:bookmarkStart w:id="38" w:name="_Toc274754020"/>
      <w:bookmarkStart w:id="39" w:name="_Toc274474905"/>
      <w:bookmarkStart w:id="40" w:name="_Toc274669314"/>
      <w:bookmarkStart w:id="41" w:name="_Toc274403530"/>
      <w:bookmarkStart w:id="42" w:name="_Toc274075954"/>
      <w:bookmarkStart w:id="43" w:name="_Toc274076142"/>
      <w:r>
        <w:rPr>
          <w:rFonts w:hint="eastAsia" w:ascii="宋体" w:hAnsi="宋体" w:cs="宋体"/>
          <w:iCs/>
          <w:color w:val="000000"/>
          <w:sz w:val="24"/>
          <w:szCs w:val="24"/>
          <w:highlight w:val="none"/>
        </w:rPr>
        <w:t>合同</w:t>
      </w:r>
      <w:bookmarkEnd w:id="26"/>
      <w:bookmarkEnd w:id="27"/>
      <w:bookmarkEnd w:id="28"/>
      <w:r>
        <w:rPr>
          <w:rFonts w:hint="eastAsia" w:ascii="宋体" w:hAnsi="宋体" w:cs="宋体"/>
          <w:iCs/>
          <w:color w:val="000000"/>
          <w:sz w:val="24"/>
          <w:szCs w:val="24"/>
          <w:highlight w:val="none"/>
        </w:rPr>
        <w:t>价款</w:t>
      </w:r>
      <w:bookmarkEnd w:id="29"/>
      <w:bookmarkEnd w:id="30"/>
    </w:p>
    <w:p>
      <w:pPr>
        <w:pStyle w:val="28"/>
        <w:numPr>
          <w:ilvl w:val="0"/>
          <w:numId w:val="4"/>
        </w:numPr>
        <w:tabs>
          <w:tab w:val="left" w:pos="720"/>
        </w:tabs>
        <w:spacing w:line="360" w:lineRule="auto"/>
        <w:ind w:left="542" w:right="11" w:hanging="540"/>
        <w:rPr>
          <w:highlight w:val="none"/>
        </w:rPr>
      </w:pPr>
      <w:r>
        <w:rPr>
          <w:rFonts w:hint="eastAsia" w:hAnsi="宋体" w:cs="宋体"/>
          <w:color w:val="000000"/>
          <w:highlight w:val="none"/>
        </w:rPr>
        <w:t>本合同项下货物的分项价格、单价、费率或组成详见本合同附件一。</w:t>
      </w:r>
    </w:p>
    <w:bookmarkEnd w:id="31"/>
    <w:bookmarkEnd w:id="32"/>
    <w:bookmarkEnd w:id="33"/>
    <w:bookmarkEnd w:id="34"/>
    <w:bookmarkEnd w:id="35"/>
    <w:bookmarkEnd w:id="36"/>
    <w:bookmarkEnd w:id="37"/>
    <w:bookmarkEnd w:id="38"/>
    <w:bookmarkEnd w:id="39"/>
    <w:bookmarkEnd w:id="40"/>
    <w:bookmarkEnd w:id="41"/>
    <w:bookmarkEnd w:id="42"/>
    <w:bookmarkEnd w:id="43"/>
    <w:p>
      <w:pPr>
        <w:pStyle w:val="29"/>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4" w:name="_Toc300671185"/>
      <w:bookmarkStart w:id="45" w:name="_Toc306354334"/>
      <w:r>
        <w:rPr>
          <w:rFonts w:hint="eastAsia" w:ascii="宋体" w:hAnsi="宋体" w:cs="宋体"/>
          <w:iCs/>
          <w:color w:val="000000"/>
          <w:sz w:val="24"/>
          <w:szCs w:val="24"/>
          <w:highlight w:val="none"/>
        </w:rPr>
        <w:t>合同的构成和效力</w:t>
      </w:r>
      <w:bookmarkEnd w:id="44"/>
      <w:bookmarkEnd w:id="45"/>
    </w:p>
    <w:p>
      <w:pPr>
        <w:pStyle w:val="28"/>
        <w:numPr>
          <w:ilvl w:val="3"/>
          <w:numId w:val="5"/>
        </w:numPr>
        <w:tabs>
          <w:tab w:val="left" w:pos="720"/>
          <w:tab w:val="left" w:pos="3060"/>
          <w:tab w:val="clear" w:pos="1468"/>
        </w:tabs>
        <w:spacing w:line="360" w:lineRule="auto"/>
        <w:ind w:right="11" w:hanging="1468"/>
        <w:rPr>
          <w:highlight w:val="none"/>
        </w:rPr>
      </w:pPr>
      <w:r>
        <w:rPr>
          <w:rFonts w:hint="eastAsia" w:cs="宋体"/>
          <w:color w:val="000000"/>
          <w:highlight w:val="none"/>
        </w:rPr>
        <w:t>本合同由以下部分组成：</w:t>
      </w:r>
    </w:p>
    <w:p>
      <w:pPr>
        <w:pStyle w:val="28"/>
        <w:numPr>
          <w:ilvl w:val="5"/>
          <w:numId w:val="5"/>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第一部分：</w:t>
      </w:r>
      <w:r>
        <w:rPr>
          <w:rFonts w:hint="eastAsia" w:hAnsi="宋体" w:cs="宋体"/>
          <w:color w:val="000000"/>
          <w:highlight w:val="none"/>
        </w:rPr>
        <w:t>合同书</w:t>
      </w:r>
    </w:p>
    <w:p>
      <w:pPr>
        <w:pStyle w:val="28"/>
        <w:numPr>
          <w:ilvl w:val="5"/>
          <w:numId w:val="5"/>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第二部分：</w:t>
      </w:r>
      <w:r>
        <w:rPr>
          <w:rFonts w:hint="eastAsia" w:hAnsi="宋体" w:cs="宋体"/>
          <w:color w:val="000000"/>
          <w:highlight w:val="none"/>
        </w:rPr>
        <w:t>专用合同条款</w:t>
      </w:r>
    </w:p>
    <w:p>
      <w:pPr>
        <w:pStyle w:val="28"/>
        <w:numPr>
          <w:ilvl w:val="5"/>
          <w:numId w:val="5"/>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第三部分：</w:t>
      </w:r>
      <w:r>
        <w:rPr>
          <w:rFonts w:hint="eastAsia" w:hAnsi="宋体" w:cs="宋体"/>
          <w:color w:val="000000"/>
          <w:highlight w:val="none"/>
        </w:rPr>
        <w:t>通用合同条款</w:t>
      </w:r>
    </w:p>
    <w:p>
      <w:pPr>
        <w:pStyle w:val="28"/>
        <w:numPr>
          <w:ilvl w:val="5"/>
          <w:numId w:val="5"/>
        </w:numPr>
        <w:tabs>
          <w:tab w:val="left" w:pos="1260"/>
        </w:tabs>
        <w:autoSpaceDE w:val="0"/>
        <w:autoSpaceDN w:val="0"/>
        <w:spacing w:line="360" w:lineRule="auto"/>
        <w:ind w:left="1134" w:right="11" w:hanging="414"/>
        <w:textAlignment w:val="bottom"/>
        <w:rPr>
          <w:rFonts w:hAnsi="宋体"/>
          <w:highlight w:val="none"/>
        </w:rPr>
      </w:pPr>
      <w:r>
        <w:rPr>
          <w:rFonts w:hint="eastAsia" w:cs="宋体"/>
          <w:color w:val="000000"/>
          <w:highlight w:val="none"/>
        </w:rPr>
        <w:t>第四部分：</w:t>
      </w:r>
      <w:r>
        <w:rPr>
          <w:rFonts w:hint="eastAsia" w:hAnsi="宋体" w:cs="宋体"/>
          <w:color w:val="000000"/>
          <w:highlight w:val="none"/>
        </w:rPr>
        <w:t>附件</w:t>
      </w:r>
    </w:p>
    <w:p>
      <w:pPr>
        <w:pStyle w:val="28"/>
        <w:autoSpaceDE w:val="0"/>
        <w:autoSpaceDN w:val="0"/>
        <w:spacing w:line="360" w:lineRule="auto"/>
        <w:ind w:left="1153" w:leftChars="549" w:right="10"/>
        <w:textAlignment w:val="bottom"/>
        <w:rPr>
          <w:highlight w:val="none"/>
        </w:rPr>
      </w:pPr>
      <w:r>
        <w:rPr>
          <w:rFonts w:hint="eastAsia" w:cs="宋体"/>
          <w:color w:val="000000"/>
          <w:highlight w:val="none"/>
        </w:rPr>
        <w:t>附件一：货物清单及价格明细</w:t>
      </w:r>
    </w:p>
    <w:p>
      <w:pPr>
        <w:pStyle w:val="28"/>
        <w:autoSpaceDE w:val="0"/>
        <w:autoSpaceDN w:val="0"/>
        <w:spacing w:line="360" w:lineRule="auto"/>
        <w:ind w:left="1153" w:leftChars="549" w:right="10"/>
        <w:textAlignment w:val="bottom"/>
        <w:rPr>
          <w:highlight w:val="none"/>
        </w:rPr>
      </w:pPr>
      <w:r>
        <w:rPr>
          <w:rFonts w:hint="eastAsia" w:cs="宋体"/>
          <w:color w:val="000000"/>
          <w:highlight w:val="none"/>
        </w:rPr>
        <w:t>附件二：技术要求</w:t>
      </w:r>
    </w:p>
    <w:p>
      <w:pPr>
        <w:pStyle w:val="28"/>
        <w:autoSpaceDE w:val="0"/>
        <w:autoSpaceDN w:val="0"/>
        <w:spacing w:line="360" w:lineRule="auto"/>
        <w:ind w:left="1153" w:leftChars="549" w:right="10"/>
        <w:textAlignment w:val="bottom"/>
        <w:rPr>
          <w:highlight w:val="none"/>
        </w:rPr>
      </w:pPr>
      <w:r>
        <w:rPr>
          <w:rFonts w:hint="eastAsia" w:cs="宋体"/>
          <w:color w:val="000000"/>
          <w:highlight w:val="none"/>
        </w:rPr>
        <w:t>附件三：采购订单及发货清单（格式）</w:t>
      </w:r>
    </w:p>
    <w:p>
      <w:pPr>
        <w:pStyle w:val="28"/>
        <w:autoSpaceDE w:val="0"/>
        <w:autoSpaceDN w:val="0"/>
        <w:spacing w:line="360" w:lineRule="auto"/>
        <w:ind w:left="1153" w:leftChars="549" w:right="10"/>
        <w:textAlignment w:val="bottom"/>
        <w:rPr>
          <w:highlight w:val="none"/>
        </w:rPr>
      </w:pPr>
      <w:r>
        <w:rPr>
          <w:rFonts w:hint="eastAsia" w:cs="宋体"/>
          <w:color w:val="000000"/>
          <w:highlight w:val="none"/>
        </w:rPr>
        <w:t>附件四：送货单（格式）</w:t>
      </w:r>
    </w:p>
    <w:p>
      <w:pPr>
        <w:pStyle w:val="28"/>
        <w:spacing w:line="360" w:lineRule="auto"/>
        <w:ind w:left="1153" w:leftChars="549" w:right="10"/>
        <w:rPr>
          <w:rFonts w:cs="宋体"/>
          <w:color w:val="000000"/>
          <w:highlight w:val="none"/>
        </w:rPr>
      </w:pPr>
      <w:r>
        <w:rPr>
          <w:rFonts w:hint="eastAsia" w:cs="宋体"/>
          <w:color w:val="000000"/>
          <w:highlight w:val="none"/>
        </w:rPr>
        <w:t>附件五：廉洁备忘录</w:t>
      </w:r>
    </w:p>
    <w:p>
      <w:pPr>
        <w:pStyle w:val="28"/>
        <w:spacing w:line="360" w:lineRule="auto"/>
        <w:ind w:left="1153" w:leftChars="549" w:right="10"/>
        <w:rPr>
          <w:rFonts w:hint="eastAsia" w:cs="宋体"/>
          <w:color w:val="000000"/>
          <w:highlight w:val="none"/>
        </w:rPr>
      </w:pPr>
      <w:r>
        <w:rPr>
          <w:rFonts w:hint="eastAsia" w:cs="宋体"/>
          <w:color w:val="000000"/>
          <w:highlight w:val="none"/>
        </w:rPr>
        <w:t>附件六：疫情防控管理协议</w:t>
      </w:r>
    </w:p>
    <w:p>
      <w:pPr>
        <w:pStyle w:val="28"/>
        <w:numPr>
          <w:ilvl w:val="3"/>
          <w:numId w:val="5"/>
        </w:numPr>
        <w:tabs>
          <w:tab w:val="left" w:pos="720"/>
          <w:tab w:val="left" w:pos="3060"/>
          <w:tab w:val="clear" w:pos="1468"/>
        </w:tabs>
        <w:spacing w:line="360" w:lineRule="auto"/>
        <w:ind w:left="709" w:right="11" w:hanging="709"/>
        <w:rPr>
          <w:highlight w:val="none"/>
        </w:rPr>
      </w:pPr>
      <w:r>
        <w:rPr>
          <w:rFonts w:hint="eastAsia" w:cs="宋体"/>
          <w:color w:val="000000"/>
          <w:highlight w:val="none"/>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pStyle w:val="28"/>
        <w:numPr>
          <w:ilvl w:val="3"/>
          <w:numId w:val="5"/>
        </w:numPr>
        <w:tabs>
          <w:tab w:val="left" w:pos="720"/>
          <w:tab w:val="left" w:pos="3060"/>
          <w:tab w:val="clear" w:pos="1468"/>
        </w:tabs>
        <w:spacing w:line="360" w:lineRule="auto"/>
        <w:ind w:left="709" w:right="11" w:hanging="709"/>
        <w:rPr>
          <w:highlight w:val="none"/>
        </w:rPr>
      </w:pPr>
      <w:r>
        <w:rPr>
          <w:rFonts w:hint="eastAsia" w:cs="宋体"/>
          <w:color w:val="000000"/>
          <w:highlight w:val="none"/>
        </w:rPr>
        <w:t>本合同构成双方就合同标的达成的全部理解和一致，</w:t>
      </w:r>
      <w:r>
        <w:rPr>
          <w:rFonts w:hint="eastAsia" w:hAnsi="宋体" w:cs="宋体"/>
          <w:color w:val="000000"/>
          <w:highlight w:val="none"/>
        </w:rPr>
        <w:t>本合同签署以前双方就</w:t>
      </w:r>
      <w:r>
        <w:rPr>
          <w:rFonts w:hint="eastAsia" w:cs="宋体"/>
          <w:color w:val="000000"/>
          <w:highlight w:val="none"/>
        </w:rPr>
        <w:t>合同标的</w:t>
      </w:r>
      <w:r>
        <w:rPr>
          <w:rFonts w:hint="eastAsia" w:hAnsi="宋体" w:cs="宋体"/>
          <w:color w:val="000000"/>
          <w:highlight w:val="none"/>
        </w:rPr>
        <w:t>达成的所有口头和</w:t>
      </w:r>
      <w:r>
        <w:rPr>
          <w:rFonts w:hAnsi="宋体"/>
          <w:color w:val="000000"/>
          <w:highlight w:val="none"/>
        </w:rPr>
        <w:t>/</w:t>
      </w:r>
      <w:r>
        <w:rPr>
          <w:rFonts w:hint="eastAsia" w:hAnsi="宋体" w:cs="宋体"/>
          <w:color w:val="000000"/>
          <w:highlight w:val="none"/>
        </w:rPr>
        <w:t>或书面的理解、声明、文件、信件及双方其它形式的通信在本合同生效后自动失效。</w:t>
      </w:r>
    </w:p>
    <w:p>
      <w:pPr>
        <w:pStyle w:val="29"/>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6" w:name="_Toc306354335"/>
      <w:bookmarkStart w:id="47" w:name="_Toc300671186"/>
      <w:r>
        <w:rPr>
          <w:rFonts w:hint="eastAsia" w:ascii="宋体" w:hAnsi="宋体" w:cs="宋体"/>
          <w:iCs/>
          <w:color w:val="000000"/>
          <w:sz w:val="24"/>
          <w:szCs w:val="24"/>
          <w:highlight w:val="none"/>
        </w:rPr>
        <w:t>联系方式</w:t>
      </w:r>
      <w:bookmarkEnd w:id="46"/>
      <w:bookmarkEnd w:id="47"/>
    </w:p>
    <w:p>
      <w:pPr>
        <w:pStyle w:val="28"/>
        <w:numPr>
          <w:ilvl w:val="0"/>
          <w:numId w:val="6"/>
        </w:numPr>
        <w:tabs>
          <w:tab w:val="left" w:pos="720"/>
          <w:tab w:val="clear" w:pos="1468"/>
        </w:tabs>
        <w:spacing w:line="360" w:lineRule="auto"/>
        <w:ind w:left="720" w:right="11" w:hanging="720"/>
        <w:rPr>
          <w:highlight w:val="none"/>
        </w:rPr>
      </w:pPr>
      <w:r>
        <w:rPr>
          <w:rFonts w:hint="eastAsia" w:cs="宋体"/>
          <w:color w:val="000000"/>
          <w:highlight w:val="none"/>
        </w:rPr>
        <w:t>除非本合同另有明确规定或双方另行书面同意，任何一方根据本合同向另一方交付资料和发送通知的联系方式如下：</w:t>
      </w:r>
    </w:p>
    <w:p>
      <w:pPr>
        <w:numPr>
          <w:ilvl w:val="1"/>
          <w:numId w:val="7"/>
        </w:numPr>
        <w:tabs>
          <w:tab w:val="left" w:pos="1418"/>
        </w:tabs>
        <w:autoSpaceDE w:val="0"/>
        <w:autoSpaceDN w:val="0"/>
        <w:spacing w:line="360" w:lineRule="auto"/>
        <w:ind w:left="1418" w:hanging="709"/>
        <w:textAlignment w:val="bottom"/>
        <w:rPr>
          <w:highlight w:val="none"/>
        </w:rPr>
      </w:pPr>
      <w:r>
        <w:rPr>
          <w:rFonts w:hint="eastAsia"/>
          <w:highlight w:val="none"/>
        </w:rPr>
        <w:t>买方</w:t>
      </w:r>
      <w:r>
        <w:rPr>
          <w:highlight w:val="none"/>
        </w:rPr>
        <w:t>地址：</w:t>
      </w:r>
      <w:r>
        <w:rPr>
          <w:rFonts w:hint="eastAsia"/>
          <w:highlight w:val="none"/>
        </w:rPr>
        <w:t>天津市滨海新区塘沽渤海石油路688号</w:t>
      </w:r>
    </w:p>
    <w:p>
      <w:pPr>
        <w:tabs>
          <w:tab w:val="left" w:pos="1418"/>
        </w:tabs>
        <w:autoSpaceDE w:val="0"/>
        <w:autoSpaceDN w:val="0"/>
        <w:spacing w:line="360" w:lineRule="auto"/>
        <w:ind w:left="1237" w:leftChars="589" w:firstLine="2"/>
        <w:textAlignment w:val="bottom"/>
        <w:rPr>
          <w:highlight w:val="none"/>
        </w:rPr>
      </w:pPr>
      <w:r>
        <w:rPr>
          <w:highlight w:val="none"/>
        </w:rPr>
        <w:t>邮政编码：</w:t>
      </w:r>
      <w:r>
        <w:rPr>
          <w:rFonts w:hint="eastAsia"/>
          <w:highlight w:val="none"/>
        </w:rPr>
        <w:t>300452</w:t>
      </w:r>
    </w:p>
    <w:p>
      <w:pPr>
        <w:tabs>
          <w:tab w:val="left" w:pos="1418"/>
        </w:tabs>
        <w:autoSpaceDE w:val="0"/>
        <w:autoSpaceDN w:val="0"/>
        <w:spacing w:line="360" w:lineRule="auto"/>
        <w:ind w:left="1237" w:leftChars="589" w:firstLine="2"/>
        <w:textAlignment w:val="bottom"/>
        <w:rPr>
          <w:highlight w:val="none"/>
        </w:rPr>
      </w:pPr>
      <w:r>
        <w:rPr>
          <w:rFonts w:hint="eastAsia"/>
          <w:highlight w:val="none"/>
        </w:rPr>
        <w:t>联系人</w:t>
      </w:r>
      <w:r>
        <w:rPr>
          <w:highlight w:val="none"/>
        </w:rPr>
        <w:t>：</w:t>
      </w:r>
      <w:r>
        <w:rPr>
          <w:rFonts w:hint="eastAsia"/>
          <w:highlight w:val="none"/>
        </w:rPr>
        <w:t>于文超</w:t>
      </w:r>
    </w:p>
    <w:p>
      <w:pPr>
        <w:tabs>
          <w:tab w:val="left" w:pos="1418"/>
        </w:tabs>
        <w:autoSpaceDE w:val="0"/>
        <w:autoSpaceDN w:val="0"/>
        <w:spacing w:line="360" w:lineRule="auto"/>
        <w:ind w:left="1237" w:leftChars="589" w:firstLine="2"/>
        <w:textAlignment w:val="bottom"/>
        <w:rPr>
          <w:rFonts w:hint="eastAsia" w:eastAsiaTheme="minorEastAsia"/>
          <w:highlight w:val="none"/>
          <w:lang w:eastAsia="zh-CN"/>
        </w:rPr>
      </w:pPr>
      <w:r>
        <w:rPr>
          <w:rFonts w:hint="eastAsia"/>
          <w:highlight w:val="none"/>
        </w:rPr>
        <w:t>联系</w:t>
      </w:r>
      <w:r>
        <w:rPr>
          <w:highlight w:val="none"/>
        </w:rPr>
        <w:t>电话：</w:t>
      </w:r>
      <w:r>
        <w:rPr>
          <w:rFonts w:hint="eastAsia"/>
          <w:highlight w:val="none"/>
        </w:rPr>
        <w:t>022-2580227</w:t>
      </w:r>
      <w:r>
        <w:rPr>
          <w:rFonts w:hint="eastAsia"/>
          <w:highlight w:val="none"/>
          <w:lang w:val="en-US" w:eastAsia="zh-CN"/>
        </w:rPr>
        <w:t>1</w:t>
      </w:r>
    </w:p>
    <w:p>
      <w:pPr>
        <w:numPr>
          <w:ilvl w:val="1"/>
          <w:numId w:val="7"/>
        </w:numPr>
        <w:tabs>
          <w:tab w:val="left" w:pos="1418"/>
        </w:tabs>
        <w:autoSpaceDE w:val="0"/>
        <w:autoSpaceDN w:val="0"/>
        <w:spacing w:line="360" w:lineRule="auto"/>
        <w:ind w:left="1418" w:hanging="709"/>
        <w:textAlignment w:val="bottom"/>
        <w:rPr>
          <w:highlight w:val="none"/>
        </w:rPr>
      </w:pPr>
      <w:r>
        <w:rPr>
          <w:highlight w:val="none"/>
        </w:rPr>
        <w:t>卖方地址：</w:t>
      </w:r>
    </w:p>
    <w:p>
      <w:pPr>
        <w:pStyle w:val="28"/>
        <w:tabs>
          <w:tab w:val="left" w:pos="1418"/>
        </w:tabs>
        <w:autoSpaceDE w:val="0"/>
        <w:autoSpaceDN w:val="0"/>
        <w:spacing w:line="360" w:lineRule="auto"/>
        <w:ind w:left="1237" w:leftChars="589" w:right="10" w:firstLine="2"/>
        <w:textAlignment w:val="bottom"/>
        <w:rPr>
          <w:highlight w:val="none"/>
        </w:rPr>
      </w:pPr>
      <w:r>
        <w:rPr>
          <w:color w:val="000000"/>
          <w:highlight w:val="none"/>
        </w:rPr>
        <w:t>邮政编码：</w:t>
      </w:r>
    </w:p>
    <w:p>
      <w:pPr>
        <w:pStyle w:val="28"/>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联系人</w:t>
      </w:r>
      <w:r>
        <w:rPr>
          <w:color w:val="000000"/>
          <w:highlight w:val="none"/>
        </w:rPr>
        <w:t>：</w:t>
      </w:r>
    </w:p>
    <w:p>
      <w:pPr>
        <w:pStyle w:val="28"/>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w:t>
      </w:r>
      <w:r>
        <w:rPr>
          <w:color w:val="000000"/>
          <w:highlight w:val="none"/>
        </w:rPr>
        <w:t>电话：</w:t>
      </w:r>
    </w:p>
    <w:p>
      <w:pPr>
        <w:pStyle w:val="28"/>
        <w:tabs>
          <w:tab w:val="left" w:pos="1418"/>
        </w:tabs>
        <w:autoSpaceDE w:val="0"/>
        <w:autoSpaceDN w:val="0"/>
        <w:spacing w:line="360" w:lineRule="auto"/>
        <w:ind w:left="1237" w:leftChars="589" w:right="10" w:firstLine="2"/>
        <w:textAlignment w:val="bottom"/>
        <w:rPr>
          <w:highlight w:val="none"/>
        </w:rPr>
      </w:pPr>
      <w:r>
        <w:rPr>
          <w:color w:val="000000"/>
          <w:highlight w:val="none"/>
        </w:rPr>
        <w:t>传真</w:t>
      </w:r>
      <w:r>
        <w:rPr>
          <w:rFonts w:hint="eastAsia"/>
          <w:color w:val="000000"/>
          <w:highlight w:val="none"/>
        </w:rPr>
        <w:t>号码</w:t>
      </w:r>
      <w:r>
        <w:rPr>
          <w:color w:val="000000"/>
          <w:highlight w:val="none"/>
        </w:rPr>
        <w:t>：</w:t>
      </w:r>
    </w:p>
    <w:p>
      <w:pPr>
        <w:pStyle w:val="29"/>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8" w:name="_Toc300671187"/>
      <w:bookmarkStart w:id="49" w:name="_Toc306354336"/>
      <w:r>
        <w:rPr>
          <w:rFonts w:hint="eastAsia" w:ascii="宋体" w:hAnsi="宋体" w:cs="宋体"/>
          <w:iCs/>
          <w:color w:val="000000"/>
          <w:sz w:val="24"/>
          <w:szCs w:val="24"/>
          <w:highlight w:val="none"/>
        </w:rPr>
        <w:t>合同份数</w:t>
      </w:r>
      <w:bookmarkEnd w:id="48"/>
      <w:bookmarkEnd w:id="49"/>
    </w:p>
    <w:p>
      <w:pPr>
        <w:pStyle w:val="28"/>
        <w:numPr>
          <w:ilvl w:val="0"/>
          <w:numId w:val="8"/>
        </w:numPr>
        <w:tabs>
          <w:tab w:val="left" w:pos="720"/>
          <w:tab w:val="left" w:pos="1680"/>
          <w:tab w:val="clear" w:pos="1468"/>
        </w:tabs>
        <w:spacing w:line="360" w:lineRule="auto"/>
        <w:ind w:left="720" w:right="11" w:hanging="720"/>
        <w:rPr>
          <w:highlight w:val="none"/>
        </w:rPr>
      </w:pPr>
      <w:r>
        <w:rPr>
          <w:rFonts w:hint="eastAsia" w:cs="宋体"/>
          <w:color w:val="000000"/>
          <w:highlight w:val="none"/>
        </w:rPr>
        <w:t>本合同正本一式二份，买方执一份，卖方执一份，具有同等效力。</w:t>
      </w:r>
    </w:p>
    <w:p>
      <w:pPr>
        <w:pStyle w:val="29"/>
        <w:numPr>
          <w:ilvl w:val="1"/>
          <w:numId w:val="2"/>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50" w:name="_Toc299695678"/>
      <w:bookmarkStart w:id="51" w:name="_Toc299608974"/>
      <w:bookmarkStart w:id="52" w:name="_Toc298159080"/>
      <w:bookmarkStart w:id="53" w:name="_Toc300671188"/>
      <w:bookmarkStart w:id="54" w:name="_Toc306354337"/>
      <w:r>
        <w:rPr>
          <w:rFonts w:hint="eastAsia" w:ascii="宋体" w:hAnsi="宋体" w:cs="宋体"/>
          <w:iCs/>
          <w:color w:val="000000"/>
          <w:sz w:val="24"/>
          <w:szCs w:val="24"/>
          <w:highlight w:val="none"/>
        </w:rPr>
        <w:t>合同生效</w:t>
      </w:r>
      <w:bookmarkEnd w:id="50"/>
      <w:bookmarkEnd w:id="51"/>
      <w:bookmarkEnd w:id="52"/>
      <w:bookmarkEnd w:id="53"/>
      <w:bookmarkEnd w:id="54"/>
    </w:p>
    <w:p>
      <w:pPr>
        <w:pStyle w:val="28"/>
        <w:numPr>
          <w:ilvl w:val="0"/>
          <w:numId w:val="9"/>
        </w:numPr>
        <w:tabs>
          <w:tab w:val="left" w:pos="720"/>
          <w:tab w:val="left" w:pos="3060"/>
          <w:tab w:val="clear" w:pos="1468"/>
        </w:tabs>
        <w:spacing w:line="360" w:lineRule="auto"/>
        <w:ind w:left="720" w:right="11" w:hanging="720"/>
        <w:rPr>
          <w:highlight w:val="none"/>
        </w:rPr>
      </w:pPr>
      <w:r>
        <w:rPr>
          <w:rFonts w:hint="eastAsia"/>
          <w:color w:val="000000"/>
          <w:highlight w:val="none"/>
        </w:rPr>
        <w:t>本合同</w:t>
      </w:r>
      <w:r>
        <w:rPr>
          <w:rFonts w:hint="eastAsia"/>
          <w:iCs/>
          <w:color w:val="000000"/>
          <w:highlight w:val="none"/>
        </w:rPr>
        <w:t>在以下条件全部获得满足之后生效：</w:t>
      </w:r>
    </w:p>
    <w:p>
      <w:pPr>
        <w:pStyle w:val="30"/>
        <w:widowControl/>
        <w:numPr>
          <w:ilvl w:val="2"/>
          <w:numId w:val="10"/>
        </w:numPr>
        <w:spacing w:line="360" w:lineRule="auto"/>
        <w:ind w:left="1097" w:leftChars="354" w:hanging="354" w:hangingChars="177"/>
        <w:rPr>
          <w:highlight w:val="none"/>
        </w:rPr>
      </w:pPr>
      <w:r>
        <w:rPr>
          <w:rFonts w:hint="eastAsia"/>
          <w:color w:val="000000"/>
          <w:highlight w:val="none"/>
        </w:rPr>
        <w:t>双方法定代表人或授权代表签字并盖章；</w:t>
      </w:r>
    </w:p>
    <w:p>
      <w:pPr>
        <w:pStyle w:val="28"/>
        <w:numPr>
          <w:ilvl w:val="0"/>
          <w:numId w:val="9"/>
        </w:numPr>
        <w:tabs>
          <w:tab w:val="left" w:pos="720"/>
          <w:tab w:val="left" w:pos="3060"/>
          <w:tab w:val="clear" w:pos="1468"/>
        </w:tabs>
        <w:spacing w:line="360" w:lineRule="auto"/>
        <w:ind w:left="720" w:right="11" w:hanging="720"/>
        <w:rPr>
          <w:highlight w:val="none"/>
        </w:rPr>
      </w:pPr>
      <w:r>
        <w:rPr>
          <w:rFonts w:hint="eastAsia"/>
          <w:color w:val="000000"/>
          <w:highlight w:val="none"/>
        </w:rPr>
        <w:t>本合同至双方在本合同项下的全部义务履行完毕后失效。</w:t>
      </w:r>
    </w:p>
    <w:p>
      <w:pPr>
        <w:pStyle w:val="28"/>
        <w:numPr>
          <w:ilvl w:val="0"/>
          <w:numId w:val="9"/>
        </w:numPr>
        <w:tabs>
          <w:tab w:val="left" w:pos="720"/>
          <w:tab w:val="left" w:pos="3060"/>
          <w:tab w:val="clear" w:pos="1468"/>
        </w:tabs>
        <w:spacing w:line="360" w:lineRule="auto"/>
        <w:ind w:left="720" w:right="11" w:hanging="720"/>
        <w:rPr>
          <w:rFonts w:hint="eastAsia"/>
          <w:color w:val="000000"/>
          <w:highlight w:val="none"/>
          <w:lang w:val="en-US" w:eastAsia="zh-CN"/>
        </w:rPr>
      </w:pPr>
      <w:r>
        <w:rPr>
          <w:rFonts w:hint="eastAsia"/>
          <w:color w:val="000000"/>
          <w:highlight w:val="none"/>
        </w:rPr>
        <w:t>本合同有效期</w:t>
      </w:r>
      <w:r>
        <w:rPr>
          <w:rFonts w:hint="eastAsia" w:ascii="Times New Roman" w:hAnsi="Times New Roman" w:cs="Times New Roman"/>
          <w:color w:val="000000"/>
          <w:highlight w:val="none"/>
          <w:lang w:val="en-US" w:eastAsia="zh-CN"/>
        </w:rPr>
        <w:t>：</w:t>
      </w:r>
    </w:p>
    <w:p>
      <w:pPr>
        <w:pStyle w:val="28"/>
        <w:tabs>
          <w:tab w:val="left" w:pos="720"/>
          <w:tab w:val="left" w:pos="3060"/>
        </w:tabs>
        <w:spacing w:line="360" w:lineRule="auto"/>
        <w:ind w:left="720" w:right="11"/>
        <w:rPr>
          <w:color w:val="000000"/>
          <w:highlight w:val="none"/>
        </w:rPr>
      </w:pPr>
    </w:p>
    <w:p>
      <w:pPr>
        <w:pStyle w:val="28"/>
        <w:tabs>
          <w:tab w:val="left" w:pos="850"/>
        </w:tabs>
        <w:autoSpaceDE w:val="0"/>
        <w:autoSpaceDN w:val="0"/>
        <w:spacing w:line="360" w:lineRule="auto"/>
        <w:ind w:right="10"/>
        <w:jc w:val="center"/>
        <w:textAlignment w:val="bottom"/>
        <w:rPr>
          <w:b/>
          <w:bCs/>
          <w:highlight w:val="none"/>
        </w:rPr>
      </w:pPr>
      <w:r>
        <w:rPr>
          <w:b/>
          <w:bCs/>
          <w:color w:val="000000"/>
          <w:highlight w:val="none"/>
        </w:rPr>
        <w:br w:type="page"/>
      </w:r>
    </w:p>
    <w:p>
      <w:pPr>
        <w:pStyle w:val="28"/>
        <w:tabs>
          <w:tab w:val="left" w:pos="850"/>
        </w:tabs>
        <w:autoSpaceDE w:val="0"/>
        <w:autoSpaceDN w:val="0"/>
        <w:spacing w:line="360" w:lineRule="auto"/>
        <w:ind w:right="10"/>
        <w:jc w:val="center"/>
        <w:textAlignment w:val="bottom"/>
        <w:rPr>
          <w:b/>
          <w:bCs/>
          <w:highlight w:val="none"/>
        </w:rPr>
      </w:pPr>
      <w:r>
        <w:rPr>
          <w:rFonts w:hint="eastAsia" w:cs="宋体"/>
          <w:b/>
          <w:bCs/>
          <w:color w:val="000000"/>
          <w:highlight w:val="none"/>
        </w:rPr>
        <w:t>（本页无正文，为【填写合同编号】签章页）</w:t>
      </w:r>
    </w:p>
    <w:p>
      <w:pPr>
        <w:pStyle w:val="28"/>
        <w:tabs>
          <w:tab w:val="left" w:pos="850"/>
        </w:tabs>
        <w:autoSpaceDE w:val="0"/>
        <w:autoSpaceDN w:val="0"/>
        <w:spacing w:line="360" w:lineRule="auto"/>
        <w:ind w:right="10"/>
        <w:jc w:val="center"/>
        <w:textAlignment w:val="bottom"/>
        <w:rPr>
          <w:b/>
          <w:bCs/>
          <w:highlight w:val="none"/>
        </w:rPr>
      </w:pPr>
    </w:p>
    <w:p>
      <w:pPr>
        <w:pStyle w:val="28"/>
        <w:tabs>
          <w:tab w:val="left" w:pos="850"/>
        </w:tabs>
        <w:autoSpaceDE w:val="0"/>
        <w:autoSpaceDN w:val="0"/>
        <w:spacing w:line="360" w:lineRule="auto"/>
        <w:ind w:right="10"/>
        <w:jc w:val="center"/>
        <w:textAlignment w:val="bottom"/>
        <w:rPr>
          <w:b/>
          <w:bCs/>
          <w:highlight w:val="none"/>
        </w:rPr>
      </w:pPr>
    </w:p>
    <w:tbl>
      <w:tblPr>
        <w:tblStyle w:val="15"/>
        <w:tblW w:w="5000" w:type="pct"/>
        <w:tblInd w:w="-106" w:type="dxa"/>
        <w:tblLayout w:type="autofit"/>
        <w:tblCellMar>
          <w:top w:w="0" w:type="dxa"/>
          <w:left w:w="108" w:type="dxa"/>
          <w:bottom w:w="0" w:type="dxa"/>
          <w:right w:w="108" w:type="dxa"/>
        </w:tblCellMar>
      </w:tblPr>
      <w:tblGrid>
        <w:gridCol w:w="4437"/>
        <w:gridCol w:w="4085"/>
      </w:tblGrid>
      <w:tr>
        <w:trPr>
          <w:trHeight w:val="2653" w:hRule="atLeast"/>
        </w:trPr>
        <w:tc>
          <w:tcPr>
            <w:tcW w:w="2603" w:type="pct"/>
          </w:tcPr>
          <w:p>
            <w:pPr>
              <w:pStyle w:val="28"/>
              <w:tabs>
                <w:tab w:val="left" w:pos="850"/>
              </w:tabs>
              <w:autoSpaceDE w:val="0"/>
              <w:autoSpaceDN w:val="0"/>
              <w:spacing w:line="360" w:lineRule="auto"/>
              <w:ind w:right="10"/>
              <w:textAlignment w:val="bottom"/>
              <w:rPr>
                <w:highlight w:val="none"/>
              </w:rPr>
            </w:pPr>
            <w:r>
              <w:rPr>
                <w:rFonts w:hint="eastAsia" w:cs="宋体"/>
                <w:color w:val="000000"/>
                <w:highlight w:val="none"/>
              </w:rPr>
              <w:t>买方（盖章）</w:t>
            </w:r>
          </w:p>
        </w:tc>
        <w:tc>
          <w:tcPr>
            <w:tcW w:w="2397" w:type="pct"/>
          </w:tcPr>
          <w:p>
            <w:pPr>
              <w:pStyle w:val="28"/>
              <w:tabs>
                <w:tab w:val="left" w:pos="850"/>
              </w:tabs>
              <w:autoSpaceDE w:val="0"/>
              <w:autoSpaceDN w:val="0"/>
              <w:spacing w:line="360" w:lineRule="auto"/>
              <w:ind w:right="10"/>
              <w:textAlignment w:val="bottom"/>
              <w:rPr>
                <w:highlight w:val="none"/>
              </w:rPr>
            </w:pPr>
            <w:r>
              <w:rPr>
                <w:rFonts w:hint="eastAsia" w:cs="宋体"/>
                <w:color w:val="000000"/>
                <w:highlight w:val="none"/>
              </w:rPr>
              <w:t>卖方（盖章）</w:t>
            </w:r>
          </w:p>
          <w:p>
            <w:pPr>
              <w:pStyle w:val="28"/>
              <w:tabs>
                <w:tab w:val="left" w:pos="850"/>
              </w:tabs>
              <w:autoSpaceDE w:val="0"/>
              <w:autoSpaceDN w:val="0"/>
              <w:spacing w:line="360" w:lineRule="auto"/>
              <w:ind w:right="10"/>
              <w:textAlignment w:val="bottom"/>
              <w:rPr>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pStyle w:val="28"/>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tc>
        <w:tc>
          <w:tcPr>
            <w:tcW w:w="2397" w:type="pct"/>
            <w:vAlign w:val="center"/>
          </w:tcPr>
          <w:p>
            <w:pPr>
              <w:pStyle w:val="28"/>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p>
            <w:pPr>
              <w:pStyle w:val="28"/>
              <w:tabs>
                <w:tab w:val="left" w:pos="850"/>
              </w:tabs>
              <w:autoSpaceDE w:val="0"/>
              <w:autoSpaceDN w:val="0"/>
              <w:spacing w:line="360" w:lineRule="auto"/>
              <w:ind w:right="10"/>
              <w:textAlignment w:val="bottom"/>
              <w:rPr>
                <w:highlight w:val="none"/>
              </w:rPr>
            </w:pPr>
          </w:p>
        </w:tc>
      </w:tr>
    </w:tbl>
    <w:p>
      <w:pPr>
        <w:pStyle w:val="32"/>
        <w:spacing w:line="360" w:lineRule="auto"/>
        <w:ind w:left="527" w:right="10" w:hanging="527"/>
        <w:jc w:val="center"/>
        <w:outlineLvl w:val="9"/>
        <w:rPr>
          <w:rFonts w:ascii="Times New Roman"/>
          <w:highlight w:val="none"/>
          <w:lang w:eastAsia="zh-CN"/>
        </w:rPr>
      </w:pPr>
      <w:r>
        <w:rPr>
          <w:color w:val="000000"/>
          <w:highlight w:val="none"/>
          <w:lang w:eastAsia="zh-CN"/>
        </w:rPr>
        <w:br w:type="page"/>
      </w:r>
      <w:bookmarkStart w:id="55" w:name="_Toc297106668"/>
      <w:bookmarkStart w:id="56" w:name="_Toc300671189"/>
      <w:bookmarkStart w:id="57" w:name="_Toc256000003"/>
      <w:bookmarkStart w:id="58" w:name="_Toc306354338"/>
      <w:bookmarkStart w:id="59" w:name="_Toc297055766"/>
      <w:r>
        <w:rPr>
          <w:rFonts w:hint="eastAsia" w:ascii="Times New Roman" w:hAnsi="宋体" w:cs="宋体"/>
          <w:color w:val="000000"/>
          <w:sz w:val="36"/>
          <w:szCs w:val="36"/>
          <w:highlight w:val="none"/>
          <w:lang w:eastAsia="zh-CN"/>
        </w:rPr>
        <w:t>第二部分专用合同条款</w:t>
      </w:r>
      <w:bookmarkEnd w:id="55"/>
      <w:bookmarkEnd w:id="56"/>
      <w:bookmarkEnd w:id="57"/>
      <w:bookmarkEnd w:id="58"/>
      <w:bookmarkEnd w:id="59"/>
    </w:p>
    <w:p>
      <w:pPr>
        <w:numPr>
          <w:ilvl w:val="0"/>
          <w:numId w:val="11"/>
        </w:numPr>
        <w:spacing w:before="360" w:after="360"/>
        <w:jc w:val="center"/>
        <w:rPr>
          <w:b/>
          <w:sz w:val="24"/>
          <w:szCs w:val="24"/>
          <w:highlight w:val="none"/>
        </w:rPr>
      </w:pPr>
      <w:bookmarkStart w:id="60" w:name="_Toc300671190"/>
      <w:bookmarkStart w:id="61" w:name="_Toc5889363"/>
      <w:bookmarkStart w:id="62" w:name="_Toc17390364"/>
      <w:bookmarkStart w:id="63" w:name="_Toc288567161"/>
      <w:r>
        <w:rPr>
          <w:rFonts w:hint="eastAsia"/>
          <w:b/>
          <w:sz w:val="24"/>
          <w:szCs w:val="24"/>
          <w:highlight w:val="none"/>
        </w:rPr>
        <w:t>付款</w:t>
      </w:r>
      <w:bookmarkEnd w:id="60"/>
      <w:bookmarkEnd w:id="61"/>
      <w:bookmarkEnd w:id="62"/>
    </w:p>
    <w:p>
      <w:pPr>
        <w:numPr>
          <w:ilvl w:val="0"/>
          <w:numId w:val="12"/>
        </w:numPr>
        <w:tabs>
          <w:tab w:val="left" w:pos="720"/>
          <w:tab w:val="left" w:pos="900"/>
          <w:tab w:val="left" w:pos="1080"/>
        </w:tabs>
        <w:spacing w:line="360" w:lineRule="auto"/>
        <w:ind w:left="720" w:hanging="720"/>
        <w:rPr>
          <w:rFonts w:hint="eastAsia" w:cs="宋体"/>
          <w:highlight w:val="none"/>
        </w:rPr>
      </w:pPr>
      <w:r>
        <w:rPr>
          <w:rFonts w:hint="eastAsia" w:cs="宋体"/>
          <w:highlight w:val="none"/>
        </w:rPr>
        <w:t>付款方式：</w:t>
      </w:r>
    </w:p>
    <w:p>
      <w:pPr>
        <w:numPr>
          <w:ilvl w:val="0"/>
          <w:numId w:val="12"/>
        </w:numPr>
        <w:tabs>
          <w:tab w:val="left" w:pos="720"/>
          <w:tab w:val="left" w:pos="900"/>
          <w:tab w:val="left" w:pos="1080"/>
        </w:tabs>
        <w:spacing w:line="360" w:lineRule="auto"/>
        <w:ind w:left="720" w:hanging="720"/>
        <w:rPr>
          <w:highlight w:val="none"/>
        </w:rPr>
      </w:pPr>
      <w:r>
        <w:rPr>
          <w:rFonts w:hint="eastAsia" w:cs="宋体"/>
          <w:highlight w:val="none"/>
        </w:rPr>
        <w:t>对于本合同的合同价款，双方同意按照以下方式予以支付：</w:t>
      </w:r>
    </w:p>
    <w:p>
      <w:pPr>
        <w:widowControl w:val="0"/>
        <w:tabs>
          <w:tab w:val="left" w:pos="1260"/>
        </w:tabs>
        <w:spacing w:line="360" w:lineRule="auto"/>
        <w:ind w:left="825"/>
        <w:jc w:val="both"/>
        <w:rPr>
          <w:rFonts w:hint="eastAsia" w:ascii="宋体" w:hAnsi="宋体" w:cs="宋体"/>
          <w:highlight w:val="none"/>
        </w:rPr>
      </w:pPr>
      <w:r>
        <w:rPr>
          <w:rFonts w:hint="eastAsia" w:ascii="宋体" w:hAnsi="宋体" w:cs="宋体"/>
          <w:highlight w:val="none"/>
        </w:rPr>
        <w:t>（1) 月度付款。卖方与买方执行方在每月第15日前确认上个月经买方执行方验收合格后的实际发生的采购订单量，自检验或验收合格之日起，卖方3日内向买方执行方提供与上个月度采购订单总价款相应的有效增值税专用发票及相关支持文件，买方执行方于</w:t>
      </w:r>
      <w:r>
        <w:rPr>
          <w:rFonts w:hint="eastAsia" w:ascii="宋体" w:hAnsi="宋体" w:cs="宋体"/>
          <w:highlight w:val="none"/>
          <w:lang w:val="en-US" w:eastAsia="zh-CN"/>
        </w:rPr>
        <w:t>45</w:t>
      </w:r>
      <w:r>
        <w:rPr>
          <w:rFonts w:hint="eastAsia" w:ascii="宋体" w:hAnsi="宋体" w:cs="宋体"/>
          <w:highlight w:val="none"/>
        </w:rPr>
        <w:t>日内支付上个月度的订单总价款（具体见买方执行用户下达的采购订单中的要求）。</w:t>
      </w:r>
    </w:p>
    <w:p>
      <w:pPr>
        <w:widowControl w:val="0"/>
        <w:tabs>
          <w:tab w:val="left" w:pos="1260"/>
        </w:tabs>
        <w:spacing w:line="360" w:lineRule="auto"/>
        <w:ind w:left="825"/>
        <w:jc w:val="both"/>
        <w:rPr>
          <w:rFonts w:ascii="宋体" w:hAnsi="宋体" w:cs="宋体"/>
          <w:highlight w:val="none"/>
        </w:rPr>
      </w:pPr>
      <w:r>
        <w:rPr>
          <w:rFonts w:hint="eastAsia" w:ascii="宋体" w:hAnsi="宋体" w:cs="宋体"/>
          <w:highlight w:val="none"/>
        </w:rPr>
        <w:t>（2)</w:t>
      </w:r>
      <w:r>
        <w:rPr>
          <w:rFonts w:ascii="宋体" w:hAnsi="宋体" w:cs="宋体"/>
          <w:highlight w:val="none"/>
        </w:rPr>
        <w:t xml:space="preserve"> </w:t>
      </w:r>
      <w:r>
        <w:rPr>
          <w:rFonts w:hint="eastAsia" w:ascii="宋体" w:hAnsi="宋体" w:cs="宋体"/>
          <w:highlight w:val="none"/>
        </w:rPr>
        <w:t>按照交货批次付款。卖方在每批次实际交付货物并经买方执行方验收合格之日起，卖方3日内向买方执行方提供有效增值税专用发票及相关支持文件，买方执行方于45</w:t>
      </w:r>
      <w:r>
        <w:rPr>
          <w:rFonts w:hint="eastAsia" w:ascii="宋体" w:hAnsi="宋体" w:cs="宋体"/>
          <w:highlight w:val="none"/>
          <w:lang w:val="en-US" w:eastAsia="zh-CN"/>
        </w:rPr>
        <w:t>日/个工作日</w:t>
      </w:r>
      <w:r>
        <w:rPr>
          <w:rFonts w:hint="eastAsia" w:ascii="宋体" w:hAnsi="宋体" w:cs="宋体"/>
          <w:highlight w:val="none"/>
        </w:rPr>
        <w:t>内支付款订单价款（具体见买方执行用户下达的采购订单中的要求）。</w:t>
      </w:r>
    </w:p>
    <w:p>
      <w:pPr>
        <w:numPr>
          <w:ilvl w:val="0"/>
          <w:numId w:val="12"/>
        </w:numPr>
        <w:tabs>
          <w:tab w:val="left" w:pos="720"/>
          <w:tab w:val="left" w:pos="1080"/>
        </w:tabs>
        <w:spacing w:line="360" w:lineRule="auto"/>
        <w:ind w:left="540" w:hanging="540"/>
        <w:rPr>
          <w:highlight w:val="none"/>
        </w:rPr>
      </w:pPr>
      <w:r>
        <w:rPr>
          <w:rFonts w:hint="eastAsia" w:cs="宋体"/>
          <w:highlight w:val="none"/>
        </w:rPr>
        <w:t>账户</w:t>
      </w:r>
    </w:p>
    <w:p>
      <w:pPr>
        <w:numPr>
          <w:ilvl w:val="0"/>
          <w:numId w:val="13"/>
        </w:numPr>
        <w:tabs>
          <w:tab w:val="left" w:pos="1260"/>
        </w:tabs>
        <w:spacing w:line="360" w:lineRule="auto"/>
        <w:ind w:hanging="116"/>
        <w:rPr>
          <w:rFonts w:cs="宋体"/>
          <w:highlight w:val="none"/>
        </w:rPr>
      </w:pPr>
      <w:r>
        <w:rPr>
          <w:rFonts w:cs="宋体"/>
          <w:highlight w:val="none"/>
        </w:rPr>
        <w:t>卖方</w:t>
      </w:r>
      <w:r>
        <w:rPr>
          <w:rFonts w:hint="eastAsia" w:cs="宋体"/>
          <w:highlight w:val="none"/>
        </w:rPr>
        <w:t>账户</w:t>
      </w:r>
      <w:r>
        <w:rPr>
          <w:rFonts w:cs="宋体"/>
          <w:highlight w:val="none"/>
        </w:rPr>
        <w:t>信息</w:t>
      </w:r>
    </w:p>
    <w:p>
      <w:pPr>
        <w:tabs>
          <w:tab w:val="left" w:pos="1260"/>
        </w:tabs>
        <w:spacing w:line="360" w:lineRule="auto"/>
        <w:ind w:left="825"/>
        <w:rPr>
          <w:rFonts w:cs="宋体"/>
          <w:highlight w:val="none"/>
        </w:rPr>
      </w:pPr>
      <w:r>
        <w:rPr>
          <w:rFonts w:hint="eastAsia" w:cs="宋体"/>
          <w:highlight w:val="none"/>
        </w:rPr>
        <w:t>卖方应通过如下账户收取合同价款及其它款项，并通过该账户向买方支付与合同有关的任何款项：</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开户单位：</w:t>
      </w:r>
      <w:r>
        <w:rPr>
          <w:rFonts w:ascii="宋体" w:hAnsi="宋体"/>
          <w:b/>
          <w:szCs w:val="21"/>
          <w:highlight w:val="none"/>
        </w:rPr>
        <w:t xml:space="preserve"> </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 xml:space="preserve">开户银行： </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账号：</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税号：</w:t>
      </w:r>
    </w:p>
    <w:p>
      <w:pPr>
        <w:numPr>
          <w:ilvl w:val="0"/>
          <w:numId w:val="13"/>
        </w:numPr>
        <w:tabs>
          <w:tab w:val="left" w:pos="1260"/>
        </w:tabs>
        <w:spacing w:line="360" w:lineRule="auto"/>
        <w:ind w:hanging="116"/>
        <w:rPr>
          <w:rFonts w:cs="宋体"/>
          <w:highlight w:val="none"/>
        </w:rPr>
      </w:pPr>
      <w:r>
        <w:rPr>
          <w:rFonts w:cs="宋体"/>
          <w:highlight w:val="none"/>
        </w:rPr>
        <w:t>买方开票信息</w:t>
      </w:r>
    </w:p>
    <w:p>
      <w:pPr>
        <w:tabs>
          <w:tab w:val="left" w:pos="3060"/>
        </w:tabs>
        <w:spacing w:line="360" w:lineRule="auto"/>
        <w:ind w:left="628" w:leftChars="299"/>
        <w:rPr>
          <w:highlight w:val="none"/>
        </w:rPr>
      </w:pPr>
      <w:r>
        <w:rPr>
          <w:highlight w:val="none"/>
        </w:rPr>
        <w:t>按照买方执行方开票信息执行</w:t>
      </w:r>
      <w:r>
        <w:rPr>
          <w:rFonts w:hint="eastAsia"/>
          <w:highlight w:val="none"/>
        </w:rPr>
        <w:t>，</w:t>
      </w:r>
      <w:r>
        <w:rPr>
          <w:highlight w:val="none"/>
        </w:rPr>
        <w:t>具体开票信息及相关要求详见《采购订单</w:t>
      </w:r>
      <w:r>
        <w:rPr>
          <w:rFonts w:hint="eastAsia"/>
          <w:highlight w:val="none"/>
        </w:rPr>
        <w:t>》</w:t>
      </w:r>
      <w:r>
        <w:rPr>
          <w:highlight w:val="none"/>
        </w:rPr>
        <w:t>的要求</w:t>
      </w:r>
      <w:r>
        <w:rPr>
          <w:rFonts w:hint="eastAsia"/>
          <w:highlight w:val="none"/>
        </w:rPr>
        <w:t>。</w:t>
      </w:r>
    </w:p>
    <w:p>
      <w:pPr>
        <w:numPr>
          <w:ilvl w:val="0"/>
          <w:numId w:val="11"/>
        </w:numPr>
        <w:spacing w:before="360" w:after="360"/>
        <w:jc w:val="center"/>
        <w:rPr>
          <w:b/>
          <w:sz w:val="24"/>
          <w:szCs w:val="24"/>
          <w:highlight w:val="none"/>
        </w:rPr>
      </w:pPr>
      <w:bookmarkStart w:id="64" w:name="_Toc300671191"/>
      <w:bookmarkStart w:id="65" w:name="_Toc17390365"/>
      <w:bookmarkStart w:id="66" w:name="_Toc5889364"/>
      <w:bookmarkStart w:id="67" w:name="_Toc288567129"/>
      <w:bookmarkStart w:id="68" w:name="_Toc287364269"/>
      <w:bookmarkStart w:id="69" w:name="_Toc287657101"/>
      <w:r>
        <w:rPr>
          <w:rFonts w:hint="eastAsia"/>
          <w:b/>
          <w:sz w:val="24"/>
          <w:szCs w:val="24"/>
          <w:highlight w:val="none"/>
        </w:rPr>
        <w:t>订货方式</w:t>
      </w:r>
      <w:bookmarkEnd w:id="64"/>
      <w:bookmarkEnd w:id="65"/>
      <w:bookmarkEnd w:id="66"/>
      <w:bookmarkEnd w:id="67"/>
      <w:bookmarkEnd w:id="68"/>
      <w:bookmarkEnd w:id="69"/>
    </w:p>
    <w:p>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本合同有效期内，买方执行方应以签署《采购订单》的形式一次或分批向卖方选购本合同约定范围内的货物。《采购订单》的格式（详见本合同附件三）；</w:t>
      </w:r>
    </w:p>
    <w:p>
      <w:pPr>
        <w:numPr>
          <w:ilvl w:val="0"/>
          <w:numId w:val="14"/>
        </w:numPr>
        <w:tabs>
          <w:tab w:val="left" w:pos="720"/>
          <w:tab w:val="left" w:pos="3060"/>
          <w:tab w:val="clear" w:pos="1468"/>
        </w:tabs>
        <w:spacing w:line="360" w:lineRule="auto"/>
        <w:ind w:left="720" w:hanging="720"/>
        <w:rPr>
          <w:rFonts w:cs="宋体"/>
          <w:highlight w:val="none"/>
        </w:rPr>
      </w:pPr>
      <w:r>
        <w:rPr>
          <w:rFonts w:hint="eastAsia" w:cs="宋体"/>
          <w:highlight w:val="none"/>
        </w:rPr>
        <w:t>买方执行方应至少</w:t>
      </w:r>
      <w:r>
        <w:rPr>
          <w:rFonts w:cs="宋体"/>
          <w:highlight w:val="none"/>
        </w:rPr>
        <w:t>提前</w:t>
      </w:r>
      <w:r>
        <w:rPr>
          <w:rFonts w:hint="eastAsia" w:cs="宋体"/>
          <w:highlight w:val="none"/>
        </w:rPr>
        <w:t>120小时下订单，如遇特殊情况，以买方执行方的实际要求为准；</w:t>
      </w:r>
    </w:p>
    <w:p>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卖方应当自收到采购订单之日起120小时</w:t>
      </w:r>
      <w:r>
        <w:rPr>
          <w:rFonts w:hint="eastAsia"/>
          <w:highlight w:val="none"/>
        </w:rPr>
        <w:t>内将</w:t>
      </w:r>
      <w:r>
        <w:rPr>
          <w:rFonts w:hint="eastAsia" w:cs="宋体"/>
          <w:highlight w:val="none"/>
        </w:rPr>
        <w:t>签字盖章的采购订单递送至买方执行方；</w:t>
      </w:r>
    </w:p>
    <w:p>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采购订单由双方签字盖章后即生效；</w:t>
      </w:r>
    </w:p>
    <w:p>
      <w:pPr>
        <w:numPr>
          <w:ilvl w:val="0"/>
          <w:numId w:val="14"/>
        </w:numPr>
        <w:tabs>
          <w:tab w:val="left" w:pos="720"/>
          <w:tab w:val="left" w:pos="3060"/>
          <w:tab w:val="clear" w:pos="1468"/>
        </w:tabs>
        <w:spacing w:line="360" w:lineRule="auto"/>
        <w:ind w:left="720" w:hanging="720"/>
        <w:rPr>
          <w:highlight w:val="none"/>
        </w:rPr>
      </w:pPr>
      <w:r>
        <w:rPr>
          <w:rFonts w:hint="eastAsia" w:cs="宋体"/>
          <w:highlight w:val="none"/>
        </w:rPr>
        <w:t>卖方按照采购订单的要求向买方执行方及时交付货物；</w:t>
      </w:r>
    </w:p>
    <w:p>
      <w:pPr>
        <w:numPr>
          <w:ilvl w:val="0"/>
          <w:numId w:val="14"/>
        </w:numPr>
        <w:tabs>
          <w:tab w:val="left" w:pos="720"/>
          <w:tab w:val="left" w:pos="3060"/>
          <w:tab w:val="clear" w:pos="1468"/>
        </w:tabs>
        <w:spacing w:line="360" w:lineRule="auto"/>
        <w:ind w:left="720" w:hanging="720"/>
        <w:rPr>
          <w:rFonts w:cs="宋体"/>
          <w:highlight w:val="none"/>
        </w:rPr>
      </w:pPr>
      <w:r>
        <w:rPr>
          <w:rFonts w:hint="eastAsia" w:cs="宋体"/>
          <w:highlight w:val="none"/>
        </w:rPr>
        <w:t>货物送到买方执行方指定地点后，买方执行方应及时组织验收。双方按照国家或行业有关标准或合同技术要求共同核实规格、数量、交验计量标准、检验或试验等项目；</w:t>
      </w:r>
    </w:p>
    <w:p>
      <w:pPr>
        <w:tabs>
          <w:tab w:val="left" w:pos="3060"/>
        </w:tabs>
        <w:spacing w:line="360" w:lineRule="auto"/>
        <w:ind w:left="720"/>
        <w:rPr>
          <w:rFonts w:cs="宋体"/>
          <w:highlight w:val="none"/>
        </w:rPr>
      </w:pPr>
      <w:r>
        <w:rPr>
          <w:rFonts w:hint="eastAsia" w:cs="宋体"/>
          <w:highlight w:val="none"/>
        </w:rPr>
        <w:t>买方执行方依据合同付款条款和</w:t>
      </w:r>
      <w:r>
        <w:rPr>
          <w:rFonts w:cs="宋体"/>
          <w:highlight w:val="none"/>
        </w:rPr>
        <w:t>《采购订单</w:t>
      </w:r>
      <w:r>
        <w:rPr>
          <w:rFonts w:hint="eastAsia" w:cs="宋体"/>
          <w:highlight w:val="none"/>
        </w:rPr>
        <w:t>》的具体要求为卖方办理付款手续。</w:t>
      </w:r>
    </w:p>
    <w:p>
      <w:pPr>
        <w:numPr>
          <w:ilvl w:val="0"/>
          <w:numId w:val="11"/>
        </w:numPr>
        <w:spacing w:before="360" w:after="360"/>
        <w:jc w:val="center"/>
        <w:rPr>
          <w:b/>
          <w:sz w:val="24"/>
          <w:szCs w:val="24"/>
          <w:highlight w:val="none"/>
        </w:rPr>
      </w:pPr>
      <w:bookmarkStart w:id="70" w:name="_Toc5889365"/>
      <w:bookmarkStart w:id="71" w:name="_Toc17390366"/>
      <w:bookmarkStart w:id="72" w:name="_Toc300671192"/>
      <w:r>
        <w:rPr>
          <w:rFonts w:hint="eastAsia"/>
          <w:b/>
          <w:sz w:val="24"/>
          <w:szCs w:val="24"/>
          <w:highlight w:val="none"/>
        </w:rPr>
        <w:t>交货和运输</w:t>
      </w:r>
      <w:bookmarkEnd w:id="70"/>
      <w:bookmarkEnd w:id="71"/>
      <w:bookmarkEnd w:id="72"/>
    </w:p>
    <w:p>
      <w:pPr>
        <w:numPr>
          <w:ilvl w:val="0"/>
          <w:numId w:val="15"/>
        </w:numPr>
        <w:tabs>
          <w:tab w:val="left" w:pos="720"/>
          <w:tab w:val="clear" w:pos="1468"/>
        </w:tabs>
        <w:spacing w:line="360" w:lineRule="auto"/>
        <w:ind w:left="720" w:hanging="720"/>
        <w:rPr>
          <w:highlight w:val="none"/>
        </w:rPr>
      </w:pPr>
      <w:r>
        <w:rPr>
          <w:rFonts w:hint="eastAsia" w:cs="宋体"/>
          <w:highlight w:val="none"/>
        </w:rPr>
        <w:t>本合同项下每批货物的供货范围、交货日期、交货地点等以采购订单为准。</w:t>
      </w:r>
    </w:p>
    <w:p>
      <w:pPr>
        <w:numPr>
          <w:ilvl w:val="0"/>
          <w:numId w:val="15"/>
        </w:numPr>
        <w:tabs>
          <w:tab w:val="left" w:pos="720"/>
          <w:tab w:val="clear" w:pos="1468"/>
        </w:tabs>
        <w:spacing w:line="360" w:lineRule="auto"/>
        <w:ind w:left="720" w:hanging="720"/>
        <w:rPr>
          <w:rFonts w:cs="宋体"/>
          <w:highlight w:val="none"/>
        </w:rPr>
      </w:pPr>
      <w:r>
        <w:rPr>
          <w:rFonts w:hint="eastAsia" w:cs="宋体"/>
          <w:highlight w:val="none"/>
        </w:rPr>
        <w:t>本合同项下的货物由卖方负责运输并承担与运输、包装等事项相关的全部费用。本合同项下货物的运输方式为：国内：汽车运输、船运、铁路等。</w:t>
      </w:r>
    </w:p>
    <w:p>
      <w:pPr>
        <w:numPr>
          <w:ilvl w:val="0"/>
          <w:numId w:val="15"/>
        </w:numPr>
        <w:tabs>
          <w:tab w:val="left" w:pos="720"/>
          <w:tab w:val="clear" w:pos="1468"/>
        </w:tabs>
        <w:spacing w:line="360" w:lineRule="auto"/>
        <w:ind w:left="720" w:hanging="720"/>
        <w:rPr>
          <w:rFonts w:cs="宋体"/>
          <w:highlight w:val="none"/>
        </w:rPr>
      </w:pPr>
      <w:r>
        <w:rPr>
          <w:rFonts w:hint="eastAsia" w:cs="宋体"/>
          <w:highlight w:val="none"/>
        </w:rPr>
        <w:t>本合同项下货物的包装方式为：</w:t>
      </w:r>
      <w:r>
        <w:rPr>
          <w:rFonts w:hint="eastAsia" w:cs="宋体"/>
          <w:b/>
          <w:highlight w:val="none"/>
        </w:rPr>
        <w:t>详</w:t>
      </w:r>
      <w:r>
        <w:rPr>
          <w:rFonts w:hint="eastAsia"/>
          <w:b/>
          <w:highlight w:val="none"/>
        </w:rPr>
        <w:t>见本合同附件二</w:t>
      </w:r>
      <w:r>
        <w:rPr>
          <w:rFonts w:hint="eastAsia" w:cs="宋体"/>
          <w:highlight w:val="none"/>
        </w:rPr>
        <w:t>。</w:t>
      </w:r>
    </w:p>
    <w:p>
      <w:pPr>
        <w:numPr>
          <w:ilvl w:val="0"/>
          <w:numId w:val="15"/>
        </w:numPr>
        <w:tabs>
          <w:tab w:val="left" w:pos="720"/>
          <w:tab w:val="clear" w:pos="1468"/>
        </w:tabs>
        <w:spacing w:line="360" w:lineRule="auto"/>
        <w:ind w:left="720" w:hanging="720"/>
        <w:rPr>
          <w:highlight w:val="none"/>
        </w:rPr>
      </w:pPr>
      <w:r>
        <w:rPr>
          <w:rFonts w:hint="eastAsia" w:cs="宋体"/>
          <w:highlight w:val="none"/>
        </w:rPr>
        <w:t>买方对交货日期及交货地点有特殊要求的，可以在采购订单中提出。</w:t>
      </w:r>
    </w:p>
    <w:p>
      <w:pPr>
        <w:numPr>
          <w:ilvl w:val="0"/>
          <w:numId w:val="15"/>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在货物交付运输后2日内，卖方应通过（亲自递送、特快专递、传真、电子邮件等）向买方提供以下资料，具体以买方通知为准：</w:t>
      </w:r>
    </w:p>
    <w:p>
      <w:pPr>
        <w:numPr>
          <w:ilvl w:val="1"/>
          <w:numId w:val="15"/>
        </w:numPr>
        <w:tabs>
          <w:tab w:val="left" w:pos="993"/>
          <w:tab w:val="left" w:pos="1260"/>
        </w:tabs>
        <w:spacing w:line="360" w:lineRule="auto"/>
        <w:ind w:hanging="105"/>
        <w:rPr>
          <w:highlight w:val="none"/>
        </w:rPr>
      </w:pPr>
      <w:r>
        <w:rPr>
          <w:rFonts w:hint="eastAsia" w:cs="宋体"/>
          <w:highlight w:val="none"/>
        </w:rPr>
        <w:t>发货清单（发货清单的格式，详见本合同附件三）；</w:t>
      </w:r>
    </w:p>
    <w:p>
      <w:pPr>
        <w:numPr>
          <w:ilvl w:val="1"/>
          <w:numId w:val="15"/>
        </w:numPr>
        <w:tabs>
          <w:tab w:val="left" w:pos="993"/>
          <w:tab w:val="left" w:pos="1260"/>
        </w:tabs>
        <w:spacing w:line="360" w:lineRule="auto"/>
        <w:ind w:hanging="105"/>
        <w:rPr>
          <w:highlight w:val="none"/>
        </w:rPr>
      </w:pPr>
      <w:r>
        <w:rPr>
          <w:rFonts w:hint="eastAsia" w:cs="宋体"/>
          <w:highlight w:val="none"/>
        </w:rPr>
        <w:t>出厂合格证书；</w:t>
      </w:r>
    </w:p>
    <w:p>
      <w:pPr>
        <w:numPr>
          <w:ilvl w:val="1"/>
          <w:numId w:val="15"/>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pPr>
        <w:numPr>
          <w:ilvl w:val="1"/>
          <w:numId w:val="15"/>
        </w:numPr>
        <w:tabs>
          <w:tab w:val="left" w:pos="993"/>
          <w:tab w:val="left" w:pos="1260"/>
        </w:tabs>
        <w:spacing w:line="360" w:lineRule="auto"/>
        <w:ind w:hanging="105"/>
        <w:rPr>
          <w:highlight w:val="none"/>
        </w:rPr>
      </w:pPr>
      <w:r>
        <w:rPr>
          <w:rFonts w:hint="eastAsia" w:cs="宋体"/>
          <w:highlight w:val="none"/>
        </w:rPr>
        <w:t>安装／操作／维修使用说明书；</w:t>
      </w:r>
    </w:p>
    <w:p>
      <w:pPr>
        <w:numPr>
          <w:ilvl w:val="1"/>
          <w:numId w:val="15"/>
        </w:numPr>
        <w:tabs>
          <w:tab w:val="left" w:pos="993"/>
          <w:tab w:val="left" w:pos="1260"/>
        </w:tabs>
        <w:spacing w:line="360" w:lineRule="auto"/>
        <w:ind w:hanging="105"/>
        <w:rPr>
          <w:rFonts w:cs="宋体"/>
          <w:highlight w:val="none"/>
        </w:rPr>
      </w:pPr>
      <w:r>
        <w:rPr>
          <w:rFonts w:hint="eastAsia" w:cs="宋体"/>
          <w:highlight w:val="none"/>
        </w:rPr>
        <w:t>领货凭证；</w:t>
      </w:r>
    </w:p>
    <w:p>
      <w:pPr>
        <w:numPr>
          <w:ilvl w:val="1"/>
          <w:numId w:val="15"/>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pPr>
        <w:numPr>
          <w:ilvl w:val="1"/>
          <w:numId w:val="15"/>
        </w:numPr>
        <w:tabs>
          <w:tab w:val="left" w:pos="993"/>
          <w:tab w:val="left" w:pos="1260"/>
        </w:tabs>
        <w:spacing w:line="360" w:lineRule="auto"/>
        <w:ind w:hanging="105"/>
        <w:rPr>
          <w:rFonts w:cs="宋体"/>
          <w:highlight w:val="none"/>
        </w:rPr>
      </w:pPr>
      <w:r>
        <w:rPr>
          <w:rFonts w:hint="eastAsia" w:cs="宋体"/>
          <w:highlight w:val="none"/>
        </w:rPr>
        <w:t>产品MSDS一份；</w:t>
      </w:r>
    </w:p>
    <w:p>
      <w:pPr>
        <w:numPr>
          <w:ilvl w:val="1"/>
          <w:numId w:val="15"/>
        </w:numPr>
        <w:tabs>
          <w:tab w:val="left" w:pos="993"/>
          <w:tab w:val="left" w:pos="1260"/>
        </w:tabs>
        <w:spacing w:line="360" w:lineRule="auto"/>
        <w:ind w:hanging="105"/>
        <w:rPr>
          <w:rFonts w:cs="宋体"/>
          <w:highlight w:val="none"/>
        </w:rPr>
      </w:pPr>
      <w:r>
        <w:rPr>
          <w:rFonts w:hint="eastAsia" w:cs="宋体"/>
          <w:highlight w:val="none"/>
        </w:rPr>
        <w:t>合同技术要求中规定的</w:t>
      </w:r>
      <w:r>
        <w:rPr>
          <w:rFonts w:hint="eastAsia" w:cs="宋体"/>
          <w:highlight w:val="none"/>
          <w:lang w:eastAsia="zh-CN"/>
        </w:rPr>
        <w:t>其它</w:t>
      </w:r>
      <w:r>
        <w:rPr>
          <w:rFonts w:hint="eastAsia" w:cs="宋体"/>
          <w:highlight w:val="none"/>
        </w:rPr>
        <w:t>资料及证书一份。</w:t>
      </w:r>
    </w:p>
    <w:p>
      <w:pPr>
        <w:tabs>
          <w:tab w:val="left" w:pos="720"/>
          <w:tab w:val="left" w:pos="993"/>
        </w:tabs>
        <w:spacing w:line="360" w:lineRule="auto"/>
        <w:ind w:left="720"/>
        <w:rPr>
          <w:rFonts w:cs="宋体"/>
          <w:highlight w:val="none"/>
        </w:rPr>
      </w:pPr>
      <w:r>
        <w:rPr>
          <w:rFonts w:hint="eastAsia" w:cs="宋体"/>
          <w:highlight w:val="none"/>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2日内通知卖方；卖方收到通知后2日内应自行承担费用将补充或替换的货物资料送达买方，并不得因此影响交货进度。</w:t>
      </w:r>
    </w:p>
    <w:p>
      <w:pPr>
        <w:numPr>
          <w:ilvl w:val="0"/>
          <w:numId w:val="15"/>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在货物交付运输后2日内，卖方应通过（亲自递送、特快专递、传真、电子邮件等）向买方提供合同规定的技术资料。</w:t>
      </w:r>
    </w:p>
    <w:p>
      <w:pPr>
        <w:numPr>
          <w:ilvl w:val="0"/>
          <w:numId w:val="11"/>
        </w:numPr>
        <w:spacing w:before="360" w:after="360"/>
        <w:jc w:val="center"/>
        <w:rPr>
          <w:b/>
          <w:sz w:val="24"/>
          <w:szCs w:val="24"/>
          <w:highlight w:val="none"/>
        </w:rPr>
      </w:pPr>
      <w:bookmarkStart w:id="73" w:name="_Toc296955850"/>
      <w:bookmarkStart w:id="74" w:name="_Toc17390367"/>
      <w:bookmarkStart w:id="75" w:name="_Toc296959312"/>
      <w:bookmarkStart w:id="76" w:name="_Toc273451902"/>
      <w:bookmarkStart w:id="77" w:name="_Toc274403536"/>
      <w:bookmarkStart w:id="78" w:name="_Toc274669319"/>
      <w:bookmarkStart w:id="79" w:name="_Toc291435838"/>
      <w:bookmarkStart w:id="80" w:name="_Toc274075960"/>
      <w:bookmarkStart w:id="81" w:name="_Toc291435905"/>
      <w:bookmarkStart w:id="82" w:name="_Toc274474911"/>
      <w:bookmarkStart w:id="83" w:name="_Toc274343606"/>
      <w:bookmarkStart w:id="84" w:name="_Toc273451835"/>
      <w:bookmarkStart w:id="85" w:name="_Toc5889366"/>
      <w:bookmarkStart w:id="86" w:name="_Toc278889783"/>
      <w:bookmarkStart w:id="87" w:name="_Toc300671193"/>
      <w:bookmarkStart w:id="88" w:name="_Toc274076148"/>
      <w:bookmarkStart w:id="89" w:name="_Toc274668321"/>
      <w:bookmarkStart w:id="90" w:name="_Toc274754028"/>
      <w:r>
        <w:rPr>
          <w:rFonts w:hint="eastAsia"/>
          <w:b/>
          <w:sz w:val="24"/>
          <w:szCs w:val="24"/>
          <w:highlight w:val="none"/>
        </w:rPr>
        <w:t>包装与标记</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numPr>
          <w:ilvl w:val="0"/>
          <w:numId w:val="16"/>
        </w:numPr>
        <w:tabs>
          <w:tab w:val="left" w:pos="709"/>
        </w:tabs>
        <w:spacing w:line="360" w:lineRule="auto"/>
        <w:ind w:left="619" w:hanging="619" w:hangingChars="295"/>
        <w:rPr>
          <w:highlight w:val="none"/>
        </w:rPr>
      </w:pPr>
      <w:r>
        <w:rPr>
          <w:rFonts w:hint="eastAsia" w:cs="宋体"/>
          <w:highlight w:val="none"/>
        </w:rPr>
        <w:t>卖方应在每件货物包装箱的两个侧面（如货物没有包装箱，在货物的其它显著位置），用不褪色的油漆或其它醒目方式以明显易见的中文字样注明以下标记：</w:t>
      </w:r>
    </w:p>
    <w:p>
      <w:pPr>
        <w:widowControl/>
        <w:numPr>
          <w:ilvl w:val="0"/>
          <w:numId w:val="17"/>
        </w:numPr>
        <w:tabs>
          <w:tab w:val="left" w:pos="3060"/>
        </w:tabs>
        <w:spacing w:line="360" w:lineRule="auto"/>
        <w:ind w:hanging="431"/>
        <w:jc w:val="left"/>
        <w:rPr>
          <w:highlight w:val="none"/>
        </w:rPr>
      </w:pPr>
      <w:r>
        <w:rPr>
          <w:rFonts w:hint="eastAsia" w:cs="宋体"/>
          <w:highlight w:val="none"/>
        </w:rPr>
        <w:t>合同号；</w:t>
      </w:r>
    </w:p>
    <w:p>
      <w:pPr>
        <w:widowControl/>
        <w:numPr>
          <w:ilvl w:val="0"/>
          <w:numId w:val="17"/>
        </w:numPr>
        <w:tabs>
          <w:tab w:val="left" w:pos="3060"/>
        </w:tabs>
        <w:spacing w:line="360" w:lineRule="auto"/>
        <w:ind w:hanging="431"/>
        <w:jc w:val="left"/>
        <w:rPr>
          <w:highlight w:val="none"/>
        </w:rPr>
      </w:pPr>
      <w:r>
        <w:rPr>
          <w:rFonts w:hint="eastAsia" w:cs="宋体"/>
          <w:highlight w:val="none"/>
        </w:rPr>
        <w:t>目的站；</w:t>
      </w:r>
    </w:p>
    <w:p>
      <w:pPr>
        <w:widowControl/>
        <w:numPr>
          <w:ilvl w:val="0"/>
          <w:numId w:val="17"/>
        </w:numPr>
        <w:tabs>
          <w:tab w:val="left" w:pos="3060"/>
        </w:tabs>
        <w:spacing w:line="360" w:lineRule="auto"/>
        <w:ind w:hanging="431"/>
        <w:jc w:val="left"/>
        <w:rPr>
          <w:highlight w:val="none"/>
        </w:rPr>
      </w:pPr>
      <w:r>
        <w:rPr>
          <w:rFonts w:hint="eastAsia" w:cs="宋体"/>
          <w:highlight w:val="none"/>
        </w:rPr>
        <w:t>货物名称；</w:t>
      </w:r>
    </w:p>
    <w:p>
      <w:pPr>
        <w:widowControl/>
        <w:numPr>
          <w:ilvl w:val="0"/>
          <w:numId w:val="17"/>
        </w:numPr>
        <w:tabs>
          <w:tab w:val="left" w:pos="3060"/>
        </w:tabs>
        <w:spacing w:line="360" w:lineRule="auto"/>
        <w:ind w:hanging="431"/>
        <w:jc w:val="left"/>
        <w:rPr>
          <w:highlight w:val="none"/>
        </w:rPr>
      </w:pPr>
      <w:r>
        <w:rPr>
          <w:rFonts w:hint="eastAsia" w:cs="宋体"/>
          <w:highlight w:val="none"/>
        </w:rPr>
        <w:t>箱号</w:t>
      </w:r>
      <w:r>
        <w:rPr>
          <w:highlight w:val="none"/>
        </w:rPr>
        <w:t>/</w:t>
      </w:r>
      <w:r>
        <w:rPr>
          <w:rFonts w:hint="eastAsia" w:cs="宋体"/>
          <w:highlight w:val="none"/>
        </w:rPr>
        <w:t>件号；</w:t>
      </w:r>
    </w:p>
    <w:p>
      <w:pPr>
        <w:widowControl/>
        <w:numPr>
          <w:ilvl w:val="0"/>
          <w:numId w:val="17"/>
        </w:numPr>
        <w:tabs>
          <w:tab w:val="left" w:pos="3060"/>
        </w:tabs>
        <w:spacing w:line="360" w:lineRule="auto"/>
        <w:ind w:hanging="431"/>
        <w:jc w:val="left"/>
        <w:rPr>
          <w:highlight w:val="none"/>
        </w:rPr>
      </w:pPr>
      <w:r>
        <w:rPr>
          <w:rFonts w:hint="eastAsia" w:cs="宋体"/>
          <w:highlight w:val="none"/>
        </w:rPr>
        <w:t>毛重</w:t>
      </w:r>
      <w:r>
        <w:rPr>
          <w:highlight w:val="none"/>
        </w:rPr>
        <w:t>/</w:t>
      </w:r>
      <w:r>
        <w:rPr>
          <w:rFonts w:hint="eastAsia" w:cs="宋体"/>
          <w:highlight w:val="none"/>
        </w:rPr>
        <w:t>净重（公斤）；</w:t>
      </w:r>
    </w:p>
    <w:p>
      <w:pPr>
        <w:widowControl/>
        <w:numPr>
          <w:ilvl w:val="0"/>
          <w:numId w:val="17"/>
        </w:numPr>
        <w:tabs>
          <w:tab w:val="left" w:pos="3060"/>
        </w:tabs>
        <w:spacing w:line="360" w:lineRule="auto"/>
        <w:ind w:hanging="431"/>
        <w:jc w:val="left"/>
        <w:rPr>
          <w:highlight w:val="none"/>
        </w:rPr>
      </w:pPr>
      <w:r>
        <w:rPr>
          <w:rFonts w:hint="eastAsia" w:cs="宋体"/>
          <w:highlight w:val="none"/>
        </w:rPr>
        <w:t>体积（长</w:t>
      </w:r>
      <w:r>
        <w:rPr>
          <w:highlight w:val="none"/>
        </w:rPr>
        <w:t>×</w:t>
      </w:r>
      <w:r>
        <w:rPr>
          <w:rFonts w:hint="eastAsia" w:cs="宋体"/>
          <w:highlight w:val="none"/>
        </w:rPr>
        <w:t>宽</w:t>
      </w:r>
      <w:r>
        <w:rPr>
          <w:highlight w:val="none"/>
        </w:rPr>
        <w:t>×</w:t>
      </w:r>
      <w:r>
        <w:rPr>
          <w:rFonts w:hint="eastAsia" w:cs="宋体"/>
          <w:highlight w:val="none"/>
        </w:rPr>
        <w:t>高，以毫米表示）；</w:t>
      </w:r>
    </w:p>
    <w:p>
      <w:pPr>
        <w:widowControl/>
        <w:numPr>
          <w:ilvl w:val="0"/>
          <w:numId w:val="17"/>
        </w:numPr>
        <w:tabs>
          <w:tab w:val="left" w:pos="3060"/>
        </w:tabs>
        <w:spacing w:line="360" w:lineRule="auto"/>
        <w:ind w:hanging="431"/>
        <w:jc w:val="left"/>
        <w:rPr>
          <w:highlight w:val="none"/>
        </w:rPr>
      </w:pPr>
      <w:r>
        <w:rPr>
          <w:rFonts w:hint="eastAsia" w:cs="宋体"/>
          <w:highlight w:val="none"/>
        </w:rPr>
        <w:t>吊点；</w:t>
      </w:r>
    </w:p>
    <w:p>
      <w:pPr>
        <w:numPr>
          <w:ilvl w:val="0"/>
          <w:numId w:val="16"/>
        </w:numPr>
        <w:tabs>
          <w:tab w:val="left" w:pos="708"/>
        </w:tabs>
        <w:spacing w:line="360" w:lineRule="auto"/>
        <w:ind w:left="619" w:hanging="619" w:hangingChars="295"/>
        <w:rPr>
          <w:highlight w:val="none"/>
        </w:rPr>
      </w:pPr>
      <w:r>
        <w:rPr>
          <w:rFonts w:hint="eastAsia" w:cs="宋体"/>
          <w:highlight w:val="none"/>
        </w:rPr>
        <w:t>凡</w:t>
      </w:r>
      <w:r>
        <w:rPr>
          <w:rFonts w:hint="eastAsia"/>
          <w:highlight w:val="none"/>
        </w:rPr>
        <w:t>重量</w:t>
      </w:r>
      <w:r>
        <w:rPr>
          <w:rFonts w:hint="eastAsia" w:cs="宋体"/>
          <w:highlight w:val="none"/>
        </w:rPr>
        <w:t>超过</w:t>
      </w:r>
      <w:r>
        <w:rPr>
          <w:rFonts w:hint="eastAsia"/>
          <w:szCs w:val="21"/>
          <w:highlight w:val="none"/>
        </w:rPr>
        <w:t>2吨</w:t>
      </w:r>
      <w:r>
        <w:rPr>
          <w:szCs w:val="21"/>
          <w:highlight w:val="none"/>
        </w:rPr>
        <w:t>(包括二吨)</w:t>
      </w:r>
      <w:r>
        <w:rPr>
          <w:rFonts w:hint="eastAsia"/>
          <w:szCs w:val="21"/>
          <w:highlight w:val="none"/>
        </w:rPr>
        <w:t>或</w:t>
      </w:r>
      <w:r>
        <w:rPr>
          <w:szCs w:val="21"/>
          <w:highlight w:val="none"/>
        </w:rPr>
        <w:t>尺寸超过</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cs="宋体"/>
          <w:highlight w:val="none"/>
        </w:rPr>
        <w:t>的货物，应在包装箱的侧面以运输常用的标记和图案标明重心位置及起吊点。</w:t>
      </w:r>
    </w:p>
    <w:p>
      <w:pPr>
        <w:numPr>
          <w:ilvl w:val="0"/>
          <w:numId w:val="16"/>
        </w:numPr>
        <w:tabs>
          <w:tab w:val="left" w:pos="708"/>
        </w:tabs>
        <w:spacing w:line="360" w:lineRule="auto"/>
        <w:ind w:left="619" w:hanging="619" w:hangingChars="295"/>
        <w:rPr>
          <w:highlight w:val="none"/>
        </w:rPr>
      </w:pPr>
      <w:r>
        <w:rPr>
          <w:rFonts w:hint="eastAsia" w:cs="宋体"/>
          <w:highlight w:val="none"/>
        </w:rPr>
        <w:t>根据货物的特点和装卸、运输的不同要求，包装箱应显著标明“轻放”、“勿倒置”、“防潮”和“防雨”等字样。</w:t>
      </w:r>
    </w:p>
    <w:p>
      <w:pPr>
        <w:numPr>
          <w:ilvl w:val="0"/>
          <w:numId w:val="16"/>
        </w:numPr>
        <w:tabs>
          <w:tab w:val="left" w:pos="708"/>
        </w:tabs>
        <w:spacing w:line="360" w:lineRule="auto"/>
        <w:ind w:left="619" w:hanging="619" w:hangingChars="295"/>
        <w:rPr>
          <w:highlight w:val="none"/>
        </w:rPr>
      </w:pPr>
      <w:r>
        <w:rPr>
          <w:rFonts w:hint="eastAsia" w:cs="宋体"/>
          <w:highlight w:val="none"/>
        </w:rPr>
        <w:t>如果在一个包装箱内同时装有两件以上不同的货物，卖方应用显著标明主要货物的名称及货号。</w:t>
      </w:r>
    </w:p>
    <w:p>
      <w:pPr>
        <w:numPr>
          <w:ilvl w:val="0"/>
          <w:numId w:val="16"/>
        </w:numPr>
        <w:tabs>
          <w:tab w:val="left" w:pos="708"/>
        </w:tabs>
        <w:spacing w:line="360" w:lineRule="auto"/>
        <w:ind w:left="619" w:hanging="619" w:hangingChars="295"/>
        <w:rPr>
          <w:highlight w:val="none"/>
        </w:rPr>
      </w:pPr>
      <w:r>
        <w:rPr>
          <w:rFonts w:hint="eastAsia" w:cs="宋体"/>
          <w:highlight w:val="none"/>
        </w:rPr>
        <w:t>对裸装的大件货物，卖方应在每捆、每件上系上标签，标签应清晰标明：货物名称、规格型号、数量、装配图号、重心位置、起吊点、包装件号或系列号等。</w:t>
      </w:r>
    </w:p>
    <w:p>
      <w:pPr>
        <w:numPr>
          <w:ilvl w:val="0"/>
          <w:numId w:val="16"/>
        </w:numPr>
        <w:tabs>
          <w:tab w:val="left" w:pos="708"/>
        </w:tabs>
        <w:spacing w:line="360" w:lineRule="auto"/>
        <w:ind w:left="619" w:hanging="619" w:hangingChars="295"/>
        <w:rPr>
          <w:highlight w:val="none"/>
        </w:rPr>
      </w:pPr>
      <w:r>
        <w:rPr>
          <w:rFonts w:hint="eastAsia"/>
          <w:highlight w:val="none"/>
        </w:rPr>
        <w:t>卖方向买方提供的货物资料，应具有适合长途运输、多次装卸及搬运、防潮和防雨的包装，货物资料包装的封面上应注明下述内容：</w:t>
      </w:r>
    </w:p>
    <w:p>
      <w:pPr>
        <w:widowControl/>
        <w:numPr>
          <w:ilvl w:val="0"/>
          <w:numId w:val="18"/>
        </w:numPr>
        <w:tabs>
          <w:tab w:val="left" w:pos="1134"/>
        </w:tabs>
        <w:autoSpaceDE w:val="0"/>
        <w:autoSpaceDN w:val="0"/>
        <w:adjustRightInd w:val="0"/>
        <w:spacing w:line="360" w:lineRule="auto"/>
        <w:ind w:hanging="405"/>
        <w:jc w:val="left"/>
        <w:textAlignment w:val="bottom"/>
        <w:rPr>
          <w:highlight w:val="none"/>
        </w:rPr>
      </w:pPr>
      <w:r>
        <w:rPr>
          <w:rFonts w:hint="eastAsia"/>
          <w:highlight w:val="none"/>
        </w:rPr>
        <w:t>合同号；</w:t>
      </w:r>
    </w:p>
    <w:p>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收货人；</w:t>
      </w:r>
    </w:p>
    <w:p>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目的地；</w:t>
      </w:r>
    </w:p>
    <w:p>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毛重（公斤）；</w:t>
      </w:r>
    </w:p>
    <w:p>
      <w:pPr>
        <w:widowControl/>
        <w:numPr>
          <w:ilvl w:val="0"/>
          <w:numId w:val="18"/>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箱号</w:t>
      </w:r>
      <w:r>
        <w:rPr>
          <w:highlight w:val="none"/>
        </w:rPr>
        <w:t>/</w:t>
      </w:r>
      <w:r>
        <w:rPr>
          <w:rFonts w:hint="eastAsia"/>
          <w:highlight w:val="none"/>
        </w:rPr>
        <w:t>件号。</w:t>
      </w:r>
    </w:p>
    <w:p>
      <w:pPr>
        <w:spacing w:line="360" w:lineRule="auto"/>
        <w:ind w:left="619" w:leftChars="295"/>
        <w:textAlignment w:val="bottom"/>
        <w:rPr>
          <w:highlight w:val="none"/>
        </w:rPr>
      </w:pPr>
      <w:r>
        <w:rPr>
          <w:rFonts w:hint="eastAsia"/>
          <w:highlight w:val="none"/>
        </w:rPr>
        <w:t>每一包货物资料内应附有货物资料的详细清单两份，标明货物资料的序号、代号、名称和页数。</w:t>
      </w:r>
    </w:p>
    <w:p>
      <w:pPr>
        <w:numPr>
          <w:ilvl w:val="0"/>
          <w:numId w:val="11"/>
        </w:numPr>
        <w:spacing w:before="360" w:after="360"/>
        <w:jc w:val="center"/>
        <w:rPr>
          <w:b/>
          <w:sz w:val="24"/>
          <w:szCs w:val="24"/>
          <w:highlight w:val="none"/>
        </w:rPr>
      </w:pPr>
      <w:bookmarkStart w:id="91" w:name="_Toc300671194"/>
      <w:bookmarkStart w:id="92" w:name="_Toc5889367"/>
      <w:bookmarkStart w:id="93" w:name="_Toc17390368"/>
      <w:bookmarkStart w:id="94" w:name="_Toc287657103"/>
      <w:bookmarkStart w:id="95" w:name="_Toc288567131"/>
      <w:bookmarkStart w:id="96" w:name="_Toc287364271"/>
      <w:r>
        <w:rPr>
          <w:rFonts w:hint="eastAsia"/>
          <w:b/>
          <w:sz w:val="24"/>
          <w:szCs w:val="24"/>
          <w:highlight w:val="none"/>
        </w:rPr>
        <w:t>验收</w:t>
      </w:r>
      <w:bookmarkEnd w:id="91"/>
      <w:bookmarkEnd w:id="92"/>
      <w:bookmarkEnd w:id="93"/>
      <w:bookmarkEnd w:id="94"/>
      <w:bookmarkEnd w:id="95"/>
      <w:bookmarkEnd w:id="96"/>
    </w:p>
    <w:p>
      <w:pPr>
        <w:numPr>
          <w:ilvl w:val="0"/>
          <w:numId w:val="19"/>
        </w:numPr>
        <w:tabs>
          <w:tab w:val="left" w:pos="720"/>
          <w:tab w:val="left" w:pos="1080"/>
          <w:tab w:val="clear" w:pos="1468"/>
        </w:tabs>
        <w:spacing w:line="360" w:lineRule="auto"/>
        <w:ind w:left="720" w:hanging="720"/>
        <w:rPr>
          <w:rFonts w:cs="宋体"/>
          <w:highlight w:val="none"/>
        </w:rPr>
      </w:pPr>
      <w:r>
        <w:rPr>
          <w:rFonts w:hint="eastAsia" w:cs="宋体"/>
          <w:highlight w:val="none"/>
        </w:rPr>
        <w:t>货物到达指定交货地点后，买方在2日内对货物进行验收。验收由买方组织并指派专人参加，卖方应当指派人员参加。验收标准详见本合同附件二。</w:t>
      </w:r>
    </w:p>
    <w:p>
      <w:pPr>
        <w:numPr>
          <w:ilvl w:val="0"/>
          <w:numId w:val="19"/>
        </w:numPr>
        <w:tabs>
          <w:tab w:val="left" w:pos="720"/>
          <w:tab w:val="left" w:pos="1080"/>
          <w:tab w:val="clear" w:pos="1468"/>
        </w:tabs>
        <w:spacing w:line="360" w:lineRule="auto"/>
        <w:ind w:left="720" w:hanging="720"/>
        <w:rPr>
          <w:rFonts w:cs="宋体"/>
          <w:highlight w:val="none"/>
        </w:rPr>
      </w:pPr>
      <w:r>
        <w:rPr>
          <w:rFonts w:hint="eastAsia" w:cs="宋体"/>
          <w:highlight w:val="none"/>
        </w:rPr>
        <w:t>买方按照本合同约定的标准进行验收，并将验收结果通知卖方。对于验收合格的，由参与验收的人员在送货单（一式四联）上签字确认，买卖双方各留（二）份。对于验收中买方发现的问题，卖方应当在0.5日内予以书面回复。对于验收中发现的质量问题，卖方应在验收后1日内根据买方的要求予以解决。</w:t>
      </w:r>
    </w:p>
    <w:p>
      <w:pPr>
        <w:numPr>
          <w:ilvl w:val="0"/>
          <w:numId w:val="19"/>
        </w:numPr>
        <w:tabs>
          <w:tab w:val="left" w:pos="720"/>
          <w:tab w:val="left" w:pos="1080"/>
          <w:tab w:val="clear" w:pos="1468"/>
        </w:tabs>
        <w:spacing w:line="360" w:lineRule="auto"/>
        <w:ind w:left="720" w:hanging="720"/>
        <w:rPr>
          <w:rFonts w:cs="宋体"/>
          <w:highlight w:val="none"/>
        </w:rPr>
      </w:pPr>
      <w:r>
        <w:rPr>
          <w:rFonts w:hint="eastAsia" w:cs="宋体"/>
          <w:highlight w:val="none"/>
        </w:rPr>
        <w:t>卖方对验收结果提出异议的，由买卖双方协商解决。买卖双方协商不成的，买卖双方同意委托双方协商的有资质的第三方权威</w:t>
      </w:r>
      <w:r>
        <w:rPr>
          <w:rFonts w:cs="宋体"/>
          <w:highlight w:val="none"/>
        </w:rPr>
        <w:t>机构</w:t>
      </w:r>
      <w:r>
        <w:rPr>
          <w:rFonts w:hint="eastAsia" w:cs="宋体"/>
          <w:highlight w:val="none"/>
        </w:rPr>
        <w:t>进行检验并以该检验机构的检验结果为准。委托检验所发生的费用由卖方承担。</w:t>
      </w:r>
    </w:p>
    <w:p>
      <w:pPr>
        <w:numPr>
          <w:ilvl w:val="0"/>
          <w:numId w:val="11"/>
        </w:numPr>
        <w:spacing w:before="360" w:after="360"/>
        <w:jc w:val="center"/>
        <w:rPr>
          <w:b/>
          <w:sz w:val="24"/>
          <w:szCs w:val="24"/>
          <w:highlight w:val="none"/>
        </w:rPr>
      </w:pPr>
      <w:bookmarkStart w:id="97" w:name="_Toc5889368"/>
      <w:bookmarkStart w:id="98" w:name="_Toc17390369"/>
      <w:bookmarkStart w:id="99" w:name="_Toc300671197"/>
      <w:r>
        <w:rPr>
          <w:rFonts w:hint="eastAsia"/>
          <w:b/>
          <w:sz w:val="24"/>
          <w:szCs w:val="24"/>
          <w:highlight w:val="none"/>
        </w:rPr>
        <w:t>卖方代表</w:t>
      </w:r>
      <w:bookmarkEnd w:id="97"/>
      <w:bookmarkEnd w:id="98"/>
      <w:bookmarkEnd w:id="99"/>
    </w:p>
    <w:p>
      <w:pPr>
        <w:numPr>
          <w:ilvl w:val="0"/>
          <w:numId w:val="20"/>
        </w:numPr>
        <w:tabs>
          <w:tab w:val="left" w:pos="708"/>
        </w:tabs>
        <w:spacing w:line="360" w:lineRule="auto"/>
        <w:ind w:left="720" w:hanging="720"/>
        <w:rPr>
          <w:highlight w:val="none"/>
        </w:rPr>
      </w:pPr>
      <w:r>
        <w:rPr>
          <w:rFonts w:hint="eastAsia" w:cs="宋体"/>
          <w:highlight w:val="none"/>
        </w:rPr>
        <w:t>卖方应于本合同生效后5日内指派一位项目经理作为卖方代表，全权代表卖方执行本合同，有权代表卖方接收和发出本合同项下的任何通知、同意、批准和决定等，有权代表卖方处理本合同项下需与买方沟通和协调的事项。</w:t>
      </w:r>
      <w:r>
        <w:rPr>
          <w:rFonts w:hint="eastAsia" w:cs="Arial"/>
          <w:szCs w:val="21"/>
          <w:highlight w:val="none"/>
          <w:lang w:val="en-GB"/>
        </w:rPr>
        <w:t>卖方</w:t>
      </w:r>
      <w:r>
        <w:rPr>
          <w:rFonts w:hint="eastAsia" w:cs="Arial"/>
          <w:szCs w:val="21"/>
          <w:highlight w:val="none"/>
          <w:lang w:val="en-GB" w:eastAsia="zh-TW"/>
        </w:rPr>
        <w:t>代表的任何</w:t>
      </w:r>
      <w:r>
        <w:rPr>
          <w:rFonts w:hint="eastAsia" w:cs="Arial"/>
          <w:szCs w:val="21"/>
          <w:highlight w:val="none"/>
          <w:lang w:val="en-GB"/>
        </w:rPr>
        <w:t>行为</w:t>
      </w:r>
      <w:r>
        <w:rPr>
          <w:rFonts w:hint="eastAsia" w:cs="Arial"/>
          <w:szCs w:val="21"/>
          <w:highlight w:val="none"/>
          <w:lang w:val="en-GB" w:eastAsia="zh-TW"/>
        </w:rPr>
        <w:t>、疏忽或不作为</w:t>
      </w:r>
      <w:r>
        <w:rPr>
          <w:rFonts w:hint="eastAsia" w:cs="Arial"/>
          <w:szCs w:val="21"/>
          <w:highlight w:val="none"/>
          <w:lang w:val="en-GB"/>
        </w:rPr>
        <w:t>应视同卖方的行为、疏忽或不作为，卖方</w:t>
      </w:r>
      <w:r>
        <w:rPr>
          <w:rFonts w:hint="eastAsia" w:cs="Arial"/>
          <w:szCs w:val="21"/>
          <w:highlight w:val="none"/>
          <w:lang w:val="en-GB" w:eastAsia="zh-TW"/>
        </w:rPr>
        <w:t>应对</w:t>
      </w:r>
      <w:r>
        <w:rPr>
          <w:rFonts w:hint="eastAsia" w:cs="Arial"/>
          <w:szCs w:val="21"/>
          <w:highlight w:val="none"/>
          <w:lang w:val="en-GB"/>
        </w:rPr>
        <w:t>此</w:t>
      </w:r>
      <w:r>
        <w:rPr>
          <w:rFonts w:hint="eastAsia" w:cs="Arial"/>
          <w:szCs w:val="21"/>
          <w:highlight w:val="none"/>
          <w:lang w:val="en-GB" w:eastAsia="zh-TW"/>
        </w:rPr>
        <w:t>承担</w:t>
      </w:r>
      <w:r>
        <w:rPr>
          <w:rFonts w:hint="eastAsia" w:cs="Arial"/>
          <w:szCs w:val="21"/>
          <w:highlight w:val="none"/>
          <w:lang w:val="en-GB"/>
        </w:rPr>
        <w:t>全部</w:t>
      </w:r>
      <w:r>
        <w:rPr>
          <w:rFonts w:hint="eastAsia" w:cs="Arial"/>
          <w:szCs w:val="21"/>
          <w:highlight w:val="none"/>
          <w:lang w:val="en-GB" w:eastAsia="zh-TW"/>
        </w:rPr>
        <w:t>责任</w:t>
      </w:r>
      <w:r>
        <w:rPr>
          <w:rFonts w:hint="eastAsia" w:cs="Arial"/>
          <w:szCs w:val="21"/>
          <w:highlight w:val="none"/>
          <w:lang w:val="en-GB"/>
        </w:rPr>
        <w:t>。</w:t>
      </w:r>
      <w:r>
        <w:rPr>
          <w:rFonts w:hint="eastAsia"/>
          <w:highlight w:val="none"/>
        </w:rPr>
        <w:t>卖方代表应具有丰富的经验和良好的沟通及协调能力。</w:t>
      </w:r>
    </w:p>
    <w:p>
      <w:pPr>
        <w:numPr>
          <w:ilvl w:val="0"/>
          <w:numId w:val="20"/>
        </w:numPr>
        <w:tabs>
          <w:tab w:val="left" w:pos="708"/>
        </w:tabs>
        <w:spacing w:line="360" w:lineRule="auto"/>
        <w:ind w:left="720" w:hanging="720"/>
        <w:rPr>
          <w:highlight w:val="none"/>
        </w:rPr>
      </w:pPr>
      <w:r>
        <w:rPr>
          <w:rFonts w:hint="eastAsia" w:cs="宋体"/>
          <w:highlight w:val="none"/>
        </w:rPr>
        <w:t>卖方应于指派卖方代表后将卖方代表的简历及联系方式提供给买方。未经买方事先书面同意，卖方不得更换卖方代表。</w:t>
      </w:r>
    </w:p>
    <w:p>
      <w:pPr>
        <w:numPr>
          <w:ilvl w:val="0"/>
          <w:numId w:val="20"/>
        </w:numPr>
        <w:tabs>
          <w:tab w:val="left" w:pos="720"/>
        </w:tabs>
        <w:spacing w:line="360" w:lineRule="auto"/>
        <w:ind w:left="720" w:hanging="720"/>
        <w:rPr>
          <w:highlight w:val="none"/>
        </w:rPr>
      </w:pPr>
      <w:r>
        <w:rPr>
          <w:rFonts w:hint="eastAsia" w:cs="宋体"/>
          <w:highlight w:val="none"/>
        </w:rPr>
        <w:t>本合同有效期内，如果买方认为卖方代表无法胜任其工作，经书面通知卖方后，卖方应于收到买方通知后5日内更换卖方代表。</w:t>
      </w:r>
      <w:r>
        <w:rPr>
          <w:rFonts w:hint="eastAsia"/>
          <w:highlight w:val="none"/>
        </w:rPr>
        <w:t>如果卖方未在买方要求的期限内更换卖方代表，买方有权立即解除本合同并无需为此承担任何责任。</w:t>
      </w:r>
      <w:bookmarkStart w:id="100" w:name="_Toc287364276"/>
      <w:bookmarkStart w:id="101" w:name="_Toc288567138"/>
      <w:bookmarkStart w:id="102" w:name="_Toc287657108"/>
    </w:p>
    <w:p>
      <w:pPr>
        <w:numPr>
          <w:ilvl w:val="0"/>
          <w:numId w:val="11"/>
        </w:numPr>
        <w:spacing w:before="360" w:after="360"/>
        <w:jc w:val="center"/>
        <w:rPr>
          <w:b/>
          <w:sz w:val="24"/>
          <w:szCs w:val="24"/>
          <w:highlight w:val="none"/>
        </w:rPr>
      </w:pPr>
      <w:bookmarkStart w:id="103" w:name="_Toc274076149"/>
      <w:bookmarkStart w:id="104" w:name="_Toc274075961"/>
      <w:bookmarkStart w:id="105" w:name="_Toc273451836"/>
      <w:bookmarkStart w:id="106" w:name="_Toc274403537"/>
      <w:bookmarkStart w:id="107" w:name="_Toc274669320"/>
      <w:bookmarkStart w:id="108" w:name="_Toc274343607"/>
      <w:bookmarkStart w:id="109" w:name="_Toc274668322"/>
      <w:bookmarkStart w:id="110" w:name="_Toc291435907"/>
      <w:bookmarkStart w:id="111" w:name="_Toc291435840"/>
      <w:bookmarkStart w:id="112" w:name="_Toc274754029"/>
      <w:bookmarkStart w:id="113" w:name="_Toc278889784"/>
      <w:bookmarkStart w:id="114" w:name="_Toc273451903"/>
      <w:bookmarkStart w:id="115" w:name="_Toc274474912"/>
      <w:bookmarkStart w:id="116" w:name="_Toc296959314"/>
      <w:bookmarkStart w:id="117" w:name="_Toc300671195"/>
      <w:bookmarkStart w:id="118" w:name="_Toc296955852"/>
      <w:bookmarkStart w:id="119" w:name="_Toc5889369"/>
      <w:bookmarkStart w:id="120" w:name="_Toc17390370"/>
      <w:r>
        <w:rPr>
          <w:rFonts w:hint="eastAsia"/>
          <w:b/>
          <w:sz w:val="24"/>
          <w:szCs w:val="24"/>
          <w:highlight w:val="none"/>
        </w:rPr>
        <w:t>技术服务</w:t>
      </w:r>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b/>
          <w:sz w:val="24"/>
          <w:szCs w:val="24"/>
          <w:highlight w:val="none"/>
        </w:rPr>
        <w:t>和培训</w:t>
      </w:r>
      <w:bookmarkEnd w:id="116"/>
      <w:bookmarkEnd w:id="117"/>
      <w:bookmarkEnd w:id="118"/>
      <w:bookmarkEnd w:id="119"/>
      <w:bookmarkEnd w:id="120"/>
    </w:p>
    <w:p>
      <w:pPr>
        <w:numPr>
          <w:ilvl w:val="0"/>
          <w:numId w:val="21"/>
        </w:numPr>
        <w:tabs>
          <w:tab w:val="left" w:pos="709"/>
        </w:tabs>
        <w:spacing w:line="360" w:lineRule="auto"/>
        <w:ind w:left="720" w:hanging="720"/>
        <w:rPr>
          <w:highlight w:val="none"/>
        </w:rPr>
      </w:pPr>
      <w:r>
        <w:rPr>
          <w:rFonts w:hint="eastAsia" w:cs="宋体"/>
          <w:highlight w:val="none"/>
        </w:rPr>
        <w:t>卖方应根据本合同的规定提供技术服务，相关费用已经包含在合同价款内。技术服务的内容和具体要求（详见本合同附件二）。</w:t>
      </w:r>
    </w:p>
    <w:p>
      <w:pPr>
        <w:numPr>
          <w:ilvl w:val="0"/>
          <w:numId w:val="21"/>
        </w:numPr>
        <w:tabs>
          <w:tab w:val="left" w:pos="709"/>
        </w:tabs>
        <w:spacing w:line="360" w:lineRule="auto"/>
        <w:ind w:left="619" w:hanging="619" w:hangingChars="295"/>
        <w:rPr>
          <w:highlight w:val="none"/>
        </w:rPr>
      </w:pPr>
      <w:r>
        <w:rPr>
          <w:rFonts w:hint="eastAsia" w:cs="宋体"/>
          <w:highlight w:val="none"/>
        </w:rPr>
        <w:t>卖方应根据本合同的规定向买方人员提供培训服务，其相关费用已经包含在合同价款内，培训的范围、时间、方式等（详见本合同附件二）。</w:t>
      </w:r>
    </w:p>
    <w:p>
      <w:pPr>
        <w:numPr>
          <w:ilvl w:val="0"/>
          <w:numId w:val="11"/>
        </w:numPr>
        <w:spacing w:before="360" w:after="360"/>
        <w:jc w:val="center"/>
        <w:rPr>
          <w:b/>
          <w:sz w:val="24"/>
          <w:szCs w:val="24"/>
          <w:highlight w:val="none"/>
        </w:rPr>
      </w:pPr>
      <w:bookmarkStart w:id="121" w:name="_Toc17390371"/>
      <w:bookmarkStart w:id="122" w:name="_Toc5889370"/>
      <w:bookmarkStart w:id="123" w:name="_Toc288567132"/>
      <w:bookmarkStart w:id="124" w:name="_Toc300671196"/>
      <w:r>
        <w:rPr>
          <w:rFonts w:hint="eastAsia"/>
          <w:b/>
          <w:sz w:val="24"/>
          <w:szCs w:val="24"/>
          <w:highlight w:val="none"/>
        </w:rPr>
        <w:t>质保期</w:t>
      </w:r>
      <w:bookmarkEnd w:id="121"/>
      <w:bookmarkEnd w:id="122"/>
      <w:bookmarkEnd w:id="123"/>
      <w:bookmarkEnd w:id="124"/>
    </w:p>
    <w:p>
      <w:pPr>
        <w:numPr>
          <w:ilvl w:val="0"/>
          <w:numId w:val="22"/>
        </w:numPr>
        <w:tabs>
          <w:tab w:val="left" w:pos="709"/>
        </w:tabs>
        <w:spacing w:line="360" w:lineRule="auto"/>
        <w:ind w:left="709" w:hanging="709"/>
        <w:rPr>
          <w:highlight w:val="none"/>
        </w:rPr>
      </w:pPr>
      <w:r>
        <w:rPr>
          <w:rFonts w:hint="eastAsia" w:cs="宋体"/>
          <w:highlight w:val="none"/>
        </w:rPr>
        <w:t>本合同项下每批货物的质量保证期为卖方交付该批货物并经双方签署送货单后12个月。</w:t>
      </w:r>
    </w:p>
    <w:p>
      <w:pPr>
        <w:numPr>
          <w:ilvl w:val="0"/>
          <w:numId w:val="11"/>
        </w:numPr>
        <w:spacing w:before="360" w:after="360"/>
        <w:jc w:val="center"/>
        <w:rPr>
          <w:b/>
          <w:sz w:val="24"/>
          <w:szCs w:val="24"/>
          <w:highlight w:val="none"/>
        </w:rPr>
      </w:pPr>
      <w:bookmarkStart w:id="125" w:name="_Toc5889371"/>
      <w:bookmarkStart w:id="126" w:name="_Toc17390372"/>
      <w:bookmarkStart w:id="127" w:name="_Toc300671199"/>
      <w:r>
        <w:rPr>
          <w:rFonts w:hint="eastAsia"/>
          <w:b/>
          <w:sz w:val="24"/>
          <w:szCs w:val="24"/>
          <w:highlight w:val="none"/>
        </w:rPr>
        <w:t>保险</w:t>
      </w:r>
      <w:bookmarkEnd w:id="100"/>
      <w:bookmarkEnd w:id="101"/>
      <w:bookmarkEnd w:id="102"/>
      <w:bookmarkEnd w:id="125"/>
      <w:bookmarkEnd w:id="126"/>
      <w:bookmarkEnd w:id="127"/>
    </w:p>
    <w:p>
      <w:pPr>
        <w:numPr>
          <w:ilvl w:val="0"/>
          <w:numId w:val="23"/>
        </w:numPr>
        <w:tabs>
          <w:tab w:val="left" w:pos="720"/>
          <w:tab w:val="clear" w:pos="1468"/>
        </w:tabs>
        <w:spacing w:line="360" w:lineRule="auto"/>
        <w:ind w:left="709" w:hanging="709"/>
        <w:rPr>
          <w:highlight w:val="none"/>
        </w:rPr>
      </w:pPr>
      <w:r>
        <w:rPr>
          <w:rFonts w:hint="eastAsia" w:cs="宋体"/>
          <w:highlight w:val="none"/>
        </w:rPr>
        <w:t>对于本合同项下的货物，卖方应向买方认可的、拥有合法资质的著名保险公司投保以下第（1）项规定的保险金额和险种的保险，并将买方列为共同被保险人或受益人。保险保障区段为卖方制造厂存储货物的仓库到买方用于存储货物的仓库，投保的期限始于装货（含装货）止于卸货后30日：</w:t>
      </w:r>
    </w:p>
    <w:p>
      <w:pPr>
        <w:numPr>
          <w:ilvl w:val="0"/>
          <w:numId w:val="0"/>
        </w:numPr>
        <w:tabs>
          <w:tab w:val="left" w:pos="720"/>
        </w:tabs>
        <w:spacing w:line="360" w:lineRule="auto"/>
        <w:ind w:leftChars="0" w:firstLine="630" w:firstLineChars="300"/>
        <w:rPr>
          <w:rFonts w:hint="eastAsia"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rFonts w:hint="eastAsia" w:cs="宋体"/>
          <w:highlight w:val="none"/>
        </w:rPr>
        <w:t>保险金额为合同总价110%的运输保险；</w:t>
      </w:r>
    </w:p>
    <w:p>
      <w:pPr>
        <w:numPr>
          <w:ilvl w:val="0"/>
          <w:numId w:val="23"/>
        </w:numPr>
        <w:tabs>
          <w:tab w:val="left" w:pos="720"/>
          <w:tab w:val="clear" w:pos="1468"/>
        </w:tabs>
        <w:spacing w:line="360" w:lineRule="auto"/>
        <w:ind w:left="720" w:hanging="720"/>
        <w:rPr>
          <w:highlight w:val="none"/>
        </w:rPr>
      </w:pPr>
      <w:bookmarkStart w:id="128" w:name="_Toc274403541"/>
      <w:bookmarkStart w:id="129" w:name="_Toc288567137"/>
      <w:bookmarkStart w:id="130" w:name="_Toc274075968"/>
      <w:bookmarkStart w:id="131" w:name="_Toc274076156"/>
      <w:bookmarkStart w:id="132" w:name="_Toc274668325"/>
      <w:bookmarkStart w:id="133" w:name="_Toc276069955"/>
      <w:bookmarkStart w:id="134" w:name="_Toc275783105"/>
      <w:bookmarkStart w:id="135" w:name="_Toc274474916"/>
      <w:bookmarkStart w:id="136" w:name="_Toc274754032"/>
      <w:bookmarkStart w:id="137" w:name="_Toc274343611"/>
      <w:bookmarkStart w:id="138" w:name="_Toc287364275"/>
      <w:bookmarkStart w:id="139" w:name="_Toc274669323"/>
      <w:bookmarkStart w:id="140" w:name="_Toc287657107"/>
      <w:r>
        <w:rPr>
          <w:rFonts w:hint="eastAsia" w:cs="宋体"/>
          <w:highlight w:val="none"/>
        </w:rPr>
        <w:t>货物交付前5日内，卖方应向买方提交保险合同的复印件</w:t>
      </w:r>
      <w:r>
        <w:rPr>
          <w:rFonts w:hint="eastAsia"/>
          <w:highlight w:val="none"/>
        </w:rPr>
        <w:t>，并</w:t>
      </w:r>
      <w:r>
        <w:rPr>
          <w:rFonts w:hint="eastAsia" w:cs="Arial"/>
          <w:szCs w:val="21"/>
          <w:highlight w:val="none"/>
        </w:rPr>
        <w:t>应至少提前30日向买方通知所有保险的取消或内容的变更</w:t>
      </w:r>
      <w:r>
        <w:rPr>
          <w:rFonts w:hint="eastAsia" w:cs="宋体"/>
          <w:highlight w:val="none"/>
        </w:rPr>
        <w:t>。</w:t>
      </w:r>
    </w:p>
    <w:p>
      <w:pPr>
        <w:numPr>
          <w:ilvl w:val="0"/>
          <w:numId w:val="23"/>
        </w:numPr>
        <w:tabs>
          <w:tab w:val="left" w:pos="720"/>
          <w:tab w:val="clear" w:pos="1468"/>
        </w:tabs>
        <w:spacing w:line="360" w:lineRule="auto"/>
        <w:ind w:left="720" w:hanging="720"/>
        <w:rPr>
          <w:highlight w:val="none"/>
        </w:rPr>
      </w:pPr>
      <w:r>
        <w:rPr>
          <w:rFonts w:hint="eastAsia" w:cs="宋体"/>
          <w:highlight w:val="none"/>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numPr>
          <w:ilvl w:val="0"/>
          <w:numId w:val="23"/>
        </w:numPr>
        <w:tabs>
          <w:tab w:val="left" w:pos="709"/>
          <w:tab w:val="clear" w:pos="1468"/>
        </w:tabs>
        <w:spacing w:line="360" w:lineRule="auto"/>
        <w:ind w:left="720" w:hanging="720"/>
        <w:rPr>
          <w:rFonts w:cs="宋体"/>
          <w:highlight w:val="none"/>
        </w:rPr>
      </w:pPr>
      <w:r>
        <w:rPr>
          <w:rFonts w:hint="eastAsia" w:cs="宋体"/>
          <w:highlight w:val="none"/>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numPr>
          <w:ilvl w:val="0"/>
          <w:numId w:val="23"/>
        </w:numPr>
        <w:tabs>
          <w:tab w:val="left" w:pos="709"/>
          <w:tab w:val="clear" w:pos="1468"/>
        </w:tabs>
        <w:spacing w:line="360" w:lineRule="auto"/>
        <w:ind w:left="720" w:hanging="720"/>
        <w:rPr>
          <w:rFonts w:cs="宋体"/>
          <w:highlight w:val="none"/>
        </w:rPr>
      </w:pPr>
      <w:r>
        <w:rPr>
          <w:rFonts w:hint="eastAsia" w:cs="宋体"/>
          <w:highlight w:val="none"/>
        </w:rPr>
        <w:t>卖方在本合同项下购买的所有保险合同均应明确规定，承保人放弃任何可能因为卖方而产生的对买方的代位求偿权或任何形式的追索权。</w:t>
      </w:r>
    </w:p>
    <w:p>
      <w:pPr>
        <w:numPr>
          <w:ilvl w:val="0"/>
          <w:numId w:val="23"/>
        </w:numPr>
        <w:tabs>
          <w:tab w:val="left" w:pos="709"/>
          <w:tab w:val="clear" w:pos="1468"/>
        </w:tabs>
        <w:spacing w:line="360" w:lineRule="auto"/>
        <w:ind w:left="720" w:hanging="720"/>
        <w:rPr>
          <w:rFonts w:cs="宋体"/>
          <w:highlight w:val="none"/>
        </w:rPr>
      </w:pPr>
      <w:r>
        <w:rPr>
          <w:rFonts w:hint="eastAsia" w:cs="宋体"/>
          <w:highlight w:val="none"/>
        </w:rPr>
        <w:t>本第九条的规定不能限制并免除卖方在本合同项下的责任。</w:t>
      </w:r>
    </w:p>
    <w:p>
      <w:pPr>
        <w:numPr>
          <w:ilvl w:val="0"/>
          <w:numId w:val="11"/>
        </w:numPr>
        <w:spacing w:before="360" w:after="360"/>
        <w:jc w:val="center"/>
        <w:rPr>
          <w:b/>
          <w:sz w:val="24"/>
          <w:szCs w:val="24"/>
          <w:highlight w:val="none"/>
        </w:rPr>
      </w:pPr>
      <w:bookmarkStart w:id="141" w:name="_Toc300670331"/>
      <w:bookmarkStart w:id="142" w:name="_Toc17390373"/>
      <w:bookmarkStart w:id="143" w:name="_Toc300670799"/>
      <w:bookmarkStart w:id="144" w:name="_Toc300670403"/>
      <w:bookmarkStart w:id="145" w:name="_Toc5889372"/>
      <w:bookmarkStart w:id="146" w:name="_Toc296955855"/>
      <w:r>
        <w:rPr>
          <w:rFonts w:hint="eastAsia"/>
          <w:b/>
          <w:sz w:val="24"/>
          <w:szCs w:val="24"/>
          <w:highlight w:val="none"/>
        </w:rPr>
        <w:t>知识产权</w:t>
      </w:r>
      <w:bookmarkEnd w:id="141"/>
      <w:bookmarkEnd w:id="142"/>
      <w:bookmarkEnd w:id="143"/>
      <w:bookmarkEnd w:id="144"/>
      <w:bookmarkEnd w:id="145"/>
    </w:p>
    <w:p>
      <w:pPr>
        <w:widowControl/>
        <w:numPr>
          <w:ilvl w:val="0"/>
          <w:numId w:val="24"/>
        </w:numPr>
        <w:tabs>
          <w:tab w:val="left" w:pos="709"/>
        </w:tabs>
        <w:spacing w:line="360" w:lineRule="auto"/>
        <w:ind w:left="619" w:hanging="619" w:hangingChars="295"/>
        <w:jc w:val="left"/>
        <w:rPr>
          <w:highlight w:val="none"/>
        </w:rPr>
      </w:pPr>
      <w:r>
        <w:rPr>
          <w:rFonts w:hint="eastAsia"/>
          <w:highlight w:val="none"/>
        </w:rPr>
        <w:t>双方同意，货物交付且买方按照本合同约定支付合同价款之后，买方自动获得并拥有货物自身附有的和/或为拥有、使用及维护货物所需的全部知识产权。</w:t>
      </w:r>
    </w:p>
    <w:p>
      <w:pPr>
        <w:widowControl/>
        <w:numPr>
          <w:ilvl w:val="0"/>
          <w:numId w:val="24"/>
        </w:numPr>
        <w:tabs>
          <w:tab w:val="left" w:pos="709"/>
        </w:tabs>
        <w:spacing w:line="360" w:lineRule="auto"/>
        <w:ind w:left="619" w:hanging="619" w:hangingChars="295"/>
        <w:rPr>
          <w:highlight w:val="none"/>
        </w:rPr>
      </w:pPr>
      <w:r>
        <w:rPr>
          <w:rFonts w:hint="eastAsia"/>
          <w:highlight w:val="none"/>
        </w:rPr>
        <w:t>本合同有效期内，如卖方对所许可的专利和</w:t>
      </w:r>
      <w:r>
        <w:rPr>
          <w:highlight w:val="none"/>
        </w:rPr>
        <w:t>/</w:t>
      </w:r>
      <w:r>
        <w:rPr>
          <w:rFonts w:hint="eastAsia"/>
          <w:highlight w:val="none"/>
        </w:rPr>
        <w:t>或专有技术有所改进，则卖方应向买方免费提供技术支持以使该技术改进能顺利投入本合同项下货物的使用过程中。</w:t>
      </w:r>
    </w:p>
    <w:p>
      <w:pPr>
        <w:widowControl/>
        <w:numPr>
          <w:ilvl w:val="0"/>
          <w:numId w:val="24"/>
        </w:numPr>
        <w:tabs>
          <w:tab w:val="left" w:pos="709"/>
        </w:tabs>
        <w:spacing w:line="360" w:lineRule="auto"/>
        <w:ind w:left="619" w:hanging="619" w:hangingChars="295"/>
        <w:rPr>
          <w:highlight w:val="none"/>
        </w:rPr>
      </w:pPr>
      <w:r>
        <w:rPr>
          <w:rFonts w:hint="eastAsia"/>
          <w:highlight w:val="none"/>
        </w:rPr>
        <w:t>买方有权对卖方许可买方使用的专利和</w:t>
      </w:r>
      <w:r>
        <w:rPr>
          <w:highlight w:val="none"/>
        </w:rPr>
        <w:t>/</w:t>
      </w:r>
      <w:r>
        <w:rPr>
          <w:rFonts w:hint="eastAsia"/>
          <w:highlight w:val="none"/>
        </w:rPr>
        <w:t>或专有技术予以改进，买方所作的任何技术改进的专利申请权归买方所有。</w:t>
      </w:r>
    </w:p>
    <w:p>
      <w:pPr>
        <w:widowControl/>
        <w:numPr>
          <w:ilvl w:val="0"/>
          <w:numId w:val="24"/>
        </w:numPr>
        <w:tabs>
          <w:tab w:val="left" w:pos="709"/>
        </w:tabs>
        <w:spacing w:line="360" w:lineRule="auto"/>
        <w:ind w:left="619" w:hanging="619" w:hangingChars="295"/>
        <w:jc w:val="left"/>
        <w:rPr>
          <w:highlight w:val="none"/>
        </w:rPr>
      </w:pPr>
      <w:r>
        <w:rPr>
          <w:rFonts w:hint="eastAsia"/>
          <w:highlight w:val="none"/>
        </w:rPr>
        <w:t>在货物设计、制造、组装、调试及运行期间，如果买方为此提供任何</w:t>
      </w:r>
      <w:r>
        <w:rPr>
          <w:rFonts w:hint="eastAsia"/>
          <w:bCs/>
          <w:szCs w:val="18"/>
          <w:highlight w:val="none"/>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highlight w:val="none"/>
        </w:rPr>
        <w:t>始终拥有该等买方专有资料的所有权及与之相关的知识产权。</w:t>
      </w:r>
    </w:p>
    <w:p>
      <w:pPr>
        <w:numPr>
          <w:ilvl w:val="0"/>
          <w:numId w:val="11"/>
        </w:numPr>
        <w:spacing w:before="360" w:after="360"/>
        <w:jc w:val="center"/>
        <w:rPr>
          <w:b/>
          <w:sz w:val="24"/>
          <w:szCs w:val="24"/>
          <w:highlight w:val="none"/>
        </w:rPr>
      </w:pPr>
      <w:bookmarkStart w:id="147" w:name="_Toc17390374"/>
      <w:bookmarkStart w:id="148" w:name="_Toc300670404"/>
      <w:bookmarkStart w:id="149" w:name="_Toc300670800"/>
      <w:bookmarkStart w:id="150" w:name="_Toc5889373"/>
      <w:bookmarkStart w:id="151" w:name="_Toc300670332"/>
      <w:r>
        <w:rPr>
          <w:rFonts w:hint="eastAsia"/>
          <w:b/>
          <w:sz w:val="24"/>
          <w:szCs w:val="24"/>
          <w:highlight w:val="none"/>
        </w:rPr>
        <w:t>违约责任</w:t>
      </w:r>
      <w:bookmarkEnd w:id="146"/>
      <w:bookmarkEnd w:id="147"/>
      <w:bookmarkEnd w:id="148"/>
      <w:bookmarkEnd w:id="149"/>
      <w:bookmarkEnd w:id="150"/>
      <w:bookmarkEnd w:id="151"/>
    </w:p>
    <w:bookmarkEnd w:id="128"/>
    <w:bookmarkEnd w:id="129"/>
    <w:bookmarkEnd w:id="130"/>
    <w:bookmarkEnd w:id="131"/>
    <w:bookmarkEnd w:id="132"/>
    <w:bookmarkEnd w:id="133"/>
    <w:bookmarkEnd w:id="134"/>
    <w:bookmarkEnd w:id="135"/>
    <w:bookmarkEnd w:id="136"/>
    <w:bookmarkEnd w:id="137"/>
    <w:bookmarkEnd w:id="138"/>
    <w:bookmarkEnd w:id="139"/>
    <w:bookmarkEnd w:id="140"/>
    <w:p>
      <w:pPr>
        <w:numPr>
          <w:ilvl w:val="1"/>
          <w:numId w:val="25"/>
        </w:numPr>
        <w:tabs>
          <w:tab w:val="clear" w:pos="420"/>
        </w:tabs>
        <w:spacing w:line="360" w:lineRule="auto"/>
        <w:ind w:left="709" w:hanging="709"/>
        <w:rPr>
          <w:rFonts w:ascii="宋体" w:hAnsi="宋体"/>
          <w:highlight w:val="none"/>
        </w:rPr>
      </w:pPr>
      <w:bookmarkStart w:id="152" w:name="_Toc276069956"/>
      <w:bookmarkStart w:id="153" w:name="_Toc274474918"/>
      <w:bookmarkStart w:id="154" w:name="_Toc274754033"/>
      <w:bookmarkStart w:id="155" w:name="_Toc5889374"/>
      <w:bookmarkStart w:id="156" w:name="_Toc287657109"/>
      <w:bookmarkStart w:id="157" w:name="_Toc287364277"/>
      <w:bookmarkStart w:id="158" w:name="_Toc288567140"/>
      <w:bookmarkStart w:id="159" w:name="_Toc17390375"/>
      <w:bookmarkStart w:id="160" w:name="_Toc274669325"/>
      <w:bookmarkStart w:id="161" w:name="_Toc300671200"/>
      <w:bookmarkStart w:id="162" w:name="_Toc275783106"/>
      <w:bookmarkStart w:id="163" w:name="_Toc274403543"/>
      <w:bookmarkStart w:id="164" w:name="_Toc274668327"/>
      <w:r>
        <w:rPr>
          <w:rFonts w:hint="eastAsia" w:ascii="宋体" w:hAnsi="宋体"/>
          <w:highlight w:val="none"/>
        </w:rPr>
        <w:t>如非因买方或不可抗力原因，卖方未按照合同规定的交货日期交货，每延期一日，卖方应按照延期交货货物对应订单价款</w:t>
      </w:r>
      <w:r>
        <w:rPr>
          <w:rFonts w:hint="eastAsia" w:ascii="宋体" w:hAnsi="宋体"/>
          <w:kern w:val="2"/>
          <w:highlight w:val="none"/>
        </w:rPr>
        <w:t>0.1%</w:t>
      </w:r>
      <w:r>
        <w:rPr>
          <w:rFonts w:hint="eastAsia" w:ascii="宋体" w:hAnsi="宋体"/>
          <w:highlight w:val="none"/>
        </w:rPr>
        <w:t>的比例，向买方支付违约金。如货物延期交付超过</w:t>
      </w:r>
      <w:r>
        <w:rPr>
          <w:rFonts w:hint="eastAsia" w:ascii="宋体" w:hAnsi="宋体"/>
          <w:kern w:val="2"/>
          <w:highlight w:val="none"/>
        </w:rPr>
        <w:t>30</w:t>
      </w:r>
      <w:r>
        <w:rPr>
          <w:rFonts w:hint="eastAsia" w:ascii="宋体" w:hAnsi="宋体"/>
          <w:highlight w:val="none"/>
        </w:rPr>
        <w:t>日，除要求卖方支付延期交货违约金外，买方有权解除本合同，并有权要求卖方赔偿买方因此遭受的全部损失，同时，卖方应偿还买方支付的预付款。</w:t>
      </w:r>
    </w:p>
    <w:p>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如非因买方或不可抗力原因，卖方未按时交付技术资料，每延期交付一日，卖方应按照延期交货货物对应订单价款</w:t>
      </w:r>
      <w:r>
        <w:rPr>
          <w:rFonts w:hint="eastAsia" w:ascii="宋体" w:hAnsi="宋体"/>
          <w:kern w:val="2"/>
          <w:highlight w:val="none"/>
        </w:rPr>
        <w:t>0.1%</w:t>
      </w:r>
      <w:r>
        <w:rPr>
          <w:rFonts w:hint="eastAsia" w:ascii="宋体" w:hAnsi="宋体"/>
          <w:highlight w:val="none"/>
        </w:rPr>
        <w:t>的比例，向买方支付违约金。如卖方延期交付技术资料超过</w:t>
      </w:r>
      <w:r>
        <w:rPr>
          <w:rFonts w:hint="eastAsia" w:ascii="宋体" w:hAnsi="宋体"/>
          <w:kern w:val="2"/>
          <w:highlight w:val="none"/>
        </w:rPr>
        <w:t>30</w:t>
      </w:r>
      <w:r>
        <w:rPr>
          <w:rFonts w:hint="eastAsia" w:ascii="宋体" w:hAnsi="宋体"/>
          <w:highlight w:val="none"/>
        </w:rPr>
        <w:t>日，卖方除应向买方支付该等延期违约金外，还应赔偿买方因此遭受的全部损失。</w:t>
      </w:r>
    </w:p>
    <w:p>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对于验收过程中发现的货物的任何损坏、缺陷、短缺，如卖方未能在买方发出修理、更换或补发通知后</w:t>
      </w:r>
      <w:r>
        <w:rPr>
          <w:rFonts w:hint="eastAsia" w:ascii="宋体" w:hAnsi="宋体"/>
          <w:kern w:val="2"/>
          <w:highlight w:val="none"/>
        </w:rPr>
        <w:t>7</w:t>
      </w:r>
      <w:r>
        <w:rPr>
          <w:rFonts w:hint="eastAsia" w:ascii="宋体" w:hAnsi="宋体"/>
          <w:highlight w:val="none"/>
        </w:rPr>
        <w:t>日内予以修理、更换或补发短缺部分，买方有权解除本合同，并要求卖方支付订单总价</w:t>
      </w:r>
      <w:r>
        <w:rPr>
          <w:rFonts w:hint="eastAsia" w:ascii="宋体" w:hAnsi="宋体"/>
          <w:kern w:val="2"/>
          <w:highlight w:val="none"/>
        </w:rPr>
        <w:t>10%</w:t>
      </w:r>
      <w:r>
        <w:rPr>
          <w:rFonts w:hint="eastAsia" w:ascii="宋体" w:hAnsi="宋体"/>
          <w:highlight w:val="none"/>
        </w:rPr>
        <w:t>的违约金，同时有权要求卖方赔偿因此遭受的全部损失并偿还买方支付的预付款。</w:t>
      </w:r>
    </w:p>
    <w:p>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质保期内，如货物被发现存在任何缺陷，卖方未根据合同规定进行修理、更换或经修理、更换仍无法消除该等缺陷，除行使合同规定的其它权利外，买方有权要求卖方支付该货物之订单价款</w:t>
      </w:r>
      <w:r>
        <w:rPr>
          <w:rFonts w:hint="eastAsia" w:ascii="宋体" w:hAnsi="宋体"/>
          <w:kern w:val="2"/>
          <w:highlight w:val="none"/>
        </w:rPr>
        <w:t>10%</w:t>
      </w:r>
      <w:r>
        <w:rPr>
          <w:rFonts w:hint="eastAsia" w:ascii="宋体" w:hAnsi="宋体"/>
          <w:highlight w:val="none"/>
        </w:rPr>
        <w:t>的违约金，卖方应同时赔偿买方因此遭受的全部损失。</w:t>
      </w:r>
    </w:p>
    <w:p>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如卖方提供的技术服务发生延误或错误，每延期一日或发生一次错误，卖方应按照订单总价</w:t>
      </w:r>
      <w:r>
        <w:rPr>
          <w:rFonts w:hint="eastAsia" w:ascii="宋体" w:hAnsi="宋体"/>
          <w:kern w:val="2"/>
          <w:highlight w:val="none"/>
        </w:rPr>
        <w:t>0.1%</w:t>
      </w:r>
      <w:r>
        <w:rPr>
          <w:rFonts w:hint="eastAsia" w:ascii="宋体" w:hAnsi="宋体"/>
          <w:highlight w:val="none"/>
        </w:rPr>
        <w:t>向买方支付违约金。如卖方延误提供技术服务超过</w:t>
      </w:r>
      <w:r>
        <w:rPr>
          <w:rFonts w:hint="eastAsia" w:ascii="宋体" w:hAnsi="宋体"/>
          <w:kern w:val="2"/>
          <w:highlight w:val="none"/>
        </w:rPr>
        <w:t>7</w:t>
      </w:r>
      <w:r>
        <w:rPr>
          <w:rFonts w:hint="eastAsia" w:ascii="宋体" w:hAnsi="宋体"/>
          <w:highlight w:val="none"/>
        </w:rPr>
        <w:t>日，卖方除应向买方支付该等违约金外，还应赔偿买方因此遭受的全部损失。</w:t>
      </w:r>
    </w:p>
    <w:p>
      <w:pPr>
        <w:numPr>
          <w:ilvl w:val="1"/>
          <w:numId w:val="25"/>
        </w:numPr>
        <w:tabs>
          <w:tab w:val="clear" w:pos="420"/>
        </w:tabs>
        <w:spacing w:line="360" w:lineRule="auto"/>
        <w:ind w:left="709" w:hanging="709"/>
        <w:rPr>
          <w:rFonts w:ascii="宋体" w:hAnsi="宋体"/>
          <w:highlight w:val="none"/>
        </w:rPr>
      </w:pPr>
      <w:r>
        <w:rPr>
          <w:rFonts w:hint="eastAsia" w:ascii="宋体" w:hAnsi="宋体"/>
          <w:highlight w:val="none"/>
        </w:rPr>
        <w:t>未经买方同意，卖方擅自进行转让、分包，买方有权解除本合同，卖方应退还买方已支付的全部款项，并支付转让、分包货物之合同价款</w:t>
      </w:r>
      <w:r>
        <w:rPr>
          <w:rFonts w:hint="eastAsia" w:ascii="宋体" w:hAnsi="宋体"/>
          <w:kern w:val="2"/>
          <w:highlight w:val="none"/>
        </w:rPr>
        <w:t>20%</w:t>
      </w:r>
      <w:r>
        <w:rPr>
          <w:rFonts w:hint="eastAsia" w:ascii="宋体" w:hAnsi="宋体"/>
          <w:highlight w:val="none"/>
        </w:rPr>
        <w:t>的违约金，卖方应同时赔偿买方因此遭受的全部损失。</w:t>
      </w:r>
    </w:p>
    <w:p>
      <w:pPr>
        <w:numPr>
          <w:ilvl w:val="1"/>
          <w:numId w:val="25"/>
        </w:numPr>
        <w:tabs>
          <w:tab w:val="clear" w:pos="420"/>
        </w:tabs>
        <w:spacing w:line="360" w:lineRule="auto"/>
        <w:jc w:val="both"/>
        <w:rPr>
          <w:rFonts w:hint="eastAsia" w:ascii="宋体" w:hAnsi="宋体"/>
          <w:highlight w:val="none"/>
        </w:rPr>
      </w:pPr>
      <w:r>
        <w:rPr>
          <w:rFonts w:hint="eastAsia" w:ascii="宋体" w:hAnsi="宋体"/>
          <w:highlight w:val="none"/>
        </w:rPr>
        <w:t>如仅因买方原因，买方逾期向卖方付款，卖方应向买方发出书面催款通知，买方应在收到该等通知后30日内付款，否则，即应自该等30日期间结束之日起，按合同订立时1年期贷款市场报价利率计算并支付应付未付合同价款的利息，最高不超过相关应付未付合同价款的10%。双方同意，该等利息的支付是买方就未能如期支付相关合同价款所需承担的全部责任。</w:t>
      </w:r>
    </w:p>
    <w:p>
      <w:pPr>
        <w:numPr>
          <w:ilvl w:val="0"/>
          <w:numId w:val="11"/>
        </w:numPr>
        <w:spacing w:before="360" w:after="360"/>
        <w:jc w:val="center"/>
        <w:rPr>
          <w:b/>
          <w:sz w:val="24"/>
          <w:szCs w:val="24"/>
          <w:highlight w:val="none"/>
        </w:rPr>
      </w:pPr>
      <w:r>
        <w:rPr>
          <w:rFonts w:hint="eastAsia"/>
          <w:b/>
          <w:sz w:val="24"/>
          <w:szCs w:val="24"/>
          <w:highlight w:val="none"/>
        </w:rPr>
        <w:t>争议解决</w:t>
      </w:r>
      <w:bookmarkEnd w:id="152"/>
      <w:bookmarkEnd w:id="153"/>
      <w:bookmarkEnd w:id="154"/>
      <w:bookmarkEnd w:id="155"/>
      <w:bookmarkEnd w:id="156"/>
      <w:bookmarkEnd w:id="157"/>
      <w:bookmarkEnd w:id="158"/>
      <w:bookmarkEnd w:id="159"/>
      <w:bookmarkEnd w:id="160"/>
      <w:bookmarkEnd w:id="161"/>
      <w:bookmarkEnd w:id="162"/>
      <w:bookmarkEnd w:id="163"/>
      <w:bookmarkEnd w:id="164"/>
    </w:p>
    <w:p>
      <w:pPr>
        <w:widowControl/>
        <w:numPr>
          <w:ilvl w:val="0"/>
          <w:numId w:val="26"/>
        </w:numPr>
        <w:tabs>
          <w:tab w:val="left" w:pos="720"/>
          <w:tab w:val="left" w:pos="900"/>
        </w:tabs>
        <w:spacing w:line="360" w:lineRule="auto"/>
        <w:ind w:left="720" w:hanging="720"/>
        <w:rPr>
          <w:highlight w:val="none"/>
        </w:rPr>
      </w:pPr>
      <w:r>
        <w:rPr>
          <w:rFonts w:hint="eastAsia" w:cs="宋体"/>
          <w:highlight w:val="none"/>
        </w:rPr>
        <w:t>因履行本合同发生的或与本合同有关的一切争议，双方首先应友好协商解决，如经协商仍不能解决，双方同意选择以下第</w:t>
      </w:r>
      <w:r>
        <w:rPr>
          <w:rFonts w:hint="eastAsia"/>
          <w:highlight w:val="none"/>
        </w:rPr>
        <w:t>（2）</w:t>
      </w:r>
      <w:r>
        <w:rPr>
          <w:rFonts w:hint="eastAsia" w:cs="宋体"/>
          <w:highlight w:val="none"/>
        </w:rPr>
        <w:t>种方式予以解决：</w:t>
      </w:r>
    </w:p>
    <w:p>
      <w:pPr>
        <w:widowControl/>
        <w:numPr>
          <w:ilvl w:val="2"/>
          <w:numId w:val="27"/>
        </w:numPr>
        <w:tabs>
          <w:tab w:val="left" w:pos="648"/>
          <w:tab w:val="left" w:pos="1260"/>
        </w:tabs>
        <w:spacing w:line="360" w:lineRule="auto"/>
        <w:ind w:left="1134" w:hanging="414"/>
        <w:rPr>
          <w:highlight w:val="none"/>
        </w:rPr>
      </w:pPr>
      <w:r>
        <w:rPr>
          <w:rFonts w:hint="eastAsia" w:cs="宋体"/>
          <w:highlight w:val="none"/>
        </w:rPr>
        <w:t>向买方所在地人民法院起诉。</w:t>
      </w:r>
    </w:p>
    <w:p>
      <w:pPr>
        <w:widowControl/>
        <w:numPr>
          <w:ilvl w:val="2"/>
          <w:numId w:val="27"/>
        </w:numPr>
        <w:tabs>
          <w:tab w:val="left" w:pos="648"/>
          <w:tab w:val="left" w:pos="1260"/>
        </w:tabs>
        <w:spacing w:line="360" w:lineRule="auto"/>
        <w:ind w:left="1260" w:hanging="540"/>
        <w:rPr>
          <w:highlight w:val="none"/>
        </w:rPr>
      </w:pPr>
      <w:r>
        <w:rPr>
          <w:rFonts w:hint="eastAsia" w:cs="宋体"/>
          <w:highlight w:val="none"/>
        </w:rPr>
        <w:t>提交天津仲裁委员会进行仲裁。仲裁地点在</w:t>
      </w:r>
      <w:r>
        <w:rPr>
          <w:rFonts w:hint="eastAsia"/>
          <w:highlight w:val="none"/>
        </w:rPr>
        <w:t>天津</w:t>
      </w:r>
      <w:r>
        <w:rPr>
          <w:rFonts w:hint="eastAsia" w:cs="宋体"/>
          <w:highlight w:val="none"/>
        </w:rPr>
        <w:t>。仲裁应根据该仲裁委员会现行有效的仲裁规则进行。仲裁裁决是终局的，对双方均有约束力。除仲裁庭另有裁决外，仲裁费用由败诉方承担。</w:t>
      </w:r>
    </w:p>
    <w:p>
      <w:pPr>
        <w:widowControl/>
        <w:numPr>
          <w:ilvl w:val="0"/>
          <w:numId w:val="26"/>
        </w:numPr>
        <w:tabs>
          <w:tab w:val="left" w:pos="720"/>
          <w:tab w:val="left" w:pos="900"/>
        </w:tabs>
        <w:spacing w:line="360" w:lineRule="auto"/>
        <w:ind w:left="720" w:hanging="720"/>
        <w:rPr>
          <w:rFonts w:cs="宋体"/>
          <w:highlight w:val="none"/>
        </w:rPr>
      </w:pPr>
      <w:r>
        <w:rPr>
          <w:rFonts w:hint="eastAsia" w:cs="宋体"/>
          <w:highlight w:val="none"/>
        </w:rPr>
        <w:t>争议解决期间，除争议事项外，双方应继续履行本合同。</w:t>
      </w:r>
    </w:p>
    <w:p>
      <w:pPr>
        <w:pStyle w:val="32"/>
        <w:spacing w:line="360" w:lineRule="auto"/>
        <w:ind w:left="527" w:right="10" w:hanging="527"/>
        <w:jc w:val="center"/>
        <w:outlineLvl w:val="9"/>
        <w:rPr>
          <w:sz w:val="36"/>
          <w:szCs w:val="36"/>
          <w:highlight w:val="none"/>
        </w:rPr>
      </w:pPr>
      <w:r>
        <w:rPr>
          <w:highlight w:val="none"/>
          <w:lang w:eastAsia="zh-CN"/>
        </w:rPr>
        <w:br w:type="page"/>
      </w:r>
      <w:bookmarkStart w:id="165" w:name="_Toc300671201"/>
      <w:bookmarkStart w:id="166" w:name="_Toc297055778"/>
      <w:bookmarkStart w:id="167" w:name="_Toc17390376"/>
      <w:bookmarkStart w:id="168" w:name="_Toc297106680"/>
      <w:bookmarkStart w:id="169" w:name="_Toc5889375"/>
      <w:r>
        <w:rPr>
          <w:rFonts w:hint="eastAsia" w:ascii="Times New Roman" w:hAnsi="宋体" w:cs="宋体"/>
          <w:color w:val="000000"/>
          <w:sz w:val="36"/>
          <w:szCs w:val="36"/>
          <w:highlight w:val="none"/>
          <w:lang w:eastAsia="zh-CN"/>
        </w:rPr>
        <w:t>第三部分通用合同条款</w:t>
      </w:r>
      <w:bookmarkEnd w:id="165"/>
      <w:bookmarkEnd w:id="166"/>
      <w:bookmarkEnd w:id="167"/>
      <w:bookmarkEnd w:id="168"/>
      <w:bookmarkEnd w:id="169"/>
    </w:p>
    <w:p>
      <w:pPr>
        <w:numPr>
          <w:ilvl w:val="0"/>
          <w:numId w:val="28"/>
        </w:numPr>
        <w:spacing w:before="360" w:after="360"/>
        <w:jc w:val="center"/>
        <w:rPr>
          <w:b/>
          <w:sz w:val="24"/>
          <w:szCs w:val="24"/>
          <w:highlight w:val="none"/>
        </w:rPr>
      </w:pPr>
      <w:bookmarkStart w:id="170" w:name="_Toc291435914"/>
      <w:bookmarkStart w:id="171" w:name="_Toc5889376"/>
      <w:bookmarkStart w:id="172" w:name="_Toc291435847"/>
      <w:bookmarkStart w:id="173" w:name="_Toc296955859"/>
      <w:bookmarkStart w:id="174" w:name="_Toc17390377"/>
      <w:bookmarkStart w:id="175" w:name="_Toc300671202"/>
      <w:bookmarkStart w:id="176" w:name="_Toc296959321"/>
      <w:bookmarkStart w:id="177" w:name="_Toc288567142"/>
      <w:r>
        <w:rPr>
          <w:rFonts w:hint="eastAsia"/>
          <w:b/>
          <w:sz w:val="24"/>
          <w:szCs w:val="24"/>
          <w:highlight w:val="none"/>
        </w:rPr>
        <w:t>定义</w:t>
      </w:r>
      <w:bookmarkEnd w:id="170"/>
      <w:bookmarkEnd w:id="171"/>
      <w:bookmarkEnd w:id="172"/>
      <w:bookmarkEnd w:id="173"/>
      <w:bookmarkEnd w:id="174"/>
      <w:bookmarkEnd w:id="175"/>
      <w:bookmarkEnd w:id="176"/>
    </w:p>
    <w:p>
      <w:pPr>
        <w:widowControl/>
        <w:numPr>
          <w:ilvl w:val="1"/>
          <w:numId w:val="29"/>
        </w:numPr>
        <w:tabs>
          <w:tab w:val="left" w:pos="709"/>
        </w:tabs>
        <w:spacing w:line="360" w:lineRule="auto"/>
        <w:ind w:left="617" w:hanging="617" w:hangingChars="294"/>
        <w:jc w:val="left"/>
        <w:rPr>
          <w:szCs w:val="21"/>
          <w:highlight w:val="none"/>
        </w:rPr>
      </w:pPr>
      <w:r>
        <w:rPr>
          <w:rFonts w:hint="eastAsia"/>
          <w:szCs w:val="21"/>
          <w:highlight w:val="none"/>
        </w:rPr>
        <w:t>本合同相关词语的定义如下：</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“法律法规”</w:t>
      </w:r>
      <w:r>
        <w:rPr>
          <w:rFonts w:hint="eastAsia"/>
          <w:sz w:val="21"/>
          <w:szCs w:val="21"/>
          <w:highlight w:val="none"/>
        </w:rPr>
        <w:t>指中华人民共和国各级立法、行政机关不时颁布并生效的法律、法规、规章及其它规范性文件。</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“工作日”</w:t>
      </w:r>
      <w:r>
        <w:rPr>
          <w:rFonts w:hint="eastAsia"/>
          <w:sz w:val="21"/>
          <w:szCs w:val="21"/>
          <w:highlight w:val="none"/>
        </w:rPr>
        <w:t>是指除星期六、星期日和中华人民共和国法定节假日外的日历日。</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“关联企业”</w:t>
      </w:r>
      <w:r>
        <w:rPr>
          <w:rFonts w:hint="eastAsia"/>
          <w:sz w:val="21"/>
          <w:szCs w:val="21"/>
          <w:highlight w:val="none"/>
        </w:rPr>
        <w:t>对任何一方而言指，指</w:t>
      </w:r>
      <w:r>
        <w:rPr>
          <w:sz w:val="21"/>
          <w:szCs w:val="21"/>
          <w:highlight w:val="none"/>
        </w:rPr>
        <w:t>(i)</w:t>
      </w:r>
      <w:r>
        <w:rPr>
          <w:rFonts w:hint="eastAsia"/>
          <w:sz w:val="21"/>
          <w:szCs w:val="21"/>
          <w:highlight w:val="none"/>
        </w:rPr>
        <w:t>控制该方的公司、企业或实体；</w:t>
      </w:r>
      <w:r>
        <w:rPr>
          <w:sz w:val="21"/>
          <w:szCs w:val="21"/>
          <w:highlight w:val="none"/>
        </w:rPr>
        <w:t>(ii)</w:t>
      </w:r>
      <w:r>
        <w:rPr>
          <w:rFonts w:hint="eastAsia"/>
          <w:sz w:val="21"/>
          <w:szCs w:val="21"/>
          <w:highlight w:val="none"/>
        </w:rPr>
        <w:t>该方控制的公司、企业或实体；或</w:t>
      </w:r>
      <w:r>
        <w:rPr>
          <w:sz w:val="21"/>
          <w:szCs w:val="21"/>
          <w:highlight w:val="none"/>
        </w:rPr>
        <w:t>(iii)</w:t>
      </w:r>
      <w:r>
        <w:rPr>
          <w:rFonts w:hint="eastAsia"/>
          <w:sz w:val="21"/>
          <w:szCs w:val="21"/>
          <w:highlight w:val="none"/>
        </w:rPr>
        <w:t>与该方共受同一主体控制的公司、企业或实体。控制指直接或间接拥有</w:t>
      </w:r>
      <w:r>
        <w:rPr>
          <w:sz w:val="21"/>
          <w:szCs w:val="21"/>
          <w:highlight w:val="none"/>
        </w:rPr>
        <w:t>50%</w:t>
      </w:r>
      <w:r>
        <w:rPr>
          <w:rFonts w:hint="eastAsia"/>
          <w:sz w:val="21"/>
          <w:szCs w:val="21"/>
          <w:highlight w:val="none"/>
        </w:rPr>
        <w:t>以上股份，或有权直接或间接委派董事会或类似管理机构</w:t>
      </w:r>
      <w:r>
        <w:rPr>
          <w:sz w:val="21"/>
          <w:szCs w:val="21"/>
          <w:highlight w:val="none"/>
        </w:rPr>
        <w:t>1/2</w:t>
      </w:r>
      <w:r>
        <w:rPr>
          <w:rFonts w:hint="eastAsia"/>
          <w:sz w:val="21"/>
          <w:szCs w:val="21"/>
          <w:highlight w:val="none"/>
        </w:rPr>
        <w:t>以上成员，或通过其它方式决定其经营管理和决策。</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“合同价款”</w:t>
      </w:r>
      <w:r>
        <w:rPr>
          <w:rFonts w:hint="eastAsia"/>
          <w:sz w:val="21"/>
          <w:szCs w:val="21"/>
          <w:highlight w:val="none"/>
        </w:rPr>
        <w:t>是指买方根据本合同的规定应支付给卖方的价款。</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“货物”</w:t>
      </w:r>
      <w:r>
        <w:rPr>
          <w:rFonts w:hint="eastAsia"/>
          <w:sz w:val="21"/>
          <w:szCs w:val="21"/>
          <w:highlight w:val="none"/>
        </w:rPr>
        <w:t>是指卖方根据本合同的规定向买方提供的全部产品。</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“技术资料”</w:t>
      </w:r>
      <w:r>
        <w:rPr>
          <w:rFonts w:hint="eastAsia"/>
          <w:sz w:val="21"/>
          <w:szCs w:val="21"/>
          <w:highlight w:val="none"/>
        </w:rPr>
        <w:t>是指与货物的设计、制造、监造、检验、安装、调试、验收、操作、试运行、运行、检修、维护和技术指导等相关的文件（包括图纸、规格书、数据表、各种文字说明、标准、各种软件）。</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“技术服务”</w:t>
      </w:r>
      <w:r>
        <w:rPr>
          <w:rFonts w:hint="eastAsia"/>
          <w:sz w:val="21"/>
          <w:szCs w:val="21"/>
          <w:highlight w:val="none"/>
        </w:rPr>
        <w:t>是指卖方提供的与本货物的设计、监造、检验、安装、调试、验收、试运行、运行、操作、检修、维护等有关的指导、配合、协调、支持、培训等服务。</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“检验机构”</w:t>
      </w:r>
      <w:r>
        <w:rPr>
          <w:rFonts w:hint="eastAsia"/>
          <w:sz w:val="21"/>
          <w:szCs w:val="21"/>
          <w:highlight w:val="none"/>
        </w:rPr>
        <w:t>是指为确认货物符合技术规范的要求，买卖双方共同确定的第三方权威检验机构。</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“良好的行业惯例”</w:t>
      </w:r>
      <w:r>
        <w:rPr>
          <w:rFonts w:hint="eastAsia"/>
          <w:sz w:val="21"/>
          <w:szCs w:val="21"/>
          <w:highlight w:val="none"/>
        </w:rPr>
        <w:t>是指在履行本合同的过程中，卖方应遵守适用法律、法规、标准、商业惯例和诚实信用原则，采取一个经验丰富、合格的卖方在同等或类似条件应当采取的措施，并具备该等卖方应当具备的资质、技术、审慎、判断及其它方面的能力。</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“日、周、月”</w:t>
      </w:r>
      <w:r>
        <w:rPr>
          <w:rFonts w:hint="eastAsia"/>
          <w:sz w:val="21"/>
          <w:szCs w:val="21"/>
          <w:highlight w:val="none"/>
        </w:rPr>
        <w:t>是指日历日、日历周、日历月。</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“现场”</w:t>
      </w:r>
      <w:r>
        <w:rPr>
          <w:rFonts w:hint="eastAsia"/>
          <w:sz w:val="21"/>
          <w:szCs w:val="21"/>
          <w:highlight w:val="none"/>
        </w:rPr>
        <w:t>是指买方指定的货物安装、运行场所。</w:t>
      </w:r>
    </w:p>
    <w:p>
      <w:pPr>
        <w:pStyle w:val="33"/>
        <w:keepNext w:val="0"/>
        <w:keepLines w:val="0"/>
        <w:pageBreakBefore w:val="0"/>
        <w:widowControl/>
        <w:numPr>
          <w:ilvl w:val="0"/>
          <w:numId w:val="30"/>
        </w:numPr>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bCs/>
          <w:sz w:val="21"/>
          <w:szCs w:val="21"/>
          <w:highlight w:val="none"/>
        </w:rPr>
        <w:t>“有效税务发票”</w:t>
      </w:r>
      <w:r>
        <w:rPr>
          <w:rFonts w:hint="eastAsia"/>
          <w:sz w:val="21"/>
          <w:szCs w:val="21"/>
          <w:highlight w:val="none"/>
        </w:rPr>
        <w:t>是指符合中国法律法规要求的发票。</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“知识产权”</w:t>
      </w:r>
      <w:r>
        <w:rPr>
          <w:rFonts w:hint="eastAsia"/>
          <w:sz w:val="21"/>
          <w:szCs w:val="21"/>
          <w:highlight w:val="none"/>
        </w:rPr>
        <w:t>指任何著作权、专利权、商标专用权、以及有关设计新型、商业秘密、服务标记、厂商名称、产地标记、原产地名称等其它知识产权。</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“中国”</w:t>
      </w:r>
      <w:r>
        <w:rPr>
          <w:rFonts w:hint="eastAsia"/>
          <w:sz w:val="21"/>
          <w:szCs w:val="21"/>
          <w:highlight w:val="none"/>
        </w:rPr>
        <w:t>指中华人民共和国，为本合同之目的，不包括香港特别行政区、澳门特别行政区和台湾地区。</w:t>
      </w:r>
    </w:p>
    <w:p>
      <w:pPr>
        <w:pStyle w:val="33"/>
        <w:keepNext w:val="0"/>
        <w:keepLines w:val="0"/>
        <w:pageBreakBefore w:val="0"/>
        <w:widowControl/>
        <w:numPr>
          <w:ilvl w:val="0"/>
          <w:numId w:val="30"/>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“最终接受证书”</w:t>
      </w:r>
      <w:r>
        <w:rPr>
          <w:rFonts w:hint="eastAsia"/>
          <w:sz w:val="21"/>
          <w:szCs w:val="21"/>
          <w:highlight w:val="none"/>
        </w:rPr>
        <w:t>是指买方在货物质保期结束后向卖方签发的旨在表明货物符合本合同相关要求的文件。</w:t>
      </w:r>
    </w:p>
    <w:p>
      <w:pPr>
        <w:numPr>
          <w:ilvl w:val="0"/>
          <w:numId w:val="28"/>
        </w:numPr>
        <w:spacing w:before="360" w:after="360"/>
        <w:jc w:val="center"/>
        <w:rPr>
          <w:b/>
          <w:sz w:val="24"/>
          <w:szCs w:val="24"/>
          <w:highlight w:val="none"/>
        </w:rPr>
      </w:pPr>
      <w:bookmarkStart w:id="178" w:name="_Toc300671203"/>
      <w:bookmarkStart w:id="179" w:name="_Toc5889377"/>
      <w:bookmarkStart w:id="180" w:name="_Toc17390378"/>
      <w:r>
        <w:rPr>
          <w:rFonts w:hint="eastAsia"/>
          <w:b/>
          <w:sz w:val="24"/>
          <w:szCs w:val="24"/>
          <w:highlight w:val="none"/>
        </w:rPr>
        <w:t>合同宗旨</w:t>
      </w:r>
      <w:bookmarkEnd w:id="177"/>
      <w:bookmarkEnd w:id="178"/>
      <w:bookmarkEnd w:id="179"/>
      <w:bookmarkEnd w:id="180"/>
    </w:p>
    <w:p>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双方之间是单纯的合同买卖关系。卖方不是买方的代理人和</w:t>
      </w:r>
      <w:r>
        <w:rPr>
          <w:highlight w:val="none"/>
        </w:rPr>
        <w:t>/</w:t>
      </w:r>
      <w:r>
        <w:rPr>
          <w:rFonts w:hint="eastAsia" w:cs="宋体"/>
          <w:highlight w:val="none"/>
        </w:rPr>
        <w:t>或买卖代表，也不是买方的雇员或合伙人。</w:t>
      </w:r>
    </w:p>
    <w:p>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卖方无权以买方的名义签订合同及其它法律文件，使买方在任何方面对任何第三人承担任何责任，或由买方负担任何费用、履行任何义务。</w:t>
      </w:r>
    </w:p>
    <w:p>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本合同只是双方买卖关系的证明，任何一方不得超出此范围而使用本合同，或将本合同作为任何其它方面的证明。</w:t>
      </w:r>
    </w:p>
    <w:p>
      <w:pPr>
        <w:numPr>
          <w:ilvl w:val="1"/>
          <w:numId w:val="31"/>
        </w:numPr>
        <w:tabs>
          <w:tab w:val="left" w:pos="720"/>
          <w:tab w:val="left" w:pos="1620"/>
          <w:tab w:val="clear" w:pos="1468"/>
        </w:tabs>
        <w:spacing w:line="360" w:lineRule="auto"/>
        <w:ind w:left="720" w:hanging="720"/>
        <w:rPr>
          <w:highlight w:val="none"/>
        </w:rPr>
      </w:pPr>
      <w:r>
        <w:rPr>
          <w:rFonts w:hint="eastAsia" w:cs="宋体"/>
          <w:highlight w:val="none"/>
        </w:rPr>
        <w:t>双方应本着诚实、信用原则解释、履行本合同。双方在履行本合同的过程中，应遵守中国法律法规的相关规定。</w:t>
      </w:r>
    </w:p>
    <w:p>
      <w:pPr>
        <w:numPr>
          <w:ilvl w:val="0"/>
          <w:numId w:val="28"/>
        </w:numPr>
        <w:spacing w:before="360" w:after="360"/>
        <w:jc w:val="center"/>
        <w:rPr>
          <w:b/>
          <w:sz w:val="24"/>
          <w:szCs w:val="24"/>
          <w:highlight w:val="none"/>
        </w:rPr>
      </w:pPr>
      <w:bookmarkStart w:id="181" w:name="_Toc300671204"/>
      <w:bookmarkStart w:id="182" w:name="_Toc5889378"/>
      <w:bookmarkStart w:id="183" w:name="_Toc17390379"/>
      <w:r>
        <w:rPr>
          <w:rFonts w:hint="eastAsia"/>
          <w:b/>
          <w:sz w:val="24"/>
          <w:szCs w:val="24"/>
          <w:highlight w:val="none"/>
        </w:rPr>
        <w:t>合同标的</w:t>
      </w:r>
      <w:bookmarkEnd w:id="181"/>
      <w:bookmarkEnd w:id="182"/>
      <w:bookmarkEnd w:id="183"/>
    </w:p>
    <w:p>
      <w:pPr>
        <w:numPr>
          <w:ilvl w:val="0"/>
          <w:numId w:val="32"/>
        </w:numPr>
        <w:tabs>
          <w:tab w:val="left" w:pos="720"/>
          <w:tab w:val="clear" w:pos="1468"/>
        </w:tabs>
        <w:spacing w:line="360" w:lineRule="auto"/>
        <w:ind w:left="720" w:hanging="720"/>
        <w:rPr>
          <w:highlight w:val="none"/>
        </w:rPr>
      </w:pPr>
      <w:r>
        <w:rPr>
          <w:rFonts w:hint="eastAsia" w:cs="宋体"/>
          <w:highlight w:val="none"/>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pPr>
        <w:numPr>
          <w:ilvl w:val="0"/>
          <w:numId w:val="32"/>
        </w:numPr>
        <w:tabs>
          <w:tab w:val="left" w:pos="720"/>
          <w:tab w:val="clear" w:pos="1468"/>
        </w:tabs>
        <w:spacing w:line="360" w:lineRule="auto"/>
        <w:ind w:left="720" w:hanging="720"/>
        <w:rPr>
          <w:highlight w:val="none"/>
        </w:rPr>
      </w:pPr>
      <w:r>
        <w:rPr>
          <w:rFonts w:hint="eastAsia" w:cs="宋体"/>
          <w:highlight w:val="none"/>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pPr>
        <w:numPr>
          <w:ilvl w:val="0"/>
          <w:numId w:val="32"/>
        </w:numPr>
        <w:tabs>
          <w:tab w:val="left" w:pos="720"/>
          <w:tab w:val="clear" w:pos="1468"/>
        </w:tabs>
        <w:spacing w:line="360" w:lineRule="auto"/>
        <w:ind w:left="720" w:hanging="720"/>
        <w:rPr>
          <w:highlight w:val="none"/>
        </w:rPr>
      </w:pPr>
      <w:r>
        <w:rPr>
          <w:rFonts w:hint="eastAsia" w:cs="宋体"/>
          <w:highlight w:val="none"/>
        </w:rPr>
        <w:t>如果买方需要选购本合同附件的货物清单约定范围之外的卖方生产或者销售的其它产品，卖方同意以不高于卖方向任何第三方销售价的优惠价格提供给买方。</w:t>
      </w:r>
    </w:p>
    <w:p>
      <w:pPr>
        <w:numPr>
          <w:ilvl w:val="0"/>
          <w:numId w:val="32"/>
        </w:numPr>
        <w:tabs>
          <w:tab w:val="left" w:pos="720"/>
          <w:tab w:val="clear" w:pos="1468"/>
        </w:tabs>
        <w:spacing w:line="360" w:lineRule="auto"/>
        <w:ind w:left="720" w:hanging="720"/>
        <w:rPr>
          <w:highlight w:val="none"/>
        </w:rPr>
      </w:pPr>
      <w:r>
        <w:rPr>
          <w:rFonts w:hint="eastAsia" w:cs="宋体"/>
          <w:highlight w:val="none"/>
        </w:rPr>
        <w:t>双方可以通过补充协议的方式对本合同项下货物清单的部分或全部内容进行修改：</w:t>
      </w:r>
    </w:p>
    <w:p>
      <w:pPr>
        <w:pStyle w:val="34"/>
        <w:numPr>
          <w:ilvl w:val="0"/>
          <w:numId w:val="33"/>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增加或减少货物种类；</w:t>
      </w:r>
    </w:p>
    <w:p>
      <w:pPr>
        <w:pStyle w:val="34"/>
        <w:numPr>
          <w:ilvl w:val="0"/>
          <w:numId w:val="33"/>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调整货物价格；</w:t>
      </w:r>
    </w:p>
    <w:p>
      <w:pPr>
        <w:pStyle w:val="34"/>
        <w:numPr>
          <w:ilvl w:val="0"/>
          <w:numId w:val="33"/>
        </w:numPr>
        <w:tabs>
          <w:tab w:val="left" w:pos="720"/>
          <w:tab w:val="left" w:pos="1260"/>
        </w:tabs>
        <w:overflowPunct/>
        <w:autoSpaceDE/>
        <w:autoSpaceDN/>
        <w:adjustRightInd/>
        <w:spacing w:line="360" w:lineRule="auto"/>
        <w:ind w:firstLineChars="0"/>
        <w:textAlignment w:val="auto"/>
        <w:rPr>
          <w:highlight w:val="none"/>
          <w:lang w:eastAsia="zh-CN"/>
        </w:rPr>
      </w:pPr>
      <w:r>
        <w:rPr>
          <w:rFonts w:hint="eastAsia" w:cs="宋体"/>
          <w:highlight w:val="none"/>
          <w:lang w:eastAsia="zh-CN"/>
        </w:rPr>
        <w:t>与货物有关的其它事项。</w:t>
      </w:r>
    </w:p>
    <w:p>
      <w:pPr>
        <w:numPr>
          <w:ilvl w:val="0"/>
          <w:numId w:val="28"/>
        </w:numPr>
        <w:spacing w:before="360" w:after="360"/>
        <w:jc w:val="center"/>
        <w:rPr>
          <w:b/>
          <w:sz w:val="24"/>
          <w:szCs w:val="24"/>
          <w:highlight w:val="none"/>
        </w:rPr>
      </w:pPr>
      <w:bookmarkStart w:id="184" w:name="_Toc17390380"/>
      <w:bookmarkStart w:id="185" w:name="_Toc5889379"/>
      <w:r>
        <w:rPr>
          <w:rFonts w:hint="eastAsia"/>
          <w:b/>
          <w:sz w:val="24"/>
          <w:szCs w:val="24"/>
          <w:highlight w:val="none"/>
        </w:rPr>
        <w:t>采购订单</w:t>
      </w:r>
      <w:bookmarkEnd w:id="184"/>
      <w:bookmarkEnd w:id="185"/>
    </w:p>
    <w:p>
      <w:pPr>
        <w:numPr>
          <w:ilvl w:val="0"/>
          <w:numId w:val="34"/>
        </w:numPr>
        <w:tabs>
          <w:tab w:val="left" w:pos="720"/>
          <w:tab w:val="clear" w:pos="1468"/>
        </w:tabs>
        <w:spacing w:line="360" w:lineRule="auto"/>
        <w:ind w:left="720" w:hanging="720"/>
        <w:rPr>
          <w:highlight w:val="none"/>
        </w:rPr>
      </w:pPr>
      <w:r>
        <w:rPr>
          <w:rFonts w:hint="eastAsia" w:cs="宋体"/>
          <w:highlight w:val="none"/>
        </w:rPr>
        <w:t>采购订单的效力</w:t>
      </w:r>
    </w:p>
    <w:p>
      <w:pPr>
        <w:numPr>
          <w:ilvl w:val="1"/>
          <w:numId w:val="34"/>
        </w:numPr>
        <w:tabs>
          <w:tab w:val="left" w:pos="1260"/>
        </w:tabs>
        <w:spacing w:line="360" w:lineRule="auto"/>
        <w:ind w:left="1260" w:hanging="540"/>
        <w:rPr>
          <w:highlight w:val="none"/>
        </w:rPr>
      </w:pPr>
      <w:r>
        <w:rPr>
          <w:rFonts w:hint="eastAsia" w:cs="宋体"/>
          <w:highlight w:val="none"/>
        </w:rPr>
        <w:t>采购订单是本合同的有效组成部分，是对本合同及其附件的有效补充、解释，同本合同及其附件具有同等效力。</w:t>
      </w:r>
    </w:p>
    <w:p>
      <w:pPr>
        <w:numPr>
          <w:ilvl w:val="1"/>
          <w:numId w:val="34"/>
        </w:numPr>
        <w:tabs>
          <w:tab w:val="left" w:pos="1260"/>
        </w:tabs>
        <w:spacing w:line="360" w:lineRule="auto"/>
        <w:ind w:left="1260" w:hanging="540"/>
        <w:rPr>
          <w:highlight w:val="none"/>
        </w:rPr>
      </w:pPr>
      <w:r>
        <w:rPr>
          <w:rFonts w:hint="eastAsia" w:cs="宋体"/>
          <w:highlight w:val="none"/>
        </w:rPr>
        <w:t>买方有权分批次就一定数量的货物向卖方发送采购订单。</w:t>
      </w:r>
    </w:p>
    <w:p>
      <w:pPr>
        <w:numPr>
          <w:ilvl w:val="0"/>
          <w:numId w:val="34"/>
        </w:numPr>
        <w:tabs>
          <w:tab w:val="left" w:pos="720"/>
          <w:tab w:val="clear" w:pos="1468"/>
        </w:tabs>
        <w:spacing w:line="360" w:lineRule="auto"/>
        <w:ind w:left="720" w:hanging="720"/>
        <w:rPr>
          <w:highlight w:val="none"/>
        </w:rPr>
      </w:pPr>
      <w:r>
        <w:rPr>
          <w:rFonts w:hint="eastAsia" w:cs="宋体"/>
          <w:highlight w:val="none"/>
        </w:rPr>
        <w:t>采购订单的送达</w:t>
      </w:r>
    </w:p>
    <w:p>
      <w:pPr>
        <w:numPr>
          <w:ilvl w:val="1"/>
          <w:numId w:val="34"/>
        </w:numPr>
        <w:tabs>
          <w:tab w:val="left" w:pos="1260"/>
        </w:tabs>
        <w:spacing w:line="360" w:lineRule="auto"/>
        <w:ind w:left="1260" w:hanging="540"/>
        <w:rPr>
          <w:highlight w:val="none"/>
        </w:rPr>
      </w:pPr>
      <w:r>
        <w:rPr>
          <w:rFonts w:hint="eastAsia" w:cs="宋体"/>
          <w:highlight w:val="none"/>
        </w:rPr>
        <w:t>买方有权根据需要，通过发送采购订单的方式，定期或不定期分批向卖方选购本合同附件货物清单所列货物。</w:t>
      </w:r>
    </w:p>
    <w:p>
      <w:pPr>
        <w:numPr>
          <w:ilvl w:val="1"/>
          <w:numId w:val="34"/>
        </w:numPr>
        <w:tabs>
          <w:tab w:val="left" w:pos="1260"/>
        </w:tabs>
        <w:spacing w:line="360" w:lineRule="auto"/>
        <w:ind w:left="1260" w:hanging="540"/>
        <w:rPr>
          <w:highlight w:val="none"/>
        </w:rPr>
      </w:pPr>
      <w:r>
        <w:rPr>
          <w:rFonts w:hint="eastAsia" w:cs="宋体"/>
          <w:highlight w:val="none"/>
        </w:rPr>
        <w:t>采购订单可以特快专递、传真、电子邮件或者双方另行书面同意的其它方式送达卖方。</w:t>
      </w:r>
    </w:p>
    <w:p>
      <w:pPr>
        <w:numPr>
          <w:ilvl w:val="0"/>
          <w:numId w:val="34"/>
        </w:numPr>
        <w:tabs>
          <w:tab w:val="left" w:pos="720"/>
          <w:tab w:val="clear" w:pos="1468"/>
        </w:tabs>
        <w:spacing w:line="360" w:lineRule="auto"/>
        <w:ind w:left="720" w:hanging="720"/>
        <w:rPr>
          <w:highlight w:val="none"/>
        </w:rPr>
      </w:pPr>
      <w:r>
        <w:rPr>
          <w:rFonts w:hint="eastAsia" w:cs="宋体"/>
          <w:highlight w:val="none"/>
        </w:rPr>
        <w:t>采购订单的修改</w:t>
      </w:r>
    </w:p>
    <w:p>
      <w:pPr>
        <w:numPr>
          <w:ilvl w:val="1"/>
          <w:numId w:val="34"/>
        </w:numPr>
        <w:tabs>
          <w:tab w:val="left" w:pos="1260"/>
        </w:tabs>
        <w:spacing w:line="360" w:lineRule="auto"/>
        <w:ind w:left="1260" w:hanging="540"/>
        <w:rPr>
          <w:highlight w:val="none"/>
        </w:rPr>
      </w:pPr>
      <w:r>
        <w:rPr>
          <w:rFonts w:hint="eastAsia" w:cs="宋体"/>
          <w:highlight w:val="none"/>
        </w:rPr>
        <w:t>因买方原因需对采购订单规定的交货时间、数量等内容进行修改的，买方应当在卖方发货前（</w:t>
      </w:r>
      <w:r>
        <w:rPr>
          <w:highlight w:val="none"/>
        </w:rPr>
        <w:t>3</w:t>
      </w:r>
      <w:r>
        <w:rPr>
          <w:rFonts w:hint="eastAsia" w:cs="宋体"/>
          <w:highlight w:val="none"/>
        </w:rPr>
        <w:t>）日将采购订单修改的内容以书面形式通知卖方，以便卖方在合理时间内准备货物。</w:t>
      </w:r>
    </w:p>
    <w:p>
      <w:pPr>
        <w:tabs>
          <w:tab w:val="left" w:pos="1260"/>
        </w:tabs>
        <w:spacing w:line="360" w:lineRule="auto"/>
        <w:ind w:left="1200"/>
        <w:rPr>
          <w:highlight w:val="none"/>
        </w:rPr>
      </w:pPr>
      <w:r>
        <w:rPr>
          <w:rFonts w:hint="eastAsia" w:cs="宋体"/>
          <w:highlight w:val="none"/>
        </w:rPr>
        <w:t>买方无法在前款规定的时间内将采购订单修改情况书面通知卖方的，卖方在接到买方对采购订单修改的口头通知后应当采取必要措施，保证按照修改后的采购订单交货。</w:t>
      </w:r>
    </w:p>
    <w:p>
      <w:pPr>
        <w:numPr>
          <w:ilvl w:val="1"/>
          <w:numId w:val="34"/>
        </w:numPr>
        <w:tabs>
          <w:tab w:val="left" w:pos="1260"/>
        </w:tabs>
        <w:spacing w:line="360" w:lineRule="auto"/>
        <w:ind w:left="1260" w:hanging="540"/>
        <w:rPr>
          <w:highlight w:val="none"/>
        </w:rPr>
      </w:pPr>
      <w:r>
        <w:rPr>
          <w:rFonts w:hint="eastAsia" w:cs="宋体"/>
          <w:highlight w:val="none"/>
        </w:rPr>
        <w:t>经双方协商一致，可以对采购订单的相关条款进行修改，修改应当以书面形式进行。</w:t>
      </w:r>
    </w:p>
    <w:p>
      <w:pPr>
        <w:numPr>
          <w:ilvl w:val="0"/>
          <w:numId w:val="34"/>
        </w:numPr>
        <w:tabs>
          <w:tab w:val="left" w:pos="720"/>
          <w:tab w:val="clear" w:pos="1468"/>
        </w:tabs>
        <w:spacing w:line="360" w:lineRule="auto"/>
        <w:ind w:left="720" w:hanging="720"/>
        <w:rPr>
          <w:highlight w:val="none"/>
        </w:rPr>
      </w:pPr>
      <w:r>
        <w:rPr>
          <w:rFonts w:hint="eastAsia" w:cs="宋体"/>
          <w:highlight w:val="none"/>
        </w:rPr>
        <w:t>采购订单的确认</w:t>
      </w:r>
    </w:p>
    <w:p>
      <w:pPr>
        <w:numPr>
          <w:ilvl w:val="1"/>
          <w:numId w:val="34"/>
        </w:numPr>
        <w:tabs>
          <w:tab w:val="left" w:pos="1260"/>
        </w:tabs>
        <w:spacing w:line="360" w:lineRule="auto"/>
        <w:ind w:left="1260" w:hanging="540"/>
        <w:rPr>
          <w:highlight w:val="none"/>
        </w:rPr>
      </w:pPr>
      <w:r>
        <w:rPr>
          <w:rFonts w:hint="eastAsia" w:cs="宋体"/>
          <w:highlight w:val="none"/>
        </w:rPr>
        <w:t>除非双方另有约定，卖方在收到采购订单后，如果同意采购订单上的实质性条款（包括但不限于货物的数量、质量、交货日期、交货方式、价款等），须以书面形式向买方表示确认；如卖方在收到采购订单后（</w:t>
      </w:r>
      <w:r>
        <w:rPr>
          <w:highlight w:val="none"/>
        </w:rPr>
        <w:t>2</w:t>
      </w:r>
      <w:r>
        <w:rPr>
          <w:rFonts w:hint="eastAsia" w:cs="宋体"/>
          <w:highlight w:val="none"/>
        </w:rPr>
        <w:t>）个工作日内未以书面形式通知买方，则将视为卖方已确认并接受采购订单的全部条款。</w:t>
      </w:r>
    </w:p>
    <w:p>
      <w:pPr>
        <w:numPr>
          <w:ilvl w:val="1"/>
          <w:numId w:val="34"/>
        </w:numPr>
        <w:tabs>
          <w:tab w:val="left" w:pos="1260"/>
        </w:tabs>
        <w:spacing w:line="360" w:lineRule="auto"/>
        <w:ind w:left="1260" w:hanging="540"/>
        <w:rPr>
          <w:rFonts w:cs="宋体"/>
          <w:highlight w:val="none"/>
        </w:rPr>
      </w:pPr>
      <w:r>
        <w:rPr>
          <w:rFonts w:hint="eastAsia" w:cs="宋体"/>
          <w:highlight w:val="none"/>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pPr>
        <w:numPr>
          <w:ilvl w:val="1"/>
          <w:numId w:val="34"/>
        </w:numPr>
        <w:tabs>
          <w:tab w:val="left" w:pos="1260"/>
        </w:tabs>
        <w:spacing w:line="360" w:lineRule="auto"/>
        <w:ind w:left="1260" w:hanging="540"/>
        <w:rPr>
          <w:highlight w:val="none"/>
        </w:rPr>
      </w:pPr>
      <w:r>
        <w:rPr>
          <w:rFonts w:hint="eastAsia" w:cs="宋体"/>
          <w:highlight w:val="none"/>
        </w:rPr>
        <w:t>卖方在确认书中修改了买方采购订单的条款的（包括但不限于货物的数量、质量、交货日期、交货方式、价款等），视为卖方未就买方的采购订单进行确认。</w:t>
      </w:r>
    </w:p>
    <w:p>
      <w:pPr>
        <w:numPr>
          <w:ilvl w:val="1"/>
          <w:numId w:val="34"/>
        </w:numPr>
        <w:tabs>
          <w:tab w:val="left" w:pos="1260"/>
        </w:tabs>
        <w:spacing w:line="360" w:lineRule="auto"/>
        <w:ind w:left="1260" w:hanging="540"/>
        <w:rPr>
          <w:highlight w:val="none"/>
        </w:rPr>
      </w:pPr>
      <w:r>
        <w:rPr>
          <w:rFonts w:hint="eastAsia" w:cs="宋体"/>
          <w:highlight w:val="none"/>
        </w:rPr>
        <w:t>除买方按照本条的规定对采购订单进行修改外，采购订单的内容以买方发出时的内容为准。</w:t>
      </w:r>
    </w:p>
    <w:p>
      <w:pPr>
        <w:numPr>
          <w:ilvl w:val="0"/>
          <w:numId w:val="28"/>
        </w:numPr>
        <w:spacing w:before="360" w:after="360"/>
        <w:jc w:val="center"/>
        <w:rPr>
          <w:b/>
          <w:sz w:val="24"/>
          <w:szCs w:val="24"/>
          <w:highlight w:val="none"/>
        </w:rPr>
      </w:pPr>
      <w:bookmarkStart w:id="186" w:name="_Toc274668226"/>
      <w:bookmarkStart w:id="187" w:name="_Toc5889380"/>
      <w:bookmarkStart w:id="188" w:name="_Toc273388606"/>
      <w:bookmarkStart w:id="189" w:name="_Toc274403501"/>
      <w:bookmarkStart w:id="190" w:name="_Toc274754036"/>
      <w:bookmarkStart w:id="191" w:name="_Toc273451792"/>
      <w:bookmarkStart w:id="192" w:name="_Toc17390381"/>
      <w:bookmarkStart w:id="193" w:name="_Toc274344102"/>
      <w:bookmarkStart w:id="194" w:name="_Toc288567150"/>
      <w:bookmarkStart w:id="195" w:name="_Toc274075972"/>
      <w:bookmarkStart w:id="196" w:name="_Toc274343570"/>
      <w:bookmarkStart w:id="197" w:name="_Toc274669167"/>
      <w:bookmarkStart w:id="198" w:name="_Toc273458606"/>
      <w:bookmarkStart w:id="199" w:name="_Toc273388507"/>
      <w:bookmarkStart w:id="200" w:name="_Toc300671209"/>
      <w:bookmarkStart w:id="201" w:name="_Toc276069961"/>
      <w:r>
        <w:rPr>
          <w:rFonts w:hint="eastAsia"/>
          <w:b/>
          <w:sz w:val="24"/>
          <w:szCs w:val="24"/>
          <w:highlight w:val="none"/>
        </w:rPr>
        <w:t>质量标准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numPr>
          <w:ilvl w:val="0"/>
          <w:numId w:val="35"/>
        </w:numPr>
        <w:tabs>
          <w:tab w:val="left" w:pos="720"/>
          <w:tab w:val="clear" w:pos="1468"/>
        </w:tabs>
        <w:spacing w:line="360" w:lineRule="auto"/>
        <w:ind w:left="720" w:hanging="720"/>
        <w:rPr>
          <w:highlight w:val="none"/>
        </w:rPr>
      </w:pPr>
      <w:r>
        <w:rPr>
          <w:rFonts w:hint="eastAsia" w:cs="宋体"/>
          <w:highlight w:val="none"/>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numPr>
          <w:ilvl w:val="1"/>
          <w:numId w:val="36"/>
        </w:numPr>
        <w:tabs>
          <w:tab w:val="left" w:pos="1260"/>
        </w:tabs>
        <w:spacing w:line="360" w:lineRule="auto"/>
        <w:ind w:left="1134" w:hanging="414"/>
        <w:rPr>
          <w:highlight w:val="none"/>
        </w:rPr>
      </w:pPr>
      <w:r>
        <w:rPr>
          <w:rFonts w:hint="eastAsia" w:cs="宋体"/>
          <w:highlight w:val="none"/>
        </w:rPr>
        <w:t>本合同规定的标准和规范；</w:t>
      </w:r>
    </w:p>
    <w:p>
      <w:pPr>
        <w:numPr>
          <w:ilvl w:val="1"/>
          <w:numId w:val="36"/>
        </w:numPr>
        <w:tabs>
          <w:tab w:val="left" w:pos="1260"/>
        </w:tabs>
        <w:spacing w:line="360" w:lineRule="auto"/>
        <w:ind w:left="1134" w:hanging="414"/>
        <w:rPr>
          <w:highlight w:val="none"/>
        </w:rPr>
      </w:pPr>
      <w:r>
        <w:rPr>
          <w:rFonts w:hint="eastAsia" w:cs="宋体"/>
          <w:highlight w:val="none"/>
        </w:rPr>
        <w:t>中国最新颁布的相关标准和规范；</w:t>
      </w:r>
    </w:p>
    <w:p>
      <w:pPr>
        <w:numPr>
          <w:ilvl w:val="1"/>
          <w:numId w:val="36"/>
        </w:numPr>
        <w:tabs>
          <w:tab w:val="left" w:pos="1260"/>
        </w:tabs>
        <w:spacing w:line="360" w:lineRule="auto"/>
        <w:ind w:left="1134" w:hanging="414"/>
        <w:rPr>
          <w:highlight w:val="none"/>
        </w:rPr>
      </w:pPr>
      <w:r>
        <w:rPr>
          <w:rFonts w:hint="eastAsia" w:cs="宋体"/>
          <w:highlight w:val="none"/>
        </w:rPr>
        <w:t>如果没有中国国家标准，适用最新的行业标准；</w:t>
      </w:r>
    </w:p>
    <w:p>
      <w:pPr>
        <w:numPr>
          <w:ilvl w:val="1"/>
          <w:numId w:val="36"/>
        </w:numPr>
        <w:tabs>
          <w:tab w:val="left" w:pos="1260"/>
        </w:tabs>
        <w:spacing w:line="360" w:lineRule="auto"/>
        <w:ind w:left="1134" w:hanging="414"/>
        <w:rPr>
          <w:highlight w:val="none"/>
        </w:rPr>
      </w:pPr>
      <w:r>
        <w:rPr>
          <w:rFonts w:hint="eastAsia" w:cs="宋体"/>
          <w:highlight w:val="none"/>
        </w:rPr>
        <w:t>如果没有中国国家和行业标准，适用符合合同目的的标准。</w:t>
      </w:r>
    </w:p>
    <w:p>
      <w:pPr>
        <w:numPr>
          <w:ilvl w:val="0"/>
          <w:numId w:val="28"/>
        </w:numPr>
        <w:spacing w:before="360" w:after="360"/>
        <w:jc w:val="center"/>
        <w:rPr>
          <w:b/>
          <w:sz w:val="24"/>
          <w:szCs w:val="24"/>
          <w:highlight w:val="none"/>
        </w:rPr>
      </w:pPr>
      <w:bookmarkStart w:id="202" w:name="_Toc274668228"/>
      <w:bookmarkStart w:id="203" w:name="_Toc300671211"/>
      <w:bookmarkStart w:id="204" w:name="_Toc274669169"/>
      <w:bookmarkStart w:id="205" w:name="_Toc17390382"/>
      <w:bookmarkStart w:id="206" w:name="_Toc276069962"/>
      <w:bookmarkStart w:id="207" w:name="_Toc5889381"/>
      <w:bookmarkStart w:id="208" w:name="_Toc274343572"/>
      <w:bookmarkStart w:id="209" w:name="_Toc274344104"/>
      <w:bookmarkStart w:id="210" w:name="_Toc274754038"/>
      <w:bookmarkStart w:id="211" w:name="_Toc274403503"/>
      <w:bookmarkStart w:id="212" w:name="_Toc288567152"/>
      <w:r>
        <w:rPr>
          <w:rFonts w:hint="eastAsia"/>
          <w:b/>
          <w:sz w:val="24"/>
          <w:szCs w:val="24"/>
          <w:highlight w:val="none"/>
        </w:rPr>
        <w:t>合同价款</w:t>
      </w:r>
      <w:bookmarkEnd w:id="202"/>
      <w:bookmarkEnd w:id="203"/>
      <w:bookmarkEnd w:id="204"/>
      <w:bookmarkEnd w:id="205"/>
      <w:bookmarkEnd w:id="206"/>
      <w:bookmarkEnd w:id="207"/>
      <w:bookmarkEnd w:id="208"/>
      <w:bookmarkEnd w:id="209"/>
      <w:bookmarkEnd w:id="210"/>
      <w:bookmarkEnd w:id="211"/>
      <w:bookmarkEnd w:id="212"/>
    </w:p>
    <w:p>
      <w:pPr>
        <w:numPr>
          <w:ilvl w:val="0"/>
          <w:numId w:val="37"/>
        </w:numPr>
        <w:tabs>
          <w:tab w:val="left" w:pos="720"/>
          <w:tab w:val="clear" w:pos="1468"/>
        </w:tabs>
        <w:spacing w:line="360" w:lineRule="auto"/>
        <w:ind w:left="720" w:hanging="720"/>
        <w:rPr>
          <w:highlight w:val="none"/>
        </w:rPr>
      </w:pPr>
      <w:r>
        <w:rPr>
          <w:rFonts w:hint="eastAsia" w:cs="宋体"/>
          <w:highlight w:val="none"/>
        </w:rPr>
        <w:t>合同价款将根据附件货物清单所列明的货物单价和买方在合同有效期内实际购买的货物数量计算后确定。</w:t>
      </w:r>
    </w:p>
    <w:p>
      <w:pPr>
        <w:numPr>
          <w:ilvl w:val="0"/>
          <w:numId w:val="37"/>
        </w:numPr>
        <w:tabs>
          <w:tab w:val="left" w:pos="720"/>
          <w:tab w:val="clear" w:pos="1468"/>
        </w:tabs>
        <w:spacing w:line="360" w:lineRule="auto"/>
        <w:ind w:left="720" w:hanging="720"/>
        <w:rPr>
          <w:highlight w:val="none"/>
        </w:rPr>
      </w:pPr>
      <w:r>
        <w:rPr>
          <w:rFonts w:hint="eastAsia" w:cs="宋体"/>
          <w:highlight w:val="none"/>
        </w:rPr>
        <w:t>双方同意，除非本合同另有明确规定，在本合同有效期内，本合同附件中所列的货物单价为固定价格，不因合同生效后物价上涨、原材料上涨、通货膨胀、汇率或利率变化、政策性变化等因素而调整。任何一方不得以情势变更等为由，要求变更合同价款。</w:t>
      </w:r>
    </w:p>
    <w:p>
      <w:pPr>
        <w:numPr>
          <w:ilvl w:val="0"/>
          <w:numId w:val="37"/>
        </w:numPr>
        <w:tabs>
          <w:tab w:val="left" w:pos="720"/>
          <w:tab w:val="clear" w:pos="1468"/>
        </w:tabs>
        <w:spacing w:line="360" w:lineRule="auto"/>
        <w:ind w:left="720" w:hanging="720"/>
        <w:rPr>
          <w:highlight w:val="none"/>
        </w:rPr>
      </w:pPr>
      <w:bookmarkStart w:id="213" w:name="_Toc274669170"/>
      <w:bookmarkStart w:id="214" w:name="_Toc274754039"/>
      <w:bookmarkStart w:id="215" w:name="_Toc274344105"/>
      <w:bookmarkStart w:id="216" w:name="_Toc300671212"/>
      <w:bookmarkStart w:id="217" w:name="_Toc288567154"/>
      <w:bookmarkStart w:id="218" w:name="_Toc274668229"/>
      <w:bookmarkStart w:id="219" w:name="_Toc274343573"/>
      <w:bookmarkStart w:id="220" w:name="_Toc274403504"/>
      <w:bookmarkStart w:id="221" w:name="_Toc276069964"/>
      <w:r>
        <w:rPr>
          <w:rFonts w:hint="eastAsia"/>
          <w:highlight w:val="none"/>
        </w:rPr>
        <w:t>合同总价是本合同项下买方向卖方支付的全部款项。</w:t>
      </w:r>
      <w:r>
        <w:rPr>
          <w:rFonts w:hint="eastAsia" w:cs="Arial"/>
          <w:highlight w:val="none"/>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highlight w:val="none"/>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cs="Arial"/>
          <w:highlight w:val="none"/>
        </w:rPr>
        <w:t>卖方所有的风险、义务和责任，以及合同中明确说明由卖方承担的成本与费用</w:t>
      </w:r>
      <w:r>
        <w:rPr>
          <w:rFonts w:hint="eastAsia"/>
          <w:highlight w:val="none"/>
        </w:rPr>
        <w:t>等。除买方同意某项费用属于额外的工作项目需另行支付费用外，买方不向卖方支付任何超出合同总价的款项。</w:t>
      </w:r>
    </w:p>
    <w:p>
      <w:pPr>
        <w:numPr>
          <w:ilvl w:val="0"/>
          <w:numId w:val="28"/>
        </w:numPr>
        <w:spacing w:before="360" w:after="360"/>
        <w:jc w:val="center"/>
        <w:rPr>
          <w:b/>
          <w:sz w:val="24"/>
          <w:szCs w:val="24"/>
          <w:highlight w:val="none"/>
        </w:rPr>
      </w:pPr>
      <w:bookmarkStart w:id="222" w:name="_Toc5889382"/>
      <w:bookmarkStart w:id="223" w:name="_Toc17390383"/>
      <w:r>
        <w:rPr>
          <w:rFonts w:hint="eastAsia"/>
          <w:b/>
          <w:sz w:val="24"/>
          <w:szCs w:val="24"/>
          <w:highlight w:val="none"/>
        </w:rPr>
        <w:t>付款</w:t>
      </w:r>
      <w:bookmarkEnd w:id="213"/>
      <w:bookmarkEnd w:id="214"/>
      <w:bookmarkEnd w:id="215"/>
      <w:bookmarkEnd w:id="216"/>
      <w:bookmarkEnd w:id="217"/>
      <w:bookmarkEnd w:id="218"/>
      <w:bookmarkEnd w:id="219"/>
      <w:bookmarkEnd w:id="220"/>
      <w:bookmarkEnd w:id="221"/>
      <w:bookmarkEnd w:id="222"/>
      <w:bookmarkEnd w:id="223"/>
    </w:p>
    <w:p>
      <w:pPr>
        <w:numPr>
          <w:ilvl w:val="0"/>
          <w:numId w:val="38"/>
        </w:numPr>
        <w:tabs>
          <w:tab w:val="left" w:pos="720"/>
          <w:tab w:val="clear" w:pos="1468"/>
        </w:tabs>
        <w:spacing w:line="360" w:lineRule="auto"/>
        <w:ind w:left="720" w:hanging="720"/>
        <w:rPr>
          <w:highlight w:val="none"/>
        </w:rPr>
      </w:pPr>
      <w:r>
        <w:rPr>
          <w:rFonts w:hint="eastAsia" w:cs="宋体"/>
          <w:highlight w:val="none"/>
        </w:rPr>
        <w:t>卖方应根据合同规定的付款条件和进度，向买方开具有效税务发票并提供相关支持文件，其发票信息见本合同附件三采购订单。如卖方未开具有效税务发票并提供相关支持文件，买方有权拒付相关合同价款。</w:t>
      </w:r>
    </w:p>
    <w:p>
      <w:pPr>
        <w:numPr>
          <w:ilvl w:val="0"/>
          <w:numId w:val="38"/>
        </w:numPr>
        <w:tabs>
          <w:tab w:val="left" w:pos="720"/>
          <w:tab w:val="clear" w:pos="1468"/>
        </w:tabs>
        <w:spacing w:line="360" w:lineRule="auto"/>
        <w:ind w:left="720" w:hanging="720"/>
        <w:rPr>
          <w:highlight w:val="none"/>
        </w:rPr>
      </w:pPr>
      <w:r>
        <w:rPr>
          <w:rFonts w:hint="eastAsia"/>
          <w:highlight w:val="none"/>
        </w:rPr>
        <w:t>如果买方对卖方出具的有效税务发票和提供的相关支持文件无异议，应于收到该等发票和相关支持文件之日起四十五日内向卖方付款。</w:t>
      </w:r>
    </w:p>
    <w:p>
      <w:pPr>
        <w:numPr>
          <w:ilvl w:val="0"/>
          <w:numId w:val="28"/>
        </w:numPr>
        <w:spacing w:before="360" w:after="360"/>
        <w:jc w:val="center"/>
        <w:rPr>
          <w:b/>
          <w:sz w:val="24"/>
          <w:szCs w:val="24"/>
          <w:highlight w:val="none"/>
        </w:rPr>
      </w:pPr>
      <w:bookmarkStart w:id="224" w:name="_Toc296955864"/>
      <w:bookmarkStart w:id="225" w:name="_Toc17390384"/>
      <w:bookmarkStart w:id="226" w:name="_Toc291435921"/>
      <w:bookmarkStart w:id="227" w:name="_Toc296959326"/>
      <w:bookmarkStart w:id="228" w:name="_Toc278889794"/>
      <w:bookmarkStart w:id="229" w:name="_Toc5889383"/>
      <w:bookmarkStart w:id="230" w:name="_Toc300671213"/>
      <w:bookmarkStart w:id="231" w:name="_Toc291435854"/>
      <w:bookmarkStart w:id="232" w:name="_Toc274754040"/>
      <w:bookmarkStart w:id="233" w:name="_Toc274075973"/>
      <w:bookmarkStart w:id="234" w:name="_Toc273388607"/>
      <w:bookmarkStart w:id="235" w:name="_Toc273458607"/>
      <w:bookmarkStart w:id="236" w:name="_Toc274669171"/>
      <w:bookmarkStart w:id="237" w:name="_Toc274668230"/>
      <w:bookmarkStart w:id="238" w:name="_Toc274343574"/>
      <w:bookmarkStart w:id="239" w:name="_Toc288567155"/>
      <w:bookmarkStart w:id="240" w:name="_Toc274403505"/>
      <w:bookmarkStart w:id="241" w:name="_Toc273388508"/>
      <w:bookmarkStart w:id="242" w:name="_Toc274344106"/>
      <w:bookmarkStart w:id="243" w:name="_Toc273451793"/>
      <w:bookmarkStart w:id="244" w:name="_Toc276069965"/>
      <w:r>
        <w:rPr>
          <w:rFonts w:hint="eastAsia"/>
          <w:b/>
          <w:sz w:val="24"/>
          <w:szCs w:val="24"/>
          <w:highlight w:val="none"/>
        </w:rPr>
        <w:t>权利保证</w:t>
      </w:r>
      <w:bookmarkEnd w:id="224"/>
      <w:bookmarkEnd w:id="225"/>
      <w:bookmarkEnd w:id="226"/>
      <w:bookmarkEnd w:id="227"/>
      <w:bookmarkEnd w:id="228"/>
      <w:bookmarkEnd w:id="229"/>
      <w:bookmarkEnd w:id="230"/>
      <w:bookmarkEnd w:id="231"/>
    </w:p>
    <w:p>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45" w:name="_DV_C680"/>
      <w:r>
        <w:rPr>
          <w:rFonts w:hint="eastAsia"/>
          <w:highlight w:val="none"/>
        </w:rPr>
        <w:t>或在买方书面同意的情况下与声称被货物侵权的任何第三方达成和解方案，</w:t>
      </w:r>
      <w:bookmarkEnd w:id="245"/>
      <w:r>
        <w:rPr>
          <w:rFonts w:hint="eastAsia"/>
          <w:highlight w:val="none"/>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widowControl/>
        <w:numPr>
          <w:ilvl w:val="0"/>
          <w:numId w:val="39"/>
        </w:numPr>
        <w:tabs>
          <w:tab w:val="left" w:pos="709"/>
        </w:tabs>
        <w:spacing w:line="360" w:lineRule="auto"/>
        <w:ind w:left="619" w:hanging="619" w:hangingChars="295"/>
        <w:jc w:val="left"/>
        <w:rPr>
          <w:highlight w:val="none"/>
        </w:rPr>
      </w:pPr>
      <w:r>
        <w:rPr>
          <w:rFonts w:hint="eastAsia"/>
          <w:highlight w:val="none"/>
        </w:rPr>
        <w:t>如根据法院判决或仲裁裁决或按照上述规定与声称被侵权的任何第三方之间达成的和解方案，</w:t>
      </w:r>
      <w:r>
        <w:rPr>
          <w:rFonts w:hint="eastAsia"/>
          <w:spacing w:val="-2"/>
          <w:highlight w:val="none"/>
        </w:rPr>
        <w:t>卖方提供的货物侵犯任何第三方的权益或货物采用的技术、工艺、方法等</w:t>
      </w:r>
      <w:r>
        <w:rPr>
          <w:rFonts w:hint="eastAsia"/>
          <w:highlight w:val="none"/>
        </w:rPr>
        <w:t>侵犯任何知识产权，卖方应根据买方要求采取如下措施</w:t>
      </w:r>
      <w:r>
        <w:rPr>
          <w:rFonts w:hint="eastAsia"/>
          <w:spacing w:val="-2"/>
          <w:highlight w:val="none"/>
        </w:rPr>
        <w:t>：</w:t>
      </w:r>
    </w:p>
    <w:p>
      <w:pPr>
        <w:widowControl/>
        <w:numPr>
          <w:ilvl w:val="0"/>
          <w:numId w:val="40"/>
        </w:numPr>
        <w:tabs>
          <w:tab w:val="left" w:pos="1134"/>
          <w:tab w:val="left" w:pos="3060"/>
          <w:tab w:val="clear" w:pos="900"/>
        </w:tabs>
        <w:spacing w:line="360" w:lineRule="auto"/>
        <w:ind w:left="1044" w:leftChars="295" w:hanging="425"/>
        <w:jc w:val="left"/>
        <w:rPr>
          <w:highlight w:val="none"/>
        </w:rPr>
      </w:pPr>
      <w:r>
        <w:rPr>
          <w:rFonts w:hint="eastAsia"/>
          <w:highlight w:val="none"/>
        </w:rPr>
        <w:t>自行承担费用采取一切措施确保买方获得继续使用货物的权利，包括为买方的利益购买货物的全部权益（包括但不限于知识产权等）；</w:t>
      </w:r>
    </w:p>
    <w:p>
      <w:pPr>
        <w:widowControl/>
        <w:numPr>
          <w:ilvl w:val="0"/>
          <w:numId w:val="40"/>
        </w:numPr>
        <w:tabs>
          <w:tab w:val="left" w:pos="1134"/>
          <w:tab w:val="left" w:pos="3060"/>
          <w:tab w:val="clear" w:pos="900"/>
        </w:tabs>
        <w:spacing w:line="360" w:lineRule="auto"/>
        <w:ind w:left="1044" w:leftChars="295" w:hanging="425"/>
        <w:jc w:val="left"/>
        <w:rPr>
          <w:highlight w:val="none"/>
        </w:rPr>
      </w:pPr>
      <w:r>
        <w:rPr>
          <w:rFonts w:hint="eastAsia"/>
          <w:highlight w:val="none"/>
        </w:rPr>
        <w:t>采用不侵权的设备、材料、零部件、设计、技术、工艺、方法对货物进行变更，使得其不再构成任何侵权，且变更后货物的功能、品质和水平应符合本合同的规定，且不低于变更前的货物。</w:t>
      </w:r>
    </w:p>
    <w:p>
      <w:pPr>
        <w:tabs>
          <w:tab w:val="left" w:pos="1134"/>
          <w:tab w:val="left" w:pos="3060"/>
        </w:tabs>
        <w:spacing w:line="360" w:lineRule="auto"/>
        <w:ind w:left="708"/>
        <w:rPr>
          <w:highlight w:val="none"/>
        </w:rPr>
      </w:pPr>
      <w:r>
        <w:rPr>
          <w:rFonts w:hint="eastAsia"/>
          <w:highlight w:val="none"/>
        </w:rPr>
        <w:t>卖方依据本款采取的措施不影响买方的任何其它权利或补救措施。</w:t>
      </w:r>
    </w:p>
    <w:p>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卖方无权因本条的适用而获得额外的履约时间或合同价款。</w:t>
      </w:r>
    </w:p>
    <w:p>
      <w:pPr>
        <w:widowControl/>
        <w:numPr>
          <w:ilvl w:val="0"/>
          <w:numId w:val="39"/>
        </w:numPr>
        <w:tabs>
          <w:tab w:val="left" w:pos="709"/>
        </w:tabs>
        <w:spacing w:line="360" w:lineRule="auto"/>
        <w:ind w:left="619" w:hanging="619" w:hangingChars="295"/>
        <w:jc w:val="left"/>
        <w:rPr>
          <w:highlight w:val="none"/>
        </w:rPr>
      </w:pPr>
      <w:r>
        <w:rPr>
          <w:rFonts w:hint="eastAsia"/>
          <w:highlight w:val="none"/>
        </w:rPr>
        <w:t>卖方应无条件向附件五中买方执行用户提供本合同项下，全部或部分货物。</w:t>
      </w:r>
    </w:p>
    <w:p>
      <w:pPr>
        <w:numPr>
          <w:ilvl w:val="0"/>
          <w:numId w:val="28"/>
        </w:numPr>
        <w:spacing w:before="360" w:after="360"/>
        <w:jc w:val="center"/>
        <w:rPr>
          <w:b/>
          <w:sz w:val="24"/>
          <w:szCs w:val="24"/>
          <w:highlight w:val="none"/>
        </w:rPr>
      </w:pPr>
      <w:bookmarkStart w:id="246" w:name="_Toc296959327"/>
      <w:bookmarkStart w:id="247" w:name="_Toc300671214"/>
      <w:bookmarkStart w:id="248" w:name="_Toc296955865"/>
      <w:bookmarkStart w:id="249" w:name="_Toc17390385"/>
      <w:bookmarkStart w:id="250" w:name="_Toc5889384"/>
      <w:r>
        <w:rPr>
          <w:rFonts w:hint="eastAsia"/>
          <w:b/>
          <w:sz w:val="24"/>
          <w:szCs w:val="24"/>
          <w:highlight w:val="none"/>
        </w:rPr>
        <w:t>保密</w:t>
      </w:r>
      <w:bookmarkEnd w:id="246"/>
      <w:bookmarkEnd w:id="247"/>
      <w:bookmarkEnd w:id="248"/>
      <w:bookmarkEnd w:id="249"/>
      <w:bookmarkEnd w:id="250"/>
    </w:p>
    <w:p>
      <w:pPr>
        <w:widowControl/>
        <w:numPr>
          <w:ilvl w:val="0"/>
          <w:numId w:val="41"/>
        </w:numPr>
        <w:tabs>
          <w:tab w:val="left" w:pos="709"/>
          <w:tab w:val="clear" w:pos="0"/>
        </w:tabs>
        <w:spacing w:line="360" w:lineRule="auto"/>
        <w:ind w:left="709" w:hanging="709"/>
        <w:jc w:val="left"/>
        <w:rPr>
          <w:highlight w:val="none"/>
        </w:rPr>
      </w:pPr>
      <w:r>
        <w:rPr>
          <w:rFonts w:hint="eastAsia"/>
          <w:highlight w:val="none"/>
        </w:rPr>
        <w:t>未经买方同意，卖方不得将买方保密信息披露给任何第三方（包括与合同无关的卖方员工和政府部门），亦不得将该等信息用于与本合同无关的用途。买方保密信息包括但不限于：</w:t>
      </w:r>
    </w:p>
    <w:p>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本合同的内容；</w:t>
      </w:r>
    </w:p>
    <w:p>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与本合同相关的谈判内容；</w:t>
      </w:r>
    </w:p>
    <w:p>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买方提供的与本合同有关的任何技术信息、图纸、样本、资料等；</w:t>
      </w:r>
    </w:p>
    <w:p>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本合同的履行情况；</w:t>
      </w:r>
    </w:p>
    <w:p>
      <w:pPr>
        <w:widowControl/>
        <w:numPr>
          <w:ilvl w:val="0"/>
          <w:numId w:val="42"/>
        </w:numPr>
        <w:tabs>
          <w:tab w:val="left" w:pos="1134"/>
          <w:tab w:val="left" w:pos="3060"/>
          <w:tab w:val="clear" w:pos="900"/>
        </w:tabs>
        <w:spacing w:line="360" w:lineRule="auto"/>
        <w:ind w:left="1134" w:hanging="425"/>
        <w:jc w:val="left"/>
        <w:rPr>
          <w:highlight w:val="none"/>
        </w:rPr>
      </w:pPr>
      <w:r>
        <w:rPr>
          <w:rFonts w:hint="eastAsia"/>
          <w:highlight w:val="none"/>
        </w:rPr>
        <w:t>买方提供的或履行合同过程中卖方获得的与项目或买方有关的任何技术和商务信息。</w:t>
      </w:r>
    </w:p>
    <w:p>
      <w:pPr>
        <w:widowControl/>
        <w:numPr>
          <w:ilvl w:val="0"/>
          <w:numId w:val="41"/>
        </w:numPr>
        <w:tabs>
          <w:tab w:val="left" w:pos="709"/>
          <w:tab w:val="clear" w:pos="0"/>
        </w:tabs>
        <w:spacing w:line="360" w:lineRule="auto"/>
        <w:ind w:left="709" w:hanging="709"/>
        <w:jc w:val="left"/>
        <w:rPr>
          <w:highlight w:val="none"/>
        </w:rPr>
      </w:pPr>
      <w:r>
        <w:rPr>
          <w:rFonts w:hint="eastAsia"/>
          <w:highlight w:val="none"/>
        </w:rPr>
        <w:t>除非买方正常生产经营所致，未经卖方同意，买方不得将卖方保密信息披露给任何第三方（包括与合同无关的买方员工和政府部门），亦不得将该等信息用于与本合同无关的用途，卖方保密信息包括：</w:t>
      </w:r>
    </w:p>
    <w:p>
      <w:pPr>
        <w:widowControl/>
        <w:numPr>
          <w:ilvl w:val="0"/>
          <w:numId w:val="43"/>
        </w:numPr>
        <w:tabs>
          <w:tab w:val="left" w:pos="1134"/>
          <w:tab w:val="left" w:pos="3060"/>
          <w:tab w:val="clear" w:pos="900"/>
        </w:tabs>
        <w:spacing w:line="360" w:lineRule="auto"/>
        <w:ind w:left="1134"/>
        <w:jc w:val="left"/>
        <w:rPr>
          <w:highlight w:val="none"/>
        </w:rPr>
      </w:pPr>
      <w:r>
        <w:rPr>
          <w:rFonts w:hint="eastAsia"/>
          <w:highlight w:val="none"/>
        </w:rPr>
        <w:t>本合同的内容；</w:t>
      </w:r>
    </w:p>
    <w:p>
      <w:pPr>
        <w:widowControl/>
        <w:numPr>
          <w:ilvl w:val="0"/>
          <w:numId w:val="43"/>
        </w:numPr>
        <w:tabs>
          <w:tab w:val="left" w:pos="1134"/>
          <w:tab w:val="left" w:pos="3060"/>
          <w:tab w:val="clear" w:pos="900"/>
        </w:tabs>
        <w:spacing w:line="360" w:lineRule="auto"/>
        <w:ind w:left="1134"/>
        <w:jc w:val="left"/>
        <w:rPr>
          <w:highlight w:val="none"/>
        </w:rPr>
      </w:pPr>
      <w:r>
        <w:rPr>
          <w:rFonts w:hint="eastAsia"/>
          <w:highlight w:val="none"/>
        </w:rPr>
        <w:t>卖方提供的与本合同有关的任何技术信息、图纸、样本、资料；</w:t>
      </w:r>
    </w:p>
    <w:p>
      <w:pPr>
        <w:widowControl/>
        <w:numPr>
          <w:ilvl w:val="0"/>
          <w:numId w:val="43"/>
        </w:numPr>
        <w:tabs>
          <w:tab w:val="left" w:pos="1134"/>
          <w:tab w:val="left" w:pos="3060"/>
          <w:tab w:val="clear" w:pos="900"/>
        </w:tabs>
        <w:spacing w:line="360" w:lineRule="auto"/>
        <w:ind w:left="1134"/>
        <w:jc w:val="left"/>
        <w:rPr>
          <w:highlight w:val="none"/>
        </w:rPr>
      </w:pPr>
      <w:r>
        <w:rPr>
          <w:rFonts w:hint="eastAsia"/>
          <w:highlight w:val="none"/>
        </w:rPr>
        <w:t>卖方提供的或履行合同过程中买方获得的任何与卖方有关的任何技术和商务信息。</w:t>
      </w:r>
    </w:p>
    <w:p>
      <w:pPr>
        <w:tabs>
          <w:tab w:val="left" w:pos="3060"/>
        </w:tabs>
        <w:spacing w:line="360" w:lineRule="auto"/>
        <w:ind w:left="619" w:leftChars="295"/>
        <w:rPr>
          <w:highlight w:val="none"/>
        </w:rPr>
      </w:pPr>
      <w:r>
        <w:rPr>
          <w:rFonts w:hint="eastAsia"/>
          <w:highlight w:val="none"/>
        </w:rPr>
        <w:t>买方有权将上述卖方保密信息提供给实施相关项目或为买方提供相关服务的第三方，买方向第三方披露卖方保密信息以第三方必须获得相关信息并对信息承担保密义务为前提条件。</w:t>
      </w:r>
    </w:p>
    <w:p>
      <w:pPr>
        <w:widowControl/>
        <w:numPr>
          <w:ilvl w:val="0"/>
          <w:numId w:val="41"/>
        </w:numPr>
        <w:tabs>
          <w:tab w:val="left" w:pos="709"/>
          <w:tab w:val="clear" w:pos="0"/>
        </w:tabs>
        <w:spacing w:line="360" w:lineRule="auto"/>
        <w:ind w:left="709" w:hanging="709"/>
        <w:jc w:val="left"/>
        <w:rPr>
          <w:highlight w:val="none"/>
        </w:rPr>
      </w:pPr>
      <w:r>
        <w:rPr>
          <w:rFonts w:hint="eastAsia"/>
          <w:highlight w:val="none"/>
        </w:rPr>
        <w:t>任何一方可在下列情况及范围内披露本属于保密的信息：</w:t>
      </w:r>
    </w:p>
    <w:p>
      <w:pPr>
        <w:widowControl/>
        <w:numPr>
          <w:ilvl w:val="1"/>
          <w:numId w:val="44"/>
        </w:numPr>
        <w:tabs>
          <w:tab w:val="left" w:pos="1134"/>
        </w:tabs>
        <w:spacing w:line="360" w:lineRule="auto"/>
        <w:ind w:left="1134" w:hanging="425"/>
        <w:jc w:val="left"/>
        <w:rPr>
          <w:highlight w:val="none"/>
        </w:rPr>
      </w:pPr>
      <w:r>
        <w:rPr>
          <w:rFonts w:hint="eastAsia"/>
          <w:highlight w:val="none"/>
        </w:rPr>
        <w:t>为履行其在本合同下义务之需要披露给一方员工，但仅限于有合理需要并已作出本条第9.1款或第9.2款承诺的员工；</w:t>
      </w:r>
    </w:p>
    <w:p>
      <w:pPr>
        <w:widowControl/>
        <w:numPr>
          <w:ilvl w:val="1"/>
          <w:numId w:val="44"/>
        </w:numPr>
        <w:tabs>
          <w:tab w:val="left" w:pos="1134"/>
        </w:tabs>
        <w:spacing w:line="360" w:lineRule="auto"/>
        <w:ind w:hanging="839"/>
        <w:jc w:val="left"/>
        <w:rPr>
          <w:highlight w:val="none"/>
        </w:rPr>
      </w:pPr>
      <w:r>
        <w:rPr>
          <w:rFonts w:hint="eastAsia"/>
          <w:highlight w:val="none"/>
        </w:rPr>
        <w:t>任何对披露信息有管辖权的法律法规或政府机关强制要求的披露；</w:t>
      </w:r>
    </w:p>
    <w:p>
      <w:pPr>
        <w:widowControl/>
        <w:numPr>
          <w:ilvl w:val="1"/>
          <w:numId w:val="44"/>
        </w:numPr>
        <w:tabs>
          <w:tab w:val="left" w:pos="1134"/>
        </w:tabs>
        <w:spacing w:line="360" w:lineRule="auto"/>
        <w:ind w:left="1134" w:hanging="425"/>
        <w:jc w:val="left"/>
        <w:rPr>
          <w:highlight w:val="none"/>
        </w:rPr>
      </w:pPr>
      <w:r>
        <w:rPr>
          <w:rFonts w:hint="eastAsia"/>
          <w:highlight w:val="none"/>
        </w:rPr>
        <w:t>为本合同或与本合同有关的索赔而透露给其专业顾问、或其审计人员、或该方的任何实际或潜在的银行或融资方，或向法院、仲裁庭或其它争议解决机构披露；</w:t>
      </w:r>
    </w:p>
    <w:p>
      <w:pPr>
        <w:widowControl/>
        <w:numPr>
          <w:ilvl w:val="1"/>
          <w:numId w:val="44"/>
        </w:numPr>
        <w:tabs>
          <w:tab w:val="left" w:pos="1134"/>
        </w:tabs>
        <w:spacing w:line="360" w:lineRule="auto"/>
        <w:ind w:left="1134" w:hanging="425"/>
        <w:jc w:val="left"/>
        <w:rPr>
          <w:highlight w:val="none"/>
        </w:rPr>
      </w:pPr>
      <w:r>
        <w:rPr>
          <w:rFonts w:hint="eastAsia"/>
          <w:highlight w:val="none"/>
        </w:rPr>
        <w:t>另一方已对此等披露事先给予明确的批准。</w:t>
      </w:r>
    </w:p>
    <w:p>
      <w:pPr>
        <w:widowControl/>
        <w:numPr>
          <w:ilvl w:val="0"/>
          <w:numId w:val="41"/>
        </w:numPr>
        <w:tabs>
          <w:tab w:val="left" w:pos="709"/>
          <w:tab w:val="clear" w:pos="0"/>
        </w:tabs>
        <w:spacing w:line="360" w:lineRule="auto"/>
        <w:ind w:left="709" w:hanging="709"/>
        <w:jc w:val="left"/>
        <w:rPr>
          <w:highlight w:val="none"/>
        </w:rPr>
      </w:pPr>
      <w:r>
        <w:rPr>
          <w:rFonts w:hint="eastAsia"/>
          <w:highlight w:val="none"/>
        </w:rPr>
        <w:t>本条第9.1款和第9.2款不应适用于任何由一方披露的本属于保密的信息，但该信息在被披露时：</w:t>
      </w:r>
    </w:p>
    <w:p>
      <w:pPr>
        <w:widowControl/>
        <w:numPr>
          <w:ilvl w:val="1"/>
          <w:numId w:val="45"/>
        </w:numPr>
        <w:tabs>
          <w:tab w:val="left" w:pos="1134"/>
        </w:tabs>
        <w:spacing w:line="360" w:lineRule="auto"/>
        <w:ind w:left="709" w:firstLine="0"/>
        <w:jc w:val="left"/>
        <w:rPr>
          <w:highlight w:val="none"/>
        </w:rPr>
      </w:pPr>
      <w:r>
        <w:rPr>
          <w:rFonts w:hint="eastAsia"/>
          <w:highlight w:val="none"/>
        </w:rPr>
        <w:t>已进入公众领域；</w:t>
      </w:r>
    </w:p>
    <w:p>
      <w:pPr>
        <w:widowControl/>
        <w:numPr>
          <w:ilvl w:val="1"/>
          <w:numId w:val="45"/>
        </w:numPr>
        <w:tabs>
          <w:tab w:val="left" w:pos="1134"/>
        </w:tabs>
        <w:spacing w:line="360" w:lineRule="auto"/>
        <w:ind w:left="990" w:leftChars="295" w:hanging="371" w:hangingChars="177"/>
        <w:jc w:val="left"/>
        <w:rPr>
          <w:highlight w:val="none"/>
        </w:rPr>
      </w:pPr>
      <w:r>
        <w:rPr>
          <w:rFonts w:hint="eastAsia"/>
          <w:highlight w:val="none"/>
        </w:rPr>
        <w:t>披露方事前已从非另一方的合法途径获得，且对其使用及披露无任何限制；</w:t>
      </w:r>
    </w:p>
    <w:p>
      <w:pPr>
        <w:widowControl/>
        <w:numPr>
          <w:ilvl w:val="1"/>
          <w:numId w:val="45"/>
        </w:numPr>
        <w:tabs>
          <w:tab w:val="left" w:pos="1134"/>
        </w:tabs>
        <w:spacing w:line="360" w:lineRule="auto"/>
        <w:ind w:left="990" w:leftChars="295" w:hanging="371" w:hangingChars="177"/>
        <w:jc w:val="left"/>
        <w:rPr>
          <w:highlight w:val="none"/>
        </w:rPr>
      </w:pPr>
      <w:r>
        <w:rPr>
          <w:rFonts w:hint="eastAsia"/>
          <w:highlight w:val="none"/>
        </w:rPr>
        <w:t>由第三方合法、独立地提供给披露方，且该第三方不受任何对该信息使用或披露的限制。</w:t>
      </w:r>
    </w:p>
    <w:p>
      <w:pPr>
        <w:numPr>
          <w:ilvl w:val="0"/>
          <w:numId w:val="28"/>
        </w:numPr>
        <w:spacing w:before="360" w:after="360"/>
        <w:jc w:val="center"/>
        <w:rPr>
          <w:b/>
          <w:sz w:val="24"/>
          <w:szCs w:val="24"/>
          <w:highlight w:val="none"/>
        </w:rPr>
      </w:pPr>
      <w:bookmarkStart w:id="251" w:name="_Toc291435858"/>
      <w:bookmarkStart w:id="252" w:name="_Toc274075974"/>
      <w:bookmarkStart w:id="253" w:name="_Toc300670815"/>
      <w:bookmarkStart w:id="254" w:name="_Toc278889797"/>
      <w:bookmarkStart w:id="255" w:name="_Toc273388608"/>
      <w:bookmarkStart w:id="256" w:name="_Toc17390386"/>
      <w:bookmarkStart w:id="257" w:name="_Toc296955869"/>
      <w:bookmarkStart w:id="258" w:name="_Toc300670347"/>
      <w:bookmarkStart w:id="259" w:name="_Toc291435925"/>
      <w:bookmarkStart w:id="260" w:name="_Toc300670419"/>
      <w:bookmarkStart w:id="261" w:name="_Toc274668234"/>
      <w:bookmarkStart w:id="262" w:name="_Toc274344109"/>
      <w:bookmarkStart w:id="263" w:name="_Toc273388509"/>
      <w:bookmarkStart w:id="264" w:name="_Toc274403508"/>
      <w:bookmarkStart w:id="265" w:name="_Toc274669175"/>
      <w:bookmarkStart w:id="266" w:name="_Toc5889385"/>
      <w:bookmarkStart w:id="267" w:name="_Toc274754044"/>
      <w:bookmarkStart w:id="268" w:name="_Toc273451794"/>
      <w:bookmarkStart w:id="269" w:name="_Toc274343577"/>
      <w:bookmarkStart w:id="270" w:name="_Toc273458608"/>
      <w:r>
        <w:rPr>
          <w:rFonts w:hint="eastAsia"/>
          <w:b/>
          <w:sz w:val="24"/>
          <w:szCs w:val="24"/>
          <w:highlight w:val="none"/>
        </w:rPr>
        <w:t>技术资料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widowControl/>
        <w:numPr>
          <w:ilvl w:val="0"/>
          <w:numId w:val="46"/>
        </w:numPr>
        <w:tabs>
          <w:tab w:val="left" w:pos="709"/>
        </w:tabs>
        <w:spacing w:line="360" w:lineRule="auto"/>
        <w:ind w:left="619" w:hanging="619" w:hangingChars="295"/>
        <w:jc w:val="left"/>
        <w:rPr>
          <w:highlight w:val="none"/>
        </w:rPr>
      </w:pPr>
      <w:r>
        <w:rPr>
          <w:rFonts w:hint="eastAsia"/>
          <w:highlight w:val="none"/>
        </w:rPr>
        <w:t>卖方应根据本合同的要求和进度交付技术资料。如技术资料不满足合同的要求或交付不符合合同规定的交付进度，卖方应承担违约责任。</w:t>
      </w:r>
    </w:p>
    <w:p>
      <w:pPr>
        <w:widowControl/>
        <w:numPr>
          <w:ilvl w:val="0"/>
          <w:numId w:val="46"/>
        </w:numPr>
        <w:tabs>
          <w:tab w:val="left" w:pos="709"/>
        </w:tabs>
        <w:spacing w:line="360" w:lineRule="auto"/>
        <w:ind w:left="619" w:hanging="619" w:hangingChars="295"/>
        <w:jc w:val="left"/>
        <w:rPr>
          <w:highlight w:val="none"/>
        </w:rPr>
      </w:pPr>
      <w:r>
        <w:rPr>
          <w:rFonts w:hint="eastAsia"/>
          <w:highlight w:val="none"/>
        </w:rPr>
        <w:t>如技术资料缺少、丢失或损坏，卖方应在收到买方通知后七日内补发，因此产生的全部费用由卖方承担。</w:t>
      </w:r>
    </w:p>
    <w:p>
      <w:pPr>
        <w:widowControl/>
        <w:numPr>
          <w:ilvl w:val="0"/>
          <w:numId w:val="46"/>
        </w:numPr>
        <w:tabs>
          <w:tab w:val="left" w:pos="709"/>
        </w:tabs>
        <w:spacing w:line="360" w:lineRule="auto"/>
        <w:ind w:left="619" w:hanging="619" w:hangingChars="295"/>
        <w:jc w:val="left"/>
        <w:rPr>
          <w:highlight w:val="none"/>
        </w:rPr>
      </w:pPr>
      <w:r>
        <w:rPr>
          <w:rFonts w:hint="eastAsia"/>
          <w:highlight w:val="none"/>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pPr>
        <w:numPr>
          <w:ilvl w:val="0"/>
          <w:numId w:val="28"/>
        </w:numPr>
        <w:spacing w:before="360" w:after="360"/>
        <w:jc w:val="center"/>
        <w:rPr>
          <w:b/>
          <w:sz w:val="24"/>
          <w:szCs w:val="24"/>
          <w:highlight w:val="none"/>
        </w:rPr>
      </w:pPr>
      <w:bookmarkStart w:id="271" w:name="_Toc273388512"/>
      <w:bookmarkStart w:id="272" w:name="_Toc273388611"/>
      <w:bookmarkStart w:id="273" w:name="_Toc5889386"/>
      <w:bookmarkStart w:id="274" w:name="_Toc300670816"/>
      <w:bookmarkStart w:id="275" w:name="_Toc278889798"/>
      <w:bookmarkStart w:id="276" w:name="_Toc274344111"/>
      <w:bookmarkStart w:id="277" w:name="_Toc274403510"/>
      <w:bookmarkStart w:id="278" w:name="_Toc17390387"/>
      <w:bookmarkStart w:id="279" w:name="_Toc274754046"/>
      <w:bookmarkStart w:id="280" w:name="_Toc296955870"/>
      <w:bookmarkStart w:id="281" w:name="_Toc291435859"/>
      <w:bookmarkStart w:id="282" w:name="_Toc274343579"/>
      <w:bookmarkStart w:id="283" w:name="_Toc273451797"/>
      <w:bookmarkStart w:id="284" w:name="_Toc291435926"/>
      <w:bookmarkStart w:id="285" w:name="_Toc300670348"/>
      <w:bookmarkStart w:id="286" w:name="_Toc300670420"/>
      <w:bookmarkStart w:id="287" w:name="_Toc274668236"/>
      <w:bookmarkStart w:id="288" w:name="_Toc274075978"/>
      <w:bookmarkStart w:id="289" w:name="_Toc274669177"/>
      <w:bookmarkStart w:id="290" w:name="_Toc273458611"/>
      <w:r>
        <w:rPr>
          <w:rFonts w:hint="eastAsia"/>
          <w:b/>
          <w:sz w:val="24"/>
          <w:szCs w:val="24"/>
          <w:highlight w:val="none"/>
        </w:rPr>
        <w:t>包装和标识</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widowControl/>
        <w:numPr>
          <w:ilvl w:val="0"/>
          <w:numId w:val="47"/>
        </w:numPr>
        <w:tabs>
          <w:tab w:val="left" w:pos="709"/>
        </w:tabs>
        <w:spacing w:line="360" w:lineRule="auto"/>
        <w:ind w:left="709" w:hanging="709"/>
        <w:jc w:val="left"/>
        <w:rPr>
          <w:highlight w:val="none"/>
        </w:rPr>
      </w:pPr>
      <w:r>
        <w:rPr>
          <w:rFonts w:hint="eastAsia"/>
          <w:highlight w:val="none"/>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91" w:name="_DV_M380"/>
      <w:bookmarkEnd w:id="291"/>
      <w:r>
        <w:rPr>
          <w:rFonts w:hint="eastAsia"/>
          <w:highlight w:val="none"/>
        </w:rPr>
        <w:t>。</w:t>
      </w:r>
    </w:p>
    <w:p>
      <w:pPr>
        <w:widowControl/>
        <w:numPr>
          <w:ilvl w:val="0"/>
          <w:numId w:val="47"/>
        </w:numPr>
        <w:tabs>
          <w:tab w:val="left" w:pos="709"/>
        </w:tabs>
        <w:spacing w:line="360" w:lineRule="auto"/>
        <w:ind w:left="709" w:hanging="709"/>
        <w:jc w:val="left"/>
        <w:rPr>
          <w:highlight w:val="none"/>
        </w:rPr>
      </w:pPr>
      <w:r>
        <w:rPr>
          <w:rFonts w:hint="eastAsia"/>
          <w:highlight w:val="none"/>
        </w:rPr>
        <w:t>各种货物的备品备件和散装零部件应采用与其形状和性质相适应的包装方式，装入尺寸适当的包装箱。发送货物时，应将该等备品备件和散装零部件一并发送。</w:t>
      </w:r>
    </w:p>
    <w:p>
      <w:pPr>
        <w:widowControl/>
        <w:numPr>
          <w:ilvl w:val="0"/>
          <w:numId w:val="47"/>
        </w:numPr>
        <w:tabs>
          <w:tab w:val="left" w:pos="709"/>
        </w:tabs>
        <w:spacing w:line="360" w:lineRule="auto"/>
        <w:ind w:left="709" w:hanging="709"/>
        <w:jc w:val="left"/>
        <w:rPr>
          <w:highlight w:val="none"/>
        </w:rPr>
      </w:pPr>
      <w:r>
        <w:rPr>
          <w:rFonts w:hint="eastAsia"/>
          <w:highlight w:val="none"/>
        </w:rPr>
        <w:t>卖方对包装箱内或包装捆内的各散装部件应在装配图中将部件号、零件号相应标记清楚。</w:t>
      </w:r>
      <w:bookmarkStart w:id="292" w:name="_DV_C668"/>
      <w:r>
        <w:rPr>
          <w:rFonts w:hint="eastAsia"/>
          <w:highlight w:val="none"/>
        </w:rPr>
        <w:t>备件和工具除注明上述内容外，应注明“备件”和“工具”字样。</w:t>
      </w:r>
      <w:bookmarkEnd w:id="292"/>
    </w:p>
    <w:p>
      <w:pPr>
        <w:widowControl/>
        <w:numPr>
          <w:ilvl w:val="0"/>
          <w:numId w:val="47"/>
        </w:numPr>
        <w:tabs>
          <w:tab w:val="left" w:pos="709"/>
        </w:tabs>
        <w:spacing w:line="360" w:lineRule="auto"/>
        <w:ind w:left="709" w:hanging="709"/>
        <w:jc w:val="left"/>
        <w:rPr>
          <w:highlight w:val="none"/>
        </w:rPr>
      </w:pPr>
      <w:r>
        <w:rPr>
          <w:rFonts w:hint="eastAsia"/>
          <w:highlight w:val="none"/>
        </w:rPr>
        <w:t>除铁路专用包装箱外，其它包装物不再返还卖方。如果卖方要求返还铁路专用包装箱，相关费用由卖方承担。</w:t>
      </w:r>
    </w:p>
    <w:p>
      <w:pPr>
        <w:widowControl/>
        <w:numPr>
          <w:ilvl w:val="0"/>
          <w:numId w:val="47"/>
        </w:numPr>
        <w:tabs>
          <w:tab w:val="left" w:pos="709"/>
        </w:tabs>
        <w:spacing w:line="360" w:lineRule="auto"/>
        <w:ind w:left="709" w:hanging="709"/>
        <w:jc w:val="left"/>
        <w:rPr>
          <w:highlight w:val="none"/>
        </w:rPr>
      </w:pPr>
      <w:r>
        <w:rPr>
          <w:rFonts w:hint="eastAsia"/>
          <w:highlight w:val="none"/>
        </w:rPr>
        <w:t>对于无包装的裸装货物，卖方应配备充足的货物支架或垫木，并应采取必要的防潮、防晒、防锈、防腐蚀、防震动、防野蛮装卸及其它损坏的必要保护措施，确保货物能够经受多次搬运、装卸及远洋和内陆长途运输。</w:t>
      </w:r>
    </w:p>
    <w:p>
      <w:pPr>
        <w:numPr>
          <w:ilvl w:val="0"/>
          <w:numId w:val="28"/>
        </w:numPr>
        <w:spacing w:before="360" w:after="360"/>
        <w:jc w:val="center"/>
        <w:rPr>
          <w:b/>
          <w:sz w:val="24"/>
          <w:szCs w:val="24"/>
          <w:highlight w:val="none"/>
        </w:rPr>
      </w:pPr>
      <w:bookmarkStart w:id="293" w:name="_Toc291435927"/>
      <w:bookmarkEnd w:id="293"/>
      <w:bookmarkStart w:id="294" w:name="_Toc291436344"/>
      <w:bookmarkEnd w:id="294"/>
      <w:bookmarkStart w:id="295" w:name="_Toc291435860"/>
      <w:bookmarkEnd w:id="295"/>
      <w:bookmarkStart w:id="296" w:name="_Toc291436283"/>
      <w:bookmarkEnd w:id="296"/>
      <w:bookmarkStart w:id="297" w:name="_Toc274403511"/>
      <w:bookmarkStart w:id="298" w:name="_Toc17390388"/>
      <w:bookmarkStart w:id="299" w:name="_Toc291435928"/>
      <w:bookmarkStart w:id="300" w:name="_Toc291435861"/>
      <w:bookmarkStart w:id="301" w:name="_Toc300670817"/>
      <w:bookmarkStart w:id="302" w:name="_Toc274669178"/>
      <w:bookmarkStart w:id="303" w:name="_Toc274343580"/>
      <w:bookmarkStart w:id="304" w:name="_Toc274668237"/>
      <w:bookmarkStart w:id="305" w:name="_Toc5889387"/>
      <w:bookmarkStart w:id="306" w:name="_Toc278889799"/>
      <w:bookmarkStart w:id="307" w:name="_Toc300670349"/>
      <w:bookmarkStart w:id="308" w:name="_Toc274754047"/>
      <w:bookmarkStart w:id="309" w:name="_Toc274344112"/>
      <w:bookmarkStart w:id="310" w:name="_Toc300670421"/>
      <w:bookmarkStart w:id="311" w:name="_Toc296955871"/>
      <w:r>
        <w:rPr>
          <w:rFonts w:hint="eastAsia"/>
          <w:b/>
          <w:sz w:val="24"/>
          <w:szCs w:val="24"/>
          <w:highlight w:val="none"/>
        </w:rPr>
        <w:t>技术服务</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widowControl/>
        <w:numPr>
          <w:ilvl w:val="0"/>
          <w:numId w:val="48"/>
        </w:numPr>
        <w:tabs>
          <w:tab w:val="left" w:pos="709"/>
        </w:tabs>
        <w:spacing w:line="360" w:lineRule="auto"/>
        <w:ind w:left="709" w:hanging="709"/>
        <w:jc w:val="left"/>
        <w:rPr>
          <w:highlight w:val="none"/>
        </w:rPr>
      </w:pPr>
      <w:r>
        <w:rPr>
          <w:rFonts w:hint="eastAsia"/>
          <w:highlight w:val="none"/>
        </w:rPr>
        <w:t>卖方应及时、有效、准确提供技术服务，及时回复、解决买方提出的与货物有关的技术问题。卖方应承担因提供技术服务发生的全部费用。</w:t>
      </w:r>
    </w:p>
    <w:p>
      <w:pPr>
        <w:widowControl/>
        <w:numPr>
          <w:ilvl w:val="0"/>
          <w:numId w:val="48"/>
        </w:numPr>
        <w:tabs>
          <w:tab w:val="left" w:pos="709"/>
        </w:tabs>
        <w:spacing w:line="360" w:lineRule="auto"/>
        <w:ind w:left="709" w:hanging="709"/>
        <w:jc w:val="left"/>
        <w:rPr>
          <w:highlight w:val="none"/>
        </w:rPr>
      </w:pPr>
      <w:r>
        <w:rPr>
          <w:rFonts w:hint="eastAsia"/>
          <w:highlight w:val="none"/>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pPr>
        <w:widowControl/>
        <w:numPr>
          <w:ilvl w:val="0"/>
          <w:numId w:val="48"/>
        </w:numPr>
        <w:tabs>
          <w:tab w:val="left" w:pos="709"/>
        </w:tabs>
        <w:spacing w:line="360" w:lineRule="auto"/>
        <w:ind w:left="709" w:hanging="709"/>
        <w:jc w:val="left"/>
        <w:rPr>
          <w:highlight w:val="none"/>
        </w:rPr>
      </w:pPr>
      <w:r>
        <w:rPr>
          <w:rFonts w:hint="eastAsia"/>
          <w:highlight w:val="none"/>
        </w:rPr>
        <w:t>卖方应对与本合同有关的供货、设备及技术接口、技术资料、技术服务等全部问题负责。</w:t>
      </w:r>
    </w:p>
    <w:p>
      <w:pPr>
        <w:numPr>
          <w:ilvl w:val="0"/>
          <w:numId w:val="48"/>
        </w:numPr>
        <w:tabs>
          <w:tab w:val="left" w:pos="709"/>
        </w:tabs>
        <w:autoSpaceDE w:val="0"/>
        <w:autoSpaceDN w:val="0"/>
        <w:adjustRightInd w:val="0"/>
        <w:spacing w:line="360" w:lineRule="auto"/>
        <w:ind w:left="709" w:hanging="709"/>
        <w:rPr>
          <w:highlight w:val="none"/>
        </w:rPr>
      </w:pPr>
      <w:bookmarkStart w:id="312" w:name="_DV_C687"/>
      <w:r>
        <w:rPr>
          <w:rFonts w:hint="eastAsia"/>
          <w:highlight w:val="none"/>
        </w:rPr>
        <w:t>如果买方认为卖方指派的服务人员提供的技术服务无法满足本合同的要求，卖方应无条件立即更换服务人员，由此产生的额外费用由卖方承担。</w:t>
      </w:r>
      <w:bookmarkEnd w:id="312"/>
      <w:r>
        <w:rPr>
          <w:rFonts w:hint="eastAsia"/>
          <w:highlight w:val="none"/>
        </w:rPr>
        <w:t>如果卖方未在买方要求的期限内更换服务人员，买方有权立即解除本合同并无须承担任何责任。</w:t>
      </w:r>
    </w:p>
    <w:p>
      <w:pPr>
        <w:numPr>
          <w:ilvl w:val="0"/>
          <w:numId w:val="28"/>
        </w:numPr>
        <w:spacing w:before="360" w:after="360"/>
        <w:jc w:val="center"/>
        <w:rPr>
          <w:b/>
          <w:sz w:val="24"/>
          <w:szCs w:val="24"/>
          <w:highlight w:val="none"/>
        </w:rPr>
      </w:pPr>
      <w:bookmarkStart w:id="313" w:name="_Toc296804725"/>
      <w:bookmarkEnd w:id="313"/>
      <w:bookmarkStart w:id="314" w:name="_Toc17390389"/>
      <w:bookmarkStart w:id="315" w:name="_Toc300671210"/>
      <w:bookmarkStart w:id="316" w:name="_Toc5889388"/>
      <w:bookmarkStart w:id="317" w:name="_Toc288567151"/>
      <w:r>
        <w:rPr>
          <w:rFonts w:hint="eastAsia"/>
          <w:b/>
          <w:sz w:val="24"/>
          <w:szCs w:val="24"/>
          <w:highlight w:val="none"/>
        </w:rPr>
        <w:t>调试和测试</w:t>
      </w:r>
      <w:bookmarkEnd w:id="314"/>
      <w:bookmarkEnd w:id="315"/>
      <w:bookmarkEnd w:id="316"/>
      <w:bookmarkEnd w:id="317"/>
    </w:p>
    <w:p>
      <w:pPr>
        <w:numPr>
          <w:ilvl w:val="0"/>
          <w:numId w:val="49"/>
        </w:numPr>
        <w:tabs>
          <w:tab w:val="left" w:pos="720"/>
          <w:tab w:val="clear" w:pos="1468"/>
        </w:tabs>
        <w:spacing w:line="360" w:lineRule="auto"/>
        <w:ind w:left="720" w:hanging="720"/>
        <w:rPr>
          <w:highlight w:val="none"/>
        </w:rPr>
      </w:pPr>
      <w:r>
        <w:rPr>
          <w:rFonts w:hint="eastAsia" w:cs="宋体"/>
          <w:highlight w:val="none"/>
        </w:rPr>
        <w:t>买方有权根据具体情况要求卖方为本合同项下货物提供一定期限的调试和测试期。调试和测试期自买方对货物进行验收后开始，具体的调试和测试期由双方根据货物情况协商确定。</w:t>
      </w:r>
    </w:p>
    <w:p>
      <w:pPr>
        <w:numPr>
          <w:ilvl w:val="0"/>
          <w:numId w:val="49"/>
        </w:numPr>
        <w:tabs>
          <w:tab w:val="left" w:pos="720"/>
          <w:tab w:val="clear" w:pos="1468"/>
        </w:tabs>
        <w:spacing w:line="360" w:lineRule="auto"/>
        <w:ind w:left="720" w:hanging="720"/>
        <w:rPr>
          <w:highlight w:val="none"/>
        </w:rPr>
      </w:pPr>
      <w:r>
        <w:rPr>
          <w:rFonts w:hint="eastAsia" w:cs="宋体"/>
          <w:highlight w:val="none"/>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pPr>
        <w:numPr>
          <w:ilvl w:val="0"/>
          <w:numId w:val="49"/>
        </w:numPr>
        <w:tabs>
          <w:tab w:val="left" w:pos="720"/>
          <w:tab w:val="clear" w:pos="1468"/>
        </w:tabs>
        <w:spacing w:line="360" w:lineRule="auto"/>
        <w:ind w:left="720" w:hanging="720"/>
        <w:rPr>
          <w:highlight w:val="none"/>
        </w:rPr>
      </w:pPr>
      <w:r>
        <w:rPr>
          <w:rFonts w:hint="eastAsia" w:cs="宋体"/>
          <w:highlight w:val="none"/>
        </w:rPr>
        <w:t>调试和测试过程中，如发现卖方提供的货物有质量问题或不符合买方对该货物的特殊要求的，买方有权要求卖方负责更换、修理不合格的货物或其部件，直至退还全部合同价款。</w:t>
      </w:r>
    </w:p>
    <w:bookmarkEnd w:id="232"/>
    <w:bookmarkEnd w:id="233"/>
    <w:bookmarkEnd w:id="234"/>
    <w:bookmarkEnd w:id="235"/>
    <w:bookmarkEnd w:id="236"/>
    <w:bookmarkEnd w:id="237"/>
    <w:bookmarkEnd w:id="238"/>
    <w:bookmarkEnd w:id="239"/>
    <w:bookmarkEnd w:id="240"/>
    <w:bookmarkEnd w:id="241"/>
    <w:bookmarkEnd w:id="242"/>
    <w:bookmarkEnd w:id="243"/>
    <w:bookmarkEnd w:id="244"/>
    <w:p>
      <w:pPr>
        <w:numPr>
          <w:ilvl w:val="0"/>
          <w:numId w:val="28"/>
        </w:numPr>
        <w:spacing w:before="360" w:after="360"/>
        <w:jc w:val="center"/>
        <w:rPr>
          <w:b/>
          <w:sz w:val="24"/>
          <w:szCs w:val="24"/>
          <w:highlight w:val="none"/>
        </w:rPr>
      </w:pPr>
      <w:bookmarkStart w:id="318" w:name="_Toc274075980"/>
      <w:bookmarkStart w:id="319" w:name="_Toc17390390"/>
      <w:bookmarkStart w:id="320" w:name="_Toc274403515"/>
      <w:bookmarkStart w:id="321" w:name="_Toc273451799"/>
      <w:bookmarkStart w:id="322" w:name="_Toc273388613"/>
      <w:bookmarkStart w:id="323" w:name="_Toc300671216"/>
      <w:bookmarkStart w:id="324" w:name="_Toc288567157"/>
      <w:bookmarkStart w:id="325" w:name="_Toc5889389"/>
      <w:bookmarkStart w:id="326" w:name="_Toc276160326"/>
      <w:bookmarkStart w:id="327" w:name="_Toc273388514"/>
      <w:bookmarkStart w:id="328" w:name="_Toc274344115"/>
      <w:bookmarkStart w:id="329" w:name="_Toc273458613"/>
      <w:bookmarkStart w:id="330" w:name="_Toc274343583"/>
      <w:r>
        <w:rPr>
          <w:rFonts w:hint="eastAsia"/>
          <w:b/>
          <w:sz w:val="24"/>
          <w:szCs w:val="24"/>
          <w:highlight w:val="none"/>
        </w:rPr>
        <w:t>风险和所有权的转移</w:t>
      </w:r>
      <w:bookmarkEnd w:id="318"/>
      <w:bookmarkEnd w:id="319"/>
      <w:bookmarkEnd w:id="320"/>
      <w:bookmarkEnd w:id="321"/>
      <w:bookmarkEnd w:id="322"/>
      <w:bookmarkEnd w:id="323"/>
      <w:bookmarkEnd w:id="324"/>
      <w:bookmarkEnd w:id="325"/>
      <w:bookmarkEnd w:id="326"/>
      <w:bookmarkEnd w:id="327"/>
      <w:bookmarkEnd w:id="328"/>
      <w:bookmarkEnd w:id="329"/>
      <w:bookmarkEnd w:id="330"/>
    </w:p>
    <w:p>
      <w:pPr>
        <w:widowControl/>
        <w:numPr>
          <w:ilvl w:val="0"/>
          <w:numId w:val="50"/>
        </w:numPr>
        <w:tabs>
          <w:tab w:val="left" w:pos="709"/>
        </w:tabs>
        <w:spacing w:line="360" w:lineRule="auto"/>
        <w:ind w:left="619" w:hanging="619" w:hangingChars="295"/>
        <w:jc w:val="left"/>
        <w:rPr>
          <w:highlight w:val="none"/>
        </w:rPr>
      </w:pPr>
      <w:r>
        <w:rPr>
          <w:rFonts w:hint="eastAsia"/>
          <w:highlight w:val="none"/>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widowControl/>
        <w:numPr>
          <w:ilvl w:val="0"/>
          <w:numId w:val="50"/>
        </w:numPr>
        <w:tabs>
          <w:tab w:val="left" w:pos="709"/>
        </w:tabs>
        <w:spacing w:line="360" w:lineRule="auto"/>
        <w:ind w:left="619" w:hanging="619" w:hangingChars="295"/>
        <w:jc w:val="left"/>
        <w:rPr>
          <w:highlight w:val="none"/>
        </w:rPr>
      </w:pPr>
      <w:r>
        <w:rPr>
          <w:rFonts w:hint="eastAsia"/>
          <w:highlight w:val="none"/>
        </w:rPr>
        <w:t>卖方在约定交货地点交货后，货物的所有权转移至买方。如果货物的风险系因卖方违反合同规定、卖方的过错或者其它可归咎于卖方的原因造成的，货物的风险由卖方承担。</w:t>
      </w:r>
    </w:p>
    <w:p>
      <w:pPr>
        <w:numPr>
          <w:ilvl w:val="0"/>
          <w:numId w:val="28"/>
        </w:numPr>
        <w:spacing w:before="360" w:after="360"/>
        <w:jc w:val="center"/>
        <w:rPr>
          <w:b/>
          <w:sz w:val="24"/>
          <w:szCs w:val="24"/>
          <w:highlight w:val="none"/>
        </w:rPr>
      </w:pPr>
      <w:bookmarkStart w:id="331" w:name="_Toc300671217"/>
      <w:bookmarkStart w:id="332" w:name="_Toc5889390"/>
      <w:bookmarkStart w:id="333" w:name="_Toc276160327"/>
      <w:bookmarkStart w:id="334" w:name="_Toc288567158"/>
      <w:bookmarkStart w:id="335" w:name="_Toc17390391"/>
      <w:r>
        <w:rPr>
          <w:rFonts w:hint="eastAsia"/>
          <w:b/>
          <w:sz w:val="24"/>
          <w:szCs w:val="24"/>
          <w:highlight w:val="none"/>
        </w:rPr>
        <w:t>质量保证</w:t>
      </w:r>
      <w:bookmarkEnd w:id="331"/>
      <w:bookmarkEnd w:id="332"/>
      <w:bookmarkEnd w:id="333"/>
      <w:bookmarkEnd w:id="334"/>
      <w:bookmarkEnd w:id="335"/>
    </w:p>
    <w:p>
      <w:pPr>
        <w:numPr>
          <w:ilvl w:val="0"/>
          <w:numId w:val="51"/>
        </w:numPr>
        <w:tabs>
          <w:tab w:val="left" w:pos="720"/>
          <w:tab w:val="clear" w:pos="1468"/>
        </w:tabs>
        <w:spacing w:line="360" w:lineRule="auto"/>
        <w:ind w:left="720" w:hanging="720"/>
        <w:rPr>
          <w:highlight w:val="none"/>
        </w:rPr>
      </w:pPr>
      <w:r>
        <w:rPr>
          <w:rFonts w:hint="eastAsia" w:cs="宋体"/>
          <w:highlight w:val="none"/>
        </w:rPr>
        <w:t>卖方特此保证：</w:t>
      </w:r>
    </w:p>
    <w:p>
      <w:pPr>
        <w:widowControl/>
        <w:numPr>
          <w:ilvl w:val="1"/>
          <w:numId w:val="51"/>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货物符合本合同规定的技术、规范、质量、设计、标准、规格、材料、计算、参数、性能值、数据等要求，性能稳定、可靠，达到承诺的性能保证值，不存在任何缺陷；</w:t>
      </w:r>
    </w:p>
    <w:p>
      <w:pPr>
        <w:widowControl/>
        <w:numPr>
          <w:ilvl w:val="1"/>
          <w:numId w:val="51"/>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货物采用先进技术制造，具备优良的制造工艺和水平，其设计、制造不存在任何缺陷；</w:t>
      </w:r>
    </w:p>
    <w:p>
      <w:pPr>
        <w:widowControl/>
        <w:numPr>
          <w:ilvl w:val="1"/>
          <w:numId w:val="51"/>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货物是崭新、从未使用过的货物，其材质不存在任何缺陷。</w:t>
      </w:r>
    </w:p>
    <w:p>
      <w:pPr>
        <w:numPr>
          <w:ilvl w:val="0"/>
          <w:numId w:val="51"/>
        </w:numPr>
        <w:tabs>
          <w:tab w:val="left" w:pos="720"/>
          <w:tab w:val="clear" w:pos="1468"/>
        </w:tabs>
        <w:spacing w:line="360" w:lineRule="auto"/>
        <w:ind w:left="720" w:hanging="720"/>
        <w:rPr>
          <w:highlight w:val="none"/>
        </w:rPr>
      </w:pPr>
      <w:r>
        <w:rPr>
          <w:rFonts w:hint="eastAsia" w:cs="宋体"/>
          <w:highlight w:val="none"/>
        </w:rPr>
        <w:t>卖方对货物的质保责任</w:t>
      </w:r>
    </w:p>
    <w:p>
      <w:pPr>
        <w:widowControl/>
        <w:numPr>
          <w:ilvl w:val="1"/>
          <w:numId w:val="52"/>
        </w:numPr>
        <w:spacing w:line="360" w:lineRule="auto"/>
        <w:ind w:left="1200" w:hanging="425"/>
        <w:jc w:val="left"/>
        <w:rPr>
          <w:highlight w:val="none"/>
        </w:rPr>
      </w:pPr>
      <w:r>
        <w:rPr>
          <w:rFonts w:hint="eastAsia" w:cs="宋体"/>
          <w:highlight w:val="none"/>
        </w:rPr>
        <w:t>质保期内，如发现货物违反本条项下任何保证或存在任何缺陷，买方应及时书面通知卖方，卖方应：</w:t>
      </w:r>
    </w:p>
    <w:p>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在一日内提出合理的紧急处理建议；</w:t>
      </w:r>
    </w:p>
    <w:p>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在二日内派遣合格的技术人员到现场进行免费检查；</w:t>
      </w:r>
    </w:p>
    <w:p>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在三日内采取合理的临时紧急措施防止缺陷或损害扩大；</w:t>
      </w:r>
    </w:p>
    <w:p>
      <w:pPr>
        <w:widowControl/>
        <w:numPr>
          <w:ilvl w:val="0"/>
          <w:numId w:val="53"/>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对有缺陷的部分或全部货物，根据买方要求，采用符合本合同规定的规格、质量、性能要求的新设备、材料、零部件等无偿进行修复、更换。</w:t>
      </w:r>
    </w:p>
    <w:p>
      <w:pPr>
        <w:widowControl/>
        <w:numPr>
          <w:ilvl w:val="1"/>
          <w:numId w:val="52"/>
        </w:numPr>
        <w:spacing w:line="360" w:lineRule="auto"/>
        <w:ind w:left="1200" w:hanging="425"/>
        <w:jc w:val="left"/>
        <w:rPr>
          <w:highlight w:val="none"/>
        </w:rPr>
      </w:pPr>
      <w:r>
        <w:rPr>
          <w:rFonts w:hint="eastAsia" w:cs="宋体"/>
          <w:highlight w:val="none"/>
        </w:rPr>
        <w:t>对于任何在现场进行的修复或更换，卖方应在收到货物缺陷通知后十五日内完成。如货物缺陷无法在现场修复，经买方同意后，卖方应自行承担费用将相关货物或者货物部件运输到现场以外的地点修复，卖方应承担该等货物或者货物部件在运输和修理过程中的风险</w:t>
      </w:r>
      <w:bookmarkStart w:id="336" w:name="_DV_M436"/>
      <w:bookmarkEnd w:id="336"/>
      <w:r>
        <w:rPr>
          <w:rFonts w:hint="eastAsia" w:cs="宋体"/>
          <w:highlight w:val="none"/>
        </w:rPr>
        <w:t>。如相关货物或者货物部件的制造或修复周期较长，买卖双方应协商确定修复或更换期限；如双方无法就期限达成一致，买方有权自行决定合理的修复或更换期限。</w:t>
      </w:r>
    </w:p>
    <w:p>
      <w:pPr>
        <w:widowControl/>
        <w:numPr>
          <w:ilvl w:val="1"/>
          <w:numId w:val="52"/>
        </w:numPr>
        <w:spacing w:line="360" w:lineRule="auto"/>
        <w:ind w:left="1200" w:hanging="425"/>
        <w:jc w:val="left"/>
        <w:rPr>
          <w:highlight w:val="none"/>
        </w:rPr>
      </w:pPr>
      <w:r>
        <w:rPr>
          <w:rFonts w:hint="eastAsia" w:cs="宋体"/>
          <w:highlight w:val="none"/>
        </w:rPr>
        <w:t>如</w:t>
      </w:r>
      <w:r>
        <w:rPr>
          <w:highlight w:val="none"/>
        </w:rPr>
        <w:t>(i)</w:t>
      </w:r>
      <w:r>
        <w:rPr>
          <w:rFonts w:hint="eastAsia" w:cs="宋体"/>
          <w:highlight w:val="none"/>
        </w:rPr>
        <w:t>卖方收到货物缺陷通知后三日内未进行任何回复；</w:t>
      </w:r>
      <w:r>
        <w:rPr>
          <w:highlight w:val="none"/>
        </w:rPr>
        <w:t>(ii)</w:t>
      </w:r>
      <w:r>
        <w:rPr>
          <w:rFonts w:hint="eastAsia" w:cs="宋体"/>
          <w:highlight w:val="none"/>
        </w:rPr>
        <w:t>卖方未在上述规定的时间内完成修复或更换；或</w:t>
      </w:r>
      <w:r>
        <w:rPr>
          <w:highlight w:val="none"/>
        </w:rPr>
        <w:t>(iii)</w:t>
      </w:r>
      <w:r>
        <w:rPr>
          <w:rFonts w:hint="eastAsia" w:cs="宋体"/>
          <w:highlight w:val="none"/>
        </w:rPr>
        <w:t>经修复或更换的货物仍存在缺陷或不符合合同规定，买方有权自行决定采取以下措施：</w:t>
      </w:r>
    </w:p>
    <w:p>
      <w:pPr>
        <w:widowControl/>
        <w:numPr>
          <w:ilvl w:val="0"/>
          <w:numId w:val="54"/>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自行（包括聘请第三方）消除货物缺陷，但买方对此不承担任何责任。卖方应承担因此发生的全部费用，包括但不限于向任何第三方支付的费用、设备费用、材料费用、零部件费用等。</w:t>
      </w:r>
    </w:p>
    <w:p>
      <w:pPr>
        <w:widowControl/>
        <w:numPr>
          <w:ilvl w:val="0"/>
          <w:numId w:val="54"/>
        </w:numPr>
        <w:tabs>
          <w:tab w:val="left" w:pos="1680"/>
          <w:tab w:val="clear" w:pos="780"/>
        </w:tabs>
        <w:autoSpaceDE w:val="0"/>
        <w:autoSpaceDN w:val="0"/>
        <w:adjustRightInd w:val="0"/>
        <w:spacing w:line="360" w:lineRule="auto"/>
        <w:ind w:left="1680" w:hanging="480"/>
        <w:jc w:val="left"/>
        <w:textAlignment w:val="bottom"/>
        <w:rPr>
          <w:highlight w:val="none"/>
        </w:rPr>
      </w:pPr>
      <w:bookmarkStart w:id="337" w:name="_DV_C746"/>
      <w:r>
        <w:rPr>
          <w:rFonts w:hint="eastAsia" w:cs="宋体"/>
          <w:highlight w:val="none"/>
        </w:rPr>
        <w:t>直接扣减合同价款或要求卖方退还部分合同价款。</w:t>
      </w:r>
      <w:bookmarkEnd w:id="337"/>
    </w:p>
    <w:p>
      <w:pPr>
        <w:widowControl/>
        <w:numPr>
          <w:ilvl w:val="0"/>
          <w:numId w:val="54"/>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要求退货，卖方应退还买方已经支付的全部合同价款，并赔偿买方因此遭受的全部损失。</w:t>
      </w:r>
    </w:p>
    <w:p>
      <w:pPr>
        <w:widowControl/>
        <w:numPr>
          <w:ilvl w:val="1"/>
          <w:numId w:val="52"/>
        </w:numPr>
        <w:spacing w:line="360" w:lineRule="auto"/>
        <w:ind w:left="1200" w:hanging="425"/>
        <w:jc w:val="left"/>
        <w:rPr>
          <w:highlight w:val="none"/>
        </w:rPr>
      </w:pPr>
      <w:r>
        <w:rPr>
          <w:rFonts w:hint="eastAsia" w:cs="宋体"/>
          <w:highlight w:val="none"/>
        </w:rPr>
        <w:t>修复、更换后的货物应根据本合同的标准进行检测，并符合本合同规定的规范、技术、质量和性能等要求。</w:t>
      </w:r>
    </w:p>
    <w:p>
      <w:pPr>
        <w:widowControl/>
        <w:numPr>
          <w:ilvl w:val="1"/>
          <w:numId w:val="52"/>
        </w:numPr>
        <w:spacing w:line="360" w:lineRule="auto"/>
        <w:ind w:left="1200" w:hanging="425"/>
        <w:jc w:val="left"/>
        <w:rPr>
          <w:highlight w:val="none"/>
        </w:rPr>
      </w:pPr>
      <w:r>
        <w:rPr>
          <w:rFonts w:hint="eastAsia" w:cs="宋体"/>
          <w:highlight w:val="none"/>
        </w:rPr>
        <w:t>经修复或更换的货物的设备、零部件或材料的质保期应从修复或更换完成之日起重新计算。质保期内，如因货物缺陷造成任何设备停机，该等设备的质保期期应相应延长。</w:t>
      </w:r>
    </w:p>
    <w:p>
      <w:pPr>
        <w:widowControl/>
        <w:numPr>
          <w:ilvl w:val="1"/>
          <w:numId w:val="52"/>
        </w:numPr>
        <w:spacing w:line="360" w:lineRule="auto"/>
        <w:ind w:left="1200" w:hanging="425"/>
        <w:jc w:val="left"/>
        <w:rPr>
          <w:highlight w:val="none"/>
        </w:rPr>
      </w:pPr>
      <w:r>
        <w:rPr>
          <w:rFonts w:hint="eastAsia" w:cs="宋体"/>
          <w:highlight w:val="none"/>
        </w:rPr>
        <w:t>如买方在质保期届满后三十日内发出货物缺陷通知，应视为在质保期内发出的有效通知。</w:t>
      </w:r>
    </w:p>
    <w:p>
      <w:pPr>
        <w:widowControl/>
        <w:numPr>
          <w:ilvl w:val="1"/>
          <w:numId w:val="52"/>
        </w:numPr>
        <w:spacing w:line="360" w:lineRule="auto"/>
        <w:ind w:left="1200" w:hanging="425"/>
        <w:jc w:val="left"/>
        <w:rPr>
          <w:highlight w:val="none"/>
        </w:rPr>
      </w:pPr>
      <w:r>
        <w:rPr>
          <w:rFonts w:hint="eastAsia" w:cs="宋体"/>
          <w:highlight w:val="none"/>
        </w:rPr>
        <w:t>卖方应承担买方因货物缺陷进行修复、更换发生的一切费用和损失，包括但不限于人员、设备、材料、零部件费用、运输费、保险费、检测费、仓储费、装卸费、修理费、税费等。</w:t>
      </w:r>
    </w:p>
    <w:p>
      <w:pPr>
        <w:numPr>
          <w:ilvl w:val="0"/>
          <w:numId w:val="51"/>
        </w:numPr>
        <w:tabs>
          <w:tab w:val="left" w:pos="720"/>
          <w:tab w:val="clear" w:pos="1468"/>
        </w:tabs>
        <w:spacing w:line="360" w:lineRule="auto"/>
        <w:ind w:left="720" w:hanging="720"/>
        <w:rPr>
          <w:highlight w:val="none"/>
        </w:rPr>
      </w:pPr>
      <w:r>
        <w:rPr>
          <w:rFonts w:hint="eastAsia" w:cs="宋体"/>
          <w:highlight w:val="none"/>
        </w:rPr>
        <w:t>卖方保证，全部货物资料和技术资料清晰、完整、准确，能够满足货物的设计、检验、安装、现场调试、性能测试、运行和维修的要求，符合本合同的规定。如货物资料和技术资料欠完整、正确、清晰，或不能满足货物的设计、安装、现场调试、性能测试、运行和维修的要求，或不符合本合同规定，或存在其它缺陷，卖方应当立即纠正该等缺陷，提供符合要求的货物资料和技术资料，并赔偿买方因此遭受的任何损失。</w:t>
      </w:r>
    </w:p>
    <w:p>
      <w:pPr>
        <w:numPr>
          <w:ilvl w:val="0"/>
          <w:numId w:val="51"/>
        </w:numPr>
        <w:tabs>
          <w:tab w:val="left" w:pos="720"/>
          <w:tab w:val="clear" w:pos="1468"/>
        </w:tabs>
        <w:spacing w:line="360" w:lineRule="auto"/>
        <w:ind w:left="720" w:hanging="720"/>
        <w:rPr>
          <w:highlight w:val="none"/>
        </w:rPr>
      </w:pPr>
      <w:r>
        <w:rPr>
          <w:rFonts w:hint="eastAsia" w:cs="宋体"/>
          <w:highlight w:val="none"/>
        </w:rPr>
        <w:t>质保期结束后三十日内，买方应向卖方签发该批货物的最终接受证书。</w:t>
      </w:r>
    </w:p>
    <w:p>
      <w:pPr>
        <w:numPr>
          <w:ilvl w:val="0"/>
          <w:numId w:val="28"/>
        </w:numPr>
        <w:spacing w:before="360" w:after="360"/>
        <w:jc w:val="center"/>
        <w:rPr>
          <w:b/>
          <w:sz w:val="24"/>
          <w:szCs w:val="24"/>
          <w:highlight w:val="none"/>
        </w:rPr>
      </w:pPr>
      <w:bookmarkStart w:id="338" w:name="_Toc278889804"/>
      <w:bookmarkStart w:id="339" w:name="_Toc296959338"/>
      <w:bookmarkStart w:id="340" w:name="_Toc17390392"/>
      <w:bookmarkStart w:id="341" w:name="_Toc5889391"/>
      <w:bookmarkStart w:id="342" w:name="_Toc291435935"/>
      <w:bookmarkStart w:id="343" w:name="_Toc296955876"/>
      <w:bookmarkStart w:id="344" w:name="_Toc291435868"/>
      <w:bookmarkStart w:id="345" w:name="_Toc300671219"/>
      <w:r>
        <w:rPr>
          <w:rFonts w:hint="eastAsia"/>
          <w:b/>
          <w:sz w:val="24"/>
          <w:szCs w:val="24"/>
          <w:highlight w:val="none"/>
        </w:rPr>
        <w:t>违约责任</w:t>
      </w:r>
      <w:bookmarkEnd w:id="338"/>
      <w:bookmarkEnd w:id="339"/>
      <w:bookmarkEnd w:id="340"/>
      <w:bookmarkEnd w:id="341"/>
      <w:bookmarkEnd w:id="342"/>
      <w:bookmarkEnd w:id="343"/>
      <w:bookmarkEnd w:id="344"/>
      <w:bookmarkEnd w:id="345"/>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卖方根据本合同规定应承担违约金或赔偿责任的，买方有权从合同价款余额中直接扣除或凭履约保函要求银行支付该等违约金或赔偿款项。</w:t>
      </w:r>
    </w:p>
    <w:p>
      <w:pPr>
        <w:numPr>
          <w:ilvl w:val="0"/>
          <w:numId w:val="28"/>
        </w:numPr>
        <w:spacing w:before="360" w:after="360"/>
        <w:jc w:val="center"/>
        <w:rPr>
          <w:b/>
          <w:sz w:val="24"/>
          <w:szCs w:val="24"/>
          <w:highlight w:val="none"/>
        </w:rPr>
      </w:pPr>
      <w:bookmarkStart w:id="346" w:name="_Toc5889392"/>
      <w:bookmarkStart w:id="347" w:name="_Toc278889805"/>
      <w:bookmarkStart w:id="348" w:name="_Toc17390393"/>
      <w:bookmarkStart w:id="349" w:name="_Toc291435869"/>
      <w:bookmarkStart w:id="350" w:name="_Toc296955877"/>
      <w:bookmarkStart w:id="351" w:name="_Toc291435936"/>
      <w:bookmarkStart w:id="352" w:name="_Toc300671220"/>
      <w:bookmarkStart w:id="353" w:name="_Toc296959339"/>
      <w:r>
        <w:rPr>
          <w:rFonts w:hint="eastAsia"/>
          <w:b/>
          <w:sz w:val="24"/>
          <w:szCs w:val="24"/>
          <w:highlight w:val="none"/>
        </w:rPr>
        <w:t>质量、健康、安全和环保</w:t>
      </w:r>
      <w:bookmarkEnd w:id="346"/>
      <w:bookmarkEnd w:id="347"/>
      <w:bookmarkEnd w:id="348"/>
      <w:bookmarkEnd w:id="349"/>
      <w:bookmarkEnd w:id="350"/>
      <w:bookmarkEnd w:id="351"/>
      <w:bookmarkEnd w:id="352"/>
      <w:bookmarkEnd w:id="353"/>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卖方应确保货物制造使用的材料和制作工艺符合国家标准，保证货物制造现场符合法律法规的要求。</w:t>
      </w:r>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卖方向买方提供的货物必须符合中国有关质量、健康、安全和环保法律法规的规定。对于根据有关法律法规必须持证生产或经营的物资，卖方在生产或经营时应持有全套有效的生产许可证或经营许可证。</w:t>
      </w:r>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卖方</w:t>
      </w:r>
      <w:bookmarkStart w:id="354" w:name="_DV_C793"/>
      <w:r>
        <w:rPr>
          <w:rFonts w:hint="eastAsia" w:cs="宋体"/>
          <w:highlight w:val="none"/>
        </w:rPr>
        <w:t>指派的服务人员不得以现场环境为由拒绝到现场提供技术服务，卖方指派的服务</w:t>
      </w:r>
      <w:bookmarkEnd w:id="354"/>
      <w:r>
        <w:rPr>
          <w:rFonts w:hint="eastAsia" w:cs="宋体"/>
          <w:highlight w:val="none"/>
        </w:rPr>
        <w:t>人员在买方现场提供技术服务时，应遵守买方现场的健康、安全、环境管理规定，服从买方现场管理人员的指挥。</w:t>
      </w:r>
    </w:p>
    <w:p>
      <w:pPr>
        <w:widowControl/>
        <w:numPr>
          <w:ilvl w:val="0"/>
          <w:numId w:val="56"/>
        </w:numPr>
        <w:tabs>
          <w:tab w:val="left" w:pos="709"/>
          <w:tab w:val="left" w:pos="900"/>
          <w:tab w:val="left" w:pos="1080"/>
        </w:tabs>
        <w:spacing w:line="360" w:lineRule="auto"/>
        <w:ind w:left="619" w:hanging="619" w:hangingChars="295"/>
        <w:jc w:val="left"/>
        <w:rPr>
          <w:highlight w:val="none"/>
        </w:rPr>
      </w:pPr>
      <w:r>
        <w:rPr>
          <w:rFonts w:hint="eastAsia" w:cs="宋体"/>
          <w:highlight w:val="none"/>
        </w:rPr>
        <w:t>卖方用于货物的包装材料应是符合环保要求的包装材料。</w:t>
      </w:r>
    </w:p>
    <w:p>
      <w:pPr>
        <w:widowControl/>
        <w:numPr>
          <w:ilvl w:val="0"/>
          <w:numId w:val="56"/>
        </w:numPr>
        <w:tabs>
          <w:tab w:val="left" w:pos="360"/>
          <w:tab w:val="left" w:pos="709"/>
        </w:tabs>
        <w:spacing w:line="360" w:lineRule="auto"/>
        <w:ind w:left="619" w:hanging="619" w:hangingChars="295"/>
        <w:jc w:val="left"/>
        <w:rPr>
          <w:highlight w:val="none"/>
        </w:rPr>
      </w:pPr>
      <w:r>
        <w:rPr>
          <w:rFonts w:hint="eastAsia" w:cs="宋体"/>
          <w:highlight w:val="none"/>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pPr>
        <w:numPr>
          <w:ilvl w:val="0"/>
          <w:numId w:val="28"/>
        </w:numPr>
        <w:spacing w:before="360" w:after="360"/>
        <w:jc w:val="center"/>
        <w:rPr>
          <w:b/>
          <w:sz w:val="24"/>
          <w:szCs w:val="24"/>
          <w:highlight w:val="none"/>
        </w:rPr>
      </w:pPr>
      <w:bookmarkStart w:id="355" w:name="_Toc296804734"/>
      <w:bookmarkEnd w:id="355"/>
      <w:bookmarkStart w:id="356" w:name="_DV_M472"/>
      <w:bookmarkEnd w:id="356"/>
      <w:bookmarkStart w:id="357" w:name="_Toc296955879"/>
      <w:bookmarkStart w:id="358" w:name="_Toc274754054"/>
      <w:bookmarkStart w:id="359" w:name="_Toc273388526"/>
      <w:bookmarkStart w:id="360" w:name="_Toc5889393"/>
      <w:bookmarkStart w:id="361" w:name="_Toc273458624"/>
      <w:bookmarkStart w:id="362" w:name="_Toc273388625"/>
      <w:bookmarkStart w:id="363" w:name="_Toc291435937"/>
      <w:bookmarkStart w:id="364" w:name="_Toc17390394"/>
      <w:bookmarkStart w:id="365" w:name="_Toc273451810"/>
      <w:bookmarkStart w:id="366" w:name="_Toc274344120"/>
      <w:bookmarkStart w:id="367" w:name="_Toc274403519"/>
      <w:bookmarkStart w:id="368" w:name="_Toc274343588"/>
      <w:bookmarkStart w:id="369" w:name="_Toc274075991"/>
      <w:bookmarkStart w:id="370" w:name="_Toc278889807"/>
      <w:bookmarkStart w:id="371" w:name="_Toc274669185"/>
      <w:bookmarkStart w:id="372" w:name="_Toc296959341"/>
      <w:bookmarkStart w:id="373" w:name="_Toc274668244"/>
      <w:bookmarkStart w:id="374" w:name="_Toc300671221"/>
      <w:bookmarkStart w:id="375" w:name="_Toc291435870"/>
      <w:r>
        <w:rPr>
          <w:rFonts w:hint="eastAsia"/>
          <w:b/>
          <w:sz w:val="24"/>
          <w:szCs w:val="24"/>
          <w:highlight w:val="none"/>
        </w:rPr>
        <w:t>转让</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widowControl/>
        <w:numPr>
          <w:ilvl w:val="0"/>
          <w:numId w:val="57"/>
        </w:numPr>
        <w:tabs>
          <w:tab w:val="left" w:pos="709"/>
        </w:tabs>
        <w:spacing w:line="360" w:lineRule="auto"/>
        <w:ind w:left="619" w:hanging="619" w:hangingChars="295"/>
        <w:jc w:val="left"/>
        <w:rPr>
          <w:highlight w:val="none"/>
        </w:rPr>
      </w:pPr>
      <w:r>
        <w:rPr>
          <w:rFonts w:hint="eastAsia" w:cs="宋体"/>
          <w:highlight w:val="none"/>
        </w:rPr>
        <w:t>未经买方事先书面同意，卖方不得将其在本合同项下的任何权利和义务全部或部分转让给任何第三方，包括卖方的关联企业。</w:t>
      </w:r>
    </w:p>
    <w:p>
      <w:pPr>
        <w:widowControl/>
        <w:numPr>
          <w:ilvl w:val="0"/>
          <w:numId w:val="57"/>
        </w:numPr>
        <w:tabs>
          <w:tab w:val="left" w:pos="709"/>
        </w:tabs>
        <w:spacing w:line="360" w:lineRule="auto"/>
        <w:ind w:left="619" w:hanging="619" w:hangingChars="295"/>
        <w:jc w:val="left"/>
        <w:rPr>
          <w:highlight w:val="none"/>
        </w:rPr>
      </w:pPr>
      <w:r>
        <w:rPr>
          <w:rFonts w:hint="eastAsia" w:cs="宋体"/>
          <w:highlight w:val="none"/>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pPr>
        <w:numPr>
          <w:ilvl w:val="0"/>
          <w:numId w:val="28"/>
        </w:numPr>
        <w:spacing w:before="360" w:after="360"/>
        <w:jc w:val="center"/>
        <w:rPr>
          <w:b/>
          <w:sz w:val="24"/>
          <w:szCs w:val="24"/>
          <w:highlight w:val="none"/>
        </w:rPr>
      </w:pPr>
      <w:bookmarkStart w:id="376" w:name="_Toc296959342"/>
      <w:bookmarkStart w:id="377" w:name="_Toc273458625"/>
      <w:bookmarkStart w:id="378" w:name="_Toc274754055"/>
      <w:bookmarkStart w:id="379" w:name="_Toc274669186"/>
      <w:bookmarkStart w:id="380" w:name="_Toc274403520"/>
      <w:bookmarkStart w:id="381" w:name="_Toc273388626"/>
      <w:bookmarkStart w:id="382" w:name="_Toc296955880"/>
      <w:bookmarkStart w:id="383" w:name="_Toc291435938"/>
      <w:bookmarkStart w:id="384" w:name="_Toc274344121"/>
      <w:bookmarkStart w:id="385" w:name="_Toc5889394"/>
      <w:bookmarkStart w:id="386" w:name="_Toc291435871"/>
      <w:bookmarkStart w:id="387" w:name="_Toc273451811"/>
      <w:bookmarkStart w:id="388" w:name="_Toc17390395"/>
      <w:bookmarkStart w:id="389" w:name="_Toc278889808"/>
      <w:bookmarkStart w:id="390" w:name="_Toc274343589"/>
      <w:bookmarkStart w:id="391" w:name="_Toc274075992"/>
      <w:bookmarkStart w:id="392" w:name="_Toc274668245"/>
      <w:bookmarkStart w:id="393" w:name="_Toc273388527"/>
      <w:bookmarkStart w:id="394" w:name="_Toc300671222"/>
      <w:r>
        <w:rPr>
          <w:rFonts w:hint="eastAsia"/>
          <w:b/>
          <w:sz w:val="24"/>
          <w:szCs w:val="24"/>
          <w:highlight w:val="none"/>
        </w:rPr>
        <w:t>分包</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卖方应利用自身的人力资源、设备、技术履行本合同，未经买方事先书面同意，卖方不得将其在本合同项下的任何义务分包给任何第三方，包括卖方的关联企业。</w:t>
      </w:r>
    </w:p>
    <w:p>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即使买方批准卖方将其在本合同项下的任何部分义务分包给第三方，卖方应对分包商工作负责，并承担本合同项下的全部责任和义务，其合同项下责任和义务不因分包而减轻或免除。</w:t>
      </w:r>
    </w:p>
    <w:p>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买方有权对分包商进行资格审查，审查内容包括但不限于资质、能力、经验、设备、设施、业绩、管理、人力等。买方有权拒绝其认为不合格的分包商。</w:t>
      </w:r>
    </w:p>
    <w:p>
      <w:pPr>
        <w:widowControl/>
        <w:numPr>
          <w:ilvl w:val="0"/>
          <w:numId w:val="58"/>
        </w:numPr>
        <w:tabs>
          <w:tab w:val="left" w:pos="709"/>
          <w:tab w:val="left" w:pos="3060"/>
          <w:tab w:val="clear" w:pos="420"/>
        </w:tabs>
        <w:spacing w:line="360" w:lineRule="auto"/>
        <w:ind w:left="720" w:hanging="720"/>
        <w:jc w:val="left"/>
        <w:rPr>
          <w:rFonts w:cs="宋体"/>
          <w:highlight w:val="none"/>
        </w:rPr>
      </w:pPr>
      <w:r>
        <w:rPr>
          <w:rFonts w:hint="eastAsia" w:cs="宋体"/>
          <w:highlight w:val="none"/>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pPr>
        <w:widowControl/>
        <w:numPr>
          <w:ilvl w:val="0"/>
          <w:numId w:val="58"/>
        </w:numPr>
        <w:tabs>
          <w:tab w:val="left" w:pos="709"/>
          <w:tab w:val="left" w:pos="3060"/>
          <w:tab w:val="clear" w:pos="420"/>
        </w:tabs>
        <w:spacing w:line="360" w:lineRule="auto"/>
        <w:ind w:left="720" w:hanging="720"/>
        <w:jc w:val="left"/>
        <w:rPr>
          <w:highlight w:val="none"/>
        </w:rPr>
      </w:pPr>
      <w:bookmarkStart w:id="395" w:name="_DV_C858"/>
      <w:r>
        <w:rPr>
          <w:rFonts w:hint="eastAsia" w:cs="宋体"/>
          <w:highlight w:val="none"/>
        </w:rPr>
        <w:t>如果分包商的工作不符合本合同的规定，买方有权要求卖方终止分包合同，因分包合同终止产生的纠纷或责任，卖方承担全部责任，买方不承担任何责任。</w:t>
      </w:r>
      <w:bookmarkEnd w:id="395"/>
    </w:p>
    <w:p>
      <w:pPr>
        <w:widowControl/>
        <w:numPr>
          <w:ilvl w:val="0"/>
          <w:numId w:val="58"/>
        </w:numPr>
        <w:tabs>
          <w:tab w:val="left" w:pos="709"/>
          <w:tab w:val="left" w:pos="3060"/>
          <w:tab w:val="clear" w:pos="420"/>
        </w:tabs>
        <w:spacing w:line="360" w:lineRule="auto"/>
        <w:ind w:left="720" w:hanging="720"/>
        <w:jc w:val="left"/>
        <w:rPr>
          <w:highlight w:val="none"/>
        </w:rPr>
      </w:pPr>
      <w:r>
        <w:rPr>
          <w:rFonts w:hint="eastAsia" w:cs="宋体"/>
          <w:highlight w:val="none"/>
        </w:rPr>
        <w:t>买方有权选择直接向分包方付款，并从合同价款余额中直接扣除该等款项。但是，买方的上述行为不得视为买方取代卖方成为分包合同的当事人，分包合同的权利与义务仍由卖方和相应的第三方承担。</w:t>
      </w:r>
    </w:p>
    <w:p>
      <w:pPr>
        <w:widowControl/>
        <w:numPr>
          <w:ilvl w:val="0"/>
          <w:numId w:val="58"/>
        </w:numPr>
        <w:tabs>
          <w:tab w:val="left" w:pos="709"/>
          <w:tab w:val="left" w:pos="3060"/>
          <w:tab w:val="clear" w:pos="420"/>
        </w:tabs>
        <w:spacing w:line="360" w:lineRule="auto"/>
        <w:ind w:left="720" w:hanging="720"/>
        <w:jc w:val="left"/>
        <w:rPr>
          <w:highlight w:val="none"/>
        </w:rPr>
      </w:pPr>
      <w:bookmarkStart w:id="396" w:name="_DV_C867"/>
      <w:r>
        <w:rPr>
          <w:rFonts w:hint="eastAsia" w:cs="宋体"/>
          <w:highlight w:val="none"/>
        </w:rPr>
        <w:t>卖方不得将本合同转包给任何第三方，包括其关联企业。</w:t>
      </w:r>
      <w:bookmarkEnd w:id="396"/>
    </w:p>
    <w:p>
      <w:pPr>
        <w:numPr>
          <w:ilvl w:val="0"/>
          <w:numId w:val="28"/>
        </w:numPr>
        <w:spacing w:before="360" w:after="360"/>
        <w:jc w:val="center"/>
        <w:rPr>
          <w:b/>
          <w:sz w:val="24"/>
          <w:szCs w:val="24"/>
          <w:highlight w:val="none"/>
        </w:rPr>
      </w:pPr>
      <w:bookmarkStart w:id="397" w:name="_Toc296804737"/>
      <w:bookmarkEnd w:id="397"/>
      <w:bookmarkStart w:id="398" w:name="_Toc296955882"/>
      <w:bookmarkStart w:id="399" w:name="_Toc274344122"/>
      <w:bookmarkStart w:id="400" w:name="_Toc291435939"/>
      <w:bookmarkStart w:id="401" w:name="_Toc274669187"/>
      <w:bookmarkStart w:id="402" w:name="_Toc291435872"/>
      <w:bookmarkStart w:id="403" w:name="_Toc274343590"/>
      <w:bookmarkStart w:id="404" w:name="_Toc274403521"/>
      <w:bookmarkStart w:id="405" w:name="_Toc274668246"/>
      <w:bookmarkStart w:id="406" w:name="_Toc274754056"/>
      <w:bookmarkStart w:id="407" w:name="_Toc278889809"/>
      <w:bookmarkStart w:id="408" w:name="_Toc296959344"/>
      <w:bookmarkStart w:id="409" w:name="_Toc17390396"/>
      <w:bookmarkStart w:id="410" w:name="_Toc300671223"/>
      <w:bookmarkStart w:id="411" w:name="_Toc5889395"/>
      <w:r>
        <w:rPr>
          <w:rFonts w:hint="eastAsia"/>
          <w:b/>
          <w:sz w:val="24"/>
          <w:szCs w:val="24"/>
          <w:highlight w:val="none"/>
        </w:rPr>
        <w:t>合同的解除</w:t>
      </w:r>
      <w:bookmarkEnd w:id="398"/>
      <w:bookmarkEnd w:id="399"/>
      <w:bookmarkEnd w:id="400"/>
      <w:bookmarkEnd w:id="401"/>
      <w:bookmarkEnd w:id="402"/>
      <w:bookmarkEnd w:id="403"/>
      <w:bookmarkEnd w:id="404"/>
      <w:bookmarkEnd w:id="405"/>
      <w:bookmarkEnd w:id="406"/>
      <w:bookmarkEnd w:id="407"/>
      <w:r>
        <w:rPr>
          <w:rFonts w:hint="eastAsia"/>
          <w:b/>
          <w:sz w:val="24"/>
          <w:szCs w:val="24"/>
          <w:highlight w:val="none"/>
        </w:rPr>
        <w:t>和终止</w:t>
      </w:r>
      <w:bookmarkEnd w:id="408"/>
      <w:bookmarkEnd w:id="409"/>
      <w:bookmarkEnd w:id="410"/>
      <w:bookmarkEnd w:id="411"/>
    </w:p>
    <w:p>
      <w:pPr>
        <w:widowControl/>
        <w:numPr>
          <w:ilvl w:val="0"/>
          <w:numId w:val="59"/>
        </w:numPr>
        <w:tabs>
          <w:tab w:val="left" w:pos="709"/>
        </w:tabs>
        <w:spacing w:line="360" w:lineRule="auto"/>
        <w:jc w:val="left"/>
        <w:rPr>
          <w:highlight w:val="none"/>
        </w:rPr>
      </w:pPr>
      <w:r>
        <w:rPr>
          <w:rFonts w:hint="eastAsia" w:cs="宋体"/>
          <w:highlight w:val="none"/>
        </w:rPr>
        <w:t>如发生以下任一情形，经书面通知卖方，买方有权解除本合同：</w:t>
      </w:r>
    </w:p>
    <w:p>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本合同明确规定买方有权解除合同的情形；</w:t>
      </w:r>
    </w:p>
    <w:p>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卖方未按合同规定提供预付款保函或履约保函；</w:t>
      </w:r>
    </w:p>
    <w:p>
      <w:pPr>
        <w:widowControl/>
        <w:numPr>
          <w:ilvl w:val="0"/>
          <w:numId w:val="60"/>
        </w:numPr>
        <w:tabs>
          <w:tab w:val="left" w:pos="1276"/>
          <w:tab w:val="clear" w:pos="840"/>
        </w:tabs>
        <w:spacing w:line="360" w:lineRule="auto"/>
        <w:ind w:left="1113" w:leftChars="299" w:hanging="485" w:hangingChars="231"/>
        <w:jc w:val="left"/>
        <w:rPr>
          <w:rFonts w:cs="宋体"/>
          <w:highlight w:val="none"/>
        </w:rPr>
      </w:pPr>
      <w:r>
        <w:rPr>
          <w:rFonts w:hint="eastAsia" w:cs="宋体"/>
          <w:highlight w:val="none"/>
        </w:rPr>
        <w:t>卖方破产、资不抵债、停业、清算、解散、被兼并、被查封；</w:t>
      </w:r>
    </w:p>
    <w:p>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卖方发生其它严重违约，且未在买方要求的合同期限内纠正；</w:t>
      </w:r>
    </w:p>
    <w:p>
      <w:pPr>
        <w:widowControl/>
        <w:numPr>
          <w:ilvl w:val="0"/>
          <w:numId w:val="60"/>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不可抗力持续超过六十日。</w:t>
      </w:r>
    </w:p>
    <w:p>
      <w:pPr>
        <w:widowControl/>
        <w:numPr>
          <w:ilvl w:val="0"/>
          <w:numId w:val="59"/>
        </w:numPr>
        <w:tabs>
          <w:tab w:val="left" w:pos="709"/>
          <w:tab w:val="clear" w:pos="0"/>
        </w:tabs>
        <w:spacing w:line="360" w:lineRule="auto"/>
        <w:ind w:left="619" w:hanging="619" w:hangingChars="295"/>
        <w:jc w:val="left"/>
        <w:rPr>
          <w:highlight w:val="none"/>
        </w:rPr>
      </w:pPr>
      <w:r>
        <w:rPr>
          <w:rFonts w:hint="eastAsia" w:cs="宋体"/>
          <w:highlight w:val="none"/>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widowControl/>
        <w:numPr>
          <w:ilvl w:val="0"/>
          <w:numId w:val="59"/>
        </w:numPr>
        <w:tabs>
          <w:tab w:val="left" w:pos="709"/>
          <w:tab w:val="clear" w:pos="0"/>
        </w:tabs>
        <w:spacing w:line="360" w:lineRule="auto"/>
        <w:ind w:left="619" w:hanging="619" w:hangingChars="295"/>
        <w:jc w:val="left"/>
        <w:rPr>
          <w:highlight w:val="none"/>
        </w:rPr>
      </w:pPr>
      <w:r>
        <w:rPr>
          <w:rFonts w:hint="eastAsia" w:cs="宋体"/>
          <w:highlight w:val="none"/>
        </w:rPr>
        <w:t>无论基于何种原因，经提前三十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pPr>
        <w:widowControl/>
        <w:numPr>
          <w:ilvl w:val="0"/>
          <w:numId w:val="59"/>
        </w:numPr>
        <w:tabs>
          <w:tab w:val="left" w:pos="709"/>
          <w:tab w:val="clear" w:pos="0"/>
        </w:tabs>
        <w:spacing w:line="360" w:lineRule="auto"/>
        <w:ind w:left="619" w:hanging="619" w:hangingChars="295"/>
        <w:jc w:val="left"/>
        <w:rPr>
          <w:rFonts w:cs="宋体"/>
          <w:highlight w:val="none"/>
        </w:rPr>
      </w:pPr>
      <w:bookmarkStart w:id="412" w:name="_DV_C932"/>
      <w:r>
        <w:rPr>
          <w:rFonts w:hint="eastAsia"/>
          <w:highlight w:val="none"/>
        </w:rPr>
        <w:t>如果本合同根据本条</w:t>
      </w:r>
      <w:r>
        <w:rPr>
          <w:rFonts w:cs="宋体"/>
          <w:highlight w:val="none"/>
        </w:rPr>
        <w:t>第21.3款</w:t>
      </w:r>
      <w:r>
        <w:rPr>
          <w:rFonts w:hint="eastAsia"/>
          <w:highlight w:val="none"/>
        </w:rPr>
        <w:t>终止，对于合同终止前买方已经支付合同价款或提供补偿费用的货物，卖方应立即移交给买方，买方拥有相关货物的全部权益。</w:t>
      </w:r>
      <w:bookmarkEnd w:id="412"/>
    </w:p>
    <w:p>
      <w:pPr>
        <w:widowControl/>
        <w:numPr>
          <w:ilvl w:val="0"/>
          <w:numId w:val="59"/>
        </w:numPr>
        <w:tabs>
          <w:tab w:val="left" w:pos="709"/>
          <w:tab w:val="clear" w:pos="0"/>
        </w:tabs>
        <w:spacing w:line="360" w:lineRule="auto"/>
        <w:ind w:left="619" w:hanging="619" w:hangingChars="295"/>
        <w:jc w:val="left"/>
        <w:rPr>
          <w:rFonts w:cs="宋体"/>
          <w:highlight w:val="none"/>
        </w:rPr>
      </w:pPr>
      <w:r>
        <w:rPr>
          <w:rFonts w:hint="eastAsia"/>
          <w:highlight w:val="none"/>
        </w:rPr>
        <w:t>卖方应确保分包合同（如有）包含与本条项下规定相对应的终止条款。</w:t>
      </w:r>
    </w:p>
    <w:p>
      <w:pPr>
        <w:numPr>
          <w:ilvl w:val="0"/>
          <w:numId w:val="28"/>
        </w:numPr>
        <w:spacing w:before="360" w:after="360"/>
        <w:jc w:val="center"/>
        <w:rPr>
          <w:b/>
          <w:sz w:val="24"/>
          <w:szCs w:val="24"/>
          <w:highlight w:val="none"/>
        </w:rPr>
      </w:pPr>
      <w:bookmarkStart w:id="413" w:name="_Toc5889396"/>
      <w:bookmarkStart w:id="414" w:name="_Toc274075994"/>
      <w:bookmarkStart w:id="415" w:name="_Toc278889810"/>
      <w:bookmarkStart w:id="416" w:name="_Toc296959345"/>
      <w:bookmarkStart w:id="417" w:name="_Toc274669188"/>
      <w:bookmarkStart w:id="418" w:name="_Toc273388628"/>
      <w:bookmarkStart w:id="419" w:name="_Toc300671224"/>
      <w:bookmarkStart w:id="420" w:name="_Toc274403522"/>
      <w:bookmarkStart w:id="421" w:name="_Toc296955883"/>
      <w:bookmarkStart w:id="422" w:name="_Toc273451813"/>
      <w:bookmarkStart w:id="423" w:name="_Toc291435873"/>
      <w:bookmarkStart w:id="424" w:name="_Toc274754057"/>
      <w:bookmarkStart w:id="425" w:name="_Toc273388529"/>
      <w:bookmarkStart w:id="426" w:name="_Toc274343591"/>
      <w:bookmarkStart w:id="427" w:name="_Toc291435940"/>
      <w:bookmarkStart w:id="428" w:name="_Toc274344123"/>
      <w:bookmarkStart w:id="429" w:name="_Toc17390397"/>
      <w:bookmarkStart w:id="430" w:name="_Toc273458627"/>
      <w:bookmarkStart w:id="431" w:name="_Toc274668247"/>
      <w:r>
        <w:rPr>
          <w:rFonts w:hint="eastAsia"/>
          <w:b/>
          <w:sz w:val="24"/>
          <w:szCs w:val="24"/>
          <w:highlight w:val="none"/>
        </w:rPr>
        <w:t>不可抗力</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widowControl/>
        <w:numPr>
          <w:ilvl w:val="0"/>
          <w:numId w:val="59"/>
        </w:numPr>
        <w:tabs>
          <w:tab w:val="left" w:pos="709"/>
          <w:tab w:val="clear" w:pos="0"/>
        </w:tabs>
        <w:spacing w:line="360" w:lineRule="auto"/>
        <w:ind w:left="619" w:hanging="619" w:hangingChars="295"/>
        <w:jc w:val="left"/>
        <w:rPr>
          <w:highlight w:val="none"/>
        </w:rPr>
      </w:pPr>
      <w:bookmarkStart w:id="432" w:name="_Toc287945410"/>
      <w:bookmarkStart w:id="433" w:name="_Toc296959346"/>
      <w:bookmarkStart w:id="434" w:name="_DV_C952"/>
      <w:bookmarkStart w:id="435" w:name="_Toc288479435"/>
      <w:bookmarkStart w:id="436" w:name="_Toc300671225"/>
      <w:bookmarkStart w:id="437" w:name="_Toc287945666"/>
      <w:bookmarkStart w:id="438" w:name="_Toc296955884"/>
      <w:bookmarkStart w:id="439" w:name="_Toc287977557"/>
      <w:r>
        <w:rPr>
          <w:rFonts w:hint="eastAsia"/>
          <w:highlight w:val="none"/>
        </w:rPr>
        <w:t>不可抗力系指本合同的履行过程中，任何一方经合理努力仍不可预见、不可避免并不能克服的客观情况。</w:t>
      </w:r>
    </w:p>
    <w:p>
      <w:pPr>
        <w:widowControl/>
        <w:numPr>
          <w:ilvl w:val="0"/>
          <w:numId w:val="59"/>
        </w:numPr>
        <w:tabs>
          <w:tab w:val="left" w:pos="709"/>
          <w:tab w:val="clear" w:pos="0"/>
        </w:tabs>
        <w:spacing w:line="360" w:lineRule="auto"/>
        <w:ind w:left="619" w:hanging="619" w:hangingChars="295"/>
        <w:jc w:val="left"/>
        <w:rPr>
          <w:highlight w:val="none"/>
        </w:rPr>
      </w:pPr>
      <w:r>
        <w:rPr>
          <w:highlight w:val="none"/>
        </w:rPr>
        <w:t>任何一方因不可抗力不能或延迟履行本合同，不承担违约责任。</w:t>
      </w:r>
    </w:p>
    <w:p>
      <w:pPr>
        <w:widowControl/>
        <w:numPr>
          <w:ilvl w:val="0"/>
          <w:numId w:val="59"/>
        </w:numPr>
        <w:tabs>
          <w:tab w:val="left" w:pos="709"/>
          <w:tab w:val="clear" w:pos="0"/>
        </w:tabs>
        <w:spacing w:line="360" w:lineRule="auto"/>
        <w:ind w:left="619" w:hanging="619" w:hangingChars="295"/>
        <w:jc w:val="left"/>
        <w:rPr>
          <w:highlight w:val="none"/>
        </w:rPr>
      </w:pPr>
      <w:r>
        <w:rPr>
          <w:highlight w:val="none"/>
        </w:rPr>
        <w:t>如果一方遭受不可抗力，应立即（不迟于24小时内）通知另一方，并采取一切合理、必要的措施减少损失及不可抗力的影响，恢复合同的履行。</w:t>
      </w:r>
      <w:r>
        <w:rPr>
          <w:rFonts w:hint="eastAsia"/>
          <w:highlight w:val="none"/>
        </w:rPr>
        <w:t>不可抗力结束后</w:t>
      </w:r>
      <w:r>
        <w:rPr>
          <w:highlight w:val="none"/>
        </w:rPr>
        <w:t>48</w:t>
      </w:r>
      <w:r>
        <w:rPr>
          <w:rFonts w:hint="eastAsia"/>
          <w:highlight w:val="none"/>
        </w:rPr>
        <w:t>小时内，遭受不可抗力的一方应向另一方通报不可抗力的情况，包括不可抗力造成的损害、延续时间、货物受影响的范围、补救措施等，如不可抗力持续发生，遭受不可抗力的一方应及时更新该等信息。</w:t>
      </w:r>
    </w:p>
    <w:p>
      <w:pPr>
        <w:widowControl/>
        <w:numPr>
          <w:ilvl w:val="0"/>
          <w:numId w:val="59"/>
        </w:numPr>
        <w:tabs>
          <w:tab w:val="left" w:pos="709"/>
          <w:tab w:val="clear" w:pos="0"/>
        </w:tabs>
        <w:spacing w:line="360" w:lineRule="auto"/>
        <w:ind w:left="619" w:hanging="619" w:hangingChars="295"/>
        <w:jc w:val="left"/>
        <w:rPr>
          <w:highlight w:val="none"/>
        </w:rPr>
      </w:pPr>
      <w:r>
        <w:rPr>
          <w:rFonts w:hint="eastAsia"/>
          <w:highlight w:val="none"/>
        </w:rPr>
        <w:t>如发生不可抗力，双方各自承担其人员和财产损失。一旦不可抗力停止或者影响消除，双方应立即履行其义务，合同的期限应该相应顺延。如果不可抗力的影响持续超过1</w:t>
      </w:r>
      <w:r>
        <w:rPr>
          <w:highlight w:val="none"/>
        </w:rPr>
        <w:t>5</w:t>
      </w:r>
      <w:r>
        <w:rPr>
          <w:rFonts w:hint="eastAsia"/>
          <w:highlight w:val="none"/>
        </w:rPr>
        <w:t>日，双方应该共同商议应对措施。</w:t>
      </w:r>
    </w:p>
    <w:p>
      <w:pPr>
        <w:widowControl/>
        <w:numPr>
          <w:ilvl w:val="0"/>
          <w:numId w:val="59"/>
        </w:numPr>
        <w:tabs>
          <w:tab w:val="left" w:pos="709"/>
          <w:tab w:val="clear" w:pos="0"/>
        </w:tabs>
        <w:spacing w:line="360" w:lineRule="auto"/>
        <w:ind w:left="619" w:hanging="619" w:hangingChars="295"/>
        <w:jc w:val="left"/>
        <w:rPr>
          <w:highlight w:val="none"/>
        </w:rPr>
      </w:pPr>
      <w:r>
        <w:rPr>
          <w:rFonts w:hint="eastAsia"/>
          <w:highlight w:val="none"/>
        </w:rPr>
        <w:t>任何一方迟延履行合同后遭受不可抗力的，不得减少、免除该方在本合同项下的任何义务和责任。</w:t>
      </w:r>
    </w:p>
    <w:p>
      <w:pPr>
        <w:widowControl/>
        <w:numPr>
          <w:ilvl w:val="0"/>
          <w:numId w:val="59"/>
        </w:numPr>
        <w:tabs>
          <w:tab w:val="left" w:pos="709"/>
          <w:tab w:val="clear" w:pos="0"/>
        </w:tabs>
        <w:spacing w:line="360" w:lineRule="auto"/>
        <w:ind w:left="619" w:hanging="619" w:hangingChars="295"/>
        <w:jc w:val="left"/>
        <w:rPr>
          <w:highlight w:val="none"/>
        </w:rPr>
      </w:pPr>
      <w:r>
        <w:rPr>
          <w:rFonts w:hint="eastAsia"/>
          <w:highlight w:val="none"/>
        </w:rPr>
        <w:t>不可抗力的发生不能造成任何一方支付额外款项、赔偿或其它救济方式，双方放弃对任何此类事项进行索赔的权利。</w:t>
      </w:r>
    </w:p>
    <w:p>
      <w:pPr>
        <w:numPr>
          <w:ilvl w:val="0"/>
          <w:numId w:val="28"/>
        </w:numPr>
        <w:spacing w:before="360" w:after="360"/>
        <w:jc w:val="center"/>
        <w:rPr>
          <w:b/>
          <w:sz w:val="24"/>
          <w:szCs w:val="24"/>
          <w:highlight w:val="none"/>
        </w:rPr>
      </w:pPr>
      <w:bookmarkStart w:id="440" w:name="_Toc5889397"/>
      <w:bookmarkStart w:id="441" w:name="_Toc17390398"/>
      <w:r>
        <w:rPr>
          <w:rFonts w:hint="eastAsia"/>
          <w:b/>
          <w:sz w:val="24"/>
          <w:szCs w:val="24"/>
          <w:highlight w:val="none"/>
        </w:rPr>
        <w:t>责任</w:t>
      </w:r>
      <w:bookmarkEnd w:id="432"/>
      <w:bookmarkEnd w:id="433"/>
      <w:bookmarkEnd w:id="434"/>
      <w:bookmarkEnd w:id="435"/>
      <w:bookmarkEnd w:id="436"/>
      <w:bookmarkEnd w:id="437"/>
      <w:bookmarkEnd w:id="438"/>
      <w:bookmarkEnd w:id="439"/>
      <w:bookmarkEnd w:id="440"/>
      <w:bookmarkEnd w:id="441"/>
    </w:p>
    <w:p>
      <w:pPr>
        <w:widowControl/>
        <w:numPr>
          <w:ilvl w:val="0"/>
          <w:numId w:val="61"/>
        </w:numPr>
        <w:tabs>
          <w:tab w:val="left" w:pos="720"/>
          <w:tab w:val="clear" w:pos="420"/>
        </w:tabs>
        <w:spacing w:line="360" w:lineRule="auto"/>
        <w:ind w:left="720" w:hanging="720"/>
        <w:jc w:val="left"/>
        <w:rPr>
          <w:rFonts w:cs="Arial"/>
          <w:highlight w:val="none"/>
        </w:rPr>
      </w:pPr>
      <w:bookmarkStart w:id="442" w:name="_DV_C956"/>
      <w:r>
        <w:rPr>
          <w:rFonts w:hint="eastAsia" w:cs="Arial"/>
          <w:highlight w:val="none"/>
        </w:rPr>
        <w:t>无论时间、地点、方式和原因，卖方、卖方代理或分包商（如有）因履行本合同或因货物存在缺陷造成任何第三方财产损失、损坏、人身伤亡或疾病，卖方应承担全部责任，并应确保买方免于所有相关的索赔、损失、损害、费用和责任，包括但不限于在买方因此需向第三方支付任何赔偿时，卖方均应全额予以补偿。</w:t>
      </w:r>
      <w:bookmarkEnd w:id="442"/>
      <w:bookmarkStart w:id="443" w:name="_DV_C957"/>
    </w:p>
    <w:bookmarkEnd w:id="443"/>
    <w:p>
      <w:pPr>
        <w:widowControl/>
        <w:numPr>
          <w:ilvl w:val="0"/>
          <w:numId w:val="61"/>
        </w:numPr>
        <w:tabs>
          <w:tab w:val="left" w:pos="720"/>
          <w:tab w:val="clear" w:pos="420"/>
        </w:tabs>
        <w:spacing w:line="360" w:lineRule="auto"/>
        <w:ind w:left="720" w:hanging="720"/>
        <w:jc w:val="left"/>
        <w:rPr>
          <w:rFonts w:cs="Arial"/>
          <w:highlight w:val="none"/>
        </w:rPr>
      </w:pPr>
      <w:bookmarkStart w:id="444" w:name="_DV_C958"/>
      <w:r>
        <w:rPr>
          <w:rFonts w:hint="eastAsia" w:cs="Arial"/>
          <w:highlight w:val="none"/>
        </w:rPr>
        <w:t>无论时间、地点、方式和原因，如因履行本合同，卖方及其人员、卖方代理、分包商及其人员（如有）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w:t>
      </w:r>
      <w:bookmarkEnd w:id="444"/>
      <w:bookmarkStart w:id="445" w:name="_DV_C959"/>
      <w:r>
        <w:rPr>
          <w:rFonts w:hint="eastAsia" w:cs="Arial"/>
          <w:highlight w:val="none"/>
        </w:rPr>
        <w:t>。</w:t>
      </w:r>
    </w:p>
    <w:bookmarkEnd w:id="445"/>
    <w:p>
      <w:pPr>
        <w:widowControl/>
        <w:numPr>
          <w:ilvl w:val="0"/>
          <w:numId w:val="61"/>
        </w:numPr>
        <w:tabs>
          <w:tab w:val="left" w:pos="720"/>
          <w:tab w:val="clear" w:pos="420"/>
        </w:tabs>
        <w:spacing w:line="360" w:lineRule="auto"/>
        <w:ind w:left="720" w:hanging="720"/>
        <w:jc w:val="left"/>
        <w:rPr>
          <w:rFonts w:cs="Arial"/>
          <w:highlight w:val="none"/>
        </w:rPr>
      </w:pPr>
      <w:bookmarkStart w:id="446" w:name="_DV_C960"/>
      <w:r>
        <w:rPr>
          <w:rFonts w:hint="eastAsia" w:cs="Arial"/>
          <w:highlight w:val="none"/>
        </w:rPr>
        <w:t>无论时间、地点、方式和原因，如因履行本合同而发生的或与履行本合同有关的卖方、卖方代理及分包商（如有）的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bookmarkEnd w:id="446"/>
      <w:bookmarkStart w:id="447" w:name="_DV_C961"/>
    </w:p>
    <w:bookmarkEnd w:id="447"/>
    <w:p>
      <w:pPr>
        <w:widowControl/>
        <w:numPr>
          <w:ilvl w:val="0"/>
          <w:numId w:val="61"/>
        </w:numPr>
        <w:tabs>
          <w:tab w:val="left" w:pos="720"/>
          <w:tab w:val="clear" w:pos="420"/>
        </w:tabs>
        <w:spacing w:line="360" w:lineRule="auto"/>
        <w:ind w:left="720" w:hanging="720"/>
        <w:jc w:val="left"/>
        <w:rPr>
          <w:rFonts w:cs="Arial"/>
          <w:highlight w:val="none"/>
        </w:rPr>
      </w:pPr>
      <w:bookmarkStart w:id="448" w:name="_DV_C962"/>
      <w:r>
        <w:rPr>
          <w:rFonts w:hint="eastAsia" w:cs="Arial"/>
          <w:highlight w:val="none"/>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应确保买方免于所有相关的索赔、损失、损害、费用和责任，包括但不限于在买方因此需要支付任何赔偿时，卖方均应全额予以补偿。</w:t>
      </w:r>
      <w:bookmarkEnd w:id="448"/>
    </w:p>
    <w:p>
      <w:pPr>
        <w:numPr>
          <w:ilvl w:val="0"/>
          <w:numId w:val="28"/>
        </w:numPr>
        <w:spacing w:before="360" w:after="360"/>
        <w:jc w:val="center"/>
        <w:rPr>
          <w:b/>
          <w:sz w:val="24"/>
          <w:szCs w:val="24"/>
          <w:highlight w:val="none"/>
        </w:rPr>
      </w:pPr>
      <w:bookmarkStart w:id="449" w:name="_Toc296804743"/>
      <w:bookmarkEnd w:id="449"/>
      <w:bookmarkStart w:id="450" w:name="_Toc296955885"/>
      <w:bookmarkStart w:id="451" w:name="_Toc274754058"/>
      <w:bookmarkStart w:id="452" w:name="_Toc273451816"/>
      <w:bookmarkStart w:id="453" w:name="_Toc291435941"/>
      <w:bookmarkStart w:id="454" w:name="_Toc273388631"/>
      <w:bookmarkStart w:id="455" w:name="_Toc291435874"/>
      <w:bookmarkStart w:id="456" w:name="_Toc274403524"/>
      <w:bookmarkStart w:id="457" w:name="_Toc17390399"/>
      <w:bookmarkStart w:id="458" w:name="_Toc274075997"/>
      <w:bookmarkStart w:id="459" w:name="_Toc273388532"/>
      <w:bookmarkStart w:id="460" w:name="_Toc273458630"/>
      <w:bookmarkStart w:id="461" w:name="_Toc278889811"/>
      <w:bookmarkStart w:id="462" w:name="_Toc296959347"/>
      <w:bookmarkStart w:id="463" w:name="_Toc5889398"/>
      <w:bookmarkStart w:id="464" w:name="_Toc274344125"/>
      <w:bookmarkStart w:id="465" w:name="_Toc300671226"/>
      <w:bookmarkStart w:id="466" w:name="_Toc274669189"/>
      <w:bookmarkStart w:id="467" w:name="_Toc274343593"/>
      <w:bookmarkStart w:id="468" w:name="_Toc274668248"/>
      <w:r>
        <w:rPr>
          <w:rFonts w:hint="eastAsia"/>
          <w:b/>
          <w:sz w:val="24"/>
          <w:szCs w:val="24"/>
          <w:highlight w:val="none"/>
        </w:rPr>
        <w:t>税费</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widowControl/>
        <w:numPr>
          <w:ilvl w:val="0"/>
          <w:numId w:val="62"/>
        </w:numPr>
        <w:tabs>
          <w:tab w:val="left" w:pos="709"/>
        </w:tabs>
        <w:spacing w:line="360" w:lineRule="auto"/>
        <w:ind w:left="720" w:hanging="720"/>
        <w:jc w:val="left"/>
        <w:rPr>
          <w:highlight w:val="none"/>
        </w:rPr>
      </w:pPr>
      <w:r>
        <w:rPr>
          <w:rFonts w:hint="eastAsia" w:cs="宋体"/>
          <w:highlight w:val="none"/>
        </w:rPr>
        <w:t>对于在中华人民共和国境内发生的税费，买卖双方应根据法律法规各自承担。</w:t>
      </w:r>
    </w:p>
    <w:p>
      <w:pPr>
        <w:widowControl/>
        <w:numPr>
          <w:ilvl w:val="0"/>
          <w:numId w:val="62"/>
        </w:numPr>
        <w:tabs>
          <w:tab w:val="left" w:pos="709"/>
        </w:tabs>
        <w:spacing w:line="360" w:lineRule="auto"/>
        <w:ind w:left="720" w:hanging="720"/>
        <w:jc w:val="left"/>
        <w:rPr>
          <w:highlight w:val="none"/>
        </w:rPr>
      </w:pPr>
      <w:r>
        <w:rPr>
          <w:rFonts w:hint="eastAsia" w:cs="宋体"/>
          <w:highlight w:val="none"/>
        </w:rPr>
        <w:t>对于在中华人民共和国境内发生的税费，买方有权根据法律法规和本合同的相关规定从应支付给卖方的合同价款中扣除由买方代扣、代缴的卖方应付税费，但应当向卖方提交完税证明。</w:t>
      </w:r>
    </w:p>
    <w:p>
      <w:pPr>
        <w:widowControl/>
        <w:numPr>
          <w:ilvl w:val="0"/>
          <w:numId w:val="62"/>
        </w:numPr>
        <w:tabs>
          <w:tab w:val="left" w:pos="709"/>
        </w:tabs>
        <w:spacing w:line="360" w:lineRule="auto"/>
        <w:ind w:left="720" w:hanging="720"/>
        <w:jc w:val="left"/>
        <w:rPr>
          <w:highlight w:val="none"/>
        </w:rPr>
      </w:pPr>
      <w:r>
        <w:rPr>
          <w:rFonts w:hint="eastAsia" w:cs="宋体"/>
          <w:highlight w:val="none"/>
        </w:rPr>
        <w:t>对于在中华人民共和国境外发生的税费，由卖方承担。</w:t>
      </w:r>
    </w:p>
    <w:p>
      <w:pPr>
        <w:widowControl/>
        <w:numPr>
          <w:ilvl w:val="0"/>
          <w:numId w:val="62"/>
        </w:numPr>
        <w:tabs>
          <w:tab w:val="left" w:pos="709"/>
        </w:tabs>
        <w:spacing w:line="360" w:lineRule="auto"/>
        <w:ind w:left="720" w:hanging="720"/>
        <w:jc w:val="left"/>
        <w:rPr>
          <w:highlight w:val="none"/>
        </w:rPr>
      </w:pPr>
      <w:bookmarkStart w:id="469" w:name="_DV_C973"/>
      <w:r>
        <w:rPr>
          <w:rFonts w:hint="eastAsia" w:cs="宋体"/>
          <w:highlight w:val="none"/>
        </w:rPr>
        <w:t>为本条之目的，</w:t>
      </w:r>
      <w:bookmarkEnd w:id="469"/>
      <w:bookmarkStart w:id="470" w:name="_DV_C974"/>
      <w:bookmarkStart w:id="471" w:name="_DV_X970"/>
      <w:r>
        <w:rPr>
          <w:rFonts w:hint="eastAsia" w:cs="宋体"/>
          <w:highlight w:val="none"/>
        </w:rPr>
        <w:t>“中华人民共和国境外”包括香港特别行政区、澳门特别行政区和台湾地区</w:t>
      </w:r>
      <w:bookmarkEnd w:id="470"/>
      <w:bookmarkEnd w:id="471"/>
      <w:r>
        <w:rPr>
          <w:rFonts w:hint="eastAsia" w:cs="宋体"/>
          <w:highlight w:val="none"/>
        </w:rPr>
        <w:t>。</w:t>
      </w:r>
    </w:p>
    <w:p>
      <w:pPr>
        <w:numPr>
          <w:ilvl w:val="0"/>
          <w:numId w:val="28"/>
        </w:numPr>
        <w:spacing w:before="360" w:after="360"/>
        <w:jc w:val="center"/>
        <w:rPr>
          <w:b/>
          <w:sz w:val="24"/>
          <w:szCs w:val="24"/>
          <w:highlight w:val="none"/>
        </w:rPr>
      </w:pPr>
      <w:bookmarkStart w:id="472" w:name="_Toc287977559"/>
      <w:bookmarkStart w:id="473" w:name="_Toc288479437"/>
      <w:bookmarkStart w:id="474" w:name="_Toc5889399"/>
      <w:bookmarkStart w:id="475" w:name="_Toc300671227"/>
      <w:bookmarkStart w:id="476" w:name="_Toc296959348"/>
      <w:bookmarkStart w:id="477" w:name="_Toc17390400"/>
      <w:bookmarkStart w:id="478" w:name="_Toc296955886"/>
      <w:r>
        <w:rPr>
          <w:rFonts w:hint="eastAsia"/>
          <w:b/>
          <w:sz w:val="24"/>
          <w:szCs w:val="24"/>
          <w:highlight w:val="none"/>
        </w:rPr>
        <w:t>审计</w:t>
      </w:r>
      <w:bookmarkEnd w:id="472"/>
      <w:r>
        <w:rPr>
          <w:rFonts w:hint="eastAsia"/>
          <w:b/>
          <w:sz w:val="24"/>
          <w:szCs w:val="24"/>
          <w:highlight w:val="none"/>
        </w:rPr>
        <w:t>和记录</w:t>
      </w:r>
      <w:bookmarkEnd w:id="473"/>
      <w:bookmarkEnd w:id="474"/>
      <w:bookmarkEnd w:id="475"/>
      <w:bookmarkEnd w:id="476"/>
      <w:bookmarkEnd w:id="477"/>
      <w:bookmarkEnd w:id="478"/>
    </w:p>
    <w:p>
      <w:pPr>
        <w:numPr>
          <w:ilvl w:val="0"/>
          <w:numId w:val="63"/>
        </w:numPr>
        <w:tabs>
          <w:tab w:val="left" w:pos="720"/>
          <w:tab w:val="left" w:pos="3060"/>
        </w:tabs>
        <w:spacing w:line="360" w:lineRule="auto"/>
        <w:ind w:left="720" w:hanging="720"/>
        <w:rPr>
          <w:rFonts w:cs="宋体"/>
          <w:highlight w:val="none"/>
        </w:rPr>
      </w:pPr>
      <w:r>
        <w:rPr>
          <w:rFonts w:hint="eastAsia" w:cs="宋体"/>
          <w:highlight w:val="none"/>
        </w:rPr>
        <w:t>卖方应根据买方要求，无条件接受和配合买方或买方委托的会计师事务所进行的与本合同相关的审计，并应在分包合同（如有）中要求其分包商接受相同的审计要求。</w:t>
      </w:r>
    </w:p>
    <w:p>
      <w:pPr>
        <w:numPr>
          <w:ilvl w:val="0"/>
          <w:numId w:val="63"/>
        </w:numPr>
        <w:tabs>
          <w:tab w:val="left" w:pos="720"/>
          <w:tab w:val="left" w:pos="3060"/>
        </w:tabs>
        <w:spacing w:line="360" w:lineRule="auto"/>
        <w:ind w:left="720" w:hanging="720"/>
        <w:rPr>
          <w:highlight w:val="none"/>
        </w:rPr>
      </w:pPr>
      <w:r>
        <w:rPr>
          <w:rFonts w:hint="eastAsia" w:cs="宋体"/>
          <w:highlight w:val="none"/>
        </w:rPr>
        <w:t>卖方及其分包商（如有）应保存与本合同相关的记录和账目，保存期限为货物质保期结束后十五年。该等记录和账目应详细记载因履行本合同发生的任何直接或间接费用（包括分包商发生的费用）。经提前通知，买方或其委托的会计师事务所有权检查并复制该等记录和账目。</w:t>
      </w:r>
    </w:p>
    <w:p>
      <w:pPr>
        <w:numPr>
          <w:ilvl w:val="0"/>
          <w:numId w:val="28"/>
        </w:numPr>
        <w:spacing w:before="360" w:after="360"/>
        <w:jc w:val="center"/>
        <w:rPr>
          <w:b/>
          <w:sz w:val="24"/>
          <w:szCs w:val="24"/>
          <w:highlight w:val="none"/>
        </w:rPr>
      </w:pPr>
      <w:bookmarkStart w:id="479" w:name="_Toc300671228"/>
      <w:bookmarkStart w:id="480" w:name="_Toc296959349"/>
      <w:bookmarkStart w:id="481" w:name="_Toc274669190"/>
      <w:bookmarkStart w:id="482" w:name="_Toc274754059"/>
      <w:bookmarkStart w:id="483" w:name="_Toc17390401"/>
      <w:bookmarkStart w:id="484" w:name="_Toc291435875"/>
      <w:bookmarkStart w:id="485" w:name="_Toc274343594"/>
      <w:bookmarkStart w:id="486" w:name="_Toc274344126"/>
      <w:bookmarkStart w:id="487" w:name="_Toc274403525"/>
      <w:bookmarkStart w:id="488" w:name="_Toc5889400"/>
      <w:bookmarkStart w:id="489" w:name="_Toc291435942"/>
      <w:bookmarkStart w:id="490" w:name="_Toc278889812"/>
      <w:bookmarkStart w:id="491" w:name="_Toc296955887"/>
      <w:bookmarkStart w:id="492" w:name="_Toc274668249"/>
      <w:r>
        <w:rPr>
          <w:rFonts w:hint="eastAsia"/>
          <w:b/>
          <w:sz w:val="24"/>
          <w:szCs w:val="24"/>
          <w:highlight w:val="none"/>
        </w:rPr>
        <w:t>通知</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widowControl/>
        <w:numPr>
          <w:ilvl w:val="0"/>
          <w:numId w:val="64"/>
        </w:numPr>
        <w:tabs>
          <w:tab w:val="left" w:pos="720"/>
        </w:tabs>
        <w:spacing w:line="360" w:lineRule="auto"/>
        <w:ind w:left="720" w:hanging="720"/>
        <w:jc w:val="left"/>
        <w:rPr>
          <w:highlight w:val="none"/>
        </w:rPr>
      </w:pPr>
      <w:r>
        <w:rPr>
          <w:rFonts w:hint="eastAsia" w:cs="宋体"/>
          <w:highlight w:val="none"/>
        </w:rPr>
        <w:t>通知应根据本合同规定以亲自递送、特快专递、传真等方式送达。买方、卖方或相关第三方的地址、邮政编码、联系人、联系电话、传真号码等如有变更，应及时书面通知对方。</w:t>
      </w:r>
    </w:p>
    <w:p>
      <w:pPr>
        <w:widowControl/>
        <w:numPr>
          <w:ilvl w:val="0"/>
          <w:numId w:val="64"/>
        </w:numPr>
        <w:tabs>
          <w:tab w:val="left" w:pos="720"/>
        </w:tabs>
        <w:spacing w:line="360" w:lineRule="auto"/>
        <w:ind w:left="720" w:hanging="720"/>
        <w:jc w:val="left"/>
        <w:rPr>
          <w:highlight w:val="none"/>
        </w:rPr>
      </w:pPr>
      <w:r>
        <w:rPr>
          <w:rFonts w:hint="eastAsia" w:cs="宋体"/>
          <w:highlight w:val="none"/>
        </w:rPr>
        <w:t>通知在下列情况视为送达：</w:t>
      </w:r>
    </w:p>
    <w:p>
      <w:pPr>
        <w:widowControl/>
        <w:numPr>
          <w:ilvl w:val="1"/>
          <w:numId w:val="65"/>
        </w:numPr>
        <w:tabs>
          <w:tab w:val="left" w:pos="1260"/>
        </w:tabs>
        <w:spacing w:line="360" w:lineRule="auto"/>
        <w:ind w:left="1134"/>
        <w:jc w:val="left"/>
        <w:rPr>
          <w:highlight w:val="none"/>
        </w:rPr>
      </w:pPr>
      <w:r>
        <w:rPr>
          <w:rFonts w:hint="eastAsia" w:cs="宋体"/>
          <w:highlight w:val="none"/>
        </w:rPr>
        <w:t>如采用亲自递送方式，于签收确认之时；</w:t>
      </w:r>
    </w:p>
    <w:p>
      <w:pPr>
        <w:widowControl/>
        <w:numPr>
          <w:ilvl w:val="1"/>
          <w:numId w:val="65"/>
        </w:numPr>
        <w:tabs>
          <w:tab w:val="left" w:pos="1260"/>
        </w:tabs>
        <w:spacing w:line="360" w:lineRule="auto"/>
        <w:ind w:left="1134"/>
        <w:jc w:val="left"/>
        <w:rPr>
          <w:highlight w:val="none"/>
        </w:rPr>
      </w:pPr>
      <w:r>
        <w:rPr>
          <w:rFonts w:hint="eastAsia" w:cs="宋体"/>
          <w:highlight w:val="none"/>
        </w:rPr>
        <w:t>如采用特快专递方式，于收件人签收之时；</w:t>
      </w:r>
    </w:p>
    <w:p>
      <w:pPr>
        <w:widowControl/>
        <w:numPr>
          <w:ilvl w:val="1"/>
          <w:numId w:val="65"/>
        </w:numPr>
        <w:tabs>
          <w:tab w:val="left" w:pos="1260"/>
        </w:tabs>
        <w:spacing w:line="360" w:lineRule="auto"/>
        <w:ind w:left="1134"/>
        <w:jc w:val="left"/>
        <w:rPr>
          <w:highlight w:val="none"/>
        </w:rPr>
      </w:pPr>
      <w:r>
        <w:rPr>
          <w:rFonts w:hint="eastAsia" w:cs="宋体"/>
          <w:highlight w:val="none"/>
        </w:rPr>
        <w:t>如采用传真方式，于确认传输之时。</w:t>
      </w:r>
    </w:p>
    <w:p>
      <w:pPr>
        <w:widowControl/>
        <w:numPr>
          <w:ilvl w:val="0"/>
          <w:numId w:val="64"/>
        </w:numPr>
        <w:tabs>
          <w:tab w:val="left" w:pos="720"/>
        </w:tabs>
        <w:spacing w:line="360" w:lineRule="auto"/>
        <w:ind w:left="720" w:hanging="720"/>
        <w:jc w:val="left"/>
        <w:rPr>
          <w:highlight w:val="none"/>
        </w:rPr>
      </w:pPr>
      <w:r>
        <w:rPr>
          <w:rFonts w:hint="eastAsia" w:cs="宋体"/>
          <w:highlight w:val="none"/>
        </w:rPr>
        <w:t>通知在接收方正常工作期间送达视为生效。如果不在正常的工作期间，则视为于随后的第一个工作日上午十点送达。</w:t>
      </w:r>
    </w:p>
    <w:p>
      <w:pPr>
        <w:numPr>
          <w:ilvl w:val="0"/>
          <w:numId w:val="28"/>
        </w:numPr>
        <w:spacing w:before="360" w:after="360"/>
        <w:jc w:val="center"/>
        <w:rPr>
          <w:b/>
          <w:sz w:val="24"/>
          <w:szCs w:val="24"/>
          <w:highlight w:val="none"/>
        </w:rPr>
      </w:pPr>
      <w:bookmarkStart w:id="493" w:name="_Toc274343595"/>
      <w:bookmarkStart w:id="494" w:name="_Toc5889401"/>
      <w:bookmarkStart w:id="495" w:name="_Toc17390402"/>
      <w:bookmarkStart w:id="496" w:name="_Toc296955888"/>
      <w:bookmarkStart w:id="497" w:name="_Toc273458631"/>
      <w:bookmarkStart w:id="498" w:name="_Toc291435876"/>
      <w:bookmarkStart w:id="499" w:name="_Toc300671229"/>
      <w:bookmarkStart w:id="500" w:name="_Toc273388632"/>
      <w:bookmarkStart w:id="501" w:name="_Toc273451817"/>
      <w:bookmarkStart w:id="502" w:name="_Toc291435943"/>
      <w:bookmarkStart w:id="503" w:name="_Toc274403526"/>
      <w:bookmarkStart w:id="504" w:name="_Toc274669191"/>
      <w:bookmarkStart w:id="505" w:name="_Toc278889813"/>
      <w:bookmarkStart w:id="506" w:name="_Toc274344127"/>
      <w:bookmarkStart w:id="507" w:name="_Toc296959350"/>
      <w:bookmarkStart w:id="508" w:name="_Toc274075998"/>
      <w:bookmarkStart w:id="509" w:name="_Toc273388533"/>
      <w:bookmarkStart w:id="510" w:name="_Toc274668250"/>
      <w:bookmarkStart w:id="511" w:name="_Toc274754060"/>
      <w:r>
        <w:rPr>
          <w:rFonts w:hint="eastAsia"/>
          <w:b/>
          <w:sz w:val="24"/>
          <w:szCs w:val="24"/>
          <w:highlight w:val="none"/>
        </w:rPr>
        <w:t>适用法律</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widowControl/>
        <w:numPr>
          <w:ilvl w:val="0"/>
          <w:numId w:val="66"/>
        </w:numPr>
        <w:tabs>
          <w:tab w:val="left" w:pos="720"/>
          <w:tab w:val="clear" w:pos="0"/>
        </w:tabs>
        <w:spacing w:line="360" w:lineRule="auto"/>
        <w:ind w:left="720" w:hanging="720"/>
        <w:jc w:val="left"/>
        <w:rPr>
          <w:highlight w:val="none"/>
        </w:rPr>
      </w:pPr>
      <w:r>
        <w:rPr>
          <w:rFonts w:hint="eastAsia" w:cs="宋体"/>
          <w:highlight w:val="none"/>
        </w:rPr>
        <w:t>本合同适用中国法律。</w:t>
      </w:r>
    </w:p>
    <w:p>
      <w:pPr>
        <w:numPr>
          <w:ilvl w:val="0"/>
          <w:numId w:val="28"/>
        </w:numPr>
        <w:spacing w:before="360" w:after="360"/>
        <w:jc w:val="center"/>
        <w:rPr>
          <w:b/>
          <w:sz w:val="24"/>
          <w:szCs w:val="24"/>
          <w:highlight w:val="none"/>
        </w:rPr>
      </w:pPr>
      <w:bookmarkStart w:id="512" w:name="_Toc291435944"/>
      <w:bookmarkStart w:id="513" w:name="_Toc274343596"/>
      <w:bookmarkStart w:id="514" w:name="_Toc5889402"/>
      <w:bookmarkStart w:id="515" w:name="_Toc274075999"/>
      <w:bookmarkStart w:id="516" w:name="_Toc274344128"/>
      <w:bookmarkStart w:id="517" w:name="_Toc274754061"/>
      <w:bookmarkStart w:id="518" w:name="_Toc291435877"/>
      <w:bookmarkStart w:id="519" w:name="_Toc273451818"/>
      <w:bookmarkStart w:id="520" w:name="_Toc274669192"/>
      <w:bookmarkStart w:id="521" w:name="_Toc274668251"/>
      <w:bookmarkStart w:id="522" w:name="_Toc274403527"/>
      <w:bookmarkStart w:id="523" w:name="_Toc273458632"/>
      <w:bookmarkStart w:id="524" w:name="_Toc296959351"/>
      <w:bookmarkStart w:id="525" w:name="_Toc300671230"/>
      <w:bookmarkStart w:id="526" w:name="_Toc278889814"/>
      <w:bookmarkStart w:id="527" w:name="_Toc273388633"/>
      <w:bookmarkStart w:id="528" w:name="_Toc296955889"/>
      <w:bookmarkStart w:id="529" w:name="_Toc17390403"/>
      <w:bookmarkStart w:id="530" w:name="_Toc273388534"/>
      <w:r>
        <w:rPr>
          <w:rFonts w:hint="eastAsia"/>
          <w:b/>
          <w:sz w:val="24"/>
          <w:szCs w:val="24"/>
          <w:highlight w:val="none"/>
        </w:rPr>
        <w:t>合同语言</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widowControl/>
        <w:numPr>
          <w:ilvl w:val="2"/>
          <w:numId w:val="67"/>
        </w:numPr>
        <w:tabs>
          <w:tab w:val="left" w:pos="720"/>
        </w:tabs>
        <w:spacing w:line="360" w:lineRule="auto"/>
        <w:ind w:left="720" w:hanging="720"/>
        <w:jc w:val="left"/>
        <w:rPr>
          <w:highlight w:val="none"/>
        </w:rPr>
      </w:pPr>
      <w:r>
        <w:rPr>
          <w:rFonts w:hint="eastAsia" w:cs="宋体"/>
          <w:highlight w:val="none"/>
        </w:rPr>
        <w:t>除本合同另有明确规定或双方另行同意外，本合同及本合同项下的任何文件及往来函电均采用中文书写。</w:t>
      </w:r>
    </w:p>
    <w:p>
      <w:pPr>
        <w:numPr>
          <w:ilvl w:val="0"/>
          <w:numId w:val="28"/>
        </w:numPr>
        <w:spacing w:before="360" w:after="360"/>
        <w:jc w:val="center"/>
        <w:rPr>
          <w:b/>
          <w:sz w:val="24"/>
          <w:szCs w:val="24"/>
          <w:highlight w:val="none"/>
        </w:rPr>
      </w:pPr>
      <w:bookmarkStart w:id="531" w:name="_Toc17390404"/>
      <w:bookmarkStart w:id="532" w:name="_Toc5889403"/>
      <w:bookmarkStart w:id="533" w:name="_Toc300671231"/>
      <w:r>
        <w:rPr>
          <w:rFonts w:hint="eastAsia"/>
          <w:b/>
          <w:sz w:val="24"/>
          <w:szCs w:val="24"/>
          <w:highlight w:val="none"/>
        </w:rPr>
        <w:t>标题</w:t>
      </w:r>
      <w:bookmarkEnd w:id="531"/>
      <w:bookmarkEnd w:id="532"/>
      <w:bookmarkEnd w:id="533"/>
    </w:p>
    <w:p>
      <w:pPr>
        <w:widowControl/>
        <w:numPr>
          <w:ilvl w:val="0"/>
          <w:numId w:val="68"/>
        </w:numPr>
        <w:tabs>
          <w:tab w:val="left" w:pos="720"/>
        </w:tabs>
        <w:spacing w:line="360" w:lineRule="auto"/>
        <w:ind w:left="720" w:hanging="720"/>
        <w:jc w:val="left"/>
        <w:rPr>
          <w:highlight w:val="none"/>
        </w:rPr>
      </w:pPr>
      <w:r>
        <w:rPr>
          <w:rFonts w:hint="eastAsia" w:cs="宋"/>
          <w:highlight w:val="none"/>
        </w:rPr>
        <w:t>本合同各部分及各条款的标题仅为方便阅读而设</w:t>
      </w:r>
      <w:r>
        <w:rPr>
          <w:rFonts w:hint="eastAsia"/>
          <w:highlight w:val="none"/>
        </w:rPr>
        <w:t>，</w:t>
      </w:r>
      <w:r>
        <w:rPr>
          <w:rFonts w:hint="eastAsia" w:cs="宋"/>
          <w:highlight w:val="none"/>
        </w:rPr>
        <w:t>不影响对条款实质内容的解释。</w:t>
      </w:r>
    </w:p>
    <w:p>
      <w:pPr>
        <w:numPr>
          <w:ilvl w:val="0"/>
          <w:numId w:val="28"/>
        </w:numPr>
        <w:spacing w:before="360" w:after="360"/>
        <w:jc w:val="center"/>
        <w:rPr>
          <w:b/>
          <w:sz w:val="24"/>
          <w:szCs w:val="24"/>
          <w:highlight w:val="none"/>
        </w:rPr>
      </w:pPr>
      <w:bookmarkStart w:id="534" w:name="_Toc5889404"/>
      <w:bookmarkStart w:id="535" w:name="_Toc17390405"/>
      <w:r>
        <w:rPr>
          <w:rFonts w:hint="eastAsia"/>
          <w:b/>
          <w:sz w:val="24"/>
          <w:szCs w:val="24"/>
          <w:highlight w:val="none"/>
        </w:rPr>
        <w:t>其它</w:t>
      </w:r>
      <w:bookmarkEnd w:id="534"/>
      <w:bookmarkEnd w:id="535"/>
    </w:p>
    <w:p>
      <w:pPr>
        <w:numPr>
          <w:ilvl w:val="0"/>
          <w:numId w:val="69"/>
        </w:numPr>
        <w:tabs>
          <w:tab w:val="left" w:pos="709"/>
        </w:tabs>
        <w:spacing w:line="360" w:lineRule="auto"/>
        <w:ind w:left="709" w:hanging="709"/>
        <w:rPr>
          <w:rFonts w:ascii="宋体" w:hAnsi="宋体"/>
        </w:rPr>
      </w:pPr>
      <w:r>
        <w:rPr>
          <w:rFonts w:hint="eastAsia" w:ascii="Times New Roman" w:hAnsi="Times New Roman"/>
          <w:color w:val="auto"/>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widowControl/>
        <w:numPr>
          <w:ilvl w:val="0"/>
          <w:numId w:val="69"/>
        </w:numPr>
        <w:tabs>
          <w:tab w:val="left" w:pos="709"/>
        </w:tabs>
        <w:spacing w:line="360" w:lineRule="auto"/>
        <w:ind w:left="709" w:hanging="709"/>
        <w:jc w:val="left"/>
        <w:rPr>
          <w:highlight w:val="none"/>
        </w:rPr>
      </w:pPr>
      <w:r>
        <w:rPr>
          <w:rFonts w:hint="eastAsia"/>
          <w:highlight w:val="none"/>
        </w:rPr>
        <w:t>本合同的任何变更、修改或增减，须经双方协商一致、法定代表人或授权代表签署书面文件并盖章后生效。</w:t>
      </w:r>
    </w:p>
    <w:p>
      <w:pPr>
        <w:widowControl/>
        <w:numPr>
          <w:ilvl w:val="0"/>
          <w:numId w:val="69"/>
        </w:numPr>
        <w:tabs>
          <w:tab w:val="left" w:pos="709"/>
        </w:tabs>
        <w:spacing w:line="360" w:lineRule="auto"/>
        <w:ind w:left="709" w:hanging="709"/>
        <w:jc w:val="left"/>
        <w:rPr>
          <w:highlight w:val="none"/>
        </w:rPr>
      </w:pPr>
      <w:r>
        <w:rPr>
          <w:rFonts w:hint="eastAsia"/>
          <w:highlight w:val="none"/>
        </w:rPr>
        <w:t>本合同系买卖双方反复协商、讨论的结果，合同内容非一方当事人事先拟定。本合同不属于格式合同，条款内容不属于格式条款。</w:t>
      </w:r>
    </w:p>
    <w:p>
      <w:pPr>
        <w:widowControl/>
        <w:numPr>
          <w:ilvl w:val="0"/>
          <w:numId w:val="69"/>
        </w:numPr>
        <w:tabs>
          <w:tab w:val="left" w:pos="709"/>
        </w:tabs>
        <w:spacing w:line="360" w:lineRule="auto"/>
        <w:ind w:left="709" w:hanging="709"/>
        <w:jc w:val="left"/>
        <w:rPr>
          <w:highlight w:val="none"/>
        </w:rPr>
      </w:pPr>
      <w:r>
        <w:rPr>
          <w:rFonts w:hint="eastAsia"/>
          <w:highlight w:val="none"/>
        </w:rPr>
        <w:t>未经另一方事先书面同意，任何一方不得以任何方式在其机构外使用另一方的名称、商品商标、服务商标、企业标志、商号或品牌。</w:t>
      </w:r>
    </w:p>
    <w:p>
      <w:pPr>
        <w:widowControl/>
        <w:numPr>
          <w:ilvl w:val="0"/>
          <w:numId w:val="69"/>
        </w:numPr>
        <w:tabs>
          <w:tab w:val="left" w:pos="709"/>
        </w:tabs>
        <w:spacing w:line="360" w:lineRule="auto"/>
        <w:ind w:left="709" w:hanging="709"/>
        <w:jc w:val="left"/>
        <w:rPr>
          <w:highlight w:val="none"/>
        </w:rPr>
      </w:pPr>
      <w:r>
        <w:rPr>
          <w:rFonts w:hint="eastAsia"/>
          <w:highlight w:val="none"/>
        </w:rPr>
        <w:t>如果本合同的任何条款或规定被裁定为无效、不合法或不可强制执行，该条款或规定应视为被删除，本合同其它条款不受影响，仍继续有效。</w:t>
      </w:r>
    </w:p>
    <w:p>
      <w:pPr>
        <w:widowControl/>
        <w:numPr>
          <w:ilvl w:val="0"/>
          <w:numId w:val="69"/>
        </w:numPr>
        <w:tabs>
          <w:tab w:val="left" w:pos="709"/>
        </w:tabs>
        <w:spacing w:line="360" w:lineRule="auto"/>
        <w:ind w:left="709" w:hanging="709"/>
        <w:jc w:val="left"/>
        <w:rPr>
          <w:highlight w:val="none"/>
        </w:rPr>
      </w:pPr>
      <w:r>
        <w:rPr>
          <w:rFonts w:hint="eastAsia"/>
          <w:highlight w:val="none"/>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pStyle w:val="28"/>
        <w:widowControl/>
        <w:tabs>
          <w:tab w:val="left" w:pos="709"/>
        </w:tabs>
        <w:spacing w:line="360" w:lineRule="auto"/>
        <w:ind w:right="11"/>
        <w:rPr>
          <w:highlight w:val="none"/>
        </w:rPr>
      </w:pPr>
      <w:r>
        <w:rPr>
          <w:rFonts w:hint="eastAsia"/>
          <w:highlight w:val="none"/>
        </w:rPr>
        <w:t>本合同解除或终止后，本合同项下关于知识产权、保密、保证、责任、适用法律、争议解决和其它具有持续性效力的条款继续有效。</w:t>
      </w:r>
    </w:p>
    <w:p>
      <w:pPr>
        <w:pStyle w:val="28"/>
        <w:widowControl/>
        <w:tabs>
          <w:tab w:val="left" w:pos="709"/>
        </w:tabs>
        <w:spacing w:line="360" w:lineRule="auto"/>
        <w:ind w:right="11"/>
        <w:rPr>
          <w:highlight w:val="none"/>
        </w:rPr>
      </w:pPr>
    </w:p>
    <w:p>
      <w:pPr>
        <w:pStyle w:val="28"/>
        <w:widowControl/>
        <w:tabs>
          <w:tab w:val="left" w:pos="709"/>
        </w:tabs>
        <w:spacing w:line="360" w:lineRule="auto"/>
        <w:ind w:right="11"/>
        <w:jc w:val="center"/>
        <w:rPr>
          <w:b/>
          <w:bCs/>
          <w:highlight w:val="none"/>
        </w:rPr>
      </w:pPr>
      <w:r>
        <w:rPr>
          <w:color w:val="000000"/>
          <w:highlight w:val="none"/>
        </w:rPr>
        <w:br w:type="page"/>
      </w:r>
      <w:bookmarkEnd w:id="63"/>
      <w:bookmarkStart w:id="536" w:name="_Toc296804740"/>
      <w:bookmarkEnd w:id="536"/>
      <w:bookmarkStart w:id="537" w:name="_Toc300671233"/>
      <w:bookmarkStart w:id="538" w:name="_Toc306354381"/>
      <w:bookmarkStart w:id="539" w:name="_Toc297106712"/>
      <w:r>
        <w:rPr>
          <w:rFonts w:hint="eastAsia" w:hAnsi="宋体" w:cs="宋体"/>
          <w:color w:val="000000"/>
          <w:sz w:val="36"/>
          <w:szCs w:val="36"/>
          <w:highlight w:val="none"/>
        </w:rPr>
        <w:t>第四部分合同附件</w:t>
      </w:r>
      <w:bookmarkEnd w:id="537"/>
      <w:bookmarkEnd w:id="538"/>
      <w:bookmarkEnd w:id="539"/>
    </w:p>
    <w:p>
      <w:pPr>
        <w:rPr>
          <w:highlight w:val="none"/>
        </w:rPr>
      </w:pPr>
      <w:bookmarkStart w:id="540" w:name="_Toc300671234"/>
      <w:bookmarkStart w:id="541" w:name="_Toc306354382"/>
      <w:r>
        <w:rPr>
          <w:rFonts w:hint="eastAsia"/>
          <w:highlight w:val="none"/>
        </w:rPr>
        <w:t>合同附件一：货物清单及价格明细（格式）</w:t>
      </w:r>
      <w:bookmarkEnd w:id="540"/>
      <w:bookmarkEnd w:id="541"/>
    </w:p>
    <w:p>
      <w:pPr>
        <w:pStyle w:val="28"/>
        <w:ind w:right="10"/>
        <w:rPr>
          <w:highlight w:val="none"/>
        </w:rPr>
      </w:pP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theme="minorBidi"/>
          <w:kern w:val="0"/>
          <w:sz w:val="24"/>
          <w:szCs w:val="24"/>
          <w:lang w:val="en-US" w:eastAsia="zh-CN" w:bidi="ar-SA"/>
        </w:rPr>
      </w:pPr>
    </w:p>
    <w:p>
      <w:pPr>
        <w:rPr>
          <w:rFonts w:ascii="宋体" w:hAnsi="宋体" w:cs="宋体"/>
          <w:iCs/>
          <w:sz w:val="24"/>
          <w:szCs w:val="24"/>
          <w:highlight w:val="none"/>
        </w:rPr>
      </w:pPr>
      <w:bookmarkStart w:id="542" w:name="_Toc306354383"/>
      <w:bookmarkStart w:id="543" w:name="_Toc300671235"/>
      <w:r>
        <w:rPr>
          <w:rFonts w:hint="eastAsia"/>
          <w:highlight w:val="none"/>
        </w:rPr>
        <w:t>合同附件二：技术</w:t>
      </w:r>
      <w:bookmarkEnd w:id="542"/>
      <w:bookmarkEnd w:id="543"/>
      <w:r>
        <w:rPr>
          <w:rFonts w:hint="eastAsia"/>
          <w:highlight w:val="none"/>
        </w:rPr>
        <w:t>要求书</w:t>
      </w:r>
    </w:p>
    <w:p>
      <w:pPr>
        <w:pStyle w:val="28"/>
        <w:ind w:right="10"/>
        <w:rPr>
          <w:highlight w:val="none"/>
        </w:rPr>
      </w:pPr>
    </w:p>
    <w:p>
      <w:pPr>
        <w:outlineLvl w:val="0"/>
        <w:rPr>
          <w:highlight w:val="none"/>
        </w:rPr>
      </w:pPr>
      <w:bookmarkStart w:id="544" w:name="_Toc300671236"/>
      <w:bookmarkStart w:id="545" w:name="_Toc306354384"/>
      <w:r>
        <w:rPr>
          <w:rFonts w:hint="eastAsia"/>
          <w:highlight w:val="none"/>
        </w:rPr>
        <w:t>合同附件三：采购订单及发货清单（格式）</w:t>
      </w:r>
      <w:bookmarkEnd w:id="544"/>
      <w:bookmarkEnd w:id="545"/>
    </w:p>
    <w:p>
      <w:pPr>
        <w:pStyle w:val="28"/>
        <w:tabs>
          <w:tab w:val="left" w:pos="360"/>
          <w:tab w:val="left" w:pos="720"/>
          <w:tab w:val="left" w:pos="1080"/>
          <w:tab w:val="left" w:pos="1440"/>
          <w:tab w:val="left" w:pos="1800"/>
          <w:tab w:val="left" w:pos="2160"/>
        </w:tabs>
        <w:autoSpaceDE w:val="0"/>
        <w:autoSpaceDN w:val="0"/>
        <w:adjustRightInd w:val="0"/>
        <w:spacing w:line="360" w:lineRule="auto"/>
        <w:ind w:right="10"/>
        <w:jc w:val="center"/>
        <w:rPr>
          <w:b/>
          <w:bCs/>
          <w:highlight w:val="none"/>
        </w:rPr>
      </w:pPr>
      <w:r>
        <w:rPr>
          <w:rFonts w:hint="eastAsia" w:cs="宋体"/>
          <w:b/>
          <w:bCs/>
          <w:color w:val="000000"/>
          <w:highlight w:val="none"/>
        </w:rPr>
        <w:t>采购订单（格式）</w:t>
      </w:r>
    </w:p>
    <w:tbl>
      <w:tblPr>
        <w:tblStyle w:val="15"/>
        <w:tblW w:w="9180" w:type="dxa"/>
        <w:tblInd w:w="-106" w:type="dxa"/>
        <w:tblLayout w:type="autofit"/>
        <w:tblCellMar>
          <w:top w:w="0" w:type="dxa"/>
          <w:left w:w="108" w:type="dxa"/>
          <w:bottom w:w="0" w:type="dxa"/>
          <w:right w:w="108" w:type="dxa"/>
        </w:tblCellMar>
      </w:tblPr>
      <w:tblGrid>
        <w:gridCol w:w="4561"/>
        <w:gridCol w:w="4619"/>
      </w:tblGrid>
      <w:tr>
        <w:tblPrEx>
          <w:tblCellMar>
            <w:top w:w="0" w:type="dxa"/>
            <w:left w:w="108" w:type="dxa"/>
            <w:bottom w:w="0" w:type="dxa"/>
            <w:right w:w="108" w:type="dxa"/>
          </w:tblCellMar>
        </w:tblPrEx>
        <w:trPr>
          <w:trHeight w:val="306" w:hRule="atLeast"/>
        </w:trPr>
        <w:tc>
          <w:tcPr>
            <w:tcW w:w="4561" w:type="dxa"/>
          </w:tcPr>
          <w:p>
            <w:pPr>
              <w:pStyle w:val="28"/>
              <w:ind w:right="10" w:firstLine="499"/>
              <w:rPr>
                <w:highlight w:val="none"/>
              </w:rPr>
            </w:pPr>
          </w:p>
        </w:tc>
        <w:tc>
          <w:tcPr>
            <w:tcW w:w="4619" w:type="dxa"/>
          </w:tcPr>
          <w:p>
            <w:pPr>
              <w:pStyle w:val="28"/>
              <w:ind w:right="10"/>
              <w:jc w:val="center"/>
              <w:rPr>
                <w:highlight w:val="none"/>
              </w:rPr>
            </w:pPr>
            <w:r>
              <w:rPr>
                <w:color w:val="000000"/>
                <w:highlight w:val="none"/>
              </w:rPr>
              <w:t>合同编号</w:t>
            </w:r>
            <w:r>
              <w:rPr>
                <w:rFonts w:hint="eastAsia"/>
                <w:color w:val="000000"/>
                <w:highlight w:val="none"/>
              </w:rPr>
              <w:t>：</w:t>
            </w:r>
          </w:p>
          <w:p>
            <w:pPr>
              <w:pStyle w:val="28"/>
              <w:ind w:right="10"/>
              <w:jc w:val="center"/>
              <w:rPr>
                <w:rFonts w:cs="Calibri"/>
                <w:highlight w:val="none"/>
              </w:rPr>
            </w:pPr>
            <w:r>
              <w:rPr>
                <w:rFonts w:hint="eastAsia"/>
                <w:color w:val="000000"/>
                <w:highlight w:val="none"/>
              </w:rPr>
              <w:t>订</w:t>
            </w:r>
            <w:r>
              <w:rPr>
                <w:rFonts w:hint="eastAsia" w:cs="Calibri"/>
                <w:color w:val="000000"/>
                <w:highlight w:val="none"/>
              </w:rPr>
              <w:t>单号：</w:t>
            </w:r>
          </w:p>
        </w:tc>
      </w:tr>
      <w:tr>
        <w:tblPrEx>
          <w:tblCellMar>
            <w:top w:w="0" w:type="dxa"/>
            <w:left w:w="108" w:type="dxa"/>
            <w:bottom w:w="0" w:type="dxa"/>
            <w:right w:w="108" w:type="dxa"/>
          </w:tblCellMar>
        </w:tblPrEx>
        <w:trPr>
          <w:trHeight w:val="306" w:hRule="atLeast"/>
        </w:trPr>
        <w:tc>
          <w:tcPr>
            <w:tcW w:w="4561" w:type="dxa"/>
          </w:tcPr>
          <w:p>
            <w:pPr>
              <w:pStyle w:val="28"/>
              <w:ind w:right="10"/>
              <w:rPr>
                <w:highlight w:val="none"/>
              </w:rPr>
            </w:pPr>
          </w:p>
        </w:tc>
        <w:tc>
          <w:tcPr>
            <w:tcW w:w="4619" w:type="dxa"/>
          </w:tcPr>
          <w:p>
            <w:pPr>
              <w:pStyle w:val="28"/>
              <w:ind w:right="10" w:firstLine="1785" w:firstLineChars="850"/>
              <w:rPr>
                <w:highlight w:val="none"/>
              </w:rPr>
            </w:pPr>
            <w:r>
              <w:rPr>
                <w:rFonts w:hint="eastAsia" w:cs="宋体"/>
                <w:color w:val="000000"/>
                <w:highlight w:val="none"/>
              </w:rPr>
              <w:t>日期：</w:t>
            </w:r>
          </w:p>
        </w:tc>
      </w:tr>
      <w:tr>
        <w:tblPrEx>
          <w:tblCellMar>
            <w:top w:w="0" w:type="dxa"/>
            <w:left w:w="108" w:type="dxa"/>
            <w:bottom w:w="0" w:type="dxa"/>
            <w:right w:w="108" w:type="dxa"/>
          </w:tblCellMar>
        </w:tblPrEx>
        <w:tc>
          <w:tcPr>
            <w:tcW w:w="4561" w:type="dxa"/>
          </w:tcPr>
          <w:p>
            <w:pPr>
              <w:pStyle w:val="28"/>
              <w:ind w:right="10"/>
              <w:rPr>
                <w:highlight w:val="none"/>
              </w:rPr>
            </w:pPr>
            <w:r>
              <w:rPr>
                <w:rFonts w:hint="eastAsia" w:cs="宋体"/>
                <w:color w:val="000000"/>
                <w:highlight w:val="none"/>
              </w:rPr>
              <w:t>买方：</w:t>
            </w:r>
          </w:p>
        </w:tc>
        <w:tc>
          <w:tcPr>
            <w:tcW w:w="4619" w:type="dxa"/>
          </w:tcPr>
          <w:p>
            <w:pPr>
              <w:pStyle w:val="28"/>
              <w:ind w:right="10"/>
              <w:rPr>
                <w:highlight w:val="none"/>
              </w:rPr>
            </w:pPr>
            <w:r>
              <w:rPr>
                <w:rFonts w:hint="eastAsia" w:cs="宋体"/>
                <w:color w:val="000000"/>
                <w:highlight w:val="none"/>
              </w:rPr>
              <w:t>卖方：</w:t>
            </w:r>
          </w:p>
        </w:tc>
      </w:tr>
      <w:tr>
        <w:tblPrEx>
          <w:tblCellMar>
            <w:top w:w="0" w:type="dxa"/>
            <w:left w:w="108" w:type="dxa"/>
            <w:bottom w:w="0" w:type="dxa"/>
            <w:right w:w="108" w:type="dxa"/>
          </w:tblCellMar>
        </w:tblPrEx>
        <w:tc>
          <w:tcPr>
            <w:tcW w:w="4561" w:type="dxa"/>
          </w:tcPr>
          <w:p>
            <w:pPr>
              <w:pStyle w:val="28"/>
              <w:ind w:right="10"/>
              <w:rPr>
                <w:highlight w:val="none"/>
              </w:rPr>
            </w:pPr>
            <w:r>
              <w:rPr>
                <w:rFonts w:hint="eastAsia" w:cs="宋体"/>
                <w:color w:val="000000"/>
                <w:highlight w:val="none"/>
              </w:rPr>
              <w:t>地址：</w:t>
            </w:r>
          </w:p>
        </w:tc>
        <w:tc>
          <w:tcPr>
            <w:tcW w:w="4619" w:type="dxa"/>
          </w:tcPr>
          <w:p>
            <w:pPr>
              <w:pStyle w:val="28"/>
              <w:ind w:right="10"/>
              <w:rPr>
                <w:highlight w:val="none"/>
              </w:rPr>
            </w:pPr>
            <w:r>
              <w:rPr>
                <w:rFonts w:hint="eastAsia" w:cs="宋体"/>
                <w:color w:val="000000"/>
                <w:highlight w:val="none"/>
              </w:rPr>
              <w:t>地址：</w:t>
            </w:r>
          </w:p>
        </w:tc>
      </w:tr>
      <w:tr>
        <w:tblPrEx>
          <w:tblCellMar>
            <w:top w:w="0" w:type="dxa"/>
            <w:left w:w="108" w:type="dxa"/>
            <w:bottom w:w="0" w:type="dxa"/>
            <w:right w:w="108" w:type="dxa"/>
          </w:tblCellMar>
        </w:tblPrEx>
        <w:tc>
          <w:tcPr>
            <w:tcW w:w="4561" w:type="dxa"/>
          </w:tcPr>
          <w:p>
            <w:pPr>
              <w:pStyle w:val="28"/>
              <w:ind w:right="10"/>
              <w:rPr>
                <w:highlight w:val="none"/>
              </w:rPr>
            </w:pPr>
            <w:r>
              <w:rPr>
                <w:rFonts w:hint="eastAsia" w:cs="宋体"/>
                <w:color w:val="000000"/>
                <w:highlight w:val="none"/>
              </w:rPr>
              <w:t>邮编：</w:t>
            </w:r>
          </w:p>
        </w:tc>
        <w:tc>
          <w:tcPr>
            <w:tcW w:w="4619" w:type="dxa"/>
          </w:tcPr>
          <w:p>
            <w:pPr>
              <w:pStyle w:val="28"/>
              <w:ind w:right="10"/>
              <w:rPr>
                <w:highlight w:val="none"/>
              </w:rPr>
            </w:pPr>
            <w:r>
              <w:rPr>
                <w:rFonts w:hint="eastAsia" w:cs="宋体"/>
                <w:color w:val="000000"/>
                <w:highlight w:val="none"/>
              </w:rPr>
              <w:t>邮编：</w:t>
            </w:r>
          </w:p>
        </w:tc>
      </w:tr>
      <w:tr>
        <w:tblPrEx>
          <w:tblCellMar>
            <w:top w:w="0" w:type="dxa"/>
            <w:left w:w="108" w:type="dxa"/>
            <w:bottom w:w="0" w:type="dxa"/>
            <w:right w:w="108" w:type="dxa"/>
          </w:tblCellMar>
        </w:tblPrEx>
        <w:tc>
          <w:tcPr>
            <w:tcW w:w="4561" w:type="dxa"/>
          </w:tcPr>
          <w:p>
            <w:pPr>
              <w:pStyle w:val="28"/>
              <w:ind w:right="10"/>
              <w:rPr>
                <w:highlight w:val="none"/>
              </w:rPr>
            </w:pPr>
            <w:r>
              <w:rPr>
                <w:rFonts w:hint="eastAsia" w:cs="宋体"/>
                <w:color w:val="000000"/>
                <w:highlight w:val="none"/>
              </w:rPr>
              <w:t>联系人：</w:t>
            </w:r>
          </w:p>
        </w:tc>
        <w:tc>
          <w:tcPr>
            <w:tcW w:w="4619" w:type="dxa"/>
          </w:tcPr>
          <w:p>
            <w:pPr>
              <w:pStyle w:val="28"/>
              <w:ind w:right="10"/>
              <w:rPr>
                <w:highlight w:val="none"/>
              </w:rPr>
            </w:pPr>
            <w:r>
              <w:rPr>
                <w:rFonts w:hint="eastAsia" w:cs="宋体"/>
                <w:color w:val="000000"/>
                <w:highlight w:val="none"/>
              </w:rPr>
              <w:t>联系人：</w:t>
            </w:r>
          </w:p>
        </w:tc>
      </w:tr>
      <w:tr>
        <w:tblPrEx>
          <w:tblCellMar>
            <w:top w:w="0" w:type="dxa"/>
            <w:left w:w="108" w:type="dxa"/>
            <w:bottom w:w="0" w:type="dxa"/>
            <w:right w:w="108" w:type="dxa"/>
          </w:tblCellMar>
        </w:tblPrEx>
        <w:tc>
          <w:tcPr>
            <w:tcW w:w="4561" w:type="dxa"/>
          </w:tcPr>
          <w:p>
            <w:pPr>
              <w:pStyle w:val="28"/>
              <w:ind w:right="10"/>
              <w:rPr>
                <w:highlight w:val="none"/>
              </w:rPr>
            </w:pPr>
            <w:r>
              <w:rPr>
                <w:rFonts w:hint="eastAsia" w:cs="宋体"/>
                <w:color w:val="000000"/>
                <w:highlight w:val="none"/>
              </w:rPr>
              <w:t>电话：</w:t>
            </w:r>
          </w:p>
        </w:tc>
        <w:tc>
          <w:tcPr>
            <w:tcW w:w="4619" w:type="dxa"/>
          </w:tcPr>
          <w:p>
            <w:pPr>
              <w:pStyle w:val="28"/>
              <w:ind w:right="10"/>
              <w:rPr>
                <w:highlight w:val="none"/>
              </w:rPr>
            </w:pPr>
            <w:r>
              <w:rPr>
                <w:rFonts w:hint="eastAsia" w:cs="宋体"/>
                <w:color w:val="000000"/>
                <w:highlight w:val="none"/>
              </w:rPr>
              <w:t>电话：</w:t>
            </w:r>
          </w:p>
        </w:tc>
      </w:tr>
      <w:tr>
        <w:tblPrEx>
          <w:tblCellMar>
            <w:top w:w="0" w:type="dxa"/>
            <w:left w:w="108" w:type="dxa"/>
            <w:bottom w:w="0" w:type="dxa"/>
            <w:right w:w="108" w:type="dxa"/>
          </w:tblCellMar>
        </w:tblPrEx>
        <w:trPr>
          <w:trHeight w:val="80" w:hRule="atLeast"/>
        </w:trPr>
        <w:tc>
          <w:tcPr>
            <w:tcW w:w="4561" w:type="dxa"/>
          </w:tcPr>
          <w:p>
            <w:pPr>
              <w:pStyle w:val="28"/>
              <w:ind w:right="10"/>
              <w:rPr>
                <w:highlight w:val="none"/>
              </w:rPr>
            </w:pPr>
            <w:r>
              <w:rPr>
                <w:rFonts w:hint="eastAsia" w:cs="宋体"/>
                <w:color w:val="000000"/>
                <w:highlight w:val="none"/>
              </w:rPr>
              <w:t>传真：</w:t>
            </w:r>
          </w:p>
        </w:tc>
        <w:tc>
          <w:tcPr>
            <w:tcW w:w="4619" w:type="dxa"/>
          </w:tcPr>
          <w:p>
            <w:pPr>
              <w:pStyle w:val="28"/>
              <w:ind w:right="10"/>
              <w:rPr>
                <w:highlight w:val="none"/>
              </w:rPr>
            </w:pPr>
            <w:r>
              <w:rPr>
                <w:rFonts w:hint="eastAsia" w:cs="宋体"/>
                <w:color w:val="000000"/>
                <w:highlight w:val="none"/>
              </w:rPr>
              <w:t>传真：</w:t>
            </w:r>
          </w:p>
        </w:tc>
      </w:tr>
      <w:tr>
        <w:tblPrEx>
          <w:tblCellMar>
            <w:top w:w="0" w:type="dxa"/>
            <w:left w:w="108" w:type="dxa"/>
            <w:bottom w:w="0" w:type="dxa"/>
            <w:right w:w="108" w:type="dxa"/>
          </w:tblCellMar>
        </w:tblPrEx>
        <w:tc>
          <w:tcPr>
            <w:tcW w:w="4561" w:type="dxa"/>
          </w:tcPr>
          <w:p>
            <w:pPr>
              <w:pStyle w:val="28"/>
              <w:ind w:right="10"/>
              <w:rPr>
                <w:highlight w:val="none"/>
              </w:rPr>
            </w:pPr>
            <w:r>
              <w:rPr>
                <w:rFonts w:hint="eastAsia" w:cs="宋体"/>
                <w:color w:val="000000"/>
                <w:highlight w:val="none"/>
              </w:rPr>
              <w:t>电邮：</w:t>
            </w:r>
          </w:p>
        </w:tc>
        <w:tc>
          <w:tcPr>
            <w:tcW w:w="4619" w:type="dxa"/>
          </w:tcPr>
          <w:p>
            <w:pPr>
              <w:pStyle w:val="28"/>
              <w:ind w:right="10"/>
              <w:rPr>
                <w:highlight w:val="none"/>
              </w:rPr>
            </w:pPr>
            <w:r>
              <w:rPr>
                <w:rFonts w:hint="eastAsia" w:cs="宋体"/>
                <w:color w:val="000000"/>
                <w:highlight w:val="none"/>
              </w:rPr>
              <w:t>电邮：</w:t>
            </w:r>
          </w:p>
        </w:tc>
      </w:tr>
    </w:tbl>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highlight w:val="none"/>
        </w:rPr>
        <mc:AlternateContent>
          <mc:Choice Requires="wps">
            <w:drawing>
              <wp:anchor distT="0" distB="0" distL="114300" distR="114300" simplePos="0" relativeHeight="251660288" behindDoc="0" locked="1" layoutInCell="1" allowOverlap="1">
                <wp:simplePos x="0" y="0"/>
                <wp:positionH relativeFrom="column">
                  <wp:posOffset>-342900</wp:posOffset>
                </wp:positionH>
                <wp:positionV relativeFrom="paragraph">
                  <wp:posOffset>12700</wp:posOffset>
                </wp:positionV>
                <wp:extent cx="60579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pt;margin-top:1pt;height:0pt;width:477pt;z-index:251660288;mso-width-relative:page;mso-height-relative:page;" filled="f" stroked="t" coordsize="21600,21600" o:gfxdata="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qX82NQAAAAHAQAA&#10;DwAAAAAAAAABACAAAAAiAAAAZHJzL2Rvd25yZXYueG1sUEsBAhQAFAAAAAgAh07iQE1rqXrkAQAA&#10;qgMAAA4AAAAAAAAAAQAgAAAAIwEAAGRycy9lMm9Eb2MueG1sUEsFBgAAAAAGAAYAWQEAAHkFAAAA&#10;AA==&#10;">
                <v:fill on="f" focussize="0,0"/>
                <v:stroke color="#000000" joinstyle="round"/>
                <v:imagedata o:title=""/>
                <o:lock v:ext="edit" aspectratio="f"/>
                <w10:anchorlock/>
              </v:line>
            </w:pict>
          </mc:Fallback>
        </mc:AlternateContent>
      </w:r>
      <w:r>
        <w:rPr>
          <w:rFonts w:hint="eastAsia" w:cs="宋体"/>
          <w:color w:val="000000"/>
          <w:highlight w:val="none"/>
        </w:rPr>
        <w:t>根据买卖双方签订的（合同编号：），买方通知卖方按照以下要求发货：</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1</w:t>
      </w:r>
      <w:r>
        <w:rPr>
          <w:rFonts w:hint="eastAsia" w:cs="宋体"/>
          <w:b/>
          <w:bCs/>
          <w:color w:val="000000"/>
          <w:highlight w:val="none"/>
        </w:rPr>
        <w:t>、发货内容：</w:t>
      </w:r>
      <w:r>
        <w:rPr>
          <w:rFonts w:hint="eastAsia" w:cs="宋体"/>
          <w:color w:val="000000"/>
          <w:highlight w:val="none"/>
        </w:rPr>
        <w:t>，货物明细见附页发货清单。</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发货总金额：。</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2</w:t>
      </w:r>
      <w:r>
        <w:rPr>
          <w:rFonts w:hint="eastAsia" w:cs="宋体"/>
          <w:b/>
          <w:bCs/>
          <w:color w:val="000000"/>
          <w:highlight w:val="none"/>
        </w:rPr>
        <w:t>、运输唛头标记：</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3150" w:firstLineChars="1500"/>
        <w:rPr>
          <w:rFonts w:cs="宋体"/>
          <w:highlight w:val="none"/>
          <w:u w:val="single"/>
        </w:rPr>
      </w:pPr>
      <w:r>
        <w:rPr>
          <w:rFonts w:cs="宋体"/>
          <w:color w:val="000000"/>
          <w:highlight w:val="none"/>
        </w:rPr>
        <w:t>合同编号</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2940" w:firstLineChars="1400"/>
        <w:rPr>
          <w:highlight w:val="none"/>
          <w:u w:val="single"/>
        </w:rPr>
      </w:pPr>
      <w:r>
        <w:rPr>
          <w:rFonts w:hint="eastAsia" w:cs="宋体"/>
          <w:color w:val="000000"/>
          <w:highlight w:val="none"/>
        </w:rPr>
        <w:t>采购订单号</w:t>
      </w:r>
    </w:p>
    <w:p>
      <w:pPr>
        <w:pStyle w:val="28"/>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rFonts w:hint="eastAsia" w:cs="宋体"/>
          <w:color w:val="000000"/>
          <w:highlight w:val="none"/>
        </w:rPr>
        <w:t>中海油</w:t>
      </w:r>
      <w:r>
        <w:rPr>
          <w:color w:val="000000"/>
          <w:highlight w:val="none"/>
        </w:rPr>
        <w:t>-XX</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3</w:t>
      </w:r>
      <w:r>
        <w:rPr>
          <w:rFonts w:hint="eastAsia" w:cs="宋体"/>
          <w:b/>
          <w:bCs/>
          <w:color w:val="000000"/>
          <w:highlight w:val="none"/>
        </w:rPr>
        <w:t>、交货时间：</w:t>
      </w:r>
      <w:r>
        <w:rPr>
          <w:rFonts w:hint="eastAsia" w:cs="宋体"/>
          <w:color w:val="000000"/>
          <w:highlight w:val="none"/>
        </w:rPr>
        <w:t>年月日前一次交清。或</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1050" w:firstLineChars="500"/>
        <w:rPr>
          <w:highlight w:val="none"/>
        </w:rPr>
      </w:pPr>
      <w:r>
        <w:rPr>
          <w:rFonts w:hint="eastAsia" w:cs="宋体"/>
          <w:color w:val="000000"/>
          <w:highlight w:val="none"/>
        </w:rPr>
        <w:t>双方签字盖章后个日历日内交货。</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4</w:t>
      </w:r>
      <w:r>
        <w:rPr>
          <w:rFonts w:hint="eastAsia" w:cs="宋体"/>
          <w:b/>
          <w:bCs/>
          <w:color w:val="000000"/>
          <w:highlight w:val="none"/>
        </w:rPr>
        <w:t>、交货地点：</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color w:val="000000"/>
          <w:highlight w:val="none"/>
        </w:rPr>
      </w:pPr>
      <w:r>
        <w:rPr>
          <w:b/>
          <w:bCs/>
          <w:color w:val="000000"/>
          <w:highlight w:val="none"/>
        </w:rPr>
        <w:t>5</w:t>
      </w:r>
      <w:r>
        <w:rPr>
          <w:rFonts w:hint="eastAsia" w:cs="宋体"/>
          <w:b/>
          <w:bCs/>
          <w:color w:val="000000"/>
          <w:highlight w:val="none"/>
        </w:rPr>
        <w:t>、收货单位：收货联系人：</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地址：；电话：；传真；电邮：</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6</w:t>
      </w:r>
      <w:r>
        <w:rPr>
          <w:rFonts w:hint="eastAsia" w:cs="宋体"/>
          <w:b/>
          <w:bCs/>
          <w:color w:val="000000"/>
          <w:highlight w:val="none"/>
        </w:rPr>
        <w:t>、交货通知：</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highlight w:val="none"/>
        </w:rPr>
      </w:pPr>
      <w:r>
        <w:rPr>
          <w:rFonts w:hint="eastAsia" w:cs="宋体"/>
          <w:color w:val="000000"/>
          <w:highlight w:val="none"/>
        </w:rPr>
        <w:t>卖方应在发货后【一】日内，将发货信息以传真或电邮方式通知收货单位联系人。卖方无法按期交货的，在交货日期前应及时通知买方。</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7</w:t>
      </w:r>
      <w:r>
        <w:rPr>
          <w:rFonts w:hint="eastAsia" w:cs="宋体"/>
          <w:b/>
          <w:bCs/>
          <w:color w:val="000000"/>
          <w:highlight w:val="none"/>
        </w:rPr>
        <w:t>、交货文件：</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rFonts w:cs="宋体"/>
          <w:highlight w:val="none"/>
        </w:rPr>
      </w:pPr>
      <w:r>
        <w:rPr>
          <w:rFonts w:hint="eastAsia" w:cs="宋体"/>
          <w:color w:val="000000"/>
          <w:highlight w:val="none"/>
        </w:rPr>
        <w:t>卖方交货时应当按照合同约定提供所交货物的发货清单、出厂合格证书、领货凭证、技术资料等文件，并文件上注明所属采购订单号后及时寄送收货联系人。</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u w:val="single"/>
        </w:rPr>
      </w:pPr>
      <w:r>
        <w:rPr>
          <w:rFonts w:hint="eastAsia"/>
          <w:b/>
          <w:bCs/>
          <w:color w:val="000000"/>
          <w:highlight w:val="none"/>
        </w:rPr>
        <w:t>8</w:t>
      </w:r>
      <w:r>
        <w:rPr>
          <w:rFonts w:hint="eastAsia" w:cs="宋体"/>
          <w:b/>
          <w:bCs/>
          <w:color w:val="000000"/>
          <w:highlight w:val="none"/>
        </w:rPr>
        <w:t>、其它要求：</w:t>
      </w:r>
      <w:r>
        <w:rPr>
          <w:rFonts w:hint="eastAsia"/>
          <w:color w:val="000000"/>
          <w:highlight w:val="none"/>
        </w:rPr>
        <w:t>（可根据各单位实际情况添加付款方式、主合同规定的付款时间要求、开票信息、付款资料的要求、HSE要求等，若内容较多可以附件形式添加）</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highlight w:val="none"/>
          <w:u w:val="single"/>
        </w:rPr>
      </w:pP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b/>
          <w:bCs/>
          <w:highlight w:val="none"/>
        </w:rPr>
      </w:pPr>
      <w:r>
        <w:rPr>
          <w:rFonts w:cs="宋体"/>
          <w:b/>
          <w:bCs/>
          <w:color w:val="000000"/>
          <w:highlight w:val="none"/>
        </w:rPr>
        <w:t>9</w:t>
      </w:r>
      <w:r>
        <w:rPr>
          <w:rFonts w:hint="eastAsia" w:cs="宋体"/>
          <w:b/>
          <w:bCs/>
          <w:color w:val="000000"/>
          <w:highlight w:val="none"/>
        </w:rPr>
        <w:t>、本订单未尽事宜适用于</w:t>
      </w:r>
      <w:r>
        <w:rPr>
          <w:rFonts w:hint="eastAsia" w:cs="宋体"/>
          <w:color w:val="000000"/>
          <w:highlight w:val="none"/>
        </w:rPr>
        <w:t>（合同编号：）年度合同名称</w:t>
      </w:r>
      <w:r>
        <w:rPr>
          <w:rFonts w:hint="eastAsia" w:cs="宋体"/>
          <w:b/>
          <w:bCs/>
          <w:color w:val="000000"/>
          <w:highlight w:val="none"/>
        </w:rPr>
        <w:t>相关条款；</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rFonts w:cs="Calibri"/>
          <w:highlight w:val="none"/>
          <w:u w:val="single"/>
        </w:rPr>
      </w:pP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3885" w:right="10" w:hanging="3885" w:hangingChars="1850"/>
        <w:rPr>
          <w:highlight w:val="none"/>
        </w:rPr>
      </w:pPr>
      <w:r>
        <w:rPr>
          <w:rFonts w:hint="eastAsia" w:cs="宋体"/>
          <w:color w:val="000000"/>
          <w:highlight w:val="none"/>
        </w:rPr>
        <w:t>买方执行方（签章）：                                 卖方（签章）：</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日期：                                               日期：</w:t>
      </w:r>
    </w:p>
    <w:p>
      <w:pPr>
        <w:pStyle w:val="28"/>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8"/>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olor w:val="000000"/>
          <w:highlight w:val="none"/>
        </w:rPr>
        <w:t>（买方执行方签字人为各所属单位法定代表人或其授权人，加盖的章为各所属单位的</w:t>
      </w:r>
      <w:r>
        <w:rPr>
          <w:rFonts w:hint="eastAsia"/>
          <w:b/>
          <w:color w:val="000000"/>
          <w:highlight w:val="none"/>
        </w:rPr>
        <w:t>合同章</w:t>
      </w:r>
      <w:r>
        <w:rPr>
          <w:rFonts w:hint="eastAsia"/>
          <w:color w:val="000000"/>
          <w:highlight w:val="none"/>
        </w:rPr>
        <w:t>）</w:t>
      </w:r>
    </w:p>
    <w:p>
      <w:pPr>
        <w:pStyle w:val="28"/>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pPr>
        <w:pStyle w:val="28"/>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pPr>
        <w:pStyle w:val="28"/>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b/>
          <w:bCs/>
          <w:highlight w:val="none"/>
        </w:rPr>
      </w:pPr>
      <w:r>
        <w:rPr>
          <w:rFonts w:cs="宋体"/>
          <w:b/>
          <w:bCs/>
          <w:color w:val="000000"/>
          <w:highlight w:val="none"/>
        </w:rPr>
        <w:br w:type="page"/>
      </w:r>
      <w:r>
        <w:rPr>
          <w:rFonts w:hint="eastAsia" w:cs="宋体"/>
          <w:b/>
          <w:bCs/>
          <w:color w:val="000000"/>
          <w:highlight w:val="none"/>
        </w:rPr>
        <w:t>发货清单（格式）</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u w:val="single"/>
        </w:rPr>
      </w:pPr>
      <w:r>
        <w:rPr>
          <w:rFonts w:cs="宋体"/>
          <w:color w:val="000000"/>
          <w:highlight w:val="none"/>
        </w:rPr>
        <w:t>合同编号</w:t>
      </w:r>
      <w:r>
        <w:rPr>
          <w:rFonts w:hint="eastAsia" w:cs="宋体"/>
          <w:color w:val="000000"/>
          <w:highlight w:val="none"/>
        </w:rPr>
        <w:t>：</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采购订单号：</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发货单位：</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收货单位：</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交货地点：</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bl>
      <w:tblPr>
        <w:tblStyle w:val="1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20"/>
        <w:gridCol w:w="807"/>
        <w:gridCol w:w="948"/>
        <w:gridCol w:w="948"/>
        <w:gridCol w:w="948"/>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787"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序号</w:t>
            </w:r>
          </w:p>
        </w:tc>
        <w:tc>
          <w:tcPr>
            <w:tcW w:w="3223"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货物名称</w:t>
            </w:r>
          </w:p>
        </w:tc>
        <w:tc>
          <w:tcPr>
            <w:tcW w:w="807"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单位</w:t>
            </w:r>
          </w:p>
        </w:tc>
        <w:tc>
          <w:tcPr>
            <w:tcW w:w="949"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数量</w:t>
            </w:r>
          </w:p>
        </w:tc>
        <w:tc>
          <w:tcPr>
            <w:tcW w:w="949"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单价</w:t>
            </w:r>
          </w:p>
        </w:tc>
        <w:tc>
          <w:tcPr>
            <w:tcW w:w="949"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金额</w:t>
            </w:r>
          </w:p>
        </w:tc>
        <w:tc>
          <w:tcPr>
            <w:tcW w:w="970" w:type="dxa"/>
            <w:vAlign w:val="center"/>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10" w:right="10" w:hanging="210" w:hangingChars="100"/>
              <w:jc w:val="center"/>
              <w:rPr>
                <w:highlight w:val="none"/>
              </w:rPr>
            </w:pPr>
            <w:r>
              <w:rPr>
                <w:rFonts w:hint="eastAsia" w:cs="宋体"/>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总计</w:t>
            </w:r>
          </w:p>
        </w:tc>
        <w:tc>
          <w:tcPr>
            <w:tcW w:w="3223"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bl>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其它说明：</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1</w:t>
      </w:r>
      <w:r>
        <w:rPr>
          <w:rFonts w:hint="eastAsia" w:cs="宋体"/>
          <w:color w:val="000000"/>
          <w:highlight w:val="none"/>
        </w:rPr>
        <w:t>、</w:t>
      </w:r>
    </w:p>
    <w:p>
      <w:pPr>
        <w:pStyle w:val="28"/>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2</w:t>
      </w:r>
      <w:r>
        <w:rPr>
          <w:rFonts w:hint="eastAsia" w:cs="宋体"/>
          <w:color w:val="000000"/>
          <w:highlight w:val="none"/>
        </w:rPr>
        <w:t>、</w:t>
      </w:r>
    </w:p>
    <w:p>
      <w:pPr>
        <w:pStyle w:val="28"/>
        <w:tabs>
          <w:tab w:val="left" w:pos="420"/>
          <w:tab w:val="left" w:pos="840"/>
          <w:tab w:val="left" w:pos="1260"/>
          <w:tab w:val="left" w:pos="1680"/>
          <w:tab w:val="left" w:pos="2100"/>
          <w:tab w:val="right" w:pos="9638"/>
        </w:tabs>
        <w:spacing w:line="360" w:lineRule="auto"/>
        <w:ind w:right="10" w:firstLine="2205" w:firstLineChars="1050"/>
        <w:rPr>
          <w:highlight w:val="none"/>
        </w:rPr>
      </w:pPr>
      <w:r>
        <w:rPr>
          <w:rFonts w:hint="eastAsia" w:cs="宋体"/>
          <w:color w:val="000000"/>
          <w:highlight w:val="none"/>
        </w:rPr>
        <w:t>卖方（签章）：</w:t>
      </w:r>
      <w:r>
        <w:rPr>
          <w:color w:val="000000"/>
          <w:highlight w:val="none"/>
        </w:rPr>
        <w:t>_____________</w:t>
      </w:r>
    </w:p>
    <w:p>
      <w:pPr>
        <w:rPr>
          <w:highlight w:val="none"/>
        </w:rPr>
      </w:pPr>
      <w:r>
        <w:rPr>
          <w:highlight w:val="none"/>
        </w:rPr>
        <w:br w:type="page"/>
      </w:r>
      <w:bookmarkStart w:id="546" w:name="_Toc300671237"/>
      <w:bookmarkStart w:id="547" w:name="_Toc306354385"/>
      <w:r>
        <w:rPr>
          <w:rFonts w:hint="eastAsia"/>
          <w:highlight w:val="none"/>
        </w:rPr>
        <w:t>合同附件四：送货单（格式）</w:t>
      </w:r>
      <w:bookmarkEnd w:id="546"/>
      <w:bookmarkEnd w:id="547"/>
    </w:p>
    <w:p>
      <w:pPr>
        <w:pStyle w:val="28"/>
        <w:spacing w:line="360" w:lineRule="auto"/>
        <w:ind w:right="-519" w:rightChars="-247" w:firstLine="210" w:firstLineChars="100"/>
        <w:rPr>
          <w:highlight w:val="none"/>
        </w:rPr>
      </w:pPr>
    </w:p>
    <w:p>
      <w:pPr>
        <w:pStyle w:val="28"/>
        <w:spacing w:line="360" w:lineRule="auto"/>
        <w:ind w:right="-519" w:rightChars="-247"/>
        <w:rPr>
          <w:highlight w:val="none"/>
        </w:rPr>
      </w:pPr>
      <w:r>
        <w:rPr>
          <w:rFonts w:hint="eastAsia" w:cs="宋体"/>
          <w:color w:val="000000"/>
          <w:highlight w:val="none"/>
        </w:rPr>
        <w:t>收货单位</w:t>
      </w:r>
      <w:r>
        <w:rPr>
          <w:color w:val="000000"/>
          <w:highlight w:val="none"/>
        </w:rPr>
        <w:t>:</w:t>
      </w:r>
      <w:r>
        <w:rPr>
          <w:rFonts w:hint="eastAsia" w:cs="宋体"/>
          <w:color w:val="000000"/>
          <w:highlight w:val="none"/>
        </w:rPr>
        <w:t>合同编号</w:t>
      </w:r>
      <w:r>
        <w:rPr>
          <w:color w:val="000000"/>
          <w:highlight w:val="none"/>
        </w:rPr>
        <w:t>:</w:t>
      </w:r>
    </w:p>
    <w:p>
      <w:pPr>
        <w:pStyle w:val="28"/>
        <w:spacing w:line="360" w:lineRule="auto"/>
        <w:ind w:right="-519" w:rightChars="-247"/>
        <w:rPr>
          <w:highlight w:val="none"/>
        </w:rPr>
      </w:pPr>
      <w:r>
        <w:rPr>
          <w:rFonts w:hint="eastAsia" w:cs="宋体"/>
          <w:color w:val="000000"/>
          <w:highlight w:val="none"/>
        </w:rPr>
        <w:t>交货地点</w:t>
      </w:r>
      <w:r>
        <w:rPr>
          <w:color w:val="000000"/>
          <w:highlight w:val="none"/>
        </w:rPr>
        <w:t>:</w:t>
      </w:r>
      <w:r>
        <w:rPr>
          <w:rFonts w:hint="eastAsia" w:cs="宋体"/>
          <w:color w:val="000000"/>
          <w:highlight w:val="none"/>
        </w:rPr>
        <w:t>采购订单号：</w:t>
      </w:r>
    </w:p>
    <w:tbl>
      <w:tblPr>
        <w:tblStyle w:val="1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09"/>
        <w:gridCol w:w="2539"/>
        <w:gridCol w:w="1025"/>
        <w:gridCol w:w="688"/>
        <w:gridCol w:w="688"/>
        <w:gridCol w:w="85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r>
              <w:rPr>
                <w:rFonts w:hint="eastAsia" w:cs="宋体"/>
                <w:color w:val="000000"/>
                <w:highlight w:val="none"/>
              </w:rPr>
              <w:t>序号</w:t>
            </w:r>
          </w:p>
        </w:tc>
        <w:tc>
          <w:tcPr>
            <w:tcW w:w="3240" w:type="dxa"/>
            <w:gridSpan w:val="2"/>
          </w:tcPr>
          <w:p>
            <w:pPr>
              <w:pStyle w:val="28"/>
              <w:spacing w:line="360" w:lineRule="auto"/>
              <w:ind w:right="-519" w:rightChars="-247"/>
              <w:rPr>
                <w:highlight w:val="none"/>
              </w:rPr>
            </w:pPr>
            <w:r>
              <w:rPr>
                <w:rFonts w:hint="eastAsia" w:cs="宋体"/>
                <w:color w:val="000000"/>
                <w:highlight w:val="none"/>
              </w:rPr>
              <w:t>货物品牌、名称、规格</w:t>
            </w:r>
          </w:p>
          <w:p>
            <w:pPr>
              <w:pStyle w:val="28"/>
              <w:spacing w:line="360" w:lineRule="auto"/>
              <w:ind w:right="-519" w:rightChars="-247"/>
              <w:rPr>
                <w:highlight w:val="none"/>
              </w:rPr>
            </w:pPr>
            <w:r>
              <w:rPr>
                <w:rFonts w:hint="eastAsia" w:cs="宋体"/>
                <w:color w:val="000000"/>
                <w:highlight w:val="none"/>
              </w:rPr>
              <w:t>及包装单位</w:t>
            </w:r>
          </w:p>
        </w:tc>
        <w:tc>
          <w:tcPr>
            <w:tcW w:w="1080" w:type="dxa"/>
          </w:tcPr>
          <w:p>
            <w:pPr>
              <w:pStyle w:val="28"/>
              <w:spacing w:line="360" w:lineRule="auto"/>
              <w:ind w:right="-519" w:rightChars="-247"/>
              <w:rPr>
                <w:highlight w:val="none"/>
              </w:rPr>
            </w:pPr>
            <w:r>
              <w:rPr>
                <w:rFonts w:hint="eastAsia" w:cs="宋体"/>
                <w:color w:val="000000"/>
                <w:highlight w:val="none"/>
              </w:rPr>
              <w:t>单位</w:t>
            </w:r>
          </w:p>
        </w:tc>
        <w:tc>
          <w:tcPr>
            <w:tcW w:w="720" w:type="dxa"/>
          </w:tcPr>
          <w:p>
            <w:pPr>
              <w:pStyle w:val="28"/>
              <w:spacing w:line="360" w:lineRule="auto"/>
              <w:ind w:right="-519" w:rightChars="-247"/>
              <w:rPr>
                <w:highlight w:val="none"/>
              </w:rPr>
            </w:pPr>
            <w:r>
              <w:rPr>
                <w:rFonts w:hint="eastAsia" w:cs="宋体"/>
                <w:color w:val="000000"/>
                <w:highlight w:val="none"/>
              </w:rPr>
              <w:t>数量</w:t>
            </w:r>
          </w:p>
        </w:tc>
        <w:tc>
          <w:tcPr>
            <w:tcW w:w="720" w:type="dxa"/>
          </w:tcPr>
          <w:p>
            <w:pPr>
              <w:pStyle w:val="28"/>
              <w:spacing w:line="360" w:lineRule="auto"/>
              <w:ind w:right="-519" w:rightChars="-247"/>
              <w:rPr>
                <w:highlight w:val="none"/>
              </w:rPr>
            </w:pPr>
            <w:r>
              <w:rPr>
                <w:rFonts w:hint="eastAsia" w:cs="宋体"/>
                <w:color w:val="000000"/>
                <w:highlight w:val="none"/>
              </w:rPr>
              <w:t>单价</w:t>
            </w:r>
          </w:p>
        </w:tc>
        <w:tc>
          <w:tcPr>
            <w:tcW w:w="900" w:type="dxa"/>
          </w:tcPr>
          <w:p>
            <w:pPr>
              <w:pStyle w:val="28"/>
              <w:spacing w:line="360" w:lineRule="auto"/>
              <w:ind w:right="-519" w:rightChars="-247"/>
              <w:rPr>
                <w:highlight w:val="none"/>
              </w:rPr>
            </w:pPr>
            <w:r>
              <w:rPr>
                <w:rFonts w:hint="eastAsia" w:cs="宋体"/>
                <w:color w:val="000000"/>
                <w:highlight w:val="none"/>
              </w:rPr>
              <w:t>金额</w:t>
            </w:r>
          </w:p>
        </w:tc>
        <w:tc>
          <w:tcPr>
            <w:tcW w:w="1800" w:type="dxa"/>
          </w:tcPr>
          <w:p>
            <w:pPr>
              <w:pStyle w:val="28"/>
              <w:spacing w:line="360" w:lineRule="auto"/>
              <w:ind w:right="-519" w:rightChars="-247"/>
              <w:rPr>
                <w:highlight w:val="none"/>
              </w:rPr>
            </w:pPr>
            <w:r>
              <w:rPr>
                <w:rFonts w:hint="eastAsia" w:cs="宋体"/>
                <w:color w:val="000000"/>
                <w:highlight w:val="none"/>
              </w:rPr>
              <w:t>合同清单序号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8"/>
              <w:spacing w:line="360" w:lineRule="auto"/>
              <w:ind w:right="-519" w:rightChars="-247"/>
              <w:rPr>
                <w:highlight w:val="none"/>
              </w:rPr>
            </w:pPr>
          </w:p>
        </w:tc>
        <w:tc>
          <w:tcPr>
            <w:tcW w:w="3240" w:type="dxa"/>
            <w:gridSpan w:val="2"/>
          </w:tcPr>
          <w:p>
            <w:pPr>
              <w:pStyle w:val="28"/>
              <w:spacing w:line="360" w:lineRule="auto"/>
              <w:ind w:right="-519" w:rightChars="-247"/>
              <w:rPr>
                <w:highlight w:val="none"/>
              </w:rPr>
            </w:pPr>
          </w:p>
        </w:tc>
        <w:tc>
          <w:tcPr>
            <w:tcW w:w="108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720" w:type="dxa"/>
          </w:tcPr>
          <w:p>
            <w:pPr>
              <w:pStyle w:val="28"/>
              <w:spacing w:line="360" w:lineRule="auto"/>
              <w:ind w:right="-519" w:rightChars="-247"/>
              <w:rPr>
                <w:highlight w:val="none"/>
              </w:rPr>
            </w:pPr>
          </w:p>
        </w:tc>
        <w:tc>
          <w:tcPr>
            <w:tcW w:w="900" w:type="dxa"/>
          </w:tcPr>
          <w:p>
            <w:pPr>
              <w:pStyle w:val="28"/>
              <w:spacing w:line="360" w:lineRule="auto"/>
              <w:ind w:right="-519" w:rightChars="-247"/>
              <w:rPr>
                <w:highlight w:val="none"/>
              </w:rPr>
            </w:pPr>
          </w:p>
        </w:tc>
        <w:tc>
          <w:tcPr>
            <w:tcW w:w="1800" w:type="dxa"/>
          </w:tcPr>
          <w:p>
            <w:pPr>
              <w:pStyle w:val="28"/>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gridSpan w:val="2"/>
          </w:tcPr>
          <w:p>
            <w:pPr>
              <w:pStyle w:val="28"/>
              <w:spacing w:line="360" w:lineRule="auto"/>
              <w:ind w:right="-519" w:rightChars="-247"/>
              <w:rPr>
                <w:highlight w:val="none"/>
              </w:rPr>
            </w:pPr>
            <w:r>
              <w:rPr>
                <w:rFonts w:hint="eastAsia" w:cs="宋体"/>
                <w:color w:val="000000"/>
                <w:highlight w:val="none"/>
              </w:rPr>
              <w:t>合计金额</w:t>
            </w:r>
          </w:p>
        </w:tc>
        <w:tc>
          <w:tcPr>
            <w:tcW w:w="5220" w:type="dxa"/>
            <w:gridSpan w:val="4"/>
          </w:tcPr>
          <w:p>
            <w:pPr>
              <w:pStyle w:val="28"/>
              <w:spacing w:line="360" w:lineRule="auto"/>
              <w:ind w:right="-519" w:rightChars="-247"/>
              <w:rPr>
                <w:highlight w:val="none"/>
              </w:rPr>
            </w:pPr>
            <w:r>
              <w:rPr>
                <w:rFonts w:hint="eastAsia" w:cs="宋体"/>
                <w:color w:val="000000"/>
                <w:highlight w:val="none"/>
              </w:rPr>
              <w:t>（大写）</w:t>
            </w:r>
          </w:p>
        </w:tc>
        <w:tc>
          <w:tcPr>
            <w:tcW w:w="900" w:type="dxa"/>
          </w:tcPr>
          <w:p>
            <w:pPr>
              <w:pStyle w:val="28"/>
              <w:spacing w:line="360" w:lineRule="auto"/>
              <w:ind w:right="-519" w:rightChars="-247"/>
              <w:rPr>
                <w:highlight w:val="none"/>
              </w:rPr>
            </w:pPr>
            <w:r>
              <w:rPr>
                <w:rFonts w:hint="eastAsia" w:cs="宋体"/>
                <w:color w:val="000000"/>
                <w:highlight w:val="none"/>
              </w:rPr>
              <w:t>￥</w:t>
            </w:r>
          </w:p>
        </w:tc>
        <w:tc>
          <w:tcPr>
            <w:tcW w:w="1800" w:type="dxa"/>
          </w:tcPr>
          <w:p>
            <w:pPr>
              <w:pStyle w:val="28"/>
              <w:spacing w:line="360" w:lineRule="auto"/>
              <w:ind w:right="-519" w:rightChars="-247"/>
              <w:rPr>
                <w:highlight w:val="none"/>
              </w:rPr>
            </w:pPr>
          </w:p>
        </w:tc>
      </w:tr>
    </w:tbl>
    <w:p>
      <w:pPr>
        <w:pStyle w:val="28"/>
        <w:spacing w:line="360" w:lineRule="auto"/>
        <w:ind w:right="-519" w:rightChars="-247"/>
        <w:rPr>
          <w:highlight w:val="none"/>
        </w:rPr>
      </w:pPr>
    </w:p>
    <w:p>
      <w:pPr>
        <w:pStyle w:val="28"/>
        <w:spacing w:line="360" w:lineRule="auto"/>
        <w:ind w:right="-519" w:rightChars="-247"/>
        <w:rPr>
          <w:highlight w:val="none"/>
        </w:rPr>
      </w:pPr>
      <w:r>
        <w:rPr>
          <w:rFonts w:hint="eastAsia" w:cs="宋体"/>
          <w:color w:val="000000"/>
          <w:highlight w:val="none"/>
        </w:rPr>
        <w:t>收货人（签名）：送货人（签名）：</w:t>
      </w:r>
    </w:p>
    <w:p>
      <w:pPr>
        <w:pStyle w:val="28"/>
        <w:spacing w:line="360" w:lineRule="auto"/>
        <w:ind w:right="-519" w:rightChars="-247"/>
        <w:rPr>
          <w:highlight w:val="none"/>
        </w:rPr>
      </w:pPr>
      <w:r>
        <w:rPr>
          <w:rFonts w:hint="eastAsia" w:cs="宋体"/>
          <w:color w:val="000000"/>
          <w:highlight w:val="none"/>
        </w:rPr>
        <w:t>日期：日期：</w:t>
      </w:r>
    </w:p>
    <w:p>
      <w:pPr>
        <w:pStyle w:val="28"/>
        <w:spacing w:line="360" w:lineRule="auto"/>
        <w:ind w:right="-519" w:rightChars="-247"/>
        <w:rPr>
          <w:highlight w:val="none"/>
        </w:rPr>
      </w:pPr>
    </w:p>
    <w:p>
      <w:pPr>
        <w:pStyle w:val="28"/>
        <w:spacing w:line="360" w:lineRule="auto"/>
        <w:ind w:right="-519" w:rightChars="-247"/>
        <w:rPr>
          <w:highlight w:val="none"/>
        </w:rPr>
      </w:pPr>
      <w:r>
        <w:rPr>
          <w:rFonts w:hint="eastAsia" w:cs="宋体"/>
          <w:color w:val="000000"/>
          <w:highlight w:val="none"/>
        </w:rPr>
        <w:t>买方验收审核人：</w:t>
      </w:r>
    </w:p>
    <w:p>
      <w:pPr>
        <w:pStyle w:val="28"/>
        <w:spacing w:line="360" w:lineRule="auto"/>
        <w:ind w:right="-519" w:rightChars="-247"/>
        <w:rPr>
          <w:rFonts w:cs="宋体"/>
          <w:color w:val="000000"/>
          <w:highlight w:val="none"/>
        </w:rPr>
      </w:pPr>
    </w:p>
    <w:p/>
    <w:p>
      <w:pPr>
        <w:rPr>
          <w:lang w:val="en-US" w:eastAsia="zh-CN"/>
        </w:rPr>
      </w:pPr>
    </w:p>
    <w:p>
      <w:pPr>
        <w:pStyle w:val="7"/>
        <w:rPr>
          <w:lang w:val="en-US" w:eastAsia="zh-CN"/>
        </w:rPr>
      </w:pPr>
    </w:p>
    <w:p>
      <w:pPr>
        <w:rPr>
          <w:lang w:val="en-US" w:eastAsia="zh-CN"/>
        </w:rPr>
      </w:pPr>
    </w:p>
    <w:p>
      <w:pPr>
        <w:pStyle w:val="7"/>
        <w:rPr>
          <w:lang w:val="en-US" w:eastAsia="zh-CN"/>
        </w:rPr>
      </w:pPr>
    </w:p>
    <w:p>
      <w:pPr>
        <w:pStyle w:val="21"/>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5"/>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4"/>
        <w:gridCol w:w="5361"/>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70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361"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2588"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w:t>
            </w:r>
            <w:r>
              <w:rPr>
                <w:rFonts w:hint="eastAsia"/>
                <w:color w:val="000000"/>
                <w:sz w:val="20"/>
                <w:szCs w:val="20"/>
                <w:lang w:eastAsia="zh-CN" w:bidi="ar"/>
              </w:rPr>
              <w:t>其它</w:t>
            </w:r>
            <w:r>
              <w:rPr>
                <w:rFonts w:hint="eastAsia"/>
                <w:color w:val="000000"/>
                <w:sz w:val="20"/>
                <w:szCs w:val="20"/>
                <w:lang w:bidi="ar"/>
              </w:rPr>
              <w:t>供应商串通陪标的；③供应商之间相互串通，以不正当的手段排挤</w:t>
            </w:r>
            <w:r>
              <w:rPr>
                <w:rFonts w:hint="eastAsia"/>
                <w:color w:val="000000"/>
                <w:sz w:val="20"/>
                <w:szCs w:val="20"/>
                <w:lang w:eastAsia="zh-CN" w:bidi="ar"/>
              </w:rPr>
              <w:t>其它</w:t>
            </w:r>
            <w:r>
              <w:rPr>
                <w:rFonts w:hint="eastAsia"/>
                <w:color w:val="000000"/>
                <w:sz w:val="20"/>
                <w:szCs w:val="20"/>
                <w:lang w:bidi="ar"/>
              </w:rPr>
              <w:t>供应商（采取公开招标采办方式的，以招标代理公司判定结果为准）</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w:t>
            </w:r>
            <w:r>
              <w:rPr>
                <w:rFonts w:hint="eastAsia"/>
                <w:color w:val="000000"/>
                <w:sz w:val="20"/>
                <w:szCs w:val="20"/>
                <w:lang w:eastAsia="zh-CN" w:bidi="ar"/>
              </w:rPr>
              <w:t>其它</w:t>
            </w:r>
            <w:r>
              <w:rPr>
                <w:rFonts w:hint="eastAsia"/>
                <w:color w:val="000000"/>
                <w:sz w:val="20"/>
                <w:szCs w:val="20"/>
                <w:lang w:bidi="ar"/>
              </w:rPr>
              <w:t>供应商串通陪标的；③供应商之间相互串通，以不正当的手段排挤</w:t>
            </w:r>
            <w:r>
              <w:rPr>
                <w:rFonts w:hint="eastAsia"/>
                <w:color w:val="000000"/>
                <w:sz w:val="20"/>
                <w:szCs w:val="20"/>
                <w:lang w:eastAsia="zh-CN" w:bidi="ar"/>
              </w:rPr>
              <w:t>其它</w:t>
            </w:r>
            <w:r>
              <w:rPr>
                <w:rFonts w:hint="eastAsia"/>
                <w:color w:val="000000"/>
                <w:sz w:val="20"/>
                <w:szCs w:val="20"/>
                <w:lang w:bidi="ar"/>
              </w:rPr>
              <w:t>供应商（采取公开招标采办方式的，以招标代理公司判定结果为准）</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704"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w:t>
            </w:r>
            <w:r>
              <w:rPr>
                <w:rFonts w:hint="eastAsia"/>
                <w:color w:val="000000"/>
                <w:sz w:val="20"/>
                <w:szCs w:val="20"/>
                <w:lang w:eastAsia="zh-CN" w:bidi="ar"/>
              </w:rPr>
              <w:t>其它</w:t>
            </w:r>
            <w:r>
              <w:rPr>
                <w:rFonts w:hint="eastAsia"/>
                <w:color w:val="000000"/>
                <w:sz w:val="20"/>
                <w:szCs w:val="20"/>
                <w:lang w:bidi="ar"/>
              </w:rPr>
              <w:t>项目的方案或资料从而导致评标不合格；④邀请招标项目供应商因不重视商务投标导致商务评议不合格等情况。未造成影响的。</w:t>
            </w:r>
          </w:p>
        </w:tc>
        <w:tc>
          <w:tcPr>
            <w:tcW w:w="2588"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w:t>
            </w:r>
            <w:r>
              <w:rPr>
                <w:rFonts w:hint="eastAsia"/>
                <w:color w:val="000000"/>
                <w:sz w:val="20"/>
                <w:szCs w:val="20"/>
                <w:lang w:eastAsia="zh-CN" w:bidi="ar"/>
              </w:rPr>
              <w:t>其它</w:t>
            </w:r>
            <w:r>
              <w:rPr>
                <w:rFonts w:hint="eastAsia"/>
                <w:color w:val="000000"/>
                <w:sz w:val="20"/>
                <w:szCs w:val="20"/>
                <w:lang w:bidi="ar"/>
              </w:rPr>
              <w:t>项目的方案或资料从而导致评标不合格；④邀请招标项目供应商因不重视商务投标导致商务评议不合格等情况。造成影响的。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704" w:type="dxa"/>
            <w:shd w:val="clear" w:color="auto" w:fill="auto"/>
            <w:vAlign w:val="center"/>
          </w:tcPr>
          <w:p>
            <w:pPr>
              <w:jc w:val="center"/>
              <w:textAlignment w:val="center"/>
              <w:rPr>
                <w:color w:val="000000"/>
                <w:sz w:val="20"/>
                <w:szCs w:val="20"/>
              </w:rPr>
            </w:pPr>
            <w:r>
              <w:rPr>
                <w:rFonts w:hint="eastAsia"/>
                <w:color w:val="000000"/>
                <w:sz w:val="20"/>
                <w:szCs w:val="20"/>
                <w:lang w:bidi="ar"/>
              </w:rPr>
              <w:t>排挤</w:t>
            </w:r>
            <w:r>
              <w:rPr>
                <w:rFonts w:hint="eastAsia"/>
                <w:color w:val="000000"/>
                <w:sz w:val="20"/>
                <w:szCs w:val="20"/>
                <w:lang w:eastAsia="zh-CN" w:bidi="ar"/>
              </w:rPr>
              <w:t>其它</w:t>
            </w:r>
            <w:r>
              <w:rPr>
                <w:rFonts w:hint="eastAsia"/>
                <w:color w:val="000000"/>
                <w:sz w:val="20"/>
                <w:szCs w:val="20"/>
                <w:lang w:bidi="ar"/>
              </w:rPr>
              <w:t>供应商</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w:t>
            </w:r>
            <w:r>
              <w:rPr>
                <w:rFonts w:hint="eastAsia"/>
                <w:color w:val="000000"/>
                <w:sz w:val="20"/>
                <w:szCs w:val="20"/>
                <w:lang w:eastAsia="zh-CN" w:bidi="ar"/>
              </w:rPr>
              <w:t>其它</w:t>
            </w:r>
            <w:r>
              <w:rPr>
                <w:rFonts w:hint="eastAsia"/>
                <w:color w:val="000000"/>
                <w:sz w:val="20"/>
                <w:szCs w:val="20"/>
                <w:lang w:bidi="ar"/>
              </w:rPr>
              <w:t>供应商投标或中标的，证据确凿的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704"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361" w:type="dxa"/>
            <w:shd w:val="clear" w:color="auto" w:fill="auto"/>
            <w:vAlign w:val="center"/>
          </w:tcPr>
          <w:p>
            <w:pPr>
              <w:textAlignment w:val="center"/>
              <w:rPr>
                <w:color w:val="000000"/>
                <w:sz w:val="20"/>
                <w:szCs w:val="20"/>
              </w:rPr>
            </w:pPr>
            <w:r>
              <w:rPr>
                <w:rStyle w:val="22"/>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22"/>
                <w:rFonts w:hint="default"/>
                <w:lang w:bidi="ar"/>
              </w:rPr>
              <w:t>破坏招投标秩序等情形的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704"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704"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w:t>
            </w:r>
            <w:r>
              <w:rPr>
                <w:rFonts w:hint="eastAsia"/>
                <w:color w:val="000000"/>
                <w:sz w:val="20"/>
                <w:szCs w:val="20"/>
                <w:lang w:eastAsia="zh-CN" w:bidi="ar"/>
              </w:rPr>
              <w:t>其它</w:t>
            </w:r>
            <w:r>
              <w:rPr>
                <w:rFonts w:hint="eastAsia"/>
                <w:color w:val="000000"/>
                <w:sz w:val="20"/>
                <w:szCs w:val="20"/>
                <w:lang w:bidi="ar"/>
              </w:rPr>
              <w:t>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70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704"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70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70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704"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w:t>
            </w:r>
            <w:r>
              <w:rPr>
                <w:rFonts w:hint="eastAsia"/>
                <w:color w:val="000000"/>
                <w:sz w:val="20"/>
                <w:szCs w:val="20"/>
                <w:lang w:eastAsia="zh-CN" w:bidi="ar"/>
              </w:rPr>
              <w:t>其它</w:t>
            </w:r>
            <w:r>
              <w:rPr>
                <w:rFonts w:hint="eastAsia"/>
                <w:color w:val="000000"/>
                <w:sz w:val="20"/>
                <w:szCs w:val="20"/>
                <w:lang w:bidi="ar"/>
              </w:rPr>
              <w:t>因供应商的原因导致中国海油受损，并拒绝协商解决和赔偿责任的情况</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704"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704"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704"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w:t>
            </w:r>
            <w:r>
              <w:rPr>
                <w:rFonts w:hint="eastAsia"/>
                <w:color w:val="000000"/>
                <w:sz w:val="20"/>
                <w:szCs w:val="20"/>
                <w:lang w:eastAsia="zh-CN" w:bidi="ar"/>
              </w:rPr>
              <w:t>其它</w:t>
            </w:r>
            <w:r>
              <w:rPr>
                <w:rFonts w:hint="eastAsia"/>
                <w:color w:val="000000"/>
                <w:sz w:val="20"/>
                <w:szCs w:val="20"/>
                <w:lang w:bidi="ar"/>
              </w:rPr>
              <w:t>供应商的产品、服务，或将已获取的合同对其分包的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70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704"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704"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704"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70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7"/>
        <w:rPr>
          <w:rFonts w:asciiTheme="minorEastAsia" w:hAnsiTheme="minorEastAsia"/>
          <w:sz w:val="24"/>
          <w:szCs w:val="24"/>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7"/>
        <w:rPr>
          <w:rFonts w:asciiTheme="minorEastAsia" w:hAnsiTheme="minorEastAsia"/>
          <w:sz w:val="24"/>
          <w:szCs w:val="24"/>
        </w:rPr>
      </w:pPr>
    </w:p>
    <w:tbl>
      <w:tblPr>
        <w:tblStyle w:val="15"/>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362"/>
        <w:gridCol w:w="4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36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656"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供应商投标或中标的，证据确凿。</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厂家品牌，提供伪劣商品、以假乱真弄虚作假。</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供应商的产品、服务，或将已获取的合同对其分包。</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因供应商的原因导致中国海油受损，并拒绝协商解决和赔偿责任的情况。</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不当行为可能给中国海油带来风险。</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违反国家法律法规及集团公司规章制度的行为，包括国家、审计、纪检监察、巡视等函件反映问题。</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sz w:val="20"/>
          <w:szCs w:val="20"/>
          <w:lang w:eastAsia="zh-CN"/>
        </w:rPr>
      </w:pPr>
    </w:p>
    <w:p>
      <w:pPr>
        <w:pStyle w:val="7"/>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7"/>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19"/>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19"/>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5.12：其它补充</w:t>
      </w: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rPr>
          <w:rFonts w:hint="eastAsia"/>
          <w:lang w:val="en-US" w:eastAsia="zh-CN"/>
        </w:rPr>
      </w:pPr>
    </w:p>
    <w:p>
      <w:pPr>
        <w:pStyle w:val="19"/>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r>
        <w:rPr>
          <w:rFonts w:hint="eastAsia" w:ascii="黑体" w:hAnsi="黑体" w:eastAsia="黑体"/>
          <w:b/>
          <w:bCs/>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2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（应答人应在应答文件中提供其公司章程或其它能够体现出资人、股东信息的法定文件，此证明文件将作为评标/评审时的依据。）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我公司与本采购项目其它应答人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确认，我公司不存在中国海油员工（不含中国海油正式派出的）、海油发展离职未满三年的员工在我公司担任股东、法人代表、董事、监事和其它任职人员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6"/>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6"/>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24"/>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4"/>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p>
    <w:p>
      <w:pPr>
        <w:pStyle w:val="24"/>
        <w:adjustRightInd/>
        <w:jc w:val="center"/>
        <w:rPr>
          <w:rFonts w:hAnsi="宋体"/>
          <w:b/>
          <w:sz w:val="21"/>
          <w:szCs w:val="21"/>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88"/>
        <w:gridCol w:w="1537"/>
        <w:gridCol w:w="353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488"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37"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3538"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010"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488"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488"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488" w:type="dxa"/>
            <w:vAlign w:val="center"/>
          </w:tcPr>
          <w:p>
            <w:pPr>
              <w:spacing w:line="360" w:lineRule="auto"/>
              <w:jc w:val="center"/>
              <w:rPr>
                <w:rFonts w:ascii="宋体" w:hAnsi="宋体"/>
                <w:color w:val="000000"/>
              </w:rPr>
            </w:pPr>
            <w:r>
              <w:rPr>
                <w:rFonts w:hint="eastAsia" w:ascii="宋体" w:hAnsi="宋体"/>
                <w:color w:val="000000"/>
              </w:rPr>
              <w:t>服务期</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488"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488"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488" w:type="dxa"/>
            <w:vAlign w:val="center"/>
          </w:tcPr>
          <w:p>
            <w:pPr>
              <w:spacing w:line="360" w:lineRule="auto"/>
              <w:jc w:val="center"/>
              <w:rPr>
                <w:rFonts w:hint="eastAsia" w:ascii="宋体" w:hAnsi="宋体" w:eastAsiaTheme="minorEastAsia"/>
                <w:color w:val="000000"/>
                <w:lang w:eastAsia="zh-CN"/>
              </w:rPr>
            </w:pPr>
            <w:r>
              <w:rPr>
                <w:rFonts w:hint="eastAsia" w:ascii="宋体" w:hAnsi="宋体"/>
                <w:color w:val="000000"/>
                <w:lang w:eastAsia="zh-CN"/>
              </w:rPr>
              <w:t>其它</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5"/>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5"/>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25"/>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73"/>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73"/>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73"/>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1"/>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1"/>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1"/>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768"/>
        <w:gridCol w:w="688"/>
        <w:gridCol w:w="700"/>
        <w:gridCol w:w="687"/>
        <w:gridCol w:w="1469"/>
        <w:gridCol w:w="1238"/>
        <w:gridCol w:w="130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序号</w:t>
            </w:r>
          </w:p>
        </w:tc>
        <w:tc>
          <w:tcPr>
            <w:tcW w:w="1768"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货物名称</w:t>
            </w:r>
          </w:p>
        </w:tc>
        <w:tc>
          <w:tcPr>
            <w:tcW w:w="688"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数量</w:t>
            </w:r>
          </w:p>
        </w:tc>
        <w:tc>
          <w:tcPr>
            <w:tcW w:w="700"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687"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税率</w:t>
            </w:r>
          </w:p>
        </w:tc>
        <w:tc>
          <w:tcPr>
            <w:tcW w:w="1469"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不含税单价</w:t>
            </w:r>
          </w:p>
        </w:tc>
        <w:tc>
          <w:tcPr>
            <w:tcW w:w="1238"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含税单价</w:t>
            </w:r>
          </w:p>
        </w:tc>
        <w:tc>
          <w:tcPr>
            <w:tcW w:w="1300"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不含税小计</w:t>
            </w:r>
          </w:p>
        </w:tc>
        <w:tc>
          <w:tcPr>
            <w:tcW w:w="1265"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176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冷焊型修补修复材料</w:t>
            </w:r>
          </w:p>
        </w:tc>
        <w:tc>
          <w:tcPr>
            <w:tcW w:w="688"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w:t>
            </w:r>
          </w:p>
        </w:tc>
        <w:tc>
          <w:tcPr>
            <w:tcW w:w="7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687"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69"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38"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p>
        </w:tc>
        <w:tc>
          <w:tcPr>
            <w:tcW w:w="176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防火单向透气膜材料</w:t>
            </w:r>
          </w:p>
        </w:tc>
        <w:tc>
          <w:tcPr>
            <w:tcW w:w="6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w:t>
            </w:r>
          </w:p>
        </w:tc>
        <w:tc>
          <w:tcPr>
            <w:tcW w:w="7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桶</w:t>
            </w:r>
          </w:p>
        </w:tc>
        <w:tc>
          <w:tcPr>
            <w:tcW w:w="687"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469"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38"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p>
        </w:tc>
        <w:tc>
          <w:tcPr>
            <w:tcW w:w="176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膨胀型耐寒烫防护修复材料</w:t>
            </w:r>
          </w:p>
        </w:tc>
        <w:tc>
          <w:tcPr>
            <w:tcW w:w="6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w:t>
            </w:r>
          </w:p>
        </w:tc>
        <w:tc>
          <w:tcPr>
            <w:tcW w:w="7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组</w:t>
            </w:r>
          </w:p>
        </w:tc>
        <w:tc>
          <w:tcPr>
            <w:tcW w:w="687"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469"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38"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176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船舶修补修复材料清洗剂</w:t>
            </w:r>
          </w:p>
        </w:tc>
        <w:tc>
          <w:tcPr>
            <w:tcW w:w="6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w:t>
            </w:r>
          </w:p>
        </w:tc>
        <w:tc>
          <w:tcPr>
            <w:tcW w:w="7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组</w:t>
            </w:r>
          </w:p>
        </w:tc>
        <w:tc>
          <w:tcPr>
            <w:tcW w:w="687"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469"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38"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p>
        </w:tc>
        <w:tc>
          <w:tcPr>
            <w:tcW w:w="176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玻璃纤维阻燃处理网材料</w:t>
            </w:r>
          </w:p>
        </w:tc>
        <w:tc>
          <w:tcPr>
            <w:tcW w:w="6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w:t>
            </w:r>
          </w:p>
        </w:tc>
        <w:tc>
          <w:tcPr>
            <w:tcW w:w="7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卷</w:t>
            </w:r>
          </w:p>
        </w:tc>
        <w:tc>
          <w:tcPr>
            <w:tcW w:w="687"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469"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38"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p>
        </w:tc>
        <w:tc>
          <w:tcPr>
            <w:tcW w:w="176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增强带修复材料</w:t>
            </w:r>
          </w:p>
        </w:tc>
        <w:tc>
          <w:tcPr>
            <w:tcW w:w="68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w:t>
            </w:r>
          </w:p>
        </w:tc>
        <w:tc>
          <w:tcPr>
            <w:tcW w:w="70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组</w:t>
            </w:r>
          </w:p>
        </w:tc>
        <w:tc>
          <w:tcPr>
            <w:tcW w:w="687" w:type="dxa"/>
            <w:shd w:val="clear" w:color="auto" w:fill="auto"/>
            <w:vAlign w:val="center"/>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w:t>
            </w:r>
          </w:p>
        </w:tc>
        <w:tc>
          <w:tcPr>
            <w:tcW w:w="1469"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38"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1" w:type="dxa"/>
            <w:gridSpan w:val="7"/>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300"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1265" w:type="dxa"/>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6" w:type="dxa"/>
            <w:gridSpan w:val="9"/>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6" w:type="dxa"/>
            <w:gridSpan w:val="9"/>
            <w:shd w:val="clear" w:color="auto" w:fill="auto"/>
          </w:tcPr>
          <w:p>
            <w:pPr>
              <w:pStyle w:val="21"/>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bookmarkStart w:id="548" w:name="_GoBack"/>
      <w:bookmarkEnd w:id="548"/>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5</w:t>
      </w:r>
      <w:r>
        <w:rPr>
          <w:rFonts w:hint="eastAsia" w:cs="Calibri" w:asciiTheme="minorEastAsia" w:hAnsiTheme="minorEastAsia"/>
          <w:color w:val="000000" w:themeColor="text1"/>
          <w:kern w:val="0"/>
          <w:sz w:val="21"/>
          <w:szCs w:val="21"/>
          <w:highlight w:val="none"/>
          <w:lang w:val="en-US" w:eastAsia="zh-CN" w:bidi="ar-SA"/>
          <w14:textFill>
            <w14:solidFill>
              <w14:schemeClr w14:val="tx1"/>
            </w14:solidFill>
          </w14:textFill>
        </w:rPr>
        <w:t>、</w:t>
      </w: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合同定价模式：</w:t>
      </w:r>
      <w:r>
        <w:rPr>
          <w:rFonts w:hint="eastAsia" w:cs="Calibri" w:asciiTheme="minorEastAsia" w:hAnsiTheme="minorEastAsia"/>
          <w:color w:val="000000" w:themeColor="text1"/>
          <w:kern w:val="0"/>
          <w:sz w:val="21"/>
          <w:szCs w:val="21"/>
          <w:highlight w:val="none"/>
          <w:lang w:val="en-US" w:eastAsia="zh-CN" w:bidi="ar-SA"/>
          <w14:textFill>
            <w14:solidFill>
              <w14:schemeClr w14:val="tx1"/>
            </w14:solidFill>
          </w14:textFill>
        </w:rPr>
        <w:t>固定</w:t>
      </w: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单价/费率合同。</w:t>
      </w:r>
    </w:p>
    <w:p>
      <w:pPr>
        <w:pStyle w:val="21"/>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6、其它。应答人如有其它说明请补充。</w:t>
      </w:r>
    </w:p>
    <w:p>
      <w:pPr>
        <w:pStyle w:val="21"/>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7、应答人商务联系人姓名________电话_______________邮箱_______________</w:t>
      </w:r>
    </w:p>
    <w:p>
      <w:pPr>
        <w:pStyle w:val="21"/>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1"/>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21"/>
        <w:spacing w:line="360" w:lineRule="auto"/>
        <w:ind w:right="560" w:firstLine="4830" w:firstLineChars="2300"/>
        <w:rPr>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宋">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
    <w:nsid w:val="004D49EC"/>
    <w:multiLevelType w:val="multilevel"/>
    <w:tmpl w:val="004D49EC"/>
    <w:lvl w:ilvl="0" w:tentative="0">
      <w:start w:val="1"/>
      <w:numFmt w:val="decimal"/>
      <w:lvlText w:val="5.%1"/>
      <w:lvlJc w:val="left"/>
      <w:pPr>
        <w:tabs>
          <w:tab w:val="left" w:pos="1468"/>
        </w:tabs>
        <w:ind w:left="1468" w:firstLine="1260"/>
      </w:pPr>
      <w:rPr>
        <w:rFonts w:hint="default" w:ascii="Times New Roman" w:hAnsi="Times New Roman"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A952B9"/>
    <w:multiLevelType w:val="multilevel"/>
    <w:tmpl w:val="01A952B9"/>
    <w:lvl w:ilvl="0" w:tentative="0">
      <w:start w:val="1"/>
      <w:numFmt w:val="decimal"/>
      <w:lvlText w:val="1.%1"/>
      <w:lvlJc w:val="left"/>
      <w:pPr>
        <w:tabs>
          <w:tab w:val="left" w:pos="-1140"/>
        </w:tabs>
        <w:ind w:left="-1140" w:firstLine="1260"/>
      </w:pPr>
      <w:rPr>
        <w:rFonts w:hint="default" w:ascii="Times New Roman" w:hAnsi="Times New Roman"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3">
    <w:nsid w:val="048C2553"/>
    <w:multiLevelType w:val="multilevel"/>
    <w:tmpl w:val="048C2553"/>
    <w:lvl w:ilvl="0" w:tentative="0">
      <w:start w:val="1"/>
      <w:numFmt w:val="decimal"/>
      <w:lvlText w:val="12.%1"/>
      <w:lvlJc w:val="left"/>
      <w:pPr>
        <w:tabs>
          <w:tab w:val="left" w:pos="2248"/>
        </w:tabs>
        <w:ind w:left="3148"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CF52F1"/>
    <w:multiLevelType w:val="multilevel"/>
    <w:tmpl w:val="06CF52F1"/>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754287A"/>
    <w:multiLevelType w:val="singleLevel"/>
    <w:tmpl w:val="0754287A"/>
    <w:lvl w:ilvl="0" w:tentative="0">
      <w:start w:val="3"/>
      <w:numFmt w:val="chineseCounting"/>
      <w:suff w:val="nothing"/>
      <w:lvlText w:val="%1、"/>
      <w:lvlJc w:val="left"/>
      <w:rPr>
        <w:rFonts w:hint="eastAsia"/>
      </w:rPr>
    </w:lvl>
  </w:abstractNum>
  <w:abstractNum w:abstractNumId="6">
    <w:nsid w:val="075744EF"/>
    <w:multiLevelType w:val="multilevel"/>
    <w:tmpl w:val="075744EF"/>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8">
    <w:nsid w:val="09D14F57"/>
    <w:multiLevelType w:val="multilevel"/>
    <w:tmpl w:val="09D14F57"/>
    <w:lvl w:ilvl="0" w:tentative="0">
      <w:start w:val="1"/>
      <w:numFmt w:val="decimal"/>
      <w:lvlText w:val="15.%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0">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1">
    <w:nsid w:val="1265667D"/>
    <w:multiLevelType w:val="multilevel"/>
    <w:tmpl w:val="1265667D"/>
    <w:lvl w:ilvl="0" w:tentative="0">
      <w:start w:val="1"/>
      <w:numFmt w:val="decimal"/>
      <w:lvlText w:val="2.%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Times New Roman" w:hAnsi="Times New Roman"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13">
    <w:nsid w:val="14890B8C"/>
    <w:multiLevelType w:val="multilevel"/>
    <w:tmpl w:val="14890B8C"/>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82338AD"/>
    <w:multiLevelType w:val="multilevel"/>
    <w:tmpl w:val="182338AD"/>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8324A0E"/>
    <w:multiLevelType w:val="singleLevel"/>
    <w:tmpl w:val="18324A0E"/>
    <w:lvl w:ilvl="0" w:tentative="0">
      <w:start w:val="1"/>
      <w:numFmt w:val="decimal"/>
      <w:suff w:val="nothing"/>
      <w:lvlText w:val="%1、"/>
      <w:lvlJc w:val="left"/>
    </w:lvl>
  </w:abstractNum>
  <w:abstractNum w:abstractNumId="17">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8">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0D4FA5"/>
    <w:multiLevelType w:val="multilevel"/>
    <w:tmpl w:val="230D4FA5"/>
    <w:lvl w:ilvl="0" w:tentative="0">
      <w:start w:val="1"/>
      <w:numFmt w:val="decimal"/>
      <w:lvlText w:val="14.%1"/>
      <w:lvlJc w:val="left"/>
      <w:pPr>
        <w:ind w:left="562"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20">
    <w:nsid w:val="2549136A"/>
    <w:multiLevelType w:val="multilevel"/>
    <w:tmpl w:val="2549136A"/>
    <w:lvl w:ilvl="0" w:tentative="0">
      <w:start w:val="1"/>
      <w:numFmt w:val="decimal"/>
      <w:lvlText w:val="26.%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54B6397"/>
    <w:multiLevelType w:val="multilevel"/>
    <w:tmpl w:val="254B6397"/>
    <w:lvl w:ilvl="0" w:tentative="0">
      <w:start w:val="1"/>
      <w:numFmt w:val="decimal"/>
      <w:lvlText w:val="4.%1"/>
      <w:lvlJc w:val="left"/>
      <w:pPr>
        <w:ind w:left="420" w:hanging="420"/>
      </w:pPr>
      <w:rPr>
        <w:rFonts w:hint="default" w:ascii="Times New Roman" w:hAnsi="Times New Roman"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E87648"/>
    <w:multiLevelType w:val="multilevel"/>
    <w:tmpl w:val="25E87648"/>
    <w:lvl w:ilvl="0" w:tentative="0">
      <w:start w:val="1"/>
      <w:numFmt w:val="decimal"/>
      <w:lvlText w:val="9.%1"/>
      <w:lvlJc w:val="left"/>
      <w:pPr>
        <w:tabs>
          <w:tab w:val="left" w:pos="1468"/>
        </w:tabs>
        <w:ind w:left="1468" w:firstLine="12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8DE7901"/>
    <w:multiLevelType w:val="multilevel"/>
    <w:tmpl w:val="28DE7901"/>
    <w:lvl w:ilvl="0" w:tentative="0">
      <w:start w:val="1"/>
      <w:numFmt w:val="decimal"/>
      <w:lvlText w:val="16.%1"/>
      <w:lvlJc w:val="left"/>
      <w:pPr>
        <w:ind w:left="562"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4">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CD81BE9"/>
    <w:multiLevelType w:val="multilevel"/>
    <w:tmpl w:val="2CD81BE9"/>
    <w:lvl w:ilvl="0" w:tentative="0">
      <w:start w:val="1"/>
      <w:numFmt w:val="decimal"/>
      <w:lvlText w:val="8.%1"/>
      <w:lvlJc w:val="left"/>
      <w:pPr>
        <w:ind w:left="1140" w:hanging="420"/>
      </w:pPr>
      <w:rPr>
        <w:rFonts w:hint="default" w:ascii="Times New Roman" w:hAnsi="Times New Roman"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6">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7">
    <w:nsid w:val="30B14288"/>
    <w:multiLevelType w:val="multilevel"/>
    <w:tmpl w:val="30B14288"/>
    <w:lvl w:ilvl="0" w:tentative="0">
      <w:start w:val="1"/>
      <w:numFmt w:val="decimal"/>
      <w:lvlText w:val="14.%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54F523D"/>
    <w:multiLevelType w:val="multilevel"/>
    <w:tmpl w:val="354F523D"/>
    <w:lvl w:ilvl="0" w:tentative="0">
      <w:start w:val="1"/>
      <w:numFmt w:val="decimal"/>
      <w:lvlText w:val="(%1)"/>
      <w:lvlJc w:val="left"/>
      <w:pPr>
        <w:tabs>
          <w:tab w:val="left" w:pos="1140"/>
        </w:tabs>
        <w:ind w:left="1140" w:hanging="720"/>
      </w:pPr>
      <w:rPr>
        <w:rFonts w:hint="eastAsia" w:ascii="Times New Roman" w:hAnsi="Times New Roman" w:eastAsia="宋体"/>
      </w:r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0">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2">
    <w:nsid w:val="3A576153"/>
    <w:multiLevelType w:val="multilevel"/>
    <w:tmpl w:val="3A576153"/>
    <w:lvl w:ilvl="0" w:tentative="0">
      <w:start w:val="1"/>
      <w:numFmt w:val="decimal"/>
      <w:lvlText w:val="7.%1"/>
      <w:lvlJc w:val="left"/>
      <w:pPr>
        <w:tabs>
          <w:tab w:val="left" w:pos="1468"/>
        </w:tabs>
        <w:ind w:left="1468" w:firstLine="126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3ABB4496"/>
    <w:multiLevelType w:val="multilevel"/>
    <w:tmpl w:val="3ABB4496"/>
    <w:lvl w:ilvl="0" w:tentative="0">
      <w:start w:val="1"/>
      <w:numFmt w:val="decimal"/>
      <w:lvlText w:val="9.%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35">
    <w:nsid w:val="3DBA3BCE"/>
    <w:multiLevelType w:val="multilevel"/>
    <w:tmpl w:val="3DBA3BC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3DF82515"/>
    <w:multiLevelType w:val="multilevel"/>
    <w:tmpl w:val="3DF82515"/>
    <w:lvl w:ilvl="0" w:tentative="0">
      <w:start w:val="1"/>
      <w:numFmt w:val="decimal"/>
      <w:lvlText w:val="18.%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0B6C9A8"/>
    <w:multiLevelType w:val="singleLevel"/>
    <w:tmpl w:val="40B6C9A8"/>
    <w:lvl w:ilvl="0" w:tentative="0">
      <w:start w:val="1"/>
      <w:numFmt w:val="decimal"/>
      <w:suff w:val="nothing"/>
      <w:lvlText w:val="%1、"/>
      <w:lvlJc w:val="left"/>
    </w:lvl>
  </w:abstractNum>
  <w:abstractNum w:abstractNumId="38">
    <w:nsid w:val="4C6F71BF"/>
    <w:multiLevelType w:val="multilevel"/>
    <w:tmpl w:val="4C6F71BF"/>
    <w:lvl w:ilvl="0" w:tentative="0">
      <w:start w:val="1"/>
      <w:numFmt w:val="decimal"/>
      <w:lvlText w:val="29.%1"/>
      <w:lvlJc w:val="left"/>
      <w:pPr>
        <w:tabs>
          <w:tab w:val="left" w:pos="0"/>
        </w:tabs>
        <w:ind w:left="126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40">
    <w:nsid w:val="5138266F"/>
    <w:multiLevelType w:val="multilevel"/>
    <w:tmpl w:val="5138266F"/>
    <w:lvl w:ilvl="0" w:tentative="0">
      <w:start w:val="1"/>
      <w:numFmt w:val="decimal"/>
      <w:lvlText w:val="7.%1"/>
      <w:lvlJc w:val="left"/>
      <w:pPr>
        <w:tabs>
          <w:tab w:val="left" w:pos="2728"/>
        </w:tabs>
        <w:ind w:left="3148" w:hanging="42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Times New Roman" w:hAnsi="Times New Roman"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3EF47A1"/>
    <w:multiLevelType w:val="multilevel"/>
    <w:tmpl w:val="53EF47A1"/>
    <w:lvl w:ilvl="0" w:tentative="0">
      <w:start w:val="1"/>
      <w:numFmt w:val="decimal"/>
      <w:lvlText w:val="28.%1"/>
      <w:lvlJc w:val="left"/>
      <w:pPr>
        <w:tabs>
          <w:tab w:val="left" w:pos="0"/>
        </w:tabs>
        <w:ind w:left="1260" w:hanging="420"/>
      </w:pPr>
      <w:rPr>
        <w:rFonts w:hint="default" w:ascii="Times New Roman" w:hAnsi="Times New Roman"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44">
    <w:nsid w:val="58BC59F2"/>
    <w:multiLevelType w:val="multilevel"/>
    <w:tmpl w:val="58BC59F2"/>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9C22B04"/>
    <w:multiLevelType w:val="multilevel"/>
    <w:tmpl w:val="59C22B04"/>
    <w:lvl w:ilvl="0" w:tentative="0">
      <w:start w:val="1"/>
      <w:numFmt w:val="ideographDigital"/>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8">
    <w:nsid w:val="5FF748D3"/>
    <w:multiLevelType w:val="multilevel"/>
    <w:tmpl w:val="5FF748D3"/>
    <w:lvl w:ilvl="0" w:tentative="0">
      <w:start w:val="1"/>
      <w:numFmt w:val="decimal"/>
      <w:lvlText w:val="25.%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1694D6C"/>
    <w:multiLevelType w:val="singleLevel"/>
    <w:tmpl w:val="61694D6C"/>
    <w:lvl w:ilvl="0" w:tentative="0">
      <w:start w:val="1"/>
      <w:numFmt w:val="decimal"/>
      <w:suff w:val="nothing"/>
      <w:lvlText w:val="%1、"/>
      <w:lvlJc w:val="left"/>
    </w:lvl>
  </w:abstractNum>
  <w:abstractNum w:abstractNumId="50">
    <w:nsid w:val="62257693"/>
    <w:multiLevelType w:val="multilevel"/>
    <w:tmpl w:val="62257693"/>
    <w:lvl w:ilvl="0" w:tentative="0">
      <w:start w:val="1"/>
      <w:numFmt w:val="decimal"/>
      <w:lvlText w:val="17.%1"/>
      <w:lvlJc w:val="left"/>
      <w:pPr>
        <w:ind w:left="420" w:hanging="420"/>
      </w:pPr>
      <w:rPr>
        <w:rFonts w:hint="default" w:ascii="Times New Roman" w:hAnsi="Times New Roman"/>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38C4BB5"/>
    <w:multiLevelType w:val="multilevel"/>
    <w:tmpl w:val="638C4BB5"/>
    <w:lvl w:ilvl="0" w:tentative="0">
      <w:start w:val="1"/>
      <w:numFmt w:val="decimal"/>
      <w:lvlText w:val="13.%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65CE644A"/>
    <w:multiLevelType w:val="multilevel"/>
    <w:tmpl w:val="65CE644A"/>
    <w:lvl w:ilvl="0" w:tentative="0">
      <w:start w:val="1"/>
      <w:numFmt w:val="decimal"/>
      <w:lvlText w:val="24.%1"/>
      <w:lvlJc w:val="left"/>
      <w:pPr>
        <w:tabs>
          <w:tab w:val="left" w:pos="120"/>
        </w:tabs>
        <w:ind w:left="54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3">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7A163D5"/>
    <w:multiLevelType w:val="multilevel"/>
    <w:tmpl w:val="67A163D5"/>
    <w:lvl w:ilvl="0" w:tentative="0">
      <w:start w:val="1"/>
      <w:numFmt w:val="decimal"/>
      <w:lvlText w:val="6.%1"/>
      <w:lvlJc w:val="left"/>
      <w:pPr>
        <w:tabs>
          <w:tab w:val="left" w:pos="2728"/>
        </w:tabs>
        <w:ind w:left="3148" w:hanging="420"/>
      </w:pPr>
      <w:rPr>
        <w:rFonts w:hint="default" w:ascii="Times New Roman" w:hAnsi="Times New Roman"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7A55F7A"/>
    <w:multiLevelType w:val="multilevel"/>
    <w:tmpl w:val="67A55F7A"/>
    <w:lvl w:ilvl="0" w:tentative="0">
      <w:start w:val="1"/>
      <w:numFmt w:val="decimal"/>
      <w:lvlText w:val="8.%1"/>
      <w:lvlJc w:val="left"/>
      <w:pPr>
        <w:ind w:left="418" w:hanging="420"/>
      </w:pPr>
      <w:rPr>
        <w:rFonts w:hint="default" w:ascii="Times New Roman" w:hAnsi="Times New Roman"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56">
    <w:nsid w:val="693A1FA8"/>
    <w:multiLevelType w:val="multilevel"/>
    <w:tmpl w:val="693A1FA8"/>
    <w:lvl w:ilvl="0" w:tentative="0">
      <w:start w:val="1"/>
      <w:numFmt w:val="decimal"/>
      <w:lvlText w:val="23.%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A896198"/>
    <w:multiLevelType w:val="multilevel"/>
    <w:tmpl w:val="6A896198"/>
    <w:lvl w:ilvl="0" w:tentative="0">
      <w:start w:val="1"/>
      <w:numFmt w:val="decimal"/>
      <w:lvlText w:val="4.%1"/>
      <w:lvlJc w:val="left"/>
      <w:pPr>
        <w:tabs>
          <w:tab w:val="left" w:pos="1468"/>
        </w:tabs>
        <w:ind w:left="1468" w:firstLine="1260"/>
      </w:pPr>
      <w:rPr>
        <w:rFonts w:hint="default" w:ascii="Times New Roman" w:hAnsi="Times New Roman"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60">
    <w:nsid w:val="760A4196"/>
    <w:multiLevelType w:val="multilevel"/>
    <w:tmpl w:val="760A4196"/>
    <w:lvl w:ilvl="0" w:tentative="0">
      <w:start w:val="1"/>
      <w:numFmt w:val="ideographDigital"/>
      <w:lvlText w:val="第%1条"/>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6FC7CCA"/>
    <w:multiLevelType w:val="multilevel"/>
    <w:tmpl w:val="76FC7CCA"/>
    <w:lvl w:ilvl="0" w:tentative="0">
      <w:start w:val="1"/>
      <w:numFmt w:val="decimal"/>
      <w:lvlText w:val="12.%1"/>
      <w:lvlJc w:val="left"/>
      <w:pPr>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9494086"/>
    <w:multiLevelType w:val="multilevel"/>
    <w:tmpl w:val="79494086"/>
    <w:lvl w:ilvl="0" w:tentative="0">
      <w:start w:val="1"/>
      <w:numFmt w:val="decimal"/>
      <w:lvlText w:val="20.%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9504466"/>
    <w:multiLevelType w:val="multilevel"/>
    <w:tmpl w:val="79504466"/>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79504467"/>
    <w:multiLevelType w:val="multilevel"/>
    <w:tmpl w:val="79504467"/>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Times New Roman" w:hAnsi="Times New Roman"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65">
    <w:nsid w:val="79504468"/>
    <w:multiLevelType w:val="multilevel"/>
    <w:tmpl w:val="79504468"/>
    <w:lvl w:ilvl="0" w:tentative="0">
      <w:start w:val="1"/>
      <w:numFmt w:val="decimal"/>
      <w:lvlText w:val="2.%1"/>
      <w:lvlJc w:val="left"/>
      <w:pPr>
        <w:ind w:left="422" w:hanging="420"/>
      </w:pPr>
      <w:rPr>
        <w:rFonts w:hint="default" w:ascii="Times New Roman" w:hAnsi="Times New Roman"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6">
    <w:nsid w:val="79504469"/>
    <w:multiLevelType w:val="multilevel"/>
    <w:tmpl w:val="79504469"/>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950446A"/>
    <w:multiLevelType w:val="multilevel"/>
    <w:tmpl w:val="7950446A"/>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7950446B"/>
    <w:multiLevelType w:val="multilevel"/>
    <w:tmpl w:val="7950446B"/>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7950446C"/>
    <w:multiLevelType w:val="multilevel"/>
    <w:tmpl w:val="7950446C"/>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7950446D"/>
    <w:multiLevelType w:val="multilevel"/>
    <w:tmpl w:val="7950446D"/>
    <w:lvl w:ilvl="0" w:tentative="0">
      <w:start w:val="11"/>
      <w:numFmt w:val="bullet"/>
      <w:lvlText w:val="□"/>
      <w:lvlJc w:val="left"/>
      <w:pPr>
        <w:ind w:left="840" w:hanging="42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1"/>
      <w:numFmt w:val="bullet"/>
      <w:lvlText w:val="□"/>
      <w:lvlJc w:val="left"/>
      <w:pPr>
        <w:ind w:left="420" w:hanging="420"/>
      </w:pPr>
      <w:rPr>
        <w:rFonts w:hint="eastAsia" w:ascii="宋体" w:hAnsi="宋体"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1">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Times New Roman" w:hAnsi="Times New Roman"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2">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3"/>
  </w:num>
  <w:num w:numId="3">
    <w:abstractNumId w:val="64"/>
  </w:num>
  <w:num w:numId="4">
    <w:abstractNumId w:val="65"/>
  </w:num>
  <w:num w:numId="5">
    <w:abstractNumId w:val="66"/>
  </w:num>
  <w:num w:numId="6">
    <w:abstractNumId w:val="67"/>
  </w:num>
  <w:num w:numId="7">
    <w:abstractNumId w:val="13"/>
  </w:num>
  <w:num w:numId="8">
    <w:abstractNumId w:val="68"/>
  </w:num>
  <w:num w:numId="9">
    <w:abstractNumId w:val="69"/>
  </w:num>
  <w:num w:numId="10">
    <w:abstractNumId w:val="70"/>
  </w:num>
  <w:num w:numId="11">
    <w:abstractNumId w:val="45"/>
  </w:num>
  <w:num w:numId="12">
    <w:abstractNumId w:val="2"/>
  </w:num>
  <w:num w:numId="13">
    <w:abstractNumId w:val="35"/>
  </w:num>
  <w:num w:numId="14">
    <w:abstractNumId w:val="11"/>
  </w:num>
  <w:num w:numId="15">
    <w:abstractNumId w:val="44"/>
  </w:num>
  <w:num w:numId="16">
    <w:abstractNumId w:val="21"/>
  </w:num>
  <w:num w:numId="17">
    <w:abstractNumId w:val="29"/>
  </w:num>
  <w:num w:numId="18">
    <w:abstractNumId w:val="26"/>
  </w:num>
  <w:num w:numId="19">
    <w:abstractNumId w:val="6"/>
  </w:num>
  <w:num w:numId="20">
    <w:abstractNumId w:val="54"/>
  </w:num>
  <w:num w:numId="21">
    <w:abstractNumId w:val="40"/>
  </w:num>
  <w:num w:numId="22">
    <w:abstractNumId w:val="25"/>
  </w:num>
  <w:num w:numId="23">
    <w:abstractNumId w:val="22"/>
  </w:num>
  <w:num w:numId="24">
    <w:abstractNumId w:val="27"/>
  </w:num>
  <w:num w:numId="25">
    <w:abstractNumId w:val="71"/>
  </w:num>
  <w:num w:numId="26">
    <w:abstractNumId w:val="3"/>
  </w:num>
  <w:num w:numId="27">
    <w:abstractNumId w:val="24"/>
  </w:num>
  <w:num w:numId="28">
    <w:abstractNumId w:val="60"/>
  </w:num>
  <w:num w:numId="29">
    <w:abstractNumId w:val="12"/>
  </w:num>
  <w:num w:numId="30">
    <w:abstractNumId w:val="39"/>
  </w:num>
  <w:num w:numId="31">
    <w:abstractNumId w:val="30"/>
  </w:num>
  <w:num w:numId="32">
    <w:abstractNumId w:val="4"/>
  </w:num>
  <w:num w:numId="33">
    <w:abstractNumId w:val="18"/>
  </w:num>
  <w:num w:numId="34">
    <w:abstractNumId w:val="58"/>
  </w:num>
  <w:num w:numId="35">
    <w:abstractNumId w:val="1"/>
  </w:num>
  <w:num w:numId="36">
    <w:abstractNumId w:val="72"/>
  </w:num>
  <w:num w:numId="37">
    <w:abstractNumId w:val="15"/>
  </w:num>
  <w:num w:numId="38">
    <w:abstractNumId w:val="32"/>
  </w:num>
  <w:num w:numId="39">
    <w:abstractNumId w:val="55"/>
  </w:num>
  <w:num w:numId="40">
    <w:abstractNumId w:val="59"/>
  </w:num>
  <w:num w:numId="41">
    <w:abstractNumId w:val="33"/>
  </w:num>
  <w:num w:numId="42">
    <w:abstractNumId w:val="7"/>
  </w:num>
  <w:num w:numId="43">
    <w:abstractNumId w:val="34"/>
  </w:num>
  <w:num w:numId="44">
    <w:abstractNumId w:val="17"/>
  </w:num>
  <w:num w:numId="45">
    <w:abstractNumId w:val="46"/>
  </w:num>
  <w:num w:numId="46">
    <w:abstractNumId w:val="47"/>
  </w:num>
  <w:num w:numId="47">
    <w:abstractNumId w:val="10"/>
  </w:num>
  <w:num w:numId="48">
    <w:abstractNumId w:val="61"/>
  </w:num>
  <w:num w:numId="49">
    <w:abstractNumId w:val="51"/>
  </w:num>
  <w:num w:numId="50">
    <w:abstractNumId w:val="19"/>
  </w:num>
  <w:num w:numId="51">
    <w:abstractNumId w:val="8"/>
  </w:num>
  <w:num w:numId="52">
    <w:abstractNumId w:val="53"/>
  </w:num>
  <w:num w:numId="53">
    <w:abstractNumId w:val="14"/>
  </w:num>
  <w:num w:numId="54">
    <w:abstractNumId w:val="28"/>
  </w:num>
  <w:num w:numId="55">
    <w:abstractNumId w:val="23"/>
  </w:num>
  <w:num w:numId="56">
    <w:abstractNumId w:val="50"/>
  </w:num>
  <w:num w:numId="57">
    <w:abstractNumId w:val="36"/>
  </w:num>
  <w:num w:numId="58">
    <w:abstractNumId w:val="0"/>
    <w:lvlOverride w:ilvl="0">
      <w:lvl w:ilvl="0" w:tentative="1">
        <w:start w:val="1"/>
        <w:numFmt w:val="decimal"/>
        <w:lvlText w:val="19.%1"/>
        <w:lvlJc w:val="left"/>
        <w:pPr>
          <w:ind w:left="420" w:hanging="420"/>
        </w:pPr>
        <w:rPr>
          <w:rFonts w:hint="default" w:ascii="Times New Roman" w:hAnsi="Times New Roman"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9">
    <w:abstractNumId w:val="62"/>
  </w:num>
  <w:num w:numId="60">
    <w:abstractNumId w:val="43"/>
  </w:num>
  <w:num w:numId="61">
    <w:abstractNumId w:val="9"/>
    <w:lvlOverride w:ilvl="0">
      <w:lvl w:ilvl="0" w:tentative="1">
        <w:start w:val="1"/>
        <w:numFmt w:val="decimal"/>
        <w:lvlText w:val="22.%1"/>
        <w:lvlJc w:val="left"/>
        <w:pPr>
          <w:ind w:left="420" w:hanging="420"/>
        </w:pPr>
        <w:rPr>
          <w:rFonts w:hint="default" w:ascii="Times New Roman" w:hAnsi="Times New Roman"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2">
    <w:abstractNumId w:val="56"/>
  </w:num>
  <w:num w:numId="63">
    <w:abstractNumId w:val="52"/>
  </w:num>
  <w:num w:numId="64">
    <w:abstractNumId w:val="48"/>
  </w:num>
  <w:num w:numId="65">
    <w:abstractNumId w:val="31"/>
  </w:num>
  <w:num w:numId="66">
    <w:abstractNumId w:val="20"/>
  </w:num>
  <w:num w:numId="67">
    <w:abstractNumId w:val="41"/>
  </w:num>
  <w:num w:numId="68">
    <w:abstractNumId w:val="42"/>
  </w:num>
  <w:num w:numId="69">
    <w:abstractNumId w:val="38"/>
  </w:num>
  <w:num w:numId="70">
    <w:abstractNumId w:val="37"/>
  </w:num>
  <w:num w:numId="71">
    <w:abstractNumId w:val="16"/>
  </w:num>
  <w:num w:numId="72">
    <w:abstractNumId w:val="49"/>
  </w:num>
  <w:num w:numId="7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1FF7"/>
    <w:rsid w:val="009C34F0"/>
    <w:rsid w:val="00F30CA0"/>
    <w:rsid w:val="01574CCE"/>
    <w:rsid w:val="01D70F12"/>
    <w:rsid w:val="02EE5895"/>
    <w:rsid w:val="03300061"/>
    <w:rsid w:val="037F66DB"/>
    <w:rsid w:val="03E76233"/>
    <w:rsid w:val="04375579"/>
    <w:rsid w:val="07280C98"/>
    <w:rsid w:val="073272F5"/>
    <w:rsid w:val="0757641B"/>
    <w:rsid w:val="07C71F52"/>
    <w:rsid w:val="083C484C"/>
    <w:rsid w:val="08525158"/>
    <w:rsid w:val="0875428E"/>
    <w:rsid w:val="087C5572"/>
    <w:rsid w:val="09D30D2D"/>
    <w:rsid w:val="09F14626"/>
    <w:rsid w:val="0A505D1A"/>
    <w:rsid w:val="0A81181F"/>
    <w:rsid w:val="0D8F1A4E"/>
    <w:rsid w:val="0E433264"/>
    <w:rsid w:val="0E452476"/>
    <w:rsid w:val="0EC664DA"/>
    <w:rsid w:val="0F2E5C77"/>
    <w:rsid w:val="0F530435"/>
    <w:rsid w:val="0FF5346F"/>
    <w:rsid w:val="10F824F8"/>
    <w:rsid w:val="11042EC5"/>
    <w:rsid w:val="11CF797E"/>
    <w:rsid w:val="12073A1C"/>
    <w:rsid w:val="147C24F0"/>
    <w:rsid w:val="155008AA"/>
    <w:rsid w:val="1703702B"/>
    <w:rsid w:val="173C79BB"/>
    <w:rsid w:val="17494CC2"/>
    <w:rsid w:val="17985CB9"/>
    <w:rsid w:val="17A04C83"/>
    <w:rsid w:val="189B6BED"/>
    <w:rsid w:val="18F25CE8"/>
    <w:rsid w:val="192E0C57"/>
    <w:rsid w:val="1A5A3C35"/>
    <w:rsid w:val="1AD7108E"/>
    <w:rsid w:val="1AE9389D"/>
    <w:rsid w:val="1B662AAD"/>
    <w:rsid w:val="1D965A20"/>
    <w:rsid w:val="1EFF5E6F"/>
    <w:rsid w:val="1F3C3B8C"/>
    <w:rsid w:val="1FB42B93"/>
    <w:rsid w:val="1FE864E5"/>
    <w:rsid w:val="207F7CDD"/>
    <w:rsid w:val="21337D0B"/>
    <w:rsid w:val="216E6872"/>
    <w:rsid w:val="21DB5D37"/>
    <w:rsid w:val="240F0E72"/>
    <w:rsid w:val="248841DD"/>
    <w:rsid w:val="25867751"/>
    <w:rsid w:val="265170F2"/>
    <w:rsid w:val="279E49F6"/>
    <w:rsid w:val="27ED6BB4"/>
    <w:rsid w:val="2874590C"/>
    <w:rsid w:val="288C7A13"/>
    <w:rsid w:val="2ADE7961"/>
    <w:rsid w:val="2B757519"/>
    <w:rsid w:val="2C5A6F4F"/>
    <w:rsid w:val="2D3B2645"/>
    <w:rsid w:val="2D622D71"/>
    <w:rsid w:val="2DE769A6"/>
    <w:rsid w:val="2E431D9A"/>
    <w:rsid w:val="2F4E2FA9"/>
    <w:rsid w:val="2F6D0DF3"/>
    <w:rsid w:val="2F7D27E3"/>
    <w:rsid w:val="30054CD6"/>
    <w:rsid w:val="31F93045"/>
    <w:rsid w:val="323F587B"/>
    <w:rsid w:val="32676A3F"/>
    <w:rsid w:val="329C187B"/>
    <w:rsid w:val="32D009ED"/>
    <w:rsid w:val="33CB762F"/>
    <w:rsid w:val="343A21BD"/>
    <w:rsid w:val="345C5525"/>
    <w:rsid w:val="3465020F"/>
    <w:rsid w:val="356868D5"/>
    <w:rsid w:val="35EF3A01"/>
    <w:rsid w:val="361E5946"/>
    <w:rsid w:val="36E20E17"/>
    <w:rsid w:val="375E1C78"/>
    <w:rsid w:val="376F3EFE"/>
    <w:rsid w:val="382223C9"/>
    <w:rsid w:val="382573E8"/>
    <w:rsid w:val="39901101"/>
    <w:rsid w:val="3A973157"/>
    <w:rsid w:val="3B3C3FBF"/>
    <w:rsid w:val="3B5A0327"/>
    <w:rsid w:val="3BAD090F"/>
    <w:rsid w:val="3C577F8F"/>
    <w:rsid w:val="3C985910"/>
    <w:rsid w:val="3D034B2E"/>
    <w:rsid w:val="3DDF16E9"/>
    <w:rsid w:val="3E1F74E7"/>
    <w:rsid w:val="3E2474A1"/>
    <w:rsid w:val="3E2C300D"/>
    <w:rsid w:val="40010EF3"/>
    <w:rsid w:val="407C4107"/>
    <w:rsid w:val="428C263D"/>
    <w:rsid w:val="43067B88"/>
    <w:rsid w:val="4377079F"/>
    <w:rsid w:val="441A35FA"/>
    <w:rsid w:val="45076DD2"/>
    <w:rsid w:val="47162465"/>
    <w:rsid w:val="48F16B2C"/>
    <w:rsid w:val="49507080"/>
    <w:rsid w:val="49514E3C"/>
    <w:rsid w:val="4AE97B73"/>
    <w:rsid w:val="4B4760DF"/>
    <w:rsid w:val="4BED5D0A"/>
    <w:rsid w:val="4C673E0C"/>
    <w:rsid w:val="4D3F0047"/>
    <w:rsid w:val="4D99525E"/>
    <w:rsid w:val="4DA201CB"/>
    <w:rsid w:val="4E516D9B"/>
    <w:rsid w:val="4F4917F6"/>
    <w:rsid w:val="526770C0"/>
    <w:rsid w:val="53A067BD"/>
    <w:rsid w:val="53EF05CA"/>
    <w:rsid w:val="558105D7"/>
    <w:rsid w:val="55F27611"/>
    <w:rsid w:val="55FB32E5"/>
    <w:rsid w:val="567C34FB"/>
    <w:rsid w:val="57C918D6"/>
    <w:rsid w:val="57CE6254"/>
    <w:rsid w:val="582174D0"/>
    <w:rsid w:val="58727498"/>
    <w:rsid w:val="5A3A22E3"/>
    <w:rsid w:val="5ADD347B"/>
    <w:rsid w:val="5BCE7E23"/>
    <w:rsid w:val="5C464AF3"/>
    <w:rsid w:val="5D65308C"/>
    <w:rsid w:val="5DB623CB"/>
    <w:rsid w:val="5ED9003C"/>
    <w:rsid w:val="60B7016C"/>
    <w:rsid w:val="613B7D90"/>
    <w:rsid w:val="61BE67BD"/>
    <w:rsid w:val="625B57DB"/>
    <w:rsid w:val="62EA1329"/>
    <w:rsid w:val="63BC7730"/>
    <w:rsid w:val="63BE65AF"/>
    <w:rsid w:val="650D7C59"/>
    <w:rsid w:val="65AC2C8F"/>
    <w:rsid w:val="66FC6521"/>
    <w:rsid w:val="69063947"/>
    <w:rsid w:val="69942FC9"/>
    <w:rsid w:val="69FF27F5"/>
    <w:rsid w:val="6A1926AB"/>
    <w:rsid w:val="6AA86016"/>
    <w:rsid w:val="6B3612AB"/>
    <w:rsid w:val="6DEC7814"/>
    <w:rsid w:val="6E565912"/>
    <w:rsid w:val="6E7A5957"/>
    <w:rsid w:val="6FF923E0"/>
    <w:rsid w:val="709F7DD6"/>
    <w:rsid w:val="70DB6E3A"/>
    <w:rsid w:val="712B5FF7"/>
    <w:rsid w:val="71BD085E"/>
    <w:rsid w:val="72BA079C"/>
    <w:rsid w:val="72C154D1"/>
    <w:rsid w:val="72E63415"/>
    <w:rsid w:val="744053DC"/>
    <w:rsid w:val="75691CF2"/>
    <w:rsid w:val="75C319CF"/>
    <w:rsid w:val="761F533D"/>
    <w:rsid w:val="769A13A5"/>
    <w:rsid w:val="776A2FC0"/>
    <w:rsid w:val="78961331"/>
    <w:rsid w:val="78D75C86"/>
    <w:rsid w:val="79142542"/>
    <w:rsid w:val="795060B0"/>
    <w:rsid w:val="7AF60ADD"/>
    <w:rsid w:val="7D412A8D"/>
    <w:rsid w:val="7E5C27F5"/>
    <w:rsid w:val="7E95593D"/>
    <w:rsid w:val="7EB90709"/>
    <w:rsid w:val="7EC06836"/>
    <w:rsid w:val="7F53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kern w:val="44"/>
      <w:sz w:val="44"/>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36"/>
      <w:ind w:left="780"/>
      <w:jc w:val="left"/>
    </w:pPr>
    <w:rPr>
      <w:rFonts w:ascii="宋体" w:hAnsi="宋体" w:eastAsia="宋体"/>
      <w:kern w:val="0"/>
      <w:szCs w:val="21"/>
      <w:lang w:eastAsia="en-US"/>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unhideWhenUsed/>
    <w:qFormat/>
    <w:uiPriority w:val="99"/>
    <w:pPr>
      <w:jc w:val="left"/>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2">
    <w:name w:val="Title"/>
    <w:basedOn w:val="1"/>
    <w:qFormat/>
    <w:uiPriority w:val="10"/>
    <w:pPr>
      <w:jc w:val="center"/>
      <w:outlineLvl w:val="0"/>
    </w:pPr>
    <w:rPr>
      <w:rFonts w:ascii="Arial" w:hAnsi="Arial"/>
      <w:b/>
      <w:sz w:val="32"/>
    </w:rPr>
  </w:style>
  <w:style w:type="paragraph" w:styleId="13">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4">
    <w:name w:val="Body Text First Indent"/>
    <w:basedOn w:val="2"/>
    <w:unhideWhenUsed/>
    <w:qFormat/>
    <w:uiPriority w:val="99"/>
    <w:pPr>
      <w:ind w:firstLine="420" w:firstLineChars="1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书目1"/>
    <w:basedOn w:val="1"/>
    <w:next w:val="1"/>
    <w:unhideWhenUsed/>
    <w:qFormat/>
    <w:uiPriority w:val="37"/>
  </w:style>
  <w:style w:type="paragraph" w:customStyle="1" w:styleId="20">
    <w:name w:val="Table Paragraph"/>
    <w:basedOn w:val="1"/>
    <w:qFormat/>
    <w:uiPriority w:val="0"/>
    <w:pPr>
      <w:jc w:val="left"/>
    </w:pPr>
    <w:rPr>
      <w:kern w:val="0"/>
      <w:sz w:val="22"/>
      <w:lang w:eastAsia="en-US"/>
    </w:rPr>
  </w:style>
  <w:style w:type="paragraph" w:styleId="21">
    <w:name w:val="List Paragraph"/>
    <w:basedOn w:val="1"/>
    <w:qFormat/>
    <w:uiPriority w:val="34"/>
    <w:pPr>
      <w:widowControl/>
      <w:ind w:firstLine="420"/>
    </w:pPr>
    <w:rPr>
      <w:rFonts w:ascii="Calibri" w:hAnsi="Calibri" w:eastAsia="宋体" w:cs="Calibri"/>
      <w:kern w:val="0"/>
      <w:szCs w:val="21"/>
    </w:rPr>
  </w:style>
  <w:style w:type="character" w:customStyle="1" w:styleId="22">
    <w:name w:val="font01"/>
    <w:basedOn w:val="17"/>
    <w:qFormat/>
    <w:uiPriority w:val="0"/>
    <w:rPr>
      <w:rFonts w:hint="eastAsia" w:ascii="宋体" w:hAnsi="宋体" w:eastAsia="宋体" w:cs="宋体"/>
      <w:color w:val="000000"/>
      <w:sz w:val="20"/>
      <w:szCs w:val="20"/>
      <w:u w:val="none"/>
    </w:rPr>
  </w:style>
  <w:style w:type="paragraph" w:customStyle="1" w:styleId="23">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Normal_1"/>
    <w:next w:val="26"/>
    <w:qFormat/>
    <w:uiPriority w:val="0"/>
    <w:rPr>
      <w:rFonts w:ascii="Times New Roman" w:hAnsi="Times New Roman" w:eastAsia="Times New Roman" w:cs="Times New Roman"/>
      <w:sz w:val="24"/>
      <w:szCs w:val="24"/>
    </w:rPr>
  </w:style>
  <w:style w:type="paragraph" w:customStyle="1" w:styleId="26">
    <w:name w:val="默认段落字体 Para Char"/>
    <w:basedOn w:val="25"/>
    <w:next w:val="1"/>
    <w:qFormat/>
    <w:uiPriority w:val="0"/>
    <w:pPr>
      <w:widowControl w:val="0"/>
      <w:spacing w:before="80" w:after="80" w:line="360" w:lineRule="auto"/>
      <w:jc w:val="both"/>
    </w:pPr>
    <w:rPr>
      <w:rFonts w:ascii="Calibri" w:hAnsi="Calibri" w:cs="Times New Roman"/>
      <w:kern w:val="2"/>
      <w:szCs w:val="20"/>
    </w:rPr>
  </w:style>
  <w:style w:type="paragraph" w:customStyle="1" w:styleId="27">
    <w:name w:val="Normal_0"/>
    <w:next w:val="26"/>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8">
    <w:name w:val="正文_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 2_0"/>
    <w:basedOn w:val="28"/>
    <w:next w:val="28"/>
    <w:unhideWhenUsed/>
    <w:qFormat/>
    <w:uiPriority w:val="0"/>
    <w:pPr>
      <w:keepNext/>
      <w:keepLines/>
      <w:spacing w:before="260" w:after="260" w:line="416" w:lineRule="auto"/>
      <w:ind w:right="5" w:rightChars="5"/>
      <w:jc w:val="left"/>
      <w:outlineLvl w:val="1"/>
    </w:pPr>
    <w:rPr>
      <w:rFonts w:ascii="Cambria" w:hAnsi="Cambria"/>
      <w:b/>
      <w:bCs/>
      <w:kern w:val="0"/>
      <w:sz w:val="32"/>
      <w:szCs w:val="32"/>
      <w:lang w:eastAsia="en-US"/>
    </w:rPr>
  </w:style>
  <w:style w:type="paragraph" w:customStyle="1" w:styleId="30">
    <w:name w:val="列出段落_0"/>
    <w:basedOn w:val="31"/>
    <w:qFormat/>
    <w:uiPriority w:val="34"/>
    <w:pPr>
      <w:ind w:firstLine="420" w:firstLineChars="200"/>
    </w:pPr>
  </w:style>
  <w:style w:type="paragraph" w:customStyle="1" w:styleId="31">
    <w:name w:val="正文_0_0_0"/>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32">
    <w:name w:val="标题 1_0"/>
    <w:basedOn w:val="28"/>
    <w:next w:val="28"/>
    <w:qFormat/>
    <w:uiPriority w:val="99"/>
    <w:pPr>
      <w:keepNext/>
      <w:keepLines/>
      <w:spacing w:before="340" w:after="330" w:line="578" w:lineRule="auto"/>
      <w:ind w:right="5" w:rightChars="5"/>
      <w:jc w:val="left"/>
      <w:outlineLvl w:val="0"/>
    </w:pPr>
    <w:rPr>
      <w:rFonts w:ascii="Calibri" w:hAnsi="Calibri"/>
      <w:b/>
      <w:bCs/>
      <w:kern w:val="44"/>
      <w:sz w:val="44"/>
      <w:szCs w:val="44"/>
      <w:lang w:eastAsia="en-US"/>
    </w:rPr>
  </w:style>
  <w:style w:type="paragraph" w:customStyle="1" w:styleId="33">
    <w:name w:val="列出段落1"/>
    <w:basedOn w:val="1"/>
    <w:qFormat/>
    <w:uiPriority w:val="34"/>
    <w:pPr>
      <w:widowControl/>
      <w:ind w:left="720"/>
      <w:contextualSpacing/>
      <w:jc w:val="left"/>
    </w:pPr>
    <w:rPr>
      <w:rFonts w:ascii="Calibri" w:hAnsi="Calibri" w:eastAsia="宋体" w:cs="Times New Roman"/>
      <w:kern w:val="0"/>
      <w:sz w:val="24"/>
      <w:szCs w:val="24"/>
    </w:rPr>
  </w:style>
  <w:style w:type="paragraph" w:customStyle="1" w:styleId="34">
    <w:name w:val="_Style 378"/>
    <w:basedOn w:val="1"/>
    <w:next w:val="21"/>
    <w:qFormat/>
    <w:uiPriority w:val="34"/>
    <w:pPr>
      <w:widowControl/>
      <w:overflowPunct w:val="0"/>
      <w:autoSpaceDE w:val="0"/>
      <w:autoSpaceDN w:val="0"/>
      <w:adjustRightInd w:val="0"/>
      <w:ind w:firstLine="420" w:firstLineChars="200"/>
      <w:jc w:val="left"/>
      <w:textAlignment w:val="baseline"/>
    </w:pPr>
    <w:rPr>
      <w:rFonts w:ascii="Calibri" w:hAnsi="Calibri"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2024-06-18T02:05:00Z</dcterms:created>
  <dc:creator>yuwch2</dc:creator>
  <cp:lastModifiedBy>于文超</cp:lastModifiedBy>
  <dcterms:modified xsi:type="dcterms:W3CDTF">2025-06-13T08:38:58Z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1A37AB23E7564E72BDF5D110A6D4A87B</vt:lpwstr>
  </property>
</Properties>
</file>