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eastAsia="zh-CN"/>
        </w:rPr>
        <w:t>清洁能源弯管材料采购</w:t>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color w:val="000000" w:themeColor="text1"/>
          <w:spacing w:val="-3"/>
          <w:highlight w:val="none"/>
          <w:u w:val="single"/>
          <w:lang w:eastAsia="zh-CN"/>
          <w14:textFill>
            <w14:solidFill>
              <w14:schemeClr w14:val="tx1"/>
            </w14:solidFill>
          </w14:textFill>
        </w:rPr>
        <w:t>GKXJ-2025-HG-1684</w:t>
      </w:r>
      <w:r>
        <w:rPr>
          <w:rFonts w:asciiTheme="minorEastAsia" w:hAnsiTheme="minorEastAsia" w:eastAsiaTheme="minorEastAsia"/>
          <w:color w:val="000000" w:themeColor="text1"/>
          <w:highlight w:val="none"/>
          <w14:textFill>
            <w14:solidFill>
              <w14:schemeClr w14:val="tx1"/>
            </w14:solidFill>
          </w14:textFill>
        </w:rPr>
        <w:t>）</w:t>
      </w:r>
    </w:p>
    <w:p>
      <w:pPr>
        <w:pStyle w:val="8"/>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20"/>
          <w:szCs w:val="20"/>
          <w:highlight w:val="none"/>
          <w14:textFill>
            <w14:solidFill>
              <w14:schemeClr w14:val="tx1"/>
            </w14:solidFill>
          </w14:textFill>
        </w:rPr>
      </w:pPr>
      <w:r>
        <w:rPr>
          <w:rFonts w:hint="eastAsia" w:ascii="宋体" w:hAnsi="宋体" w:eastAsia="宋体" w:cs="宋体"/>
          <w:sz w:val="52"/>
          <w:szCs w:val="52"/>
          <w:highlight w:val="none"/>
          <w:lang w:eastAsia="zh-CN" w:bidi="ar"/>
        </w:rPr>
        <w:drawing>
          <wp:inline distT="0" distB="0" distL="114300" distR="114300">
            <wp:extent cx="1162050" cy="1028700"/>
            <wp:effectExtent l="0" t="0" r="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6"/>
                    <a:stretch>
                      <a:fillRect/>
                    </a:stretch>
                  </pic:blipFill>
                  <pic:spPr>
                    <a:xfrm>
                      <a:off x="0" y="0"/>
                      <a:ext cx="1162050" cy="10287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750" w:firstLineChars="3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lang w:eastAsia="zh-CN"/>
          <w14:textFill>
            <w14:solidFill>
              <w14:schemeClr w14:val="tx1"/>
            </w14:solidFill>
          </w14:textFill>
        </w:rPr>
        <w:t>清洁能源弯管材料采购</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u w:val="single"/>
          <w14:textFill>
            <w14:solidFill>
              <w14:schemeClr w14:val="tx1"/>
            </w14:solidFill>
          </w14:textFill>
        </w:rPr>
        <w:t xml:space="preserve"> 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w:t>
      </w:r>
      <w:r>
        <w:rPr>
          <w:rFonts w:asciiTheme="minorEastAsia" w:hAnsiTheme="minorEastAsia"/>
          <w:color w:val="000000" w:themeColor="text1"/>
          <w:sz w:val="21"/>
          <w:szCs w:val="21"/>
          <w:highlight w:val="none"/>
          <w:u w:val="single"/>
          <w14:textFill>
            <w14:solidFill>
              <w14:schemeClr w14:val="tx1"/>
            </w14:solidFill>
          </w14:textFill>
        </w:rPr>
        <w:t>日</w:t>
      </w:r>
      <w:r>
        <w:rPr>
          <w:rFonts w:asciiTheme="minorEastAsia" w:hAnsiTheme="minorEastAsia"/>
          <w:color w:val="000000" w:themeColor="text1"/>
          <w:sz w:val="21"/>
          <w:szCs w:val="21"/>
          <w:highlight w:val="none"/>
          <w14:textFill>
            <w14:solidFill>
              <w14:schemeClr w14:val="tx1"/>
            </w14:solidFill>
          </w14:textFill>
        </w:rPr>
        <w:t>（北京时间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asciiTheme="minorEastAsia" w:hAnsiTheme="minorEastAsia"/>
          <w:color w:val="000000" w:themeColor="text1"/>
          <w:sz w:val="21"/>
          <w:szCs w:val="21"/>
          <w:highlight w:val="none"/>
          <w:u w:val="single"/>
          <w14:textFill>
            <w14:solidFill>
              <w14:schemeClr w14:val="tx1"/>
            </w14:solidFill>
          </w14:textFill>
        </w:rPr>
        <w:t xml:space="preserve">日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14:00</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w:t>
      </w:r>
      <w:bookmarkStart w:id="85" w:name="_GoBack"/>
      <w:bookmarkEnd w:id="85"/>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6"/>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联系单位：采办共享中心</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于文超</w:t>
      </w:r>
    </w:p>
    <w:p>
      <w:pPr>
        <w:pStyle w:val="8"/>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022-25802271</w:t>
      </w:r>
    </w:p>
    <w:p>
      <w:pPr>
        <w:pStyle w:val="8"/>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yuwch2@cnooc.com.cn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附件3：合同文本（详见附件：合同模板）</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4"/>
        <w:tblW w:w="6705" w:type="pct"/>
        <w:jc w:val="center"/>
        <w:tblLayout w:type="autofit"/>
        <w:tblCellMar>
          <w:top w:w="0" w:type="dxa"/>
          <w:left w:w="0" w:type="dxa"/>
          <w:bottom w:w="0" w:type="dxa"/>
          <w:right w:w="0" w:type="dxa"/>
        </w:tblCellMar>
      </w:tblPr>
      <w:tblGrid>
        <w:gridCol w:w="605"/>
        <w:gridCol w:w="555"/>
        <w:gridCol w:w="2349"/>
        <w:gridCol w:w="7643"/>
      </w:tblGrid>
      <w:tr>
        <w:tblPrEx>
          <w:tblCellMar>
            <w:top w:w="0" w:type="dxa"/>
            <w:left w:w="0" w:type="dxa"/>
            <w:bottom w:w="0" w:type="dxa"/>
            <w:right w:w="0" w:type="dxa"/>
          </w:tblCellMar>
        </w:tblPrEx>
        <w:trPr>
          <w:trHeight w:val="90" w:hRule="atLeast"/>
          <w:jc w:val="center"/>
        </w:trPr>
        <w:tc>
          <w:tcPr>
            <w:tcW w:w="520" w:type="pct"/>
            <w:gridSpan w:val="2"/>
            <w:tcBorders>
              <w:top w:val="single" w:color="000000" w:sz="4" w:space="0"/>
              <w:left w:val="single" w:color="000000" w:sz="4"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053"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426"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90" w:hRule="atLeast"/>
          <w:jc w:val="center"/>
        </w:trPr>
        <w:tc>
          <w:tcPr>
            <w:tcW w:w="271" w:type="pct"/>
            <w:vMerge w:val="restart"/>
            <w:tcBorders>
              <w:top w:val="nil"/>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48" w:type="pct"/>
            <w:vMerge w:val="restart"/>
            <w:tcBorders>
              <w:top w:val="nil"/>
              <w:left w:val="nil"/>
              <w:right w:val="single" w:color="000000" w:sz="6" w:space="0"/>
            </w:tcBorders>
            <w:textDirection w:val="tbRlV"/>
            <w:vAlign w:val="center"/>
          </w:tcPr>
          <w:p>
            <w:pPr>
              <w:pStyle w:val="46"/>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053"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426"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053" w:type="pct"/>
            <w:tcBorders>
              <w:top w:val="single" w:color="000000" w:sz="4" w:space="0"/>
              <w:left w:val="nil"/>
              <w:bottom w:val="nil"/>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426" w:type="pct"/>
            <w:tcBorders>
              <w:top w:val="single" w:color="000000" w:sz="4" w:space="0"/>
              <w:left w:val="nil"/>
              <w:bottom w:val="nil"/>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053"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426"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053"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426"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053"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426"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053" w:type="pct"/>
            <w:tcBorders>
              <w:top w:val="single" w:color="auto" w:sz="4" w:space="0"/>
              <w:left w:val="single" w:color="000000" w:sz="6" w:space="0"/>
              <w:bottom w:val="single" w:color="000000" w:sz="4" w:space="0"/>
              <w:right w:val="single" w:color="000000" w:sz="4" w:space="0"/>
            </w:tcBorders>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426" w:type="pct"/>
            <w:tcBorders>
              <w:top w:val="single" w:color="auto" w:sz="4" w:space="0"/>
              <w:left w:val="nil"/>
              <w:bottom w:val="single" w:color="000000" w:sz="4" w:space="0"/>
              <w:right w:val="single" w:color="000000" w:sz="4" w:space="0"/>
            </w:tcBorders>
            <w:vAlign w:val="center"/>
          </w:tcPr>
          <w:p>
            <w:pPr>
              <w:numPr>
                <w:ilvl w:val="0"/>
                <w:numId w:val="0"/>
              </w:numPr>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eastAsia="zh-CN"/>
              </w:rPr>
              <w:t>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auto"/>
                <w:sz w:val="21"/>
                <w:szCs w:val="21"/>
                <w:highlight w:val="none"/>
                <w:lang w:val="en-US" w:eastAsia="zh-CN"/>
              </w:rPr>
              <w:t>.</w:t>
            </w:r>
            <w:r>
              <w:rPr>
                <w:rFonts w:hint="eastAsia" w:ascii="仿宋" w:hAnsi="仿宋" w:eastAsia="仿宋" w:cs="仿宋"/>
                <w:strike w:val="0"/>
                <w:dstrike w:val="0"/>
                <w:color w:val="auto"/>
                <w:sz w:val="21"/>
                <w:szCs w:val="21"/>
                <w:highlight w:val="none"/>
                <w:lang w:eastAsia="zh-CN"/>
              </w:rPr>
              <w:t>应答人应在应答时须提供其公司章程或其</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他能够体现出资人、股东信息的法定文件，作为评审时的依据。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053" w:type="pct"/>
            <w:tcBorders>
              <w:top w:val="single" w:color="000000" w:sz="4" w:space="0"/>
              <w:left w:val="single" w:color="000000" w:sz="6" w:space="0"/>
              <w:bottom w:val="single" w:color="000000" w:sz="4" w:space="0"/>
              <w:right w:val="single" w:color="000000" w:sz="4" w:space="0"/>
            </w:tcBorders>
            <w:vAlign w:val="center"/>
          </w:tcPr>
          <w:p>
            <w:pPr>
              <w:pStyle w:val="46"/>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6"/>
              <w:jc w:val="center"/>
              <w:rPr>
                <w:rFonts w:hint="default" w:ascii="仿宋" w:hAnsi="仿宋" w:eastAsia="仿宋" w:cs="仿宋"/>
                <w:color w:val="auto"/>
                <w:kern w:val="2"/>
                <w:sz w:val="21"/>
                <w:szCs w:val="21"/>
                <w:highlight w:val="none"/>
                <w:lang w:val="en-US" w:eastAsia="zh-CN" w:bidi="ar-SA"/>
              </w:rPr>
            </w:pPr>
          </w:p>
        </w:tc>
        <w:tc>
          <w:tcPr>
            <w:tcW w:w="3426"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6"/>
              <w:jc w:val="both"/>
              <w:rPr>
                <w:rFonts w:hint="eastAsia"/>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053" w:type="pct"/>
            <w:tcBorders>
              <w:top w:val="single" w:color="000000" w:sz="4" w:space="0"/>
              <w:left w:val="single" w:color="000000" w:sz="6" w:space="0"/>
              <w:bottom w:val="single" w:color="000000" w:sz="4" w:space="0"/>
              <w:right w:val="single" w:color="000000" w:sz="4" w:space="0"/>
            </w:tcBorders>
            <w:vAlign w:val="center"/>
          </w:tcPr>
          <w:p>
            <w:pPr>
              <w:pStyle w:val="46"/>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★代理商、贸易商要求（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42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提供近三年（2022-2024年）或者（2022-2024年）经审计财务报表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近一年（2024年）利润不能为负且近一年（2024年）资产负债率＜80%</w:t>
            </w:r>
            <w:r>
              <w:rPr>
                <w:rFonts w:hint="eastAsia" w:ascii="仿宋" w:hAnsi="仿宋" w:eastAsia="仿宋" w:cs="仿宋"/>
                <w:color w:val="auto"/>
                <w:sz w:val="21"/>
                <w:szCs w:val="21"/>
                <w:highlight w:val="none"/>
                <w:lang w:eastAsia="zh-CN"/>
              </w:rPr>
              <w:t>；2）自有社保人数≥5人，须提供近三</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lang w:eastAsia="zh-CN"/>
              </w:rPr>
              <w:t>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提供近三年（2022-2024年）经审计财务报表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近一年（2024年）利润不能为负且近一年（2024年）资产负债率＜80%</w:t>
            </w:r>
            <w:r>
              <w:rPr>
                <w:rFonts w:hint="eastAsia" w:ascii="仿宋" w:hAnsi="仿宋" w:eastAsia="仿宋" w:cs="仿宋"/>
                <w:color w:val="auto"/>
                <w:sz w:val="21"/>
                <w:szCs w:val="21"/>
                <w:highlight w:val="none"/>
                <w:lang w:eastAsia="zh-CN"/>
              </w:rPr>
              <w:t>；2）自有社保人数≥5人，须提供近三</w:t>
            </w:r>
            <w:r>
              <w:rPr>
                <w:rFonts w:hint="eastAsia" w:ascii="仿宋" w:hAnsi="仿宋" w:eastAsia="仿宋" w:cs="仿宋"/>
                <w:color w:val="auto"/>
                <w:sz w:val="21"/>
                <w:szCs w:val="21"/>
                <w:highlight w:val="none"/>
                <w:lang w:val="en-US" w:eastAsia="zh-CN"/>
              </w:rPr>
              <w:t>个</w:t>
            </w:r>
            <w:r>
              <w:rPr>
                <w:rFonts w:hint="eastAsia" w:ascii="仿宋" w:hAnsi="仿宋" w:eastAsia="仿宋" w:cs="仿宋"/>
                <w:color w:val="auto"/>
                <w:sz w:val="21"/>
                <w:szCs w:val="21"/>
                <w:highlight w:val="none"/>
                <w:lang w:eastAsia="zh-CN"/>
              </w:rPr>
              <w:t>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053" w:type="pct"/>
            <w:tcBorders>
              <w:top w:val="single" w:color="000000" w:sz="4" w:space="0"/>
              <w:left w:val="single" w:color="000000" w:sz="6"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46"/>
              <w:spacing w:line="300" w:lineRule="exact"/>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426" w:type="pc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2022年1月1日至应答截止日（以合同签署时间为准），应答人应具有至少1项化工产品供货业绩。业绩证明文件必须包含业绩合同、结算发票及国家税务总局全国增值税发票查验平台查验截图。（对于单项次合同，完成部分交付的也视为已完成业绩，若业绩合同为年度协议，还应至少提供1项完成订单的订单页。业绩吨数以实际发生为准。）</w:t>
            </w:r>
          </w:p>
          <w:p>
            <w:p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业绩合同应至少包含：合同签署时间、合同签署页（应有双方盖章）、货物名称。</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053" w:type="pct"/>
            <w:tcBorders>
              <w:top w:val="single" w:color="auto" w:sz="4" w:space="0"/>
              <w:left w:val="single" w:color="000000" w:sz="6" w:space="0"/>
              <w:bottom w:val="nil"/>
              <w:right w:val="single" w:color="000000" w:sz="4" w:space="0"/>
            </w:tcBorders>
            <w:vAlign w:val="center"/>
          </w:tcPr>
          <w:p>
            <w:pPr>
              <w:pStyle w:val="46"/>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426" w:type="pct"/>
            <w:tcBorders>
              <w:top w:val="single" w:color="auto" w:sz="4" w:space="0"/>
              <w:left w:val="nil"/>
              <w:bottom w:val="nil"/>
              <w:right w:val="single" w:color="000000" w:sz="4" w:space="0"/>
            </w:tcBorders>
            <w:vAlign w:val="center"/>
          </w:tcPr>
          <w:p>
            <w:pPr>
              <w:pStyle w:val="7"/>
              <w:ind w:right="11"/>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合同约定付款方式为：银行电汇</w:t>
            </w:r>
          </w:p>
          <w:p>
            <w:pPr>
              <w:pStyle w:val="7"/>
              <w:ind w:right="11"/>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t>付款进度：合同签订后，卖方在规定的时间将货物运到交货地点并完成验收，经买方验收合格并收到卖方有效票据后，在45日内买方支付合同总价的[100%]。</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8"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053"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426" w:type="pct"/>
            <w:tcBorders>
              <w:top w:val="single" w:color="000000" w:sz="4" w:space="0"/>
              <w:left w:val="nil"/>
              <w:bottom w:val="single" w:color="000000" w:sz="4" w:space="0"/>
              <w:right w:val="single" w:color="000000" w:sz="4" w:space="0"/>
            </w:tcBorders>
            <w:vAlign w:val="center"/>
          </w:tcPr>
          <w:p>
            <w:pPr>
              <w:rPr>
                <w:rFonts w:hint="eastAsia"/>
                <w:highlight w:val="none"/>
                <w:lang w:eastAsia="zh-CN"/>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承诺对合同条款无偏离。</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8" w:type="pct"/>
            <w:vMerge w:val="continue"/>
            <w:tcBorders>
              <w:left w:val="single" w:color="000000" w:sz="6" w:space="0"/>
              <w:bottom w:val="single" w:color="auto" w:sz="4"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053" w:type="pct"/>
            <w:tcBorders>
              <w:top w:val="single" w:color="000000" w:sz="4" w:space="0"/>
              <w:left w:val="single" w:color="000000" w:sz="6" w:space="0"/>
              <w:bottom w:val="single" w:color="auto" w:sz="4" w:space="0"/>
              <w:right w:val="single" w:color="000000" w:sz="4" w:space="0"/>
            </w:tcBorders>
            <w:vAlign w:val="center"/>
          </w:tcPr>
          <w:p>
            <w:pPr>
              <w:pStyle w:val="46"/>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426"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6"/>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bottom w:val="single" w:color="auto" w:sz="4"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48" w:type="pct"/>
            <w:vMerge w:val="continue"/>
            <w:tcBorders>
              <w:left w:val="single" w:color="000000" w:sz="6" w:space="0"/>
              <w:bottom w:val="single" w:color="auto" w:sz="4"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053"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★技术要求</w:t>
            </w:r>
          </w:p>
        </w:tc>
        <w:tc>
          <w:tcPr>
            <w:tcW w:w="3426" w:type="pct"/>
            <w:tcBorders>
              <w:top w:val="single" w:color="000000" w:sz="4" w:space="0"/>
              <w:left w:val="nil"/>
              <w:bottom w:val="single" w:color="000000" w:sz="4" w:space="0"/>
              <w:right w:val="single" w:color="000000" w:sz="4" w:space="0"/>
            </w:tcBorders>
            <w:vAlign w:val="center"/>
          </w:tcPr>
          <w:p>
            <w:pPr>
              <w:pStyle w:val="4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承诺满足技术要求书中四、技术要求。</w:t>
            </w:r>
          </w:p>
        </w:tc>
      </w:tr>
      <w:tr>
        <w:tblPrEx>
          <w:tblCellMar>
            <w:top w:w="0" w:type="dxa"/>
            <w:left w:w="0" w:type="dxa"/>
            <w:bottom w:w="0" w:type="dxa"/>
            <w:right w:w="0" w:type="dxa"/>
          </w:tblCellMar>
        </w:tblPrEx>
        <w:trPr>
          <w:trHeight w:val="90" w:hRule="atLeast"/>
          <w:jc w:val="center"/>
        </w:trPr>
        <w:tc>
          <w:tcPr>
            <w:tcW w:w="271" w:type="pct"/>
            <w:vMerge w:val="continue"/>
            <w:tcBorders>
              <w:left w:val="single" w:color="000000" w:sz="6" w:space="0"/>
              <w:right w:val="single" w:color="000000" w:sz="6" w:space="0"/>
            </w:tcBorders>
            <w:vAlign w:val="center"/>
          </w:tcPr>
          <w:p>
            <w:pPr>
              <w:rPr>
                <w:rFonts w:hint="eastAsia"/>
                <w:highlight w:val="none"/>
                <w:lang w:val="en-US" w:eastAsia="zh-CN"/>
              </w:rPr>
            </w:pPr>
          </w:p>
        </w:tc>
        <w:tc>
          <w:tcPr>
            <w:tcW w:w="248" w:type="pct"/>
            <w:vMerge w:val="continue"/>
            <w:tcBorders>
              <w:left w:val="single" w:color="000000" w:sz="6" w:space="0"/>
              <w:right w:val="single" w:color="000000" w:sz="6" w:space="0"/>
            </w:tcBorders>
            <w:textDirection w:val="tbLrV"/>
            <w:vAlign w:val="center"/>
          </w:tcPr>
          <w:p>
            <w:pPr>
              <w:ind w:left="113" w:right="113"/>
              <w:jc w:val="center"/>
              <w:rPr>
                <w:rFonts w:hint="eastAsia" w:ascii="仿宋" w:hAnsi="仿宋" w:eastAsia="仿宋" w:cs="仿宋"/>
                <w:bCs/>
                <w:color w:val="auto"/>
                <w:kern w:val="0"/>
                <w:sz w:val="21"/>
                <w:szCs w:val="21"/>
                <w:highlight w:val="none"/>
                <w:lang w:val="en-US" w:eastAsia="zh-CN" w:bidi="ar-SA"/>
              </w:rPr>
            </w:pPr>
          </w:p>
        </w:tc>
        <w:tc>
          <w:tcPr>
            <w:tcW w:w="1053" w:type="pct"/>
            <w:tcBorders>
              <w:top w:val="single" w:color="auto" w:sz="4" w:space="0"/>
              <w:left w:val="single" w:color="auto" w:sz="4" w:space="0"/>
              <w:right w:val="single" w:color="auto" w:sz="4" w:space="0"/>
            </w:tcBorders>
            <w:vAlign w:val="center"/>
          </w:tcPr>
          <w:p>
            <w:pPr>
              <w:widowControl/>
              <w:ind w:right="11" w:right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提供技术偏离表</w:t>
            </w:r>
          </w:p>
        </w:tc>
        <w:tc>
          <w:tcPr>
            <w:tcW w:w="3426" w:type="pct"/>
            <w:tcBorders>
              <w:top w:val="single" w:color="000000" w:sz="4" w:space="0"/>
              <w:left w:val="single" w:color="auto" w:sz="4" w:space="0"/>
              <w:bottom w:val="single" w:color="000000" w:sz="4" w:space="0"/>
              <w:right w:val="single" w:color="000000" w:sz="4" w:space="0"/>
            </w:tcBorders>
            <w:vAlign w:val="center"/>
          </w:tcPr>
          <w:p>
            <w:pPr>
              <w:ind w:left="0" w:leftChars="0"/>
              <w:jc w:val="left"/>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1.按照技术偏离表格式要求提供响应材料，如未提供技术偏离表，可补充澄清。</w:t>
            </w:r>
          </w:p>
          <w:p>
            <w:pPr>
              <w:pStyle w:val="11"/>
              <w:ind w:left="0" w:leftChars="0" w:firstLine="0" w:firstLineChars="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2.如未提供偏离表，则视为已承诺满足全部技术要求</w:t>
            </w:r>
          </w:p>
        </w:tc>
      </w:tr>
      <w:tr>
        <w:tblPrEx>
          <w:tblCellMar>
            <w:top w:w="0" w:type="dxa"/>
            <w:left w:w="0" w:type="dxa"/>
            <w:bottom w:w="0" w:type="dxa"/>
            <w:right w:w="0" w:type="dxa"/>
          </w:tblCellMar>
        </w:tblPrEx>
        <w:trPr>
          <w:trHeight w:val="90" w:hRule="atLeast"/>
          <w:jc w:val="center"/>
        </w:trPr>
        <w:tc>
          <w:tcPr>
            <w:tcW w:w="271"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48"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6"/>
              <w:spacing w:line="300" w:lineRule="exact"/>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w:t>
            </w:r>
          </w:p>
        </w:tc>
        <w:tc>
          <w:tcPr>
            <w:tcW w:w="3426"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Pr>
        <w:rPr>
          <w:highlight w:val="none"/>
        </w:rPr>
      </w:pPr>
    </w:p>
    <w:p>
      <w:pPr>
        <w:pStyle w:val="6"/>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附件2</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购</w:t>
      </w:r>
      <w:r>
        <w:rPr>
          <w:rFonts w:hint="eastAsia" w:ascii="宋体" w:hAnsi="宋体" w:eastAsia="宋体" w:cs="宋体"/>
          <w:b/>
          <w:bCs/>
          <w:color w:val="000000" w:themeColor="text1"/>
          <w:sz w:val="24"/>
          <w:szCs w:val="24"/>
          <w:highlight w:val="none"/>
          <w14:textFill>
            <w14:solidFill>
              <w14:schemeClr w14:val="tx1"/>
            </w14:solidFill>
          </w14:textFill>
        </w:rPr>
        <w:t>内容及技术要求</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ascii="微软雅黑" w:hAnsi="微软雅黑" w:eastAsia="微软雅黑" w:cs="Times New Roman"/>
          <w:bCs/>
          <w:color w:val="auto"/>
          <w:sz w:val="28"/>
          <w:szCs w:val="28"/>
        </w:rPr>
      </w:pPr>
      <w:bookmarkStart w:id="0" w:name="_Toc13248928"/>
      <w:bookmarkStart w:id="1" w:name="_Toc13249325"/>
      <w:r>
        <w:rPr>
          <w:rFonts w:hint="eastAsia" w:ascii="微软雅黑" w:hAnsi="微软雅黑" w:eastAsia="微软雅黑" w:cs="Times New Roman"/>
          <w:bCs/>
          <w:color w:val="auto"/>
          <w:sz w:val="28"/>
          <w:szCs w:val="28"/>
          <w:lang w:val="en-US" w:eastAsia="zh-CN"/>
        </w:rPr>
        <w:t>一</w:t>
      </w:r>
      <w:r>
        <w:rPr>
          <w:rFonts w:ascii="微软雅黑" w:hAnsi="微软雅黑" w:eastAsia="微软雅黑" w:cs="Times New Roman"/>
          <w:bCs/>
          <w:color w:val="auto"/>
          <w:sz w:val="28"/>
          <w:szCs w:val="28"/>
        </w:rPr>
        <w:t>、需求一览表</w:t>
      </w:r>
      <w:bookmarkEnd w:id="0"/>
      <w:bookmarkEnd w:id="1"/>
    </w:p>
    <w:tbl>
      <w:tblPr>
        <w:tblStyle w:val="25"/>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66"/>
        <w:gridCol w:w="1437"/>
        <w:gridCol w:w="1113"/>
        <w:gridCol w:w="135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序号</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物料编码</w:t>
            </w:r>
          </w:p>
        </w:tc>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物资</w:t>
            </w:r>
            <w:r>
              <w:rPr>
                <w:rFonts w:ascii="Times New Roman" w:hAnsi="Times New Roman" w:cs="Times New Roman"/>
                <w:color w:val="000000" w:themeColor="text1"/>
                <w:highlight w:val="none"/>
                <w14:textFill>
                  <w14:solidFill>
                    <w14:schemeClr w14:val="tx1"/>
                  </w14:solidFill>
                </w14:textFill>
              </w:rPr>
              <w:t>名称</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规格型号</w:t>
            </w: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数量及单位</w:t>
            </w:r>
          </w:p>
        </w:tc>
        <w:tc>
          <w:tcPr>
            <w:tcW w:w="25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84945336</w:t>
            </w:r>
          </w:p>
        </w:tc>
        <w:tc>
          <w:tcPr>
            <w:tcW w:w="14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聚</w:t>
            </w:r>
            <w:r>
              <w:rPr>
                <w:rFonts w:hint="eastAsia" w:ascii="Times New Roman" w:hAnsi="Times New Roman" w:cs="Times New Roman"/>
                <w:color w:val="000000" w:themeColor="text1"/>
                <w:highlight w:val="none"/>
                <w:lang w:val="en-US" w:eastAsia="zh-CN"/>
                <w14:textFill>
                  <w14:solidFill>
                    <w14:schemeClr w14:val="tx1"/>
                  </w14:solidFill>
                </w14:textFill>
              </w:rPr>
              <w:t>丙</w:t>
            </w:r>
            <w:r>
              <w:rPr>
                <w:rFonts w:hint="eastAsia" w:ascii="Times New Roman" w:hAnsi="Times New Roman" w:cs="Times New Roman"/>
                <w:color w:val="000000" w:themeColor="text1"/>
                <w:highlight w:val="none"/>
                <w14:textFill>
                  <w14:solidFill>
                    <w14:schemeClr w14:val="tx1"/>
                  </w14:solidFill>
                </w14:textFill>
              </w:rPr>
              <w:t>烯</w:t>
            </w:r>
            <w:r>
              <w:rPr>
                <w:rFonts w:hint="eastAsia" w:ascii="Times New Roman" w:hAnsi="Times New Roman" w:cs="Times New Roman"/>
                <w:color w:val="000000" w:themeColor="text1"/>
                <w:highlight w:val="none"/>
                <w:lang w:eastAsia="zh-CN"/>
                <w14:textFill>
                  <w14:solidFill>
                    <w14:schemeClr w14:val="tx1"/>
                  </w14:solidFill>
                </w14:textFill>
              </w:rPr>
              <w:t>颗粒</w:t>
            </w:r>
          </w:p>
        </w:tc>
        <w:tc>
          <w:tcPr>
            <w:tcW w:w="111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4吨</w:t>
            </w:r>
          </w:p>
        </w:tc>
        <w:tc>
          <w:tcPr>
            <w:tcW w:w="25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合同签订后一个月内交付。收货地点：天津</w:t>
            </w:r>
          </w:p>
        </w:tc>
      </w:tr>
    </w:tbl>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eastAsia" w:ascii="微软雅黑" w:hAnsi="微软雅黑" w:eastAsia="微软雅黑" w:cs="Times New Roman"/>
          <w:bCs/>
          <w:color w:val="auto"/>
          <w:sz w:val="28"/>
          <w:szCs w:val="28"/>
          <w:lang w:val="en-US" w:eastAsia="zh-CN"/>
        </w:rPr>
      </w:pPr>
      <w:bookmarkStart w:id="2" w:name="_Toc13248929"/>
      <w:bookmarkStart w:id="3" w:name="_Toc13249326"/>
      <w:r>
        <w:rPr>
          <w:rFonts w:hint="eastAsia" w:ascii="微软雅黑" w:hAnsi="微软雅黑" w:eastAsia="微软雅黑" w:cs="Times New Roman"/>
          <w:bCs/>
          <w:color w:val="auto"/>
          <w:sz w:val="28"/>
          <w:szCs w:val="28"/>
          <w:lang w:val="en-US" w:eastAsia="zh-CN"/>
        </w:rPr>
        <w:t>二、执行标准/规范</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 xml:space="preserve">10008-STD-6-COR-003-R01 </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ascii="微软雅黑" w:hAnsi="微软雅黑" w:eastAsia="微软雅黑"/>
          <w:lang w:eastAsia="zh-CN"/>
        </w:rPr>
      </w:pPr>
      <w:r>
        <w:rPr>
          <w:rFonts w:hint="eastAsia" w:ascii="微软雅黑" w:hAnsi="微软雅黑" w:eastAsia="微软雅黑"/>
          <w:lang w:eastAsia="zh-CN"/>
        </w:rPr>
        <w:t>ISO 21809-1</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ascii="微软雅黑" w:hAnsi="微软雅黑" w:eastAsia="微软雅黑"/>
          <w:lang w:eastAsia="zh-CN"/>
        </w:rPr>
      </w:pPr>
      <w:r>
        <w:rPr>
          <w:rFonts w:hint="eastAsia" w:ascii="微软雅黑" w:hAnsi="微软雅黑" w:eastAsia="微软雅黑"/>
          <w:lang w:eastAsia="zh-CN"/>
        </w:rPr>
        <w:t>ISO 21809-3</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eastAsia"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三、设计/使用条件</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用于2LP</w:t>
      </w:r>
      <w:r>
        <w:rPr>
          <w:rFonts w:hint="eastAsia" w:ascii="微软雅黑" w:hAnsi="微软雅黑" w:eastAsia="微软雅黑"/>
          <w:lang w:val="en-US" w:eastAsia="zh-CN"/>
        </w:rPr>
        <w:t>P</w:t>
      </w:r>
      <w:r>
        <w:rPr>
          <w:rFonts w:hint="eastAsia" w:ascii="微软雅黑" w:hAnsi="微软雅黑" w:eastAsia="微软雅黑"/>
          <w:lang w:eastAsia="zh-CN"/>
        </w:rPr>
        <w:t>防腐中的聚</w:t>
      </w:r>
      <w:r>
        <w:rPr>
          <w:rFonts w:hint="eastAsia" w:ascii="微软雅黑" w:hAnsi="微软雅黑" w:eastAsia="微软雅黑"/>
          <w:lang w:val="en-US" w:eastAsia="zh-CN"/>
        </w:rPr>
        <w:t>丙</w:t>
      </w:r>
      <w:r>
        <w:rPr>
          <w:rFonts w:hint="eastAsia" w:ascii="微软雅黑" w:hAnsi="微软雅黑" w:eastAsia="微软雅黑"/>
          <w:lang w:eastAsia="zh-CN"/>
        </w:rPr>
        <w:t>烯涂层。</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eastAsia"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四、技术要求</w:t>
      </w:r>
    </w:p>
    <w:bookmarkEnd w:id="2"/>
    <w:bookmarkEnd w:id="3"/>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eastAsia="zh-CN"/>
        </w:rPr>
        <w:t>★</w:t>
      </w:r>
      <w:r>
        <w:rPr>
          <w:rFonts w:hint="eastAsia" w:ascii="微软雅黑" w:hAnsi="微软雅黑" w:eastAsia="微软雅黑"/>
          <w:lang w:val="en-US" w:eastAsia="zh-CN"/>
        </w:rPr>
        <w:t>卖家供货时</w:t>
      </w:r>
      <w:r>
        <w:rPr>
          <w:rFonts w:hint="default" w:ascii="微软雅黑" w:hAnsi="微软雅黑" w:eastAsia="微软雅黑"/>
          <w:lang w:val="en-US" w:eastAsia="zh-CN"/>
        </w:rPr>
        <w:t>，</w:t>
      </w:r>
      <w:r>
        <w:rPr>
          <w:rFonts w:hint="eastAsia" w:ascii="微软雅黑" w:hAnsi="微软雅黑" w:eastAsia="微软雅黑"/>
          <w:lang w:val="en-US" w:eastAsia="zh-CN"/>
        </w:rPr>
        <w:t>需</w:t>
      </w:r>
      <w:r>
        <w:rPr>
          <w:rFonts w:hint="default" w:ascii="微软雅黑" w:hAnsi="微软雅黑" w:eastAsia="微软雅黑"/>
          <w:lang w:val="en-US" w:eastAsia="zh-CN"/>
        </w:rPr>
        <w:t>针对表1</w:t>
      </w:r>
      <w:r>
        <w:rPr>
          <w:rFonts w:hint="eastAsia" w:ascii="微软雅黑" w:hAnsi="微软雅黑" w:eastAsia="微软雅黑"/>
          <w:lang w:val="en-US" w:eastAsia="zh-CN"/>
        </w:rPr>
        <w:t>、表2</w:t>
      </w:r>
      <w:r>
        <w:rPr>
          <w:rFonts w:hint="default" w:ascii="微软雅黑" w:hAnsi="微软雅黑" w:eastAsia="微软雅黑"/>
          <w:lang w:val="en-US" w:eastAsia="zh-CN"/>
        </w:rPr>
        <w:t>中的</w:t>
      </w:r>
      <w:r>
        <w:rPr>
          <w:rFonts w:hint="default" w:ascii="微软雅黑" w:hAnsi="微软雅黑" w:eastAsia="微软雅黑"/>
          <w:lang w:eastAsia="zh-CN"/>
        </w:rPr>
        <w:t>★</w:t>
      </w:r>
      <w:r>
        <w:rPr>
          <w:rFonts w:hint="default" w:ascii="微软雅黑" w:hAnsi="微软雅黑" w:eastAsia="微软雅黑"/>
          <w:lang w:val="en-US" w:eastAsia="zh-CN"/>
        </w:rPr>
        <w:t>检验项</w:t>
      </w:r>
      <w:r>
        <w:rPr>
          <w:rFonts w:hint="eastAsia" w:ascii="微软雅黑" w:hAnsi="微软雅黑" w:eastAsia="微软雅黑"/>
          <w:lang w:val="en-US" w:eastAsia="zh-CN"/>
        </w:rPr>
        <w:t>提供英文版满足买方要求的质量证明文件</w:t>
      </w:r>
      <w:r>
        <w:rPr>
          <w:rFonts w:hint="default" w:ascii="微软雅黑" w:hAnsi="微软雅黑" w:eastAsia="微软雅黑"/>
          <w:lang w:val="en-US" w:eastAsia="zh-CN"/>
        </w:rPr>
        <w:t>，其余检验项应承诺满足要求。</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eastAsia" w:ascii="微软雅黑" w:hAnsi="微软雅黑" w:eastAsia="微软雅黑"/>
          <w:lang w:val="en-US" w:eastAsia="zh-CN"/>
        </w:rPr>
        <w:t>以下标黄部分引用《</w:t>
      </w:r>
      <w:r>
        <w:rPr>
          <w:rFonts w:hint="default" w:ascii="微软雅黑" w:hAnsi="微软雅黑" w:eastAsia="微软雅黑"/>
          <w:lang w:val="en-US" w:eastAsia="zh-CN"/>
        </w:rPr>
        <w:t>管道外防腐用聚丙烯专用颗粒料》CGBZ156-2022（JT）</w:t>
      </w:r>
    </w:p>
    <w:p>
      <w:pPr>
        <w:numPr>
          <w:ilvl w:val="0"/>
          <w:numId w:val="0"/>
        </w:numPr>
        <w:jc w:val="center"/>
        <w:rPr>
          <w:rFonts w:ascii="Times New Roman" w:hAnsi="Times New Roman" w:eastAsia="宋体" w:cs="Times New Roman"/>
          <w:highlight w:val="none"/>
          <w:lang w:eastAsia="zh-CN"/>
        </w:rPr>
      </w:pPr>
      <w:r>
        <w:rPr>
          <w:rFonts w:hint="eastAsia" w:ascii="微软雅黑" w:hAnsi="微软雅黑" w:eastAsia="微软雅黑" w:cs="微软雅黑"/>
          <w:highlight w:val="none"/>
          <w:lang w:eastAsia="zh-CN"/>
        </w:rPr>
        <w:t>表1 聚</w:t>
      </w:r>
      <w:r>
        <w:rPr>
          <w:rFonts w:hint="eastAsia" w:ascii="微软雅黑" w:hAnsi="微软雅黑" w:eastAsia="微软雅黑" w:cs="微软雅黑"/>
          <w:highlight w:val="none"/>
          <w:lang w:val="en-US" w:eastAsia="zh-CN"/>
        </w:rPr>
        <w:t>丙</w:t>
      </w:r>
      <w:r>
        <w:rPr>
          <w:rFonts w:hint="eastAsia" w:ascii="微软雅黑" w:hAnsi="微软雅黑" w:eastAsia="微软雅黑" w:cs="微软雅黑"/>
          <w:highlight w:val="none"/>
          <w:lang w:eastAsia="zh-CN"/>
        </w:rPr>
        <w:t>烯</w:t>
      </w:r>
      <w:r>
        <w:rPr>
          <w:rFonts w:hint="eastAsia" w:ascii="微软雅黑" w:hAnsi="微软雅黑" w:eastAsia="微软雅黑" w:cs="微软雅黑"/>
          <w:highlight w:val="none"/>
          <w:lang w:val="en-US" w:eastAsia="zh-CN"/>
        </w:rPr>
        <w:t>颗粒性</w:t>
      </w:r>
      <w:r>
        <w:rPr>
          <w:rFonts w:hint="eastAsia" w:ascii="微软雅黑" w:hAnsi="微软雅黑" w:eastAsia="微软雅黑" w:cs="微软雅黑"/>
          <w:highlight w:val="none"/>
          <w:lang w:eastAsia="zh-CN"/>
        </w:rPr>
        <w:t>能指标</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69"/>
        <w:gridCol w:w="284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序号</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检验项目</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试验</w:t>
            </w:r>
            <w:r>
              <w:rPr>
                <w:rFonts w:hint="eastAsia" w:ascii="Times New Roman" w:hAnsi="Times New Roman" w:cs="Times New Roman"/>
                <w:color w:val="000000" w:themeColor="text1"/>
                <w:highlight w:val="none"/>
                <w14:textFill>
                  <w14:solidFill>
                    <w14:schemeClr w14:val="tx1"/>
                  </w14:solidFill>
                </w14:textFill>
              </w:rPr>
              <w:t>方法</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1</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★密度</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ISO 1183（All parts）</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0.</w:t>
            </w:r>
            <w:r>
              <w:rPr>
                <w:rFonts w:hint="eastAsia" w:ascii="Times New Roman" w:hAnsi="Times New Roman" w:cs="Times New Roman"/>
                <w:color w:val="000000" w:themeColor="text1"/>
                <w:highlight w:val="none"/>
                <w:lang w:val="en-US" w:eastAsia="zh-CN"/>
                <w14:textFill>
                  <w14:solidFill>
                    <w14:schemeClr w14:val="tx1"/>
                  </w14:solidFill>
                </w14:textFill>
              </w:rPr>
              <w:t>94-</w:t>
            </w:r>
            <w:r>
              <w:rPr>
                <w:rFonts w:hint="eastAsia" w:ascii="Times New Roman" w:hAnsi="Times New Roman" w:cs="Times New Roman"/>
                <w:color w:val="000000" w:themeColor="text1"/>
                <w:highlight w:val="none"/>
                <w14:textFill>
                  <w14:solidFill>
                    <w14:schemeClr w14:val="tx1"/>
                  </w14:solidFill>
                </w14:textFill>
              </w:rPr>
              <w:t>-0.9</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hint="eastAsia" w:ascii="Times New Roman" w:hAnsi="Times New Roman" w:cs="Times New Roman"/>
                <w:color w:val="000000" w:themeColor="text1"/>
                <w:highlight w:val="none"/>
                <w14:textFill>
                  <w14:solidFill>
                    <w14:schemeClr w14:val="tx1"/>
                  </w14:solidFill>
                </w14:textFill>
              </w:rPr>
              <w:t xml:space="preserve"> 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维卡软化点（9.8N）</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ISO 306</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＞110</w:t>
            </w:r>
            <w:r>
              <w:rPr>
                <w:rFonts w:hint="eastAsia" w:ascii="Times New Roman" w:hAnsi="Times New Roman" w:cs="Times New Roman"/>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熔点</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ISO 11357-1 and ISO 11357-3</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＞1</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hint="eastAsia" w:ascii="Times New Roman" w:hAnsi="Times New Roman" w:cs="Times New Roman"/>
                <w:color w:val="000000" w:themeColor="text1"/>
                <w:highlight w:val="none"/>
                <w:lang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熔体流动速率（</w:t>
            </w:r>
            <w:r>
              <w:rPr>
                <w:rFonts w:hint="eastAsia" w:ascii="Times New Roman" w:hAnsi="Times New Roman" w:cs="Times New Roman"/>
                <w:color w:val="000000" w:themeColor="text1"/>
                <w:highlight w:val="none"/>
                <w:lang w:val="en-US" w:eastAsia="zh-CN"/>
                <w14:textFill>
                  <w14:solidFill>
                    <w14:schemeClr w14:val="tx1"/>
                  </w14:solidFill>
                </w14:textFill>
              </w:rPr>
              <w:t>230</w:t>
            </w:r>
            <w:r>
              <w:rPr>
                <w:rFonts w:hint="eastAsia" w:ascii="Times New Roman" w:hAnsi="Times New Roman" w:cs="Times New Roman"/>
                <w:color w:val="000000" w:themeColor="text1"/>
                <w:highlight w:val="none"/>
                <w:lang w:eastAsia="zh-CN"/>
                <w14:textFill>
                  <w14:solidFill>
                    <w14:schemeClr w14:val="tx1"/>
                  </w14:solidFill>
                </w14:textFill>
              </w:rPr>
              <w:t>℃，2.16kg）</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ISO 1133-1</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r>
              <w:rPr>
                <w:rFonts w:hint="eastAsia" w:ascii="Times New Roman" w:hAnsi="Times New Roman" w:cs="Times New Roman"/>
                <w:color w:val="000000" w:themeColor="text1"/>
                <w:highlight w:val="none"/>
                <w:lang w:eastAsia="zh-CN"/>
                <w14:textFill>
                  <w14:solidFill>
                    <w14:schemeClr w14:val="tx1"/>
                  </w14:solidFill>
                </w14:textFill>
              </w:rPr>
              <w:t xml:space="preserve"> g/10min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p>
        </w:tc>
        <w:tc>
          <w:tcPr>
            <w:tcW w:w="156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含水率</w:t>
            </w:r>
          </w:p>
        </w:tc>
        <w:tc>
          <w:tcPr>
            <w:tcW w:w="167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ISO 8130-7</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≤0.</w:t>
            </w:r>
            <w:r>
              <w:rPr>
                <w:rFonts w:hint="eastAsia" w:ascii="Times New Roman" w:hAnsi="Times New Roman" w:cs="Times New Roman"/>
                <w:color w:val="000000" w:themeColor="text1"/>
                <w:highlight w:val="none"/>
                <w:lang w:val="en-US" w:eastAsia="zh-CN"/>
                <w14:textFill>
                  <w14:solidFill>
                    <w14:schemeClr w14:val="tx1"/>
                  </w14:solidFill>
                </w14:textFill>
              </w:rPr>
              <w:t>0</w:t>
            </w:r>
            <w:r>
              <w:rPr>
                <w:rFonts w:hint="eastAsia" w:ascii="Times New Roman" w:hAnsi="Times New Roman" w:cs="Times New Roman"/>
                <w:color w:val="000000" w:themeColor="text1"/>
                <w:highlight w:val="none"/>
                <w:lang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粒径</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99%低于300μm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w:t>
            </w:r>
          </w:p>
        </w:tc>
        <w:tc>
          <w:tcPr>
            <w:tcW w:w="156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操作温度</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700℃-1500℃</w:t>
            </w:r>
          </w:p>
        </w:tc>
      </w:tr>
    </w:tbl>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eastAsia" w:ascii="微软雅黑" w:hAnsi="微软雅黑" w:eastAsia="微软雅黑"/>
          <w:lang w:val="en-US" w:eastAsia="zh-CN"/>
        </w:rPr>
      </w:pPr>
      <w:r>
        <w:rPr>
          <w:rFonts w:hint="eastAsia" w:ascii="微软雅黑" w:hAnsi="微软雅黑" w:eastAsia="微软雅黑"/>
          <w:lang w:eastAsia="zh-CN"/>
        </w:rPr>
        <w:t>★</w:t>
      </w:r>
      <w:r>
        <w:rPr>
          <w:rFonts w:hint="eastAsia" w:ascii="微软雅黑" w:hAnsi="微软雅黑" w:eastAsia="微软雅黑"/>
          <w:lang w:val="en-US" w:eastAsia="zh-CN"/>
        </w:rPr>
        <w:t>同时提供原材料DMTA谱图（频率1赫兹，-40℃~140℃，加热速率3℃/min）。</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eastAsia" w:ascii="微软雅黑" w:hAnsi="微软雅黑" w:eastAsia="微软雅黑"/>
          <w:lang w:val="en-US" w:eastAsia="zh-CN"/>
        </w:rPr>
      </w:pPr>
      <w:r>
        <w:rPr>
          <w:rFonts w:hint="eastAsia" w:ascii="微软雅黑" w:hAnsi="微软雅黑" w:eastAsia="微软雅黑"/>
          <w:lang w:val="en-US" w:eastAsia="zh-CN"/>
        </w:rPr>
        <w:t>原材料在3mm标准厚度下沉积率不低于0.35m2/kg。</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eastAsia" w:ascii="微软雅黑" w:hAnsi="微软雅黑" w:eastAsia="微软雅黑"/>
          <w:lang w:val="en-US" w:eastAsia="zh-CN"/>
        </w:rPr>
        <w:t>材料经700~1500℃丙烷火焰喷涂施工，与FBE涂层熔结后性能指标满足表2。</w:t>
      </w:r>
    </w:p>
    <w:p>
      <w:pPr>
        <w:numPr>
          <w:ilvl w:val="0"/>
          <w:numId w:val="0"/>
        </w:numPr>
        <w:jc w:val="center"/>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eastAsia="zh-CN"/>
        </w:rPr>
        <w:t>表</w:t>
      </w:r>
      <w:r>
        <w:rPr>
          <w:rFonts w:hint="eastAsia" w:ascii="微软雅黑" w:hAnsi="微软雅黑" w:eastAsia="微软雅黑" w:cs="微软雅黑"/>
          <w:highlight w:val="none"/>
          <w:lang w:val="en-US" w:eastAsia="zh-CN"/>
        </w:rPr>
        <w:t>2 涂层性能指标</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3"/>
        <w:gridCol w:w="2481"/>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序号</w:t>
            </w:r>
          </w:p>
        </w:tc>
        <w:tc>
          <w:tcPr>
            <w:tcW w:w="17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检验项目</w:t>
            </w:r>
          </w:p>
        </w:tc>
        <w:tc>
          <w:tcPr>
            <w:tcW w:w="1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试验方法</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w:t>
            </w:r>
          </w:p>
        </w:tc>
        <w:tc>
          <w:tcPr>
            <w:tcW w:w="17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★邵氏硬度</w:t>
            </w:r>
          </w:p>
        </w:tc>
        <w:tc>
          <w:tcPr>
            <w:tcW w:w="1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ISO 868</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≥55 Shore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p>
        </w:tc>
        <w:tc>
          <w:tcPr>
            <w:tcW w:w="178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★剥离强度</w:t>
            </w:r>
          </w:p>
        </w:tc>
        <w:tc>
          <w:tcPr>
            <w:tcW w:w="145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ISO 21809-3</w:t>
            </w:r>
          </w:p>
        </w:tc>
        <w:tc>
          <w:tcPr>
            <w:tcW w:w="132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≥4N/mm@90℃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≥10N/mm@23℃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压痕硬度</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DIN 30 678/ISO 21809-3</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≤0.1 mm@23℃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≤1mm@90℃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4</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★氧化诱导期</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ASTM D3895</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＞30min@220℃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弯曲模量</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ASTM D790</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＞500MPa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6</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体积电阻率</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ASTM D257</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＞1014Ω·cm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7</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★耐紫外断裂伸长变化率</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ISO 21809-1</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8</w:t>
            </w:r>
          </w:p>
        </w:tc>
        <w:tc>
          <w:tcPr>
            <w:tcW w:w="178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★耐紫外熔体流动变化率</w:t>
            </w:r>
          </w:p>
        </w:tc>
        <w:tc>
          <w:tcPr>
            <w:tcW w:w="145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ISO 21809-1</w:t>
            </w:r>
          </w:p>
        </w:tc>
        <w:tc>
          <w:tcPr>
            <w:tcW w:w="1320"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9</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★耐环应力开裂</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ASTM D-1963</w:t>
            </w:r>
          </w:p>
        </w:tc>
        <w:tc>
          <w:tcPr>
            <w:tcW w:w="0" w:type="auto"/>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&gt;1000h</w:t>
            </w:r>
          </w:p>
        </w:tc>
      </w:tr>
    </w:tbl>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default"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五</w:t>
      </w:r>
      <w:r>
        <w:rPr>
          <w:rFonts w:hint="default" w:ascii="微软雅黑" w:hAnsi="微软雅黑" w:eastAsia="微软雅黑" w:cs="Times New Roman"/>
          <w:bCs/>
          <w:color w:val="auto"/>
          <w:sz w:val="28"/>
          <w:szCs w:val="28"/>
          <w:lang w:val="en-US" w:eastAsia="zh-CN"/>
        </w:rPr>
        <w:t>、标识、包装、运输和存储</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以下为部分引用采购标准《管道外防腐用聚丙烯专用颗粒料》CGBZ156-2022（JT）：</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1. 产品标识</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交货时，所有产品的包装都应完好无损，在其外包装上至少应清楚地标明下列内容：生产厂名、产品名称、材料质量、产品型号、批号、产地、贮存温度、生产日期、有效期。</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卖方应对产品批号进行严格的可追溯性管理，不同生产批或生产日期应有不同的批号或标识码，上述可追溯性标识码应在材料外包装、纸质报告等资料中体现。</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2. 产品包装</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采用密封包装，避免产品受潮、污染及老化。</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3. 产品运输</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不限定运输方式，运输过程中应加以苫盖保护，避免产品受到外界环境的老化、污染及破坏等影响。货物堆放底层放置木质托盘，便于材料的装卸。</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4. 产品存储</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产品存储应符合卖方推荐的储存要求，避免受外界环境的老化、污染及破坏等影响。</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default"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六、</w:t>
      </w:r>
      <w:r>
        <w:rPr>
          <w:rFonts w:hint="default" w:ascii="微软雅黑" w:hAnsi="微软雅黑" w:eastAsia="微软雅黑" w:cs="Times New Roman"/>
          <w:bCs/>
          <w:color w:val="auto"/>
          <w:sz w:val="28"/>
          <w:szCs w:val="28"/>
          <w:lang w:val="en-US" w:eastAsia="zh-CN"/>
        </w:rPr>
        <w:t>技术文件</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bookmarkStart w:id="4" w:name="_Toc28848"/>
      <w:bookmarkStart w:id="5" w:name="_Toc24032"/>
      <w:r>
        <w:rPr>
          <w:rFonts w:hint="default" w:ascii="微软雅黑" w:hAnsi="微软雅黑" w:eastAsia="微软雅黑"/>
          <w:lang w:val="en-US" w:eastAsia="zh-CN"/>
        </w:rPr>
        <w:t>以下为部分引用采购标准《管道外防腐用聚丙烯专用颗粒料》CGBZ156-2022（JT）：</w:t>
      </w:r>
    </w:p>
    <w:bookmarkEnd w:id="4"/>
    <w:bookmarkEnd w:id="5"/>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bookmarkStart w:id="6" w:name="_Toc13548"/>
      <w:bookmarkStart w:id="7" w:name="_Toc2294"/>
      <w:r>
        <w:rPr>
          <w:rFonts w:hint="default" w:ascii="微软雅黑" w:hAnsi="微软雅黑" w:eastAsia="微软雅黑"/>
          <w:lang w:val="en-US" w:eastAsia="zh-CN"/>
        </w:rPr>
        <w:t>交付技术文件</w:t>
      </w:r>
      <w:bookmarkEnd w:id="6"/>
      <w:bookmarkEnd w:id="7"/>
      <w:r>
        <w:rPr>
          <w:rFonts w:hint="eastAsia" w:ascii="微软雅黑" w:hAnsi="微软雅黑" w:eastAsia="微软雅黑"/>
          <w:lang w:val="en-US" w:eastAsia="zh-CN"/>
        </w:rPr>
        <w:t>：</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eastAsia" w:ascii="微软雅黑" w:hAnsi="微软雅黑" w:eastAsia="微软雅黑"/>
          <w:lang w:val="en-US" w:eastAsia="zh-CN"/>
        </w:rPr>
        <w:t>合同签署后</w:t>
      </w:r>
      <w:r>
        <w:rPr>
          <w:rFonts w:hint="default" w:ascii="微软雅黑" w:hAnsi="微软雅黑" w:eastAsia="微软雅黑"/>
          <w:lang w:val="en-US" w:eastAsia="zh-CN"/>
        </w:rPr>
        <w:t>，</w:t>
      </w:r>
      <w:r>
        <w:rPr>
          <w:rFonts w:hint="eastAsia" w:ascii="微软雅黑" w:hAnsi="微软雅黑" w:eastAsia="微软雅黑"/>
          <w:lang w:val="en-US" w:eastAsia="zh-CN"/>
        </w:rPr>
        <w:t>供货时，卖方需提供</w:t>
      </w:r>
      <w:r>
        <w:rPr>
          <w:rFonts w:hint="default" w:ascii="微软雅黑" w:hAnsi="微软雅黑" w:eastAsia="微软雅黑"/>
          <w:lang w:val="en-US" w:eastAsia="zh-CN"/>
        </w:rPr>
        <w:t>下列文件：</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1）产品使用说明书；</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2）质量证明书；</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自检报告必须注明产品名称、规格型号、批号、生产厂名、产地等信息，且与实际供货信息一致。第三方报告中批号可以与实际供货不一致，但其他信息必须一致。</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default"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七</w:t>
      </w:r>
      <w:r>
        <w:rPr>
          <w:rFonts w:hint="default" w:ascii="微软雅黑" w:hAnsi="微软雅黑" w:eastAsia="微软雅黑" w:cs="Times New Roman"/>
          <w:bCs/>
          <w:color w:val="auto"/>
          <w:sz w:val="28"/>
          <w:szCs w:val="28"/>
          <w:lang w:val="en-US" w:eastAsia="zh-CN"/>
        </w:rPr>
        <w:t>、工作进度、监造和现场验收</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交货前至少两周通知买方，由买方派代表到卖方进行验收。检查产品加工过程中质量记录、产品性能检验报告、抽检测试等有关情况。并由买方指定代表、监理、买方签字确认。</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卖方应负责所提供产品在防腐生产线涂敷预制中技术指导。技术服务的费用应由卖方承担。当产品出现不能满足本技术规格书要求时，卖方应按照买方要求查找原因，</w:t>
      </w:r>
      <w:r>
        <w:rPr>
          <w:rFonts w:hint="eastAsia" w:ascii="微软雅黑" w:hAnsi="微软雅黑" w:eastAsia="微软雅黑"/>
          <w:lang w:val="en-US" w:eastAsia="zh-CN"/>
        </w:rPr>
        <w:t>直到产品满足技术要求为止</w:t>
      </w:r>
      <w:r>
        <w:rPr>
          <w:rFonts w:hint="default" w:ascii="微软雅黑" w:hAnsi="微软雅黑" w:eastAsia="微软雅黑"/>
          <w:lang w:val="en-US" w:eastAsia="zh-CN"/>
        </w:rPr>
        <w:t>。</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default"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八、</w:t>
      </w:r>
      <w:r>
        <w:rPr>
          <w:rFonts w:hint="default" w:ascii="微软雅黑" w:hAnsi="微软雅黑" w:eastAsia="微软雅黑" w:cs="Times New Roman"/>
          <w:bCs/>
          <w:color w:val="auto"/>
          <w:sz w:val="28"/>
          <w:szCs w:val="28"/>
          <w:lang w:val="en-US" w:eastAsia="zh-CN"/>
        </w:rPr>
        <w:t>技术服务与售后服务</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以下为部分引用采购标准《管道外防腐用聚丙烯专用颗粒料》CGBZ156-2022（JT）：</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根据买方要求，卖方应负责派有资质的或经过培训后的服务工程师在工艺评定阶段到现场进行工艺技术指导。</w:t>
      </w:r>
    </w:p>
    <w:p>
      <w:pPr>
        <w:pStyle w:val="56"/>
        <w:keepNext w:val="0"/>
        <w:keepLines w:val="0"/>
        <w:pageBreakBefore w:val="0"/>
        <w:widowControl w:val="0"/>
        <w:kinsoku/>
        <w:wordWrap/>
        <w:overflowPunct/>
        <w:topLinePunct w:val="0"/>
        <w:autoSpaceDE w:val="0"/>
        <w:autoSpaceDN w:val="0"/>
        <w:bidi w:val="0"/>
        <w:adjustRightInd w:val="0"/>
        <w:snapToGrid/>
        <w:textAlignment w:val="auto"/>
        <w:outlineLvl w:val="0"/>
        <w:rPr>
          <w:rFonts w:hint="default" w:ascii="微软雅黑" w:hAnsi="微软雅黑" w:eastAsia="微软雅黑" w:cs="Times New Roman"/>
          <w:bCs/>
          <w:color w:val="auto"/>
          <w:sz w:val="28"/>
          <w:szCs w:val="28"/>
          <w:lang w:val="en-US" w:eastAsia="zh-CN"/>
        </w:rPr>
      </w:pPr>
      <w:r>
        <w:rPr>
          <w:rFonts w:hint="eastAsia" w:ascii="微软雅黑" w:hAnsi="微软雅黑" w:eastAsia="微软雅黑" w:cs="Times New Roman"/>
          <w:bCs/>
          <w:color w:val="auto"/>
          <w:sz w:val="28"/>
          <w:szCs w:val="28"/>
          <w:lang w:val="en-US" w:eastAsia="zh-CN"/>
        </w:rPr>
        <w:t>九</w:t>
      </w:r>
      <w:r>
        <w:rPr>
          <w:rFonts w:hint="default" w:ascii="微软雅黑" w:hAnsi="微软雅黑" w:eastAsia="微软雅黑" w:cs="Times New Roman"/>
          <w:bCs/>
          <w:color w:val="auto"/>
          <w:sz w:val="28"/>
          <w:szCs w:val="28"/>
          <w:lang w:val="en-US" w:eastAsia="zh-CN"/>
        </w:rPr>
        <w:t>、质量保证</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1）质保期要求：对每批货物，卖方交付产品并经双方签署送货单后12个月。</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2）卖方应提供完整的检验与试验程序，包括整机的性能及各种操作功能的测试及具体时间安排，并提前提交给买方确认后方可执行。</w:t>
      </w:r>
    </w:p>
    <w:p>
      <w:pPr>
        <w:pStyle w:val="8"/>
        <w:keepNext w:val="0"/>
        <w:keepLines w:val="0"/>
        <w:pageBreakBefore w:val="0"/>
        <w:widowControl w:val="0"/>
        <w:kinsoku/>
        <w:wordWrap/>
        <w:overflowPunct/>
        <w:topLinePunct w:val="0"/>
        <w:autoSpaceDE/>
        <w:autoSpaceDN/>
        <w:bidi w:val="0"/>
        <w:adjustRightInd/>
        <w:snapToGrid/>
        <w:spacing w:before="0" w:line="240" w:lineRule="auto"/>
        <w:ind w:left="0" w:right="0" w:firstLine="420" w:firstLineChars="200"/>
        <w:textAlignment w:val="auto"/>
        <w:rPr>
          <w:rFonts w:hint="default" w:ascii="微软雅黑" w:hAnsi="微软雅黑" w:eastAsia="微软雅黑"/>
          <w:lang w:val="en-US" w:eastAsia="zh-CN"/>
        </w:rPr>
      </w:pPr>
      <w:r>
        <w:rPr>
          <w:rFonts w:hint="default" w:ascii="微软雅黑" w:hAnsi="微软雅黑" w:eastAsia="微软雅黑"/>
          <w:lang w:val="en-US" w:eastAsia="zh-CN"/>
        </w:rPr>
        <w:t>3）卖方应确保产品制造使用的材料和制作工艺符合国家标准，并在产品交付时提供产品质量保证文件。</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autoSpaceDE w:val="0"/>
        <w:autoSpaceDN w:val="0"/>
        <w:adjustRightInd w:val="0"/>
        <w:spacing w:line="360" w:lineRule="auto"/>
        <w:jc w:val="center"/>
        <w:textAlignment w:val="baseline"/>
        <w:rPr>
          <w:rFonts w:ascii="宋体" w:hAnsi="宋体" w:cs="Times New Roman"/>
          <w:b/>
          <w:bCs/>
          <w:color w:val="auto"/>
          <w:sz w:val="52"/>
          <w:szCs w:val="52"/>
          <w:highlight w:val="none"/>
        </w:rPr>
      </w:pPr>
      <w:r>
        <w:rPr>
          <w:rFonts w:ascii="宋体" w:hAnsi="宋体"/>
          <w:highlight w:val="none"/>
        </w:rPr>
        <w:object>
          <v:shape id="_x0000_i1025" o:spt="75" type="#_x0000_t75" style="height:64.4pt;width:72pt;" o:ole="t" fillcolor="#6D6D6D" filled="f" o:preferrelative="t" stroked="f" coordsize="21600,21600">
            <v:path/>
            <v:fill on="f" focussize="0,0"/>
            <v:stroke on="f"/>
            <v:imagedata r:id="rId8" cropleft="-2204f" croptop="-1811f" cropright="-2204f" cropbottom="-1811f" o:title=""/>
            <o:lock v:ext="edit" aspectratio="t"/>
            <w10:wrap type="none"/>
            <w10:anchorlock/>
          </v:shape>
          <o:OLEObject Type="Embed" ProgID="MSDraw" ShapeID="_x0000_i1025" DrawAspect="Content" ObjectID="_1468075725" r:id="rId7">
            <o:LockedField>false</o:LockedField>
          </o:OLEObject>
        </w:object>
      </w:r>
      <w:bookmarkStart w:id="8" w:name="OLE_LINK23"/>
      <w:bookmarkStart w:id="9" w:name="OLE_LINK24"/>
    </w:p>
    <w:bookmarkEnd w:id="8"/>
    <w:bookmarkEnd w:id="9"/>
    <w:p>
      <w:pPr>
        <w:autoSpaceDE w:val="0"/>
        <w:autoSpaceDN w:val="0"/>
        <w:adjustRightInd w:val="0"/>
        <w:spacing w:before="72" w:beforeLines="30" w:after="72" w:afterLines="30"/>
        <w:jc w:val="center"/>
        <w:textAlignment w:val="baseline"/>
        <w:rPr>
          <w:b/>
          <w:bCs/>
          <w:sz w:val="44"/>
          <w:szCs w:val="44"/>
        </w:rPr>
      </w:pPr>
    </w:p>
    <w:p>
      <w:pPr>
        <w:tabs>
          <w:tab w:val="left" w:pos="1418"/>
        </w:tabs>
        <w:spacing w:before="72" w:beforeLines="30" w:after="72" w:afterLines="30"/>
        <w:jc w:val="center"/>
        <w:rPr>
          <w:sz w:val="28"/>
          <w:szCs w:val="28"/>
        </w:rPr>
      </w:pPr>
      <w:r>
        <w:rPr>
          <w:rFonts w:hint="eastAsia"/>
          <w:b/>
          <w:bCs/>
          <w:sz w:val="52"/>
          <w:szCs w:val="52"/>
          <w:lang w:val="en-US" w:eastAsia="zh-CN"/>
        </w:rPr>
        <w:t>XXXX采购</w:t>
      </w:r>
      <w:r>
        <w:rPr>
          <w:rFonts w:hint="eastAsia"/>
          <w:b/>
          <w:bCs/>
          <w:sz w:val="52"/>
          <w:szCs w:val="52"/>
        </w:rPr>
        <w:t>合同</w:t>
      </w:r>
    </w:p>
    <w:p>
      <w:pPr>
        <w:tabs>
          <w:tab w:val="left" w:pos="1418"/>
        </w:tabs>
        <w:spacing w:before="72" w:beforeLines="30" w:after="72" w:afterLines="30"/>
      </w:pPr>
    </w:p>
    <w:p>
      <w:pPr>
        <w:tabs>
          <w:tab w:val="left" w:pos="1418"/>
        </w:tabs>
        <w:spacing w:before="72" w:beforeLines="30" w:after="72" w:afterLines="30"/>
        <w:ind w:firstLine="420" w:firstLineChars="200"/>
        <w:jc w:val="center"/>
        <w:rPr>
          <w:rFonts w:hint="eastAsia" w:eastAsia="宋体"/>
          <w:lang w:val="en-US" w:eastAsia="zh-CN"/>
        </w:rPr>
      </w:pPr>
      <w:r>
        <w:rPr>
          <w:rFonts w:hint="eastAsia"/>
        </w:rPr>
        <w:t xml:space="preserve"> 合同编号：</w:t>
      </w:r>
    </w:p>
    <w:p>
      <w:pPr>
        <w:widowControl/>
        <w:adjustRightInd w:val="0"/>
        <w:snapToGrid w:val="0"/>
        <w:spacing w:line="360" w:lineRule="auto"/>
        <w:jc w:val="center"/>
        <w:rPr>
          <w:b/>
          <w:bCs/>
          <w:sz w:val="21"/>
          <w:szCs w:val="21"/>
        </w:rPr>
      </w:pPr>
    </w:p>
    <w:p>
      <w:pPr>
        <w:widowControl/>
        <w:adjustRightInd w:val="0"/>
        <w:snapToGrid w:val="0"/>
        <w:spacing w:line="360" w:lineRule="auto"/>
        <w:jc w:val="center"/>
        <w:rPr>
          <w:b/>
          <w:bCs/>
          <w:sz w:val="21"/>
          <w:szCs w:val="21"/>
        </w:rPr>
      </w:pPr>
    </w:p>
    <w:p>
      <w:pPr>
        <w:widowControl/>
        <w:adjustRightInd w:val="0"/>
        <w:snapToGrid w:val="0"/>
        <w:spacing w:line="360" w:lineRule="auto"/>
        <w:jc w:val="center"/>
        <w:rPr>
          <w:b/>
          <w:bCs/>
          <w:sz w:val="21"/>
          <w:szCs w:val="21"/>
        </w:rPr>
      </w:pPr>
    </w:p>
    <w:p>
      <w:pPr>
        <w:widowControl/>
        <w:adjustRightInd w:val="0"/>
        <w:snapToGrid w:val="0"/>
        <w:spacing w:line="360" w:lineRule="auto"/>
        <w:jc w:val="center"/>
        <w:rPr>
          <w:b/>
          <w:bCs/>
          <w:sz w:val="21"/>
          <w:szCs w:val="21"/>
        </w:rPr>
      </w:pPr>
    </w:p>
    <w:p>
      <w:pPr>
        <w:spacing w:before="72" w:beforeLines="30" w:after="72" w:afterLines="30"/>
        <w:rPr>
          <w:sz w:val="24"/>
        </w:rPr>
      </w:pPr>
    </w:p>
    <w:p>
      <w:pPr>
        <w:spacing w:before="72" w:beforeLines="30" w:after="72" w:afterLines="30"/>
        <w:rPr>
          <w:sz w:val="24"/>
        </w:rPr>
      </w:pPr>
    </w:p>
    <w:p>
      <w:pPr>
        <w:spacing w:before="72" w:beforeLines="30" w:after="72" w:afterLines="30"/>
        <w:rPr>
          <w:sz w:val="24"/>
        </w:rPr>
      </w:pPr>
    </w:p>
    <w:p>
      <w:pPr>
        <w:spacing w:before="72" w:beforeLines="30" w:after="72" w:afterLines="30"/>
        <w:ind w:firstLine="1928" w:firstLineChars="800"/>
        <w:jc w:val="both"/>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买  方：</w:t>
      </w:r>
      <w:r>
        <w:rPr>
          <w:rFonts w:hint="eastAsia"/>
          <w:b/>
          <w:sz w:val="24"/>
          <w:highlight w:val="none"/>
        </w:rPr>
        <w:t>海油发展珠海管道工程有限公司</w:t>
      </w:r>
    </w:p>
    <w:p>
      <w:pPr>
        <w:spacing w:before="72" w:beforeLines="30" w:after="72" w:afterLines="30"/>
        <w:ind w:firstLine="1928" w:firstLineChars="800"/>
        <w:jc w:val="both"/>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卖  方：</w:t>
      </w:r>
      <w:r>
        <w:rPr>
          <w:rFonts w:hint="eastAsia" w:cs="Times New Roman"/>
          <w:b/>
          <w:bCs/>
          <w:kern w:val="2"/>
          <w:sz w:val="24"/>
          <w:szCs w:val="24"/>
          <w:highlight w:val="none"/>
          <w:lang w:val="en-US" w:eastAsia="zh-CN" w:bidi="ar-SA"/>
        </w:rPr>
        <w:t xml:space="preserve"> </w:t>
      </w: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p>
    <w:p>
      <w:pPr>
        <w:spacing w:before="72" w:beforeLines="30" w:after="72" w:afterLines="30"/>
        <w:jc w:val="center"/>
        <w:rPr>
          <w:rFonts w:hint="default"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签订日期：2025年3月   日</w:t>
      </w: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br w:type="textWrapping"/>
      </w:r>
    </w:p>
    <w:p>
      <w:pPr>
        <w:spacing w:before="72" w:beforeLines="30" w:after="72" w:afterLines="30"/>
        <w:rPr>
          <w:rFonts w:hint="eastAsia" w:ascii="Times New Roman" w:hAnsi="Times New Roman" w:eastAsia="宋体" w:cs="Times New Roman"/>
          <w:kern w:val="2"/>
          <w:sz w:val="24"/>
          <w:szCs w:val="24"/>
          <w:highlight w:val="none"/>
          <w:lang w:val="en-US" w:eastAsia="zh-CN" w:bidi="ar-SA"/>
        </w:rPr>
      </w:pPr>
    </w:p>
    <w:p>
      <w:pPr>
        <w:rPr>
          <w:rFonts w:hint="eastAsia" w:hAnsi="宋体"/>
          <w:b/>
          <w:bCs/>
          <w:sz w:val="32"/>
          <w:szCs w:val="32"/>
        </w:rPr>
      </w:pPr>
      <w:r>
        <w:rPr>
          <w:rFonts w:hint="eastAsia" w:hAnsi="宋体"/>
          <w:b/>
          <w:bCs/>
          <w:sz w:val="32"/>
          <w:szCs w:val="32"/>
        </w:rPr>
        <w:br w:type="page"/>
      </w:r>
    </w:p>
    <w:p>
      <w:pPr>
        <w:spacing w:after="100" w:afterAutospacing="1"/>
        <w:jc w:val="center"/>
        <w:rPr>
          <w:rFonts w:hint="default" w:hAnsi="宋体"/>
          <w:bCs/>
          <w:szCs w:val="21"/>
          <w:highlight w:val="none"/>
          <w:lang w:val="en-US" w:eastAsia="zh-CN"/>
        </w:rPr>
      </w:pPr>
      <w:r>
        <w:rPr>
          <w:rFonts w:hint="eastAsia" w:hAnsi="宋体"/>
          <w:b/>
          <w:bCs/>
          <w:sz w:val="32"/>
          <w:szCs w:val="32"/>
          <w:lang w:val="en-US" w:eastAsia="zh-CN"/>
        </w:rPr>
        <w:t>XXXX</w:t>
      </w:r>
      <w:r>
        <w:rPr>
          <w:rFonts w:hint="eastAsia" w:hAnsi="宋体"/>
          <w:b/>
          <w:bCs/>
          <w:sz w:val="32"/>
          <w:szCs w:val="32"/>
        </w:rPr>
        <w:t xml:space="preserve">采购合同                           </w:t>
      </w:r>
      <w:r>
        <w:rPr>
          <w:rFonts w:hint="eastAsia" w:hAnsi="宋体"/>
          <w:bCs/>
          <w:sz w:val="24"/>
        </w:rPr>
        <w:t xml:space="preserve">                             </w:t>
      </w:r>
      <w:r>
        <w:rPr>
          <w:rFonts w:hint="eastAsia" w:hAnsi="宋体"/>
          <w:bCs/>
          <w:sz w:val="24"/>
          <w:highlight w:val="none"/>
        </w:rPr>
        <w:t xml:space="preserve">   </w:t>
      </w:r>
      <w:r>
        <w:rPr>
          <w:rFonts w:hint="eastAsia" w:hAnsi="宋体"/>
          <w:bCs/>
          <w:sz w:val="24"/>
          <w:highlight w:val="none"/>
          <w:lang w:val="en-US" w:eastAsia="zh-CN"/>
        </w:rPr>
        <w:t xml:space="preserve">                        </w:t>
      </w:r>
      <w:r>
        <w:rPr>
          <w:rFonts w:hint="eastAsia" w:hAnsi="宋体"/>
          <w:bCs/>
          <w:szCs w:val="21"/>
          <w:highlight w:val="none"/>
        </w:rPr>
        <w:t>合同编号：</w:t>
      </w:r>
    </w:p>
    <w:p>
      <w:pPr>
        <w:pStyle w:val="17"/>
        <w:tabs>
          <w:tab w:val="right" w:leader="dot" w:pos="8608"/>
        </w:tabs>
        <w:spacing w:before="72" w:beforeLines="30" w:after="72" w:afterLines="30"/>
        <w:rPr>
          <w:sz w:val="24"/>
          <w:highlight w:val="none"/>
        </w:rPr>
      </w:pPr>
      <w:r>
        <w:rPr>
          <w:rFonts w:hint="eastAsia"/>
          <w:sz w:val="24"/>
        </w:rPr>
        <w:t>本货物买卖合同（以</w:t>
      </w:r>
      <w:r>
        <w:rPr>
          <w:rFonts w:hint="eastAsia"/>
          <w:sz w:val="24"/>
          <w:highlight w:val="none"/>
        </w:rPr>
        <w:t>下称“合同”或“本合同”）由以下双方于【</w:t>
      </w:r>
      <w:r>
        <w:rPr>
          <w:rFonts w:hint="eastAsia"/>
          <w:i w:val="0"/>
          <w:iCs/>
          <w:sz w:val="24"/>
          <w:highlight w:val="none"/>
          <w:lang w:val="en-US" w:eastAsia="zh-CN"/>
        </w:rPr>
        <w:t>2025年</w:t>
      </w:r>
      <w:r>
        <w:rPr>
          <w:rFonts w:hint="eastAsia"/>
          <w:i w:val="0"/>
          <w:iCs/>
          <w:sz w:val="24"/>
          <w:highlight w:val="none"/>
          <w:u w:val="single"/>
          <w:lang w:val="en-US" w:eastAsia="zh-CN"/>
        </w:rPr>
        <w:t xml:space="preserve"> xx</w:t>
      </w:r>
      <w:r>
        <w:rPr>
          <w:rFonts w:hint="eastAsia"/>
          <w:i w:val="0"/>
          <w:iCs/>
          <w:sz w:val="24"/>
          <w:highlight w:val="none"/>
          <w:lang w:val="en-US" w:eastAsia="zh-CN"/>
        </w:rPr>
        <w:t>月</w:t>
      </w:r>
      <w:r>
        <w:rPr>
          <w:rFonts w:hint="eastAsia"/>
          <w:sz w:val="24"/>
          <w:highlight w:val="none"/>
        </w:rPr>
        <w:t>】在【</w:t>
      </w:r>
      <w:r>
        <w:rPr>
          <w:rFonts w:hint="eastAsia"/>
          <w:i w:val="0"/>
          <w:iCs/>
          <w:sz w:val="24"/>
          <w:highlight w:val="none"/>
          <w:lang w:val="en-US" w:eastAsia="zh-CN"/>
        </w:rPr>
        <w:t>天津</w:t>
      </w:r>
      <w:r>
        <w:rPr>
          <w:rFonts w:hint="eastAsia"/>
          <w:sz w:val="24"/>
          <w:highlight w:val="none"/>
        </w:rPr>
        <w:t>】签署。</w:t>
      </w:r>
    </w:p>
    <w:p>
      <w:pPr>
        <w:pStyle w:val="22"/>
        <w:ind w:left="0" w:leftChars="0" w:firstLine="482" w:firstLineChars="200"/>
        <w:rPr>
          <w:rFonts w:hint="eastAsia"/>
          <w:b/>
          <w:sz w:val="24"/>
          <w:highlight w:val="none"/>
        </w:rPr>
      </w:pPr>
      <w:r>
        <w:rPr>
          <w:rFonts w:hint="eastAsia"/>
          <w:b/>
          <w:sz w:val="24"/>
          <w:highlight w:val="none"/>
        </w:rPr>
        <w:t>买</w:t>
      </w:r>
      <w:r>
        <w:rPr>
          <w:rFonts w:hint="eastAsia"/>
          <w:b/>
          <w:sz w:val="24"/>
          <w:highlight w:val="none"/>
          <w:lang w:val="en-US" w:eastAsia="zh-CN"/>
        </w:rPr>
        <w:t xml:space="preserve">  </w:t>
      </w:r>
      <w:r>
        <w:rPr>
          <w:rFonts w:hint="eastAsia"/>
          <w:b/>
          <w:sz w:val="24"/>
          <w:highlight w:val="none"/>
        </w:rPr>
        <w:t>方：海油发展珠海管道工程有限公司</w:t>
      </w:r>
    </w:p>
    <w:p>
      <w:pPr>
        <w:tabs>
          <w:tab w:val="left" w:pos="3060"/>
        </w:tabs>
        <w:spacing w:before="72" w:beforeLines="30" w:after="72" w:afterLines="30" w:line="360" w:lineRule="auto"/>
        <w:ind w:firstLine="424" w:firstLineChars="177"/>
        <w:rPr>
          <w:rFonts w:hint="eastAsia"/>
          <w:b w:val="0"/>
          <w:bCs/>
          <w:sz w:val="24"/>
          <w:highlight w:val="none"/>
        </w:rPr>
      </w:pPr>
      <w:r>
        <w:rPr>
          <w:rFonts w:hint="eastAsia"/>
          <w:b w:val="0"/>
          <w:bCs/>
          <w:sz w:val="24"/>
          <w:highlight w:val="none"/>
        </w:rPr>
        <w:t>注册地址：</w:t>
      </w:r>
    </w:p>
    <w:p>
      <w:pPr>
        <w:tabs>
          <w:tab w:val="left" w:pos="3060"/>
        </w:tabs>
        <w:spacing w:before="72" w:beforeLines="30" w:after="72" w:afterLines="30" w:line="360" w:lineRule="auto"/>
        <w:ind w:firstLine="426" w:firstLineChars="177"/>
        <w:rPr>
          <w:rFonts w:hint="eastAsia" w:eastAsia="宋体"/>
          <w:sz w:val="24"/>
          <w:highlight w:val="none"/>
          <w:lang w:eastAsia="zh-CN"/>
        </w:rPr>
      </w:pPr>
      <w:r>
        <w:rPr>
          <w:rFonts w:hint="eastAsia"/>
          <w:b/>
          <w:sz w:val="24"/>
          <w:highlight w:val="none"/>
        </w:rPr>
        <w:t>卖</w:t>
      </w:r>
      <w:r>
        <w:rPr>
          <w:b/>
          <w:sz w:val="24"/>
          <w:highlight w:val="none"/>
        </w:rPr>
        <w:t xml:space="preserve">  </w:t>
      </w:r>
      <w:r>
        <w:rPr>
          <w:rFonts w:hint="eastAsia"/>
          <w:b/>
          <w:sz w:val="24"/>
          <w:highlight w:val="none"/>
        </w:rPr>
        <w:t>方：</w:t>
      </w:r>
      <w:r>
        <w:rPr>
          <w:rFonts w:hint="eastAsia"/>
          <w:b/>
          <w:sz w:val="24"/>
          <w:highlight w:val="none"/>
          <w:lang w:eastAsia="zh-CN"/>
        </w:rPr>
        <w:t xml:space="preserve"> </w:t>
      </w:r>
    </w:p>
    <w:p>
      <w:pPr>
        <w:tabs>
          <w:tab w:val="left" w:pos="3060"/>
        </w:tabs>
        <w:spacing w:before="72" w:beforeLines="30" w:after="72" w:afterLines="30" w:line="360" w:lineRule="auto"/>
        <w:ind w:firstLine="422" w:firstLineChars="176"/>
        <w:rPr>
          <w:rFonts w:hint="eastAsia" w:eastAsia="宋体"/>
          <w:b w:val="0"/>
          <w:bCs w:val="0"/>
          <w:sz w:val="24"/>
          <w:highlight w:val="none"/>
          <w:u w:val="single"/>
          <w:lang w:val="en-US" w:eastAsia="zh-CN"/>
        </w:rPr>
      </w:pPr>
      <w:r>
        <w:rPr>
          <w:rFonts w:hint="eastAsia"/>
          <w:b w:val="0"/>
          <w:bCs w:val="0"/>
          <w:sz w:val="24"/>
          <w:highlight w:val="none"/>
        </w:rPr>
        <w:t>注册地址：</w:t>
      </w:r>
    </w:p>
    <w:p>
      <w:pPr>
        <w:pStyle w:val="17"/>
        <w:tabs>
          <w:tab w:val="right" w:leader="dot" w:pos="8608"/>
        </w:tabs>
        <w:spacing w:before="72" w:beforeLines="30" w:after="72" w:afterLines="30"/>
        <w:rPr>
          <w:sz w:val="24"/>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sz w:val="24"/>
          <w:highlight w:val="none"/>
          <w:lang w:val="en-US" w:eastAsia="zh-CN"/>
        </w:rPr>
        <w:t>XXXX采购合同</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w:t>
      </w:r>
      <w:r>
        <w:rPr>
          <w:rFonts w:hint="eastAsia" w:hAnsi="宋体"/>
          <w:sz w:val="24"/>
        </w:rPr>
        <w:t>守。</w:t>
      </w:r>
    </w:p>
    <w:p>
      <w:pPr>
        <w:pStyle w:val="20"/>
        <w:numPr>
          <w:ilvl w:val="0"/>
          <w:numId w:val="1"/>
        </w:numPr>
        <w:spacing w:before="72" w:beforeLines="30" w:after="72" w:afterLines="30" w:line="360" w:lineRule="auto"/>
        <w:ind w:left="851" w:hanging="851"/>
        <w:jc w:val="left"/>
        <w:rPr>
          <w:sz w:val="24"/>
        </w:rPr>
      </w:pPr>
      <w:bookmarkStart w:id="10" w:name="_Toc306354308"/>
      <w:r>
        <w:rPr>
          <w:sz w:val="24"/>
          <w:szCs w:val="24"/>
        </w:rPr>
        <w:t>合同标的</w:t>
      </w:r>
      <w:bookmarkEnd w:id="10"/>
    </w:p>
    <w:p>
      <w:pPr>
        <w:numPr>
          <w:ilvl w:val="0"/>
          <w:numId w:val="2"/>
        </w:numPr>
        <w:tabs>
          <w:tab w:val="left" w:pos="567"/>
          <w:tab w:val="clear" w:pos="2278"/>
        </w:tabs>
        <w:spacing w:before="72" w:beforeLines="30" w:after="72" w:afterLines="30" w:line="360" w:lineRule="auto"/>
        <w:ind w:left="567" w:hanging="567"/>
        <w:rPr>
          <w:rFonts w:hAnsi="宋体"/>
          <w:sz w:val="24"/>
        </w:rPr>
      </w:pPr>
      <w:bookmarkStart w:id="11" w:name="OLE_LINK22"/>
      <w:bookmarkStart w:id="12" w:name="OLE_LINK15"/>
      <w:bookmarkStart w:id="13" w:name="OLE_LINK25"/>
      <w:bookmarkStart w:id="14" w:name="OLE_LINK19"/>
      <w:bookmarkStart w:id="15" w:name="OLE_LINK13"/>
      <w:bookmarkStart w:id="16" w:name="OLE_LINK14"/>
      <w:bookmarkStart w:id="17" w:name="OLE_LINK26"/>
      <w:bookmarkStart w:id="18" w:name="OLE_LINK21"/>
      <w:bookmarkStart w:id="19" w:name="OLE_LINK9"/>
      <w:bookmarkStart w:id="20" w:name="OLE_LINK10"/>
      <w:bookmarkStart w:id="21" w:name="OLE_LINK20"/>
      <w:bookmarkStart w:id="22" w:name="OLE_LINK17"/>
      <w:bookmarkStart w:id="23" w:name="OLE_LINK16"/>
      <w:bookmarkStart w:id="24" w:name="OLE_LINK18"/>
      <w:r>
        <w:rPr>
          <w:rFonts w:hint="eastAsia"/>
          <w:sz w:val="24"/>
        </w:rPr>
        <w:t>卖方向买方供应的货物的名称、数量、型号、规格</w:t>
      </w:r>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sz w:val="24"/>
        </w:rPr>
        <w:t>、单价、原产地等</w:t>
      </w:r>
      <w:r>
        <w:rPr>
          <w:rFonts w:hint="eastAsia"/>
          <w:sz w:val="24"/>
          <w:lang w:val="en-US" w:eastAsia="zh-CN"/>
        </w:rPr>
        <w:t>详见本合同附件一。</w:t>
      </w:r>
    </w:p>
    <w:p>
      <w:pPr>
        <w:numPr>
          <w:ilvl w:val="0"/>
          <w:numId w:val="2"/>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numPr>
          <w:ilvl w:val="0"/>
          <w:numId w:val="2"/>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货物</w:t>
      </w:r>
      <w:r>
        <w:rPr>
          <w:rFonts w:hAnsi="宋体"/>
          <w:sz w:val="24"/>
        </w:rPr>
        <w:t>将用于</w:t>
      </w:r>
      <w:r>
        <w:rPr>
          <w:rFonts w:hint="eastAsia" w:hAnsi="宋体"/>
          <w:sz w:val="24"/>
        </w:rPr>
        <w:t>【</w:t>
      </w:r>
      <w:r>
        <w:rPr>
          <w:rFonts w:hint="eastAsia" w:hAnsi="宋体"/>
          <w:sz w:val="24"/>
          <w:lang w:val="en-US" w:eastAsia="zh-CN"/>
        </w:rPr>
        <w:t>广州打捞局项目</w:t>
      </w:r>
      <w:r>
        <w:rPr>
          <w:rFonts w:hint="eastAsia" w:hAnsi="宋体"/>
          <w:sz w:val="24"/>
        </w:rPr>
        <w:t>】。</w:t>
      </w:r>
    </w:p>
    <w:p>
      <w:pPr>
        <w:pStyle w:val="20"/>
        <w:numPr>
          <w:ilvl w:val="0"/>
          <w:numId w:val="1"/>
        </w:numPr>
        <w:spacing w:before="72" w:beforeLines="30" w:after="72" w:afterLines="30" w:line="360" w:lineRule="auto"/>
        <w:ind w:left="851" w:hanging="851"/>
        <w:jc w:val="left"/>
        <w:rPr>
          <w:sz w:val="24"/>
          <w:szCs w:val="24"/>
        </w:rPr>
      </w:pPr>
      <w:bookmarkStart w:id="25" w:name="_Toc306354309"/>
      <w:r>
        <w:rPr>
          <w:sz w:val="24"/>
          <w:szCs w:val="24"/>
        </w:rPr>
        <w:t>合同</w:t>
      </w:r>
      <w:r>
        <w:rPr>
          <w:rFonts w:hint="eastAsia"/>
          <w:sz w:val="24"/>
          <w:szCs w:val="24"/>
        </w:rPr>
        <w:t>总价</w:t>
      </w:r>
      <w:bookmarkEnd w:id="25"/>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pPr>
      <w:r>
        <w:rPr>
          <w:rFonts w:hint="eastAsia"/>
          <w:sz w:val="24"/>
        </w:rPr>
        <w:t>双方经协商一致，最终</w:t>
      </w:r>
      <w:r>
        <w:rPr>
          <w:rFonts w:hint="eastAsia"/>
          <w:sz w:val="24"/>
          <w:highlight w:val="none"/>
        </w:rPr>
        <w:t>确定合同总价为</w:t>
      </w:r>
      <w:r>
        <w:rPr>
          <w:sz w:val="24"/>
          <w:highlight w:val="none"/>
        </w:rPr>
        <w:t>【</w:t>
      </w:r>
      <w:r>
        <w:rPr>
          <w:rFonts w:hint="eastAsia"/>
          <w:i/>
          <w:sz w:val="24"/>
          <w:highlight w:val="none"/>
        </w:rPr>
        <w:t>RMB</w:t>
      </w:r>
      <w:r>
        <w:rPr>
          <w:sz w:val="24"/>
          <w:highlight w:val="none"/>
        </w:rPr>
        <w:t>】</w:t>
      </w:r>
      <w:r>
        <w:rPr>
          <w:rFonts w:hint="eastAsia"/>
          <w:sz w:val="24"/>
          <w:highlight w:val="none"/>
        </w:rPr>
        <w:t>【</w:t>
      </w:r>
      <w:r>
        <w:rPr>
          <w:rFonts w:hint="eastAsia"/>
          <w:sz w:val="24"/>
          <w:highlight w:val="none"/>
          <w:lang w:val="en-US" w:eastAsia="zh-CN"/>
        </w:rPr>
        <w:t xml:space="preserve">     </w:t>
      </w:r>
      <w:r>
        <w:rPr>
          <w:rFonts w:hint="eastAsia"/>
          <w:sz w:val="24"/>
          <w:highlight w:val="none"/>
        </w:rPr>
        <w:t>】</w:t>
      </w:r>
      <w:r>
        <w:rPr>
          <w:sz w:val="24"/>
          <w:highlight w:val="none"/>
        </w:rPr>
        <w:t>（大写：【</w:t>
      </w:r>
      <w:r>
        <w:rPr>
          <w:rFonts w:hint="eastAsia"/>
          <w:i/>
          <w:sz w:val="24"/>
          <w:highlight w:val="none"/>
        </w:rPr>
        <w:t>人民币</w:t>
      </w:r>
      <w:r>
        <w:rPr>
          <w:sz w:val="24"/>
          <w:highlight w:val="none"/>
        </w:rPr>
        <w:t>】</w:t>
      </w:r>
      <w:r>
        <w:rPr>
          <w:rFonts w:hint="eastAsia"/>
          <w:sz w:val="24"/>
          <w:highlight w:val="none"/>
        </w:rPr>
        <w:t>【</w:t>
      </w:r>
      <w:r>
        <w:rPr>
          <w:rFonts w:hint="eastAsia"/>
          <w:sz w:val="24"/>
          <w:highlight w:val="none"/>
          <w:lang w:val="en-US" w:eastAsia="zh-CN"/>
        </w:rPr>
        <w:t xml:space="preserve">    </w:t>
      </w:r>
      <w:r>
        <w:rPr>
          <w:rFonts w:hint="eastAsia"/>
          <w:sz w:val="24"/>
          <w:highlight w:val="none"/>
        </w:rPr>
        <w:t>】）。</w:t>
      </w:r>
      <w:bookmarkStart w:id="26"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Ansi="宋体"/>
          <w:i/>
          <w:sz w:val="24"/>
          <w:highlight w:val="none"/>
        </w:rPr>
        <w:t>RMB</w:t>
      </w:r>
      <w:r>
        <w:rPr>
          <w:rFonts w:hint="eastAsia" w:hAnsi="宋体"/>
          <w:sz w:val="24"/>
          <w:highlight w:val="none"/>
        </w:rPr>
        <w:t>】</w:t>
      </w:r>
      <w:r>
        <w:rPr>
          <w:rFonts w:hint="eastAsia"/>
          <w:sz w:val="24"/>
          <w:highlight w:val="none"/>
        </w:rPr>
        <w:t>【</w:t>
      </w:r>
      <w:r>
        <w:rPr>
          <w:rFonts w:hint="eastAsia"/>
          <w:sz w:val="24"/>
          <w:highlight w:val="none"/>
          <w:lang w:val="en-US" w:eastAsia="zh-CN"/>
        </w:rPr>
        <w:t xml:space="preserve">    </w:t>
      </w:r>
      <w:r>
        <w:rPr>
          <w:rFonts w:hint="eastAsia"/>
          <w:sz w:val="24"/>
          <w:highlight w:val="none"/>
        </w:rPr>
        <w:t>】</w:t>
      </w:r>
      <w:r>
        <w:rPr>
          <w:rFonts w:hint="eastAsia" w:hAnsi="宋体"/>
          <w:sz w:val="24"/>
          <w:highlight w:val="none"/>
        </w:rPr>
        <w:t>（大写：【</w:t>
      </w:r>
      <w:r>
        <w:rPr>
          <w:rFonts w:hint="eastAsia" w:hAnsi="宋体"/>
          <w:i/>
          <w:sz w:val="24"/>
          <w:highlight w:val="none"/>
        </w:rPr>
        <w:t>人民币</w:t>
      </w:r>
      <w:r>
        <w:rPr>
          <w:rFonts w:hint="eastAsia" w:hAnsi="宋体"/>
          <w:sz w:val="24"/>
          <w:highlight w:val="none"/>
        </w:rPr>
        <w:t>】【</w:t>
      </w:r>
      <w:r>
        <w:rPr>
          <w:rFonts w:hint="eastAsia" w:hAnsi="宋体"/>
          <w:sz w:val="24"/>
          <w:highlight w:val="none"/>
          <w:lang w:val="en-US" w:eastAsia="zh-CN"/>
        </w:rPr>
        <w:t xml:space="preserve">      </w:t>
      </w:r>
      <w:r>
        <w:rPr>
          <w:rFonts w:hint="eastAsia" w:hAnsi="宋体"/>
          <w:sz w:val="24"/>
          <w:highlight w:val="none"/>
        </w:rPr>
        <w:t>】），</w:t>
      </w:r>
      <w:r>
        <w:rPr>
          <w:rFonts w:hint="eastAsia"/>
          <w:sz w:val="24"/>
          <w:highlight w:val="none"/>
        </w:rPr>
        <w:t>增值税税率为【</w:t>
      </w:r>
      <w:r>
        <w:rPr>
          <w:rFonts w:hint="eastAsia"/>
          <w:i/>
          <w:sz w:val="24"/>
          <w:highlight w:val="none"/>
          <w:lang w:val="en-US" w:eastAsia="zh-CN"/>
        </w:rPr>
        <w:t>13</w:t>
      </w:r>
      <w:r>
        <w:rPr>
          <w:rFonts w:hint="eastAsia"/>
          <w:sz w:val="24"/>
          <w:highlight w:val="none"/>
        </w:rPr>
        <w:t>】</w:t>
      </w:r>
      <w:r>
        <w:rPr>
          <w:sz w:val="24"/>
          <w:highlight w:val="none"/>
        </w:rPr>
        <w:t>%</w:t>
      </w:r>
      <w:r>
        <w:rPr>
          <w:rFonts w:hint="eastAsia" w:hAnsi="宋体"/>
          <w:sz w:val="24"/>
          <w:highlight w:val="none"/>
        </w:rPr>
        <w:t>。</w:t>
      </w:r>
      <w:bookmarkEnd w:id="26"/>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rPr>
        <w:t>合同总价的各分项价格</w:t>
      </w:r>
      <w:r>
        <w:rPr>
          <w:rFonts w:hint="eastAsia"/>
          <w:sz w:val="24"/>
          <w:highlight w:val="none"/>
        </w:rPr>
        <w:t>和组成：【</w:t>
      </w:r>
      <w:r>
        <w:rPr>
          <w:rFonts w:hint="eastAsia"/>
          <w:i/>
          <w:sz w:val="24"/>
          <w:highlight w:val="none"/>
        </w:rPr>
        <w:t>详见本合同附件一</w:t>
      </w:r>
      <w:r>
        <w:rPr>
          <w:rFonts w:hint="eastAsia"/>
          <w:sz w:val="24"/>
          <w:highlight w:val="none"/>
        </w:rPr>
        <w:t>】。</w:t>
      </w:r>
    </w:p>
    <w:p>
      <w:pPr>
        <w:numPr>
          <w:ilvl w:val="0"/>
          <w:numId w:val="3"/>
        </w:numPr>
        <w:tabs>
          <w:tab w:val="left" w:pos="567"/>
          <w:tab w:val="clear" w:pos="840"/>
        </w:tabs>
        <w:spacing w:before="72" w:beforeLines="30" w:after="72"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w:t>
      </w:r>
    </w:p>
    <w:p>
      <w:pPr>
        <w:numPr>
          <w:ilvl w:val="0"/>
          <w:numId w:val="3"/>
        </w:numPr>
        <w:tabs>
          <w:tab w:val="left" w:pos="567"/>
          <w:tab w:val="clear" w:pos="840"/>
        </w:tabs>
        <w:spacing w:before="72" w:beforeLines="30" w:after="72"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20"/>
        <w:numPr>
          <w:ilvl w:val="0"/>
          <w:numId w:val="1"/>
        </w:numPr>
        <w:spacing w:before="72" w:beforeLines="30" w:after="72" w:afterLines="30" w:line="360" w:lineRule="auto"/>
        <w:ind w:left="709" w:hanging="709"/>
        <w:jc w:val="left"/>
        <w:rPr>
          <w:sz w:val="24"/>
          <w:szCs w:val="24"/>
        </w:rPr>
      </w:pPr>
      <w:r>
        <w:rPr>
          <w:rFonts w:hint="eastAsia"/>
          <w:sz w:val="24"/>
          <w:szCs w:val="24"/>
        </w:rPr>
        <w:t>付款</w:t>
      </w:r>
    </w:p>
    <w:p>
      <w:pPr>
        <w:pStyle w:val="41"/>
        <w:numPr>
          <w:ilvl w:val="0"/>
          <w:numId w:val="4"/>
        </w:numPr>
        <w:tabs>
          <w:tab w:val="left" w:pos="851"/>
        </w:tabs>
        <w:adjustRightInd w:val="0"/>
        <w:spacing w:line="360" w:lineRule="auto"/>
        <w:ind w:firstLineChars="0"/>
        <w:contextualSpacing/>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支付货币：</w:t>
      </w:r>
    </w:p>
    <w:p>
      <w:pPr>
        <w:pStyle w:val="41"/>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rPr>
      </w:pPr>
      <w:r>
        <w:rPr>
          <w:rFonts w:hint="eastAsia"/>
          <w:sz w:val="24"/>
        </w:rPr>
        <w:t>本合同项下的所有应付款项均</w:t>
      </w:r>
      <w:r>
        <w:rPr>
          <w:rFonts w:hint="eastAsia"/>
          <w:sz w:val="24"/>
          <w:highlight w:val="none"/>
        </w:rPr>
        <w:t>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numPr>
          <w:ilvl w:val="0"/>
          <w:numId w:val="4"/>
        </w:numPr>
        <w:tabs>
          <w:tab w:val="left" w:pos="709"/>
        </w:tabs>
        <w:spacing w:before="72" w:beforeLines="30" w:after="72" w:afterLines="30" w:line="360" w:lineRule="auto"/>
        <w:rPr>
          <w:sz w:val="24"/>
        </w:rPr>
      </w:pPr>
      <w:r>
        <w:rPr>
          <w:rFonts w:hint="eastAsia"/>
          <w:sz w:val="24"/>
        </w:rPr>
        <w:t>本合同项下的</w:t>
      </w:r>
      <w:r>
        <w:rPr>
          <w:color w:val="000000"/>
          <w:sz w:val="24"/>
        </w:rPr>
        <w:t>付款</w:t>
      </w:r>
      <w:r>
        <w:rPr>
          <w:color w:val="000000"/>
          <w:sz w:val="24"/>
          <w:highlight w:val="none"/>
        </w:rPr>
        <w:t>方式</w:t>
      </w:r>
      <w:r>
        <w:rPr>
          <w:rFonts w:hint="eastAsia"/>
          <w:color w:val="000000"/>
          <w:sz w:val="24"/>
          <w:highlight w:val="none"/>
        </w:rPr>
        <w:t>为</w:t>
      </w:r>
      <w:r>
        <w:rPr>
          <w:color w:val="000000"/>
          <w:sz w:val="24"/>
          <w:highlight w:val="none"/>
        </w:rPr>
        <w:t>：</w:t>
      </w:r>
      <w:r>
        <w:rPr>
          <w:rFonts w:hint="eastAsia"/>
          <w:color w:val="000000"/>
          <w:sz w:val="24"/>
          <w:highlight w:val="none"/>
        </w:rPr>
        <w:t>【</w:t>
      </w:r>
      <w:r>
        <w:rPr>
          <w:rFonts w:hint="eastAsia"/>
          <w:color w:val="000000"/>
          <w:sz w:val="24"/>
          <w:highlight w:val="none"/>
          <w:lang w:eastAsia="zh-CN"/>
        </w:rPr>
        <w:t>☑</w:t>
      </w:r>
      <w:r>
        <w:rPr>
          <w:color w:val="000000"/>
          <w:sz w:val="24"/>
          <w:highlight w:val="none"/>
        </w:rPr>
        <w:t>银行电汇</w:t>
      </w:r>
      <w:r>
        <w:rPr>
          <w:rFonts w:hint="eastAsia"/>
          <w:color w:val="000000"/>
          <w:sz w:val="24"/>
          <w:highlight w:val="none"/>
        </w:rPr>
        <w:t>】。</w:t>
      </w:r>
    </w:p>
    <w:p>
      <w:pPr>
        <w:numPr>
          <w:ilvl w:val="0"/>
          <w:numId w:val="4"/>
        </w:numPr>
        <w:tabs>
          <w:tab w:val="left" w:pos="709"/>
        </w:tabs>
        <w:spacing w:before="72" w:beforeLines="30" w:after="72" w:afterLines="30" w:line="360" w:lineRule="auto"/>
        <w:rPr>
          <w:color w:val="000000"/>
          <w:sz w:val="24"/>
        </w:rPr>
      </w:pPr>
      <w:r>
        <w:rPr>
          <w:rFonts w:hint="eastAsia"/>
          <w:color w:val="000000"/>
          <w:sz w:val="24"/>
        </w:rPr>
        <w:t>付款进度</w:t>
      </w:r>
    </w:p>
    <w:p>
      <w:pPr>
        <w:tabs>
          <w:tab w:val="left" w:pos="567"/>
        </w:tabs>
        <w:spacing w:before="72" w:beforeLines="30" w:after="72" w:afterLines="30" w:line="360" w:lineRule="auto"/>
        <w:ind w:left="567"/>
        <w:rPr>
          <w:rFonts w:hint="eastAsia"/>
          <w:color w:val="000000"/>
          <w:sz w:val="24"/>
          <w:highlight w:val="none"/>
        </w:rPr>
      </w:pPr>
      <w:r>
        <w:rPr>
          <w:rFonts w:hint="eastAsia"/>
          <w:color w:val="000000"/>
          <w:sz w:val="24"/>
        </w:rPr>
        <w:t>付款</w:t>
      </w:r>
      <w:r>
        <w:rPr>
          <w:rFonts w:hint="eastAsia"/>
          <w:color w:val="000000"/>
          <w:sz w:val="24"/>
          <w:highlight w:val="none"/>
        </w:rPr>
        <w:t>进度为：</w:t>
      </w:r>
    </w:p>
    <w:p>
      <w:pPr>
        <w:tabs>
          <w:tab w:val="left" w:pos="567"/>
        </w:tabs>
        <w:spacing w:before="72" w:beforeLines="30" w:after="72" w:afterLines="30" w:line="360" w:lineRule="auto"/>
        <w:ind w:left="567"/>
        <w:rPr>
          <w:rFonts w:hint="default" w:eastAsia="宋体"/>
          <w:i/>
          <w:color w:val="000000"/>
          <w:sz w:val="24"/>
          <w:highlight w:val="none"/>
          <w:u w:val="single"/>
          <w:lang w:val="en-US" w:eastAsia="zh-CN"/>
        </w:rPr>
      </w:pPr>
      <w:r>
        <w:rPr>
          <w:rFonts w:hint="eastAsia"/>
          <w:i/>
          <w:color w:val="000000"/>
          <w:sz w:val="24"/>
          <w:highlight w:val="none"/>
          <w:u w:val="single"/>
        </w:rPr>
        <w:t>合同签订后，卖方在规定的时间将货物运到交货地点并完成安装调试，经买方验收合格并收到卖方有效票据后，在45日内买方支付合同总价的[</w:t>
      </w:r>
      <w:r>
        <w:rPr>
          <w:rFonts w:hint="eastAsia"/>
          <w:i/>
          <w:color w:val="000000"/>
          <w:sz w:val="24"/>
          <w:highlight w:val="none"/>
          <w:u w:val="single"/>
          <w:lang w:val="en-US" w:eastAsia="zh-CN"/>
        </w:rPr>
        <w:t>100</w:t>
      </w:r>
      <w:r>
        <w:rPr>
          <w:rFonts w:hint="eastAsia"/>
          <w:i/>
          <w:color w:val="000000"/>
          <w:sz w:val="24"/>
          <w:highlight w:val="none"/>
          <w:u w:val="single"/>
        </w:rPr>
        <w:t>%]</w:t>
      </w:r>
      <w:r>
        <w:rPr>
          <w:rFonts w:hint="eastAsia"/>
          <w:i/>
          <w:color w:val="000000"/>
          <w:sz w:val="24"/>
          <w:highlight w:val="none"/>
          <w:u w:val="single"/>
          <w:lang w:val="en-US" w:eastAsia="zh-CN"/>
        </w:rPr>
        <w:t>。</w:t>
      </w:r>
    </w:p>
    <w:p>
      <w:pPr>
        <w:numPr>
          <w:ilvl w:val="0"/>
          <w:numId w:val="4"/>
        </w:numPr>
        <w:tabs>
          <w:tab w:val="left" w:pos="567"/>
        </w:tabs>
        <w:spacing w:before="72" w:beforeLines="30" w:after="72" w:afterLines="30" w:line="360" w:lineRule="auto"/>
        <w:rPr>
          <w:color w:val="000000"/>
          <w:sz w:val="24"/>
        </w:rPr>
      </w:pPr>
      <w:bookmarkStart w:id="27" w:name="OLE_LINK91"/>
      <w:bookmarkStart w:id="28" w:name="OLE_LINK92"/>
      <w:r>
        <w:rPr>
          <w:rFonts w:hint="eastAsia"/>
          <w:color w:val="000000"/>
          <w:sz w:val="24"/>
        </w:rPr>
        <w:t>卖方应根据合同规定的付款条件和进度，提前向</w:t>
      </w:r>
      <w:r>
        <w:rPr>
          <w:rFonts w:hint="eastAsia"/>
          <w:color w:val="000000"/>
          <w:sz w:val="24"/>
          <w:highlight w:val="none"/>
        </w:rPr>
        <w:t>买方开具符合中国法律法规要求的发票并提供相关支持文件。</w:t>
      </w:r>
      <w:r>
        <w:rPr>
          <w:rFonts w:hint="eastAsia"/>
          <w:sz w:val="24"/>
          <w:highlight w:val="none"/>
        </w:rPr>
        <w:t>如</w:t>
      </w:r>
      <w:r>
        <w:rPr>
          <w:rFonts w:hint="eastAsia"/>
          <w:sz w:val="24"/>
          <w:highlight w:val="none"/>
          <w:lang w:val="en-US" w:eastAsia="zh-CN"/>
        </w:rPr>
        <w:t>卖方</w:t>
      </w:r>
      <w:r>
        <w:rPr>
          <w:rFonts w:hint="eastAsia"/>
          <w:sz w:val="24"/>
          <w:highlight w:val="none"/>
        </w:rPr>
        <w:t>提供的服务属于增值税应税范围，</w:t>
      </w:r>
      <w:r>
        <w:rPr>
          <w:rFonts w:hint="eastAsia"/>
          <w:sz w:val="24"/>
          <w:highlight w:val="none"/>
          <w:lang w:val="en-US" w:eastAsia="zh-CN"/>
        </w:rPr>
        <w:t>卖</w:t>
      </w:r>
      <w:r>
        <w:rPr>
          <w:rFonts w:hint="eastAsia"/>
          <w:sz w:val="24"/>
          <w:highlight w:val="none"/>
        </w:rPr>
        <w:t>方应为</w:t>
      </w:r>
      <w:r>
        <w:rPr>
          <w:rFonts w:hint="eastAsia"/>
          <w:sz w:val="24"/>
          <w:highlight w:val="none"/>
          <w:lang w:val="en-US" w:eastAsia="zh-CN"/>
        </w:rPr>
        <w:t>买</w:t>
      </w:r>
      <w:r>
        <w:rPr>
          <w:rFonts w:hint="eastAsia"/>
          <w:sz w:val="24"/>
          <w:highlight w:val="none"/>
        </w:rPr>
        <w:t>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中海油能源发展股份有限公司清洁能源分公司</w:t>
      </w:r>
      <w:r>
        <w:rPr>
          <w:rFonts w:hint="eastAsia"/>
          <w:sz w:val="24"/>
          <w:highlight w:val="none"/>
        </w:rPr>
        <w:t>】。</w:t>
      </w:r>
      <w:r>
        <w:rPr>
          <w:rFonts w:hint="eastAsia"/>
          <w:color w:val="000000"/>
          <w:sz w:val="24"/>
          <w:highlight w:val="none"/>
        </w:rPr>
        <w:t>如卖方未开具上</w:t>
      </w:r>
      <w:r>
        <w:rPr>
          <w:rFonts w:hint="eastAsia"/>
          <w:color w:val="000000"/>
          <w:sz w:val="24"/>
        </w:rPr>
        <w:t>述发票并提</w:t>
      </w:r>
      <w:r>
        <w:rPr>
          <w:rFonts w:hint="eastAsia"/>
          <w:color w:val="000000"/>
          <w:sz w:val="24"/>
          <w:highlight w:val="none"/>
        </w:rPr>
        <w:t>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lang w:val="en-US" w:eastAsia="zh-CN"/>
        </w:rPr>
        <w:t>45</w:t>
      </w:r>
      <w:r>
        <w:rPr>
          <w:rFonts w:hint="eastAsia"/>
          <w:color w:val="000000"/>
          <w:sz w:val="24"/>
          <w:highlight w:val="none"/>
        </w:rPr>
        <w:t>】日内向卖方付款。</w:t>
      </w:r>
      <w:bookmarkEnd w:id="27"/>
      <w:bookmarkEnd w:id="28"/>
      <w:r>
        <w:rPr>
          <w:rFonts w:hint="eastAsia"/>
          <w:sz w:val="24"/>
          <w:highlight w:val="none"/>
        </w:rPr>
        <w:t>如</w:t>
      </w:r>
      <w:r>
        <w:rPr>
          <w:rFonts w:hint="eastAsia"/>
          <w:sz w:val="24"/>
          <w:highlight w:val="none"/>
          <w:lang w:val="en-US" w:eastAsia="zh-CN"/>
        </w:rPr>
        <w:t>买</w:t>
      </w:r>
      <w:r>
        <w:rPr>
          <w:rFonts w:hint="eastAsia"/>
          <w:sz w:val="24"/>
          <w:highlight w:val="none"/>
        </w:rPr>
        <w:t>方对</w:t>
      </w:r>
      <w:r>
        <w:rPr>
          <w:rFonts w:hint="eastAsia"/>
          <w:sz w:val="24"/>
          <w:highlight w:val="none"/>
          <w:lang w:val="en-US" w:eastAsia="zh-CN"/>
        </w:rPr>
        <w:t>卖</w:t>
      </w:r>
      <w:r>
        <w:rPr>
          <w:rFonts w:hint="eastAsia"/>
          <w:sz w:val="24"/>
          <w:highlight w:val="none"/>
        </w:rPr>
        <w:t>方开具的该等发票和相关支持文件有异议，应于收到发票及相关支持文件后【</w:t>
      </w:r>
      <w:r>
        <w:rPr>
          <w:rFonts w:hint="eastAsia"/>
          <w:i/>
          <w:sz w:val="24"/>
          <w:highlight w:val="none"/>
        </w:rPr>
        <w:t>十（10）</w:t>
      </w:r>
      <w:r>
        <w:rPr>
          <w:rFonts w:hint="eastAsia"/>
          <w:sz w:val="24"/>
          <w:highlight w:val="none"/>
        </w:rPr>
        <w:t>】日内通知</w:t>
      </w:r>
      <w:r>
        <w:rPr>
          <w:rFonts w:hint="eastAsia"/>
          <w:sz w:val="24"/>
          <w:highlight w:val="none"/>
          <w:lang w:val="en-US" w:eastAsia="zh-CN"/>
        </w:rPr>
        <w:t>卖方</w:t>
      </w:r>
      <w:r>
        <w:rPr>
          <w:rFonts w:hint="eastAsia"/>
          <w:sz w:val="24"/>
          <w:highlight w:val="none"/>
        </w:rPr>
        <w:t>，</w:t>
      </w:r>
      <w:r>
        <w:rPr>
          <w:rFonts w:hint="eastAsia"/>
          <w:sz w:val="24"/>
          <w:highlight w:val="none"/>
          <w:lang w:val="en-US" w:eastAsia="zh-CN"/>
        </w:rPr>
        <w:t>卖方</w:t>
      </w:r>
      <w:r>
        <w:rPr>
          <w:rFonts w:hint="eastAsia"/>
          <w:sz w:val="24"/>
          <w:highlight w:val="none"/>
        </w:rPr>
        <w:t>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lang w:val="en-US" w:eastAsia="zh-CN"/>
        </w:rPr>
        <w:t>45</w:t>
      </w:r>
      <w:r>
        <w:rPr>
          <w:rFonts w:hint="eastAsia"/>
          <w:color w:val="000000"/>
          <w:sz w:val="24"/>
          <w:highlight w:val="none"/>
        </w:rPr>
        <w:t>】日内向卖方付款</w:t>
      </w:r>
      <w:r>
        <w:rPr>
          <w:rFonts w:hint="eastAsia"/>
          <w:color w:val="000000"/>
          <w:sz w:val="24"/>
        </w:rPr>
        <w:t>。</w:t>
      </w:r>
    </w:p>
    <w:p>
      <w:pPr>
        <w:numPr>
          <w:ilvl w:val="0"/>
          <w:numId w:val="4"/>
        </w:numPr>
        <w:tabs>
          <w:tab w:val="left" w:pos="567"/>
        </w:tabs>
        <w:spacing w:before="72" w:beforeLines="30" w:after="72" w:afterLines="30" w:line="360" w:lineRule="auto"/>
        <w:rPr>
          <w:sz w:val="24"/>
        </w:rPr>
      </w:pPr>
      <w:r>
        <w:rPr>
          <w:rFonts w:hint="eastAsia" w:hAnsi="宋体"/>
          <w:sz w:val="24"/>
        </w:rPr>
        <w:t>卖方</w:t>
      </w:r>
      <w:r>
        <w:rPr>
          <w:rFonts w:hAnsi="宋体"/>
          <w:sz w:val="24"/>
        </w:rPr>
        <w:t>账户</w:t>
      </w:r>
    </w:p>
    <w:p>
      <w:pPr>
        <w:tabs>
          <w:tab w:val="left" w:pos="567"/>
          <w:tab w:val="left" w:pos="1418"/>
        </w:tabs>
        <w:spacing w:before="72" w:beforeLines="30" w:after="72" w:afterLines="30" w:line="360" w:lineRule="auto"/>
        <w:ind w:left="565" w:leftChars="269"/>
        <w:rPr>
          <w:sz w:val="24"/>
          <w:highlight w:val="none"/>
        </w:rPr>
      </w:pPr>
      <w:r>
        <w:rPr>
          <w:sz w:val="24"/>
        </w:rPr>
        <w:t>卖方应通过如下</w:t>
      </w:r>
      <w:r>
        <w:rPr>
          <w:sz w:val="24"/>
          <w:highlight w:val="none"/>
        </w:rPr>
        <w:t>账户收取合同总价及其它款项，并通过该账户向买方支付与合同有关的任何款项：</w:t>
      </w:r>
    </w:p>
    <w:p>
      <w:pPr>
        <w:pStyle w:val="64"/>
        <w:spacing w:before="60" w:beforeLines="25" w:after="60" w:afterLines="25" w:line="300" w:lineRule="exact"/>
        <w:ind w:left="210" w:leftChars="100" w:firstLine="240" w:firstLineChars="100"/>
        <w:rPr>
          <w:rFonts w:hint="eastAsia" w:cs="Times New Roman"/>
          <w:kern w:val="2"/>
          <w:sz w:val="24"/>
          <w:szCs w:val="24"/>
          <w:lang w:val="en-US" w:eastAsia="zh-CN" w:bidi="ar-SA"/>
        </w:rPr>
      </w:pPr>
      <w:bookmarkStart w:id="29" w:name="_Toc306354310"/>
      <w:r>
        <w:rPr>
          <w:rFonts w:hint="eastAsia" w:cs="Times New Roman"/>
          <w:kern w:val="2"/>
          <w:sz w:val="24"/>
          <w:szCs w:val="24"/>
          <w:lang w:val="en-US" w:eastAsia="zh-CN" w:bidi="ar-SA"/>
        </w:rPr>
        <w:t xml:space="preserve">卖方名称： </w:t>
      </w:r>
    </w:p>
    <w:p>
      <w:pPr>
        <w:pStyle w:val="64"/>
        <w:spacing w:before="60" w:beforeLines="25" w:after="60" w:afterLines="25" w:line="300" w:lineRule="exact"/>
        <w:ind w:left="210" w:leftChars="100" w:firstLine="240" w:firstLineChars="10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税 </w:t>
      </w:r>
      <w:r>
        <w:rPr>
          <w:rFonts w:hint="eastAsia" w:cs="Times New Roman"/>
          <w:kern w:val="2"/>
          <w:sz w:val="24"/>
          <w:szCs w:val="24"/>
          <w:highlight w:val="none"/>
          <w:lang w:val="en-US" w:eastAsia="zh-CN" w:bidi="ar-SA"/>
        </w:rPr>
        <w:t xml:space="preserve">  </w:t>
      </w:r>
      <w:r>
        <w:rPr>
          <w:rFonts w:hint="eastAsia" w:ascii="Times New Roman" w:hAnsi="Times New Roman" w:eastAsia="宋体" w:cs="Times New Roman"/>
          <w:kern w:val="2"/>
          <w:sz w:val="24"/>
          <w:szCs w:val="24"/>
          <w:highlight w:val="none"/>
          <w:lang w:val="en-US" w:eastAsia="zh-CN" w:bidi="ar-SA"/>
        </w:rPr>
        <w:t xml:space="preserve"> 号：</w:t>
      </w:r>
    </w:p>
    <w:p>
      <w:pPr>
        <w:pStyle w:val="64"/>
        <w:spacing w:before="60" w:beforeLines="25" w:after="60" w:afterLines="25" w:line="300" w:lineRule="exact"/>
        <w:ind w:left="210" w:leftChars="100" w:firstLine="240" w:firstLineChars="1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 xml:space="preserve">账  </w:t>
      </w:r>
      <w:r>
        <w:rPr>
          <w:rFonts w:hint="eastAsia" w:cs="Times New Roman"/>
          <w:kern w:val="2"/>
          <w:sz w:val="24"/>
          <w:szCs w:val="24"/>
          <w:highlight w:val="none"/>
          <w:lang w:val="en-US" w:eastAsia="zh-CN" w:bidi="ar-SA"/>
        </w:rPr>
        <w:t xml:space="preserve">  </w:t>
      </w:r>
      <w:r>
        <w:rPr>
          <w:rFonts w:hint="eastAsia" w:ascii="Times New Roman" w:hAnsi="Times New Roman" w:eastAsia="宋体" w:cs="Times New Roman"/>
          <w:kern w:val="2"/>
          <w:sz w:val="24"/>
          <w:szCs w:val="24"/>
          <w:highlight w:val="none"/>
          <w:lang w:val="en-US" w:eastAsia="zh-CN" w:bidi="ar-SA"/>
        </w:rPr>
        <w:t>号：</w:t>
      </w:r>
    </w:p>
    <w:p>
      <w:pPr>
        <w:pStyle w:val="64"/>
        <w:spacing w:before="60" w:beforeLines="25" w:after="60" w:afterLines="25" w:line="300" w:lineRule="exact"/>
        <w:ind w:left="210" w:leftChars="100" w:firstLine="240" w:firstLineChars="100"/>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开</w:t>
      </w:r>
      <w:r>
        <w:rPr>
          <w:rFonts w:hint="eastAsia" w:cs="Times New Roman"/>
          <w:kern w:val="2"/>
          <w:sz w:val="24"/>
          <w:szCs w:val="24"/>
          <w:highlight w:val="none"/>
          <w:lang w:val="en-US" w:eastAsia="zh-CN" w:bidi="ar-SA"/>
        </w:rPr>
        <w:t xml:space="preserve"> </w:t>
      </w:r>
      <w:r>
        <w:rPr>
          <w:rFonts w:hint="eastAsia" w:ascii="Times New Roman" w:hAnsi="Times New Roman" w:eastAsia="宋体" w:cs="Times New Roman"/>
          <w:kern w:val="2"/>
          <w:sz w:val="24"/>
          <w:szCs w:val="24"/>
          <w:highlight w:val="none"/>
          <w:lang w:val="en-US" w:eastAsia="zh-CN" w:bidi="ar-SA"/>
        </w:rPr>
        <w:t>户</w:t>
      </w:r>
      <w:r>
        <w:rPr>
          <w:rFonts w:hint="eastAsia" w:cs="Times New Roman"/>
          <w:kern w:val="2"/>
          <w:sz w:val="24"/>
          <w:szCs w:val="24"/>
          <w:highlight w:val="none"/>
          <w:lang w:val="en-US" w:eastAsia="zh-CN" w:bidi="ar-SA"/>
        </w:rPr>
        <w:t xml:space="preserve"> </w:t>
      </w:r>
      <w:r>
        <w:rPr>
          <w:rFonts w:hint="eastAsia" w:ascii="Times New Roman" w:hAnsi="Times New Roman" w:eastAsia="宋体" w:cs="Times New Roman"/>
          <w:kern w:val="2"/>
          <w:sz w:val="24"/>
          <w:szCs w:val="24"/>
          <w:highlight w:val="none"/>
          <w:lang w:val="en-US" w:eastAsia="zh-CN" w:bidi="ar-SA"/>
        </w:rPr>
        <w:t>行：</w:t>
      </w:r>
    </w:p>
    <w:p>
      <w:pPr>
        <w:pStyle w:val="64"/>
        <w:spacing w:before="60" w:beforeLines="25" w:after="60" w:afterLines="25" w:line="300" w:lineRule="exact"/>
        <w:ind w:left="210" w:leftChars="100" w:firstLine="240" w:firstLineChars="100"/>
        <w:rPr>
          <w:rFonts w:hint="default" w:asciiTheme="minorEastAsia" w:hAnsiTheme="minorEastAsia" w:eastAsiaTheme="minorEastAsia"/>
          <w:sz w:val="24"/>
          <w:highlight w:val="none"/>
          <w:lang w:val="en-US"/>
        </w:rPr>
      </w:pPr>
      <w:r>
        <w:rPr>
          <w:rFonts w:hint="eastAsia" w:cs="Times New Roman"/>
          <w:kern w:val="2"/>
          <w:sz w:val="24"/>
          <w:szCs w:val="24"/>
          <w:highlight w:val="none"/>
          <w:lang w:val="en-US" w:eastAsia="zh-CN" w:bidi="ar-SA"/>
        </w:rPr>
        <w:t>开户行地址</w:t>
      </w:r>
      <w:r>
        <w:rPr>
          <w:rFonts w:hint="eastAsia" w:ascii="Times New Roman" w:hAnsi="Times New Roman" w:eastAsia="宋体" w:cs="Times New Roman"/>
          <w:kern w:val="2"/>
          <w:sz w:val="24"/>
          <w:szCs w:val="24"/>
          <w:highlight w:val="none"/>
          <w:lang w:val="en-US" w:eastAsia="zh-CN" w:bidi="ar-SA"/>
        </w:rPr>
        <w:t>：</w:t>
      </w:r>
    </w:p>
    <w:p>
      <w:pPr>
        <w:pStyle w:val="20"/>
        <w:numPr>
          <w:ilvl w:val="0"/>
          <w:numId w:val="1"/>
        </w:numPr>
        <w:spacing w:before="72" w:beforeLines="30" w:after="72" w:afterLines="30" w:line="360" w:lineRule="auto"/>
        <w:ind w:left="851" w:hanging="851"/>
        <w:jc w:val="left"/>
        <w:rPr>
          <w:sz w:val="24"/>
          <w:szCs w:val="24"/>
        </w:rPr>
      </w:pPr>
      <w:r>
        <w:rPr>
          <w:rFonts w:hint="eastAsia"/>
          <w:sz w:val="24"/>
          <w:szCs w:val="24"/>
        </w:rPr>
        <w:t>货物交付</w:t>
      </w:r>
      <w:bookmarkEnd w:id="29"/>
    </w:p>
    <w:p>
      <w:pPr>
        <w:numPr>
          <w:ilvl w:val="0"/>
          <w:numId w:val="5"/>
        </w:numPr>
        <w:tabs>
          <w:tab w:val="left" w:pos="567"/>
          <w:tab w:val="clear" w:pos="562"/>
        </w:tabs>
        <w:spacing w:before="72" w:beforeLines="30" w:after="72" w:afterLines="30" w:line="360" w:lineRule="auto"/>
        <w:ind w:left="567" w:hanging="567"/>
        <w:outlineLvl w:val="0"/>
        <w:rPr>
          <w:b/>
          <w:sz w:val="24"/>
        </w:rPr>
      </w:pPr>
      <w:r>
        <w:rPr>
          <w:rFonts w:hAnsi="宋体"/>
          <w:b/>
          <w:sz w:val="24"/>
        </w:rPr>
        <w:t>交货日期</w:t>
      </w:r>
    </w:p>
    <w:p>
      <w:pPr>
        <w:numPr>
          <w:ilvl w:val="0"/>
          <w:numId w:val="6"/>
        </w:numPr>
        <w:tabs>
          <w:tab w:val="left" w:pos="993"/>
        </w:tabs>
        <w:spacing w:before="72" w:beforeLines="30" w:after="72" w:afterLines="30" w:line="360" w:lineRule="auto"/>
        <w:ind w:left="1047" w:leftChars="268" w:hanging="484" w:hangingChars="202"/>
        <w:outlineLvl w:val="0"/>
        <w:rPr>
          <w:sz w:val="24"/>
        </w:rPr>
      </w:pPr>
      <w:r>
        <w:rPr>
          <w:rFonts w:hAnsi="宋体"/>
          <w:sz w:val="24"/>
        </w:rPr>
        <w:t>卖方</w:t>
      </w:r>
      <w:r>
        <w:rPr>
          <w:rFonts w:hAnsi="宋体"/>
          <w:sz w:val="24"/>
          <w:highlight w:val="none"/>
        </w:rPr>
        <w:t>应在</w:t>
      </w:r>
      <w:r>
        <w:rPr>
          <w:rFonts w:hint="eastAsia"/>
          <w:sz w:val="24"/>
          <w:highlight w:val="none"/>
        </w:rPr>
        <w:t>【</w:t>
      </w:r>
      <w:r>
        <w:rPr>
          <w:rFonts w:hint="eastAsia"/>
          <w:i w:val="0"/>
          <w:iCs/>
          <w:sz w:val="24"/>
          <w:highlight w:val="none"/>
          <w:lang w:val="en-US" w:eastAsia="zh-CN"/>
        </w:rPr>
        <w:t>2025年XX月XX日前</w:t>
      </w:r>
      <w:r>
        <w:rPr>
          <w:rFonts w:hint="eastAsia"/>
          <w:sz w:val="24"/>
          <w:highlight w:val="none"/>
        </w:rPr>
        <w:t>】</w:t>
      </w:r>
      <w:r>
        <w:rPr>
          <w:rFonts w:hint="eastAsia"/>
          <w:sz w:val="24"/>
          <w:highlight w:val="none"/>
          <w:lang w:val="en-US" w:eastAsia="zh-CN"/>
        </w:rPr>
        <w:t>或者根据甲方通知</w:t>
      </w:r>
      <w:r>
        <w:rPr>
          <w:rFonts w:hAnsi="宋体"/>
          <w:sz w:val="24"/>
          <w:highlight w:val="none"/>
        </w:rPr>
        <w:t>完成</w:t>
      </w:r>
      <w:r>
        <w:rPr>
          <w:rFonts w:hint="eastAsia" w:hAnsi="宋体"/>
          <w:sz w:val="24"/>
          <w:highlight w:val="none"/>
          <w:lang w:val="en-US" w:eastAsia="zh-CN"/>
        </w:rPr>
        <w:t>本合同清单内所有</w:t>
      </w:r>
      <w:r>
        <w:rPr>
          <w:rFonts w:hAnsi="宋体"/>
          <w:sz w:val="24"/>
          <w:highlight w:val="none"/>
        </w:rPr>
        <w:t>货物</w:t>
      </w:r>
      <w:r>
        <w:rPr>
          <w:rFonts w:hAnsi="宋体"/>
          <w:sz w:val="24"/>
        </w:rPr>
        <w:t>的交付。</w:t>
      </w:r>
    </w:p>
    <w:p>
      <w:pPr>
        <w:numPr>
          <w:ilvl w:val="0"/>
          <w:numId w:val="6"/>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w:t>
      </w:r>
      <w:r>
        <w:rPr>
          <w:rFonts w:hint="eastAsia" w:hAnsi="宋体"/>
          <w:sz w:val="24"/>
          <w:highlight w:val="none"/>
        </w:rPr>
        <w:t>前</w:t>
      </w:r>
      <w:bookmarkStart w:id="30" w:name="OLE_LINK56"/>
      <w:bookmarkStart w:id="31" w:name="OLE_LINK57"/>
      <w:r>
        <w:rPr>
          <w:rFonts w:hint="eastAsia" w:hAnsi="宋体"/>
          <w:sz w:val="24"/>
          <w:highlight w:val="none"/>
        </w:rPr>
        <w:t>【</w:t>
      </w:r>
      <w:r>
        <w:rPr>
          <w:rFonts w:hint="eastAsia" w:hAnsi="宋体"/>
          <w:sz w:val="24"/>
          <w:highlight w:val="none"/>
          <w:lang w:val="en-US" w:eastAsia="zh-CN"/>
        </w:rPr>
        <w:t>三（3）</w:t>
      </w:r>
      <w:r>
        <w:rPr>
          <w:rFonts w:hint="eastAsia" w:hAnsi="宋体"/>
          <w:sz w:val="24"/>
          <w:highlight w:val="none"/>
        </w:rPr>
        <w:t>】</w:t>
      </w:r>
      <w:bookmarkEnd w:id="30"/>
      <w:bookmarkEnd w:id="31"/>
      <w:r>
        <w:rPr>
          <w:rFonts w:hint="eastAsia" w:hAnsi="宋体"/>
          <w:sz w:val="24"/>
          <w:highlight w:val="none"/>
        </w:rPr>
        <w:t>日以书</w:t>
      </w:r>
      <w:r>
        <w:rPr>
          <w:rFonts w:hint="eastAsia" w:hAnsi="宋体"/>
          <w:sz w:val="24"/>
        </w:rPr>
        <w:t>面方式</w:t>
      </w:r>
      <w:r>
        <w:rPr>
          <w:rFonts w:hAnsi="宋体"/>
          <w:sz w:val="24"/>
        </w:rPr>
        <w:t>通知卖方。</w:t>
      </w:r>
      <w:r>
        <w:rPr>
          <w:sz w:val="24"/>
        </w:rPr>
        <w:t>除</w:t>
      </w:r>
      <w:r>
        <w:rPr>
          <w:sz w:val="24"/>
          <w:highlight w:val="none"/>
        </w:rPr>
        <w:t>非买方调整交货日期</w:t>
      </w:r>
      <w:r>
        <w:rPr>
          <w:rFonts w:hint="eastAsia"/>
          <w:sz w:val="24"/>
          <w:highlight w:val="none"/>
        </w:rPr>
        <w:t>实质性</w:t>
      </w:r>
      <w:r>
        <w:rPr>
          <w:sz w:val="24"/>
          <w:highlight w:val="none"/>
        </w:rPr>
        <w:t>加重卖方义务，否则卖方不得另行向买方主张增加费用。</w:t>
      </w:r>
    </w:p>
    <w:p>
      <w:pPr>
        <w:numPr>
          <w:ilvl w:val="0"/>
          <w:numId w:val="5"/>
        </w:numPr>
        <w:tabs>
          <w:tab w:val="left" w:pos="567"/>
          <w:tab w:val="left" w:pos="709"/>
          <w:tab w:val="clear" w:pos="562"/>
        </w:tabs>
        <w:spacing w:before="72" w:beforeLines="30" w:after="72" w:afterLines="30" w:line="360" w:lineRule="auto"/>
        <w:ind w:left="567" w:hanging="567"/>
        <w:outlineLvl w:val="0"/>
        <w:rPr>
          <w:rFonts w:hint="eastAsia"/>
          <w:sz w:val="24"/>
          <w:highlight w:val="none"/>
          <w:lang w:eastAsia="zh-CN"/>
        </w:rPr>
      </w:pPr>
      <w:r>
        <w:rPr>
          <w:rFonts w:hint="eastAsia" w:hAnsi="宋体"/>
          <w:b/>
          <w:sz w:val="24"/>
          <w:highlight w:val="none"/>
          <w:lang w:val="en-US" w:eastAsia="zh-CN"/>
        </w:rPr>
        <w:t>收货人信息</w:t>
      </w:r>
    </w:p>
    <w:p>
      <w:pPr>
        <w:pStyle w:val="8"/>
        <w:spacing w:line="360" w:lineRule="auto"/>
        <w:ind w:left="0" w:leftChars="0" w:right="122" w:firstLine="501" w:firstLineChars="209"/>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技术/收货</w:t>
      </w:r>
      <w:r>
        <w:rPr>
          <w:rFonts w:hint="eastAsia" w:ascii="Times New Roman" w:hAnsi="Times New Roman" w:eastAsia="宋体" w:cs="Times New Roman"/>
          <w:kern w:val="2"/>
          <w:sz w:val="24"/>
          <w:szCs w:val="24"/>
          <w:highlight w:val="none"/>
          <w:lang w:val="en-US" w:eastAsia="zh-CN" w:bidi="ar-SA"/>
        </w:rPr>
        <w:t>人员</w:t>
      </w:r>
      <w:r>
        <w:rPr>
          <w:rFonts w:hint="eastAsia" w:eastAsia="宋体" w:cs="Times New Roman"/>
          <w:kern w:val="2"/>
          <w:sz w:val="24"/>
          <w:szCs w:val="24"/>
          <w:highlight w:val="none"/>
          <w:lang w:val="en-US" w:eastAsia="zh-CN" w:bidi="ar-SA"/>
        </w:rPr>
        <w:t>：</w:t>
      </w:r>
      <w:r>
        <w:rPr>
          <w:rFonts w:hint="eastAsia" w:eastAsia="宋体" w:cs="Times New Roman"/>
          <w:color w:val="auto"/>
          <w:kern w:val="2"/>
          <w:sz w:val="24"/>
          <w:szCs w:val="24"/>
          <w:highlight w:val="none"/>
          <w:u w:val="none"/>
          <w:lang w:val="en-US" w:eastAsia="zh-CN" w:bidi="ar-SA"/>
        </w:rPr>
        <w:t xml:space="preserve">   </w:t>
      </w:r>
    </w:p>
    <w:p>
      <w:pPr>
        <w:pStyle w:val="8"/>
        <w:spacing w:line="360" w:lineRule="auto"/>
        <w:ind w:left="0" w:leftChars="0" w:right="122" w:firstLine="501" w:firstLineChars="209"/>
        <w:rPr>
          <w:rFonts w:hint="default" w:hAnsi="宋体"/>
          <w:b w:val="0"/>
          <w:bCs/>
          <w:sz w:val="24"/>
          <w:highlight w:val="none"/>
          <w:lang w:val="en-US" w:eastAsia="zh-CN"/>
        </w:rPr>
      </w:pPr>
      <w:r>
        <w:rPr>
          <w:rFonts w:hint="eastAsia" w:eastAsia="宋体" w:cs="Times New Roman"/>
          <w:kern w:val="2"/>
          <w:sz w:val="24"/>
          <w:szCs w:val="24"/>
          <w:highlight w:val="none"/>
          <w:lang w:val="en-US" w:eastAsia="zh-CN" w:bidi="ar-SA"/>
        </w:rPr>
        <w:t>收货</w:t>
      </w:r>
      <w:r>
        <w:rPr>
          <w:rFonts w:hint="eastAsia" w:ascii="Times New Roman" w:hAnsi="Times New Roman" w:eastAsia="宋体" w:cs="Times New Roman"/>
          <w:kern w:val="2"/>
          <w:sz w:val="24"/>
          <w:szCs w:val="24"/>
          <w:highlight w:val="none"/>
          <w:lang w:val="en-US" w:eastAsia="zh-CN" w:bidi="ar-SA"/>
        </w:rPr>
        <w:t>地址：</w:t>
      </w:r>
    </w:p>
    <w:p>
      <w:pPr>
        <w:numPr>
          <w:ilvl w:val="0"/>
          <w:numId w:val="5"/>
        </w:numPr>
        <w:tabs>
          <w:tab w:val="left" w:pos="709"/>
        </w:tabs>
        <w:spacing w:before="72" w:beforeLines="30" w:after="72" w:afterLines="30" w:line="360" w:lineRule="auto"/>
        <w:ind w:left="567" w:hanging="567"/>
        <w:outlineLvl w:val="0"/>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lang w:val="en-US" w:eastAsia="zh-CN"/>
        </w:rPr>
        <w:t>48</w:t>
      </w:r>
      <w:r>
        <w:rPr>
          <w:rFonts w:hint="eastAsia"/>
          <w:sz w:val="24"/>
          <w:highlight w:val="none"/>
        </w:rPr>
        <w:t>】</w:t>
      </w:r>
      <w:r>
        <w:rPr>
          <w:sz w:val="24"/>
          <w:highlight w:val="none"/>
        </w:rPr>
        <w:t>小时内，卖方应通过将下列</w:t>
      </w:r>
      <w:r>
        <w:rPr>
          <w:rFonts w:hint="eastAsia"/>
          <w:sz w:val="24"/>
        </w:rPr>
        <w:t>材料、</w:t>
      </w:r>
      <w:r>
        <w:rPr>
          <w:sz w:val="24"/>
        </w:rPr>
        <w:t>信息通知买方</w:t>
      </w:r>
      <w:r>
        <w:rPr>
          <w:rFonts w:hint="eastAsia"/>
          <w:sz w:val="24"/>
        </w:rPr>
        <w:t>：</w:t>
      </w:r>
      <w:r>
        <w:rPr>
          <w:sz w:val="24"/>
        </w:rPr>
        <w:t>合同号</w:t>
      </w:r>
      <w:r>
        <w:rPr>
          <w:rFonts w:hint="eastAsia"/>
          <w:sz w:val="24"/>
        </w:rPr>
        <w:t>、</w:t>
      </w:r>
      <w:r>
        <w:rPr>
          <w:sz w:val="24"/>
        </w:rPr>
        <w:t>货物名称及编号</w:t>
      </w:r>
      <w:r>
        <w:rPr>
          <w:rFonts w:hint="eastAsia"/>
          <w:sz w:val="24"/>
        </w:rPr>
        <w:t>、货物数量、</w:t>
      </w:r>
      <w:r>
        <w:rPr>
          <w:sz w:val="24"/>
        </w:rPr>
        <w:t>货物总重量</w:t>
      </w:r>
      <w:r>
        <w:rPr>
          <w:rFonts w:hint="eastAsia"/>
          <w:sz w:val="24"/>
          <w:lang w:val="en-US" w:eastAsia="zh-CN"/>
        </w:rPr>
        <w:t>等</w:t>
      </w:r>
      <w:r>
        <w:rPr>
          <w:rFonts w:hint="eastAsia"/>
          <w:sz w:val="24"/>
        </w:rPr>
        <w:t>。</w:t>
      </w:r>
    </w:p>
    <w:p>
      <w:pPr>
        <w:numPr>
          <w:ilvl w:val="0"/>
          <w:numId w:val="5"/>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包装</w:t>
      </w:r>
    </w:p>
    <w:p>
      <w:pPr>
        <w:pStyle w:val="41"/>
        <w:spacing w:line="360" w:lineRule="auto"/>
        <w:ind w:left="567" w:leftChars="270" w:firstLine="0" w:firstLineChars="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5"/>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货物资料的交付</w:t>
      </w:r>
    </w:p>
    <w:p>
      <w:pPr>
        <w:pStyle w:val="41"/>
        <w:numPr>
          <w:ilvl w:val="0"/>
          <w:numId w:val="7"/>
        </w:numPr>
        <w:tabs>
          <w:tab w:val="left" w:pos="709"/>
        </w:tabs>
        <w:spacing w:before="72" w:beforeLines="30" w:after="72" w:afterLines="30" w:line="360" w:lineRule="auto"/>
        <w:ind w:firstLineChars="0"/>
        <w:outlineLvl w:val="0"/>
        <w:rPr>
          <w:sz w:val="24"/>
          <w:highlight w:val="none"/>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sz w:val="24"/>
          <w:highlight w:val="none"/>
          <w:lang w:val="en-US" w:eastAsia="zh-CN"/>
        </w:rPr>
        <w:t>三（</w:t>
      </w:r>
      <w:r>
        <w:rPr>
          <w:rFonts w:hint="eastAsia" w:hAnsi="宋体"/>
          <w:i/>
          <w:sz w:val="24"/>
          <w:highlight w:val="none"/>
          <w:lang w:val="en-US" w:eastAsia="zh-CN"/>
        </w:rPr>
        <w:t>3）</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41"/>
        <w:numPr>
          <w:ilvl w:val="0"/>
          <w:numId w:val="7"/>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sz w:val="24"/>
          <w:highlight w:val="none"/>
          <w:lang w:val="en-US" w:eastAsia="zh-CN"/>
        </w:rPr>
        <w:t>以买方通知为准</w:t>
      </w:r>
      <w:r>
        <w:rPr>
          <w:rFonts w:hint="eastAsia" w:hAnsi="宋体"/>
          <w:sz w:val="24"/>
          <w:highlight w:val="none"/>
        </w:rPr>
        <w:t>】</w:t>
      </w:r>
      <w:r>
        <w:rPr>
          <w:rFonts w:hint="eastAsia"/>
          <w:sz w:val="24"/>
          <w:highlight w:val="none"/>
        </w:rPr>
        <w:t>。</w:t>
      </w:r>
    </w:p>
    <w:p>
      <w:pPr>
        <w:pStyle w:val="20"/>
        <w:numPr>
          <w:ilvl w:val="0"/>
          <w:numId w:val="1"/>
        </w:numPr>
        <w:tabs>
          <w:tab w:val="left" w:pos="567"/>
        </w:tabs>
        <w:spacing w:before="72" w:beforeLines="30" w:after="72" w:afterLines="30" w:line="360" w:lineRule="auto"/>
        <w:ind w:left="567" w:hanging="567"/>
        <w:jc w:val="left"/>
        <w:rPr>
          <w:sz w:val="24"/>
          <w:szCs w:val="24"/>
          <w:highlight w:val="none"/>
        </w:rPr>
      </w:pPr>
      <w:bookmarkStart w:id="32" w:name="_Toc306354315"/>
      <w:r>
        <w:rPr>
          <w:rFonts w:hint="eastAsia"/>
          <w:sz w:val="24"/>
          <w:szCs w:val="24"/>
          <w:highlight w:val="none"/>
        </w:rPr>
        <w:t>货物要求</w:t>
      </w:r>
    </w:p>
    <w:p>
      <w:pPr>
        <w:pStyle w:val="41"/>
        <w:numPr>
          <w:ilvl w:val="0"/>
          <w:numId w:val="8"/>
        </w:numPr>
        <w:spacing w:before="72" w:beforeLines="30" w:after="72" w:afterLines="30" w:line="360" w:lineRule="auto"/>
        <w:ind w:left="567" w:hanging="567" w:firstLineChars="0"/>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41"/>
        <w:numPr>
          <w:ilvl w:val="0"/>
          <w:numId w:val="8"/>
        </w:numPr>
        <w:spacing w:before="72" w:beforeLines="30" w:after="72" w:afterLines="30" w:line="360" w:lineRule="auto"/>
        <w:ind w:left="567" w:hanging="567" w:firstLineChars="0"/>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20"/>
        <w:numPr>
          <w:ilvl w:val="0"/>
          <w:numId w:val="1"/>
        </w:numPr>
        <w:tabs>
          <w:tab w:val="left" w:pos="567"/>
        </w:tabs>
        <w:spacing w:before="72" w:beforeLines="30" w:after="72" w:afterLines="30" w:line="360" w:lineRule="auto"/>
        <w:ind w:left="567" w:hanging="567"/>
        <w:jc w:val="left"/>
        <w:rPr>
          <w:sz w:val="24"/>
          <w:szCs w:val="24"/>
        </w:rPr>
      </w:pPr>
      <w:r>
        <w:rPr>
          <w:rFonts w:hint="eastAsia"/>
          <w:sz w:val="24"/>
          <w:szCs w:val="24"/>
        </w:rPr>
        <w:t>运输和保险</w:t>
      </w:r>
    </w:p>
    <w:p>
      <w:pPr>
        <w:pStyle w:val="41"/>
        <w:numPr>
          <w:ilvl w:val="0"/>
          <w:numId w:val="9"/>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sz w:val="24"/>
          <w:highlight w:val="none"/>
          <w:lang w:val="en-US" w:eastAsia="zh-CN"/>
        </w:rPr>
        <w:t>汽运</w:t>
      </w:r>
      <w:r>
        <w:rPr>
          <w:rFonts w:hint="eastAsia" w:hAnsi="宋体"/>
          <w:sz w:val="24"/>
          <w:highlight w:val="none"/>
        </w:rPr>
        <w:t>】</w:t>
      </w:r>
      <w:r>
        <w:rPr>
          <w:rFonts w:hint="eastAsia"/>
          <w:sz w:val="24"/>
          <w:highlight w:val="none"/>
        </w:rPr>
        <w:t>。</w:t>
      </w:r>
    </w:p>
    <w:p>
      <w:pPr>
        <w:pStyle w:val="41"/>
        <w:numPr>
          <w:ilvl w:val="0"/>
          <w:numId w:val="9"/>
        </w:numPr>
        <w:spacing w:before="72" w:beforeLines="30" w:after="72" w:afterLines="30" w:line="360" w:lineRule="auto"/>
        <w:ind w:left="567" w:hanging="567" w:firstLineChars="0"/>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w:t>
      </w:r>
      <w:r>
        <w:rPr>
          <w:rFonts w:hAnsi="宋体"/>
          <w:sz w:val="24"/>
          <w:highlight w:val="none"/>
        </w:rPr>
        <w:t>前</w:t>
      </w:r>
      <w:r>
        <w:rPr>
          <w:rFonts w:hint="eastAsia" w:hAnsi="宋体"/>
          <w:sz w:val="24"/>
          <w:highlight w:val="none"/>
        </w:rPr>
        <w:t>【</w:t>
      </w:r>
      <w:r>
        <w:rPr>
          <w:rFonts w:hint="eastAsia" w:hAnsi="宋体"/>
          <w:sz w:val="24"/>
          <w:highlight w:val="none"/>
          <w:lang w:val="en-US" w:eastAsia="zh-CN"/>
        </w:rPr>
        <w:t>1天</w:t>
      </w:r>
      <w:r>
        <w:rPr>
          <w:rFonts w:hint="eastAsia" w:hAnsi="宋体"/>
          <w:sz w:val="24"/>
          <w:highlight w:val="none"/>
        </w:rPr>
        <w:t>】</w:t>
      </w:r>
      <w:r>
        <w:rPr>
          <w:rFonts w:hAnsi="宋体"/>
          <w:sz w:val="24"/>
          <w:highlight w:val="none"/>
        </w:rPr>
        <w:t>通知买</w:t>
      </w:r>
      <w:r>
        <w:rPr>
          <w:rFonts w:hAnsi="宋体"/>
          <w:sz w:val="24"/>
        </w:rPr>
        <w:t>方，并获得买方的书面认可</w:t>
      </w:r>
      <w:r>
        <w:rPr>
          <w:rFonts w:hint="eastAsia" w:hAnsi="宋体"/>
          <w:sz w:val="24"/>
        </w:rPr>
        <w:t>。</w:t>
      </w:r>
    </w:p>
    <w:p>
      <w:pPr>
        <w:pStyle w:val="41"/>
        <w:numPr>
          <w:ilvl w:val="0"/>
          <w:numId w:val="9"/>
        </w:numPr>
        <w:spacing w:before="72" w:beforeLines="30" w:after="72" w:afterLines="30" w:line="360" w:lineRule="auto"/>
        <w:ind w:left="567" w:hanging="567" w:firstLineChars="0"/>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41"/>
        <w:numPr>
          <w:ilvl w:val="0"/>
          <w:numId w:val="9"/>
        </w:numPr>
        <w:spacing w:before="72" w:beforeLines="30" w:after="72" w:afterLines="30" w:line="360" w:lineRule="auto"/>
        <w:ind w:left="567" w:hanging="567" w:firstLineChars="0"/>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41"/>
        <w:numPr>
          <w:ilvl w:val="0"/>
          <w:numId w:val="9"/>
        </w:numPr>
        <w:spacing w:line="360" w:lineRule="auto"/>
        <w:ind w:left="567" w:hanging="567" w:firstLineChars="0"/>
        <w:rPr>
          <w:sz w:val="24"/>
        </w:rPr>
      </w:pPr>
      <w:r>
        <w:rPr>
          <w:rFonts w:hint="eastAsia"/>
          <w:sz w:val="24"/>
        </w:rPr>
        <w:t>运输保险</w:t>
      </w:r>
    </w:p>
    <w:p>
      <w:pPr>
        <w:pStyle w:val="41"/>
        <w:spacing w:line="360" w:lineRule="auto"/>
        <w:ind w:left="567" w:firstLine="0" w:firstLineChars="0"/>
        <w:rPr>
          <w:rFonts w:hAnsi="宋体"/>
          <w:bCs/>
          <w:sz w:val="24"/>
          <w:highlight w:val="none"/>
        </w:rPr>
      </w:pPr>
      <w:r>
        <w:rPr>
          <w:rFonts w:hAnsi="宋体"/>
          <w:sz w:val="24"/>
        </w:rPr>
        <w:t>卖方应</w:t>
      </w:r>
      <w:r>
        <w:rPr>
          <w:rFonts w:hAnsi="宋体"/>
          <w:bCs/>
          <w:sz w:val="24"/>
        </w:rPr>
        <w:t>根据运输方式，向</w:t>
      </w:r>
      <w:r>
        <w:rPr>
          <w:rFonts w:hint="eastAsia" w:hAnsi="宋体"/>
          <w:bCs/>
          <w:sz w:val="24"/>
        </w:rPr>
        <w:t>买方认可的、拥有合法资质的著名保险公司投保货物运输一切险或综合险，保险</w:t>
      </w:r>
      <w:r>
        <w:rPr>
          <w:rFonts w:hAnsi="宋体"/>
          <w:bCs/>
          <w:sz w:val="24"/>
        </w:rPr>
        <w:t>金额不低于合同总价，</w:t>
      </w:r>
      <w:r>
        <w:rPr>
          <w:rFonts w:hint="eastAsia" w:hAnsi="宋体"/>
          <w:bCs/>
          <w:sz w:val="24"/>
        </w:rPr>
        <w:t>并将买方列为共同被保险人或受益人。保障</w:t>
      </w:r>
      <w:r>
        <w:rPr>
          <w:rFonts w:hAnsi="宋体"/>
          <w:bCs/>
          <w:sz w:val="24"/>
        </w:rPr>
        <w:t>区段为卖方制造厂</w:t>
      </w:r>
      <w:r>
        <w:rPr>
          <w:rFonts w:hAnsi="宋体"/>
          <w:bCs/>
          <w:sz w:val="24"/>
          <w:highlight w:val="none"/>
        </w:rPr>
        <w:t>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41"/>
        <w:numPr>
          <w:ilvl w:val="0"/>
          <w:numId w:val="9"/>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sz w:val="24"/>
          <w:highlight w:val="none"/>
          <w:lang w:val="en-US" w:eastAsia="zh-CN"/>
        </w:rPr>
        <w:t>无特别约定</w:t>
      </w:r>
      <w:r>
        <w:rPr>
          <w:rFonts w:hint="eastAsia"/>
          <w:sz w:val="24"/>
          <w:highlight w:val="none"/>
        </w:rPr>
        <w:t>】</w:t>
      </w:r>
    </w:p>
    <w:p>
      <w:pPr>
        <w:pStyle w:val="20"/>
        <w:numPr>
          <w:ilvl w:val="0"/>
          <w:numId w:val="1"/>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32"/>
    </w:p>
    <w:p>
      <w:pPr>
        <w:numPr>
          <w:ilvl w:val="0"/>
          <w:numId w:val="10"/>
        </w:numPr>
        <w:tabs>
          <w:tab w:val="left" w:pos="567"/>
          <w:tab w:val="left" w:pos="709"/>
          <w:tab w:val="clear" w:pos="1860"/>
        </w:tabs>
        <w:snapToGrid w:val="0"/>
        <w:spacing w:before="72" w:beforeLines="30" w:after="72" w:afterLines="30" w:line="360" w:lineRule="auto"/>
        <w:ind w:left="567" w:hanging="567"/>
        <w:rPr>
          <w:b/>
          <w:sz w:val="24"/>
        </w:rPr>
      </w:pPr>
      <w:r>
        <w:rPr>
          <w:rFonts w:hint="eastAsia"/>
          <w:sz w:val="24"/>
        </w:rPr>
        <w:t>合同货物交付前，卖方应对其进行全面检验，并在交付货物时向买方提交货物的质量合格证书。</w:t>
      </w:r>
    </w:p>
    <w:p>
      <w:pPr>
        <w:numPr>
          <w:ilvl w:val="0"/>
          <w:numId w:val="10"/>
        </w:numPr>
        <w:tabs>
          <w:tab w:val="left" w:pos="567"/>
          <w:tab w:val="left" w:pos="709"/>
          <w:tab w:val="clear" w:pos="1860"/>
        </w:tabs>
        <w:snapToGrid w:val="0"/>
        <w:spacing w:before="72" w:beforeLines="30" w:after="72" w:afterLines="30" w:line="360" w:lineRule="auto"/>
        <w:ind w:left="567" w:hanging="567"/>
        <w:rPr>
          <w:b/>
          <w:sz w:val="24"/>
        </w:rPr>
      </w:pPr>
      <w:r>
        <w:rPr>
          <w:rFonts w:hint="eastAsia" w:hAnsi="宋体"/>
          <w:sz w:val="24"/>
        </w:rPr>
        <w:t>货物运抵交货地点时，双方应共同对货物进行验收。如果货物通过验收，买方向卖方签发验收证明。如货物不符合本合同的规定，买方有权拒绝接受货物。</w:t>
      </w:r>
    </w:p>
    <w:p>
      <w:pPr>
        <w:numPr>
          <w:ilvl w:val="0"/>
          <w:numId w:val="10"/>
        </w:numPr>
        <w:tabs>
          <w:tab w:val="left" w:pos="567"/>
          <w:tab w:val="left" w:pos="709"/>
          <w:tab w:val="clear" w:pos="1860"/>
        </w:tabs>
        <w:snapToGrid w:val="0"/>
        <w:spacing w:before="72" w:beforeLines="30" w:after="72"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20"/>
        <w:numPr>
          <w:ilvl w:val="0"/>
          <w:numId w:val="1"/>
        </w:numPr>
        <w:tabs>
          <w:tab w:val="left" w:pos="567"/>
        </w:tabs>
        <w:spacing w:before="72" w:beforeLines="30" w:after="72" w:afterLines="30" w:line="360" w:lineRule="auto"/>
        <w:ind w:left="567" w:hanging="567"/>
        <w:jc w:val="left"/>
        <w:rPr>
          <w:rFonts w:ascii="Times New Roman" w:hAnsi="Times New Roman"/>
          <w:sz w:val="24"/>
          <w:szCs w:val="24"/>
        </w:rPr>
      </w:pPr>
      <w:bookmarkStart w:id="33" w:name="_Toc306354316"/>
      <w:bookmarkStart w:id="34" w:name="_Toc274343583"/>
      <w:bookmarkStart w:id="35" w:name="_Toc274754050"/>
      <w:bookmarkStart w:id="36" w:name="_Toc274669181"/>
      <w:bookmarkStart w:id="37" w:name="_Toc278875415"/>
      <w:bookmarkStart w:id="38" w:name="_Toc274668240"/>
      <w:bookmarkStart w:id="39" w:name="_Toc274075980"/>
      <w:bookmarkStart w:id="40" w:name="_Toc273458613"/>
      <w:bookmarkStart w:id="41" w:name="_Toc273388613"/>
      <w:bookmarkStart w:id="42" w:name="_Toc274344115"/>
      <w:bookmarkStart w:id="43" w:name="_Toc273451799"/>
      <w:bookmarkStart w:id="44" w:name="_Toc298158366"/>
      <w:bookmarkStart w:id="45" w:name="_Toc273388514"/>
      <w:bookmarkStart w:id="46" w:name="_Toc274403515"/>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33"/>
      <w:bookmarkEnd w:id="34"/>
      <w:bookmarkEnd w:id="35"/>
      <w:bookmarkEnd w:id="36"/>
      <w:bookmarkEnd w:id="37"/>
      <w:bookmarkEnd w:id="38"/>
      <w:bookmarkEnd w:id="39"/>
      <w:bookmarkEnd w:id="40"/>
      <w:bookmarkEnd w:id="41"/>
      <w:bookmarkEnd w:id="42"/>
      <w:bookmarkEnd w:id="43"/>
      <w:bookmarkEnd w:id="44"/>
      <w:bookmarkEnd w:id="45"/>
      <w:bookmarkEnd w:id="46"/>
    </w:p>
    <w:p>
      <w:pPr>
        <w:numPr>
          <w:ilvl w:val="0"/>
          <w:numId w:val="11"/>
        </w:numPr>
        <w:tabs>
          <w:tab w:val="left" w:pos="567"/>
          <w:tab w:val="left" w:pos="709"/>
          <w:tab w:val="left" w:pos="3060"/>
        </w:tabs>
        <w:spacing w:before="72" w:beforeLines="30" w:after="72"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11"/>
        </w:numPr>
        <w:tabs>
          <w:tab w:val="left" w:pos="567"/>
          <w:tab w:val="left" w:pos="709"/>
          <w:tab w:val="left" w:pos="3060"/>
        </w:tabs>
        <w:spacing w:before="72" w:beforeLines="30" w:after="72"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11"/>
        </w:numPr>
        <w:tabs>
          <w:tab w:val="left" w:pos="567"/>
          <w:tab w:val="left" w:pos="709"/>
          <w:tab w:val="left" w:pos="3060"/>
        </w:tabs>
        <w:spacing w:before="72" w:beforeLines="30" w:after="72"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11"/>
        </w:numPr>
        <w:tabs>
          <w:tab w:val="left" w:pos="567"/>
          <w:tab w:val="left" w:pos="709"/>
          <w:tab w:val="left" w:pos="3060"/>
        </w:tabs>
        <w:spacing w:before="72" w:beforeLines="30" w:after="72" w:afterLines="30" w:line="360" w:lineRule="auto"/>
        <w:ind w:left="567" w:hanging="567"/>
        <w:rPr>
          <w:sz w:val="24"/>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pStyle w:val="20"/>
        <w:numPr>
          <w:ilvl w:val="0"/>
          <w:numId w:val="1"/>
        </w:numPr>
        <w:tabs>
          <w:tab w:val="left" w:pos="993"/>
        </w:tabs>
        <w:spacing w:before="72" w:beforeLines="30" w:after="72" w:afterLines="30" w:line="360" w:lineRule="auto"/>
        <w:ind w:left="567" w:hanging="567"/>
        <w:jc w:val="left"/>
        <w:rPr>
          <w:rFonts w:ascii="Times New Roman" w:hAnsi="Times New Roman"/>
          <w:sz w:val="24"/>
          <w:szCs w:val="24"/>
        </w:rPr>
      </w:pPr>
      <w:bookmarkStart w:id="47" w:name="_Toc306354317"/>
      <w:r>
        <w:rPr>
          <w:rFonts w:hint="eastAsia" w:ascii="Times New Roman" w:hAnsi="Times New Roman"/>
          <w:sz w:val="24"/>
          <w:szCs w:val="24"/>
        </w:rPr>
        <w:t>技术服务</w:t>
      </w:r>
    </w:p>
    <w:p>
      <w:pPr>
        <w:numPr>
          <w:ilvl w:val="0"/>
          <w:numId w:val="12"/>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rPr>
        <w:t>卖方应根据本合同的</w:t>
      </w:r>
      <w:r>
        <w:rPr>
          <w:rFonts w:hint="eastAsia" w:hAnsi="宋体"/>
          <w:sz w:val="24"/>
          <w:highlight w:val="none"/>
        </w:rPr>
        <w:t>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12"/>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12"/>
        </w:numPr>
        <w:tabs>
          <w:tab w:val="left" w:pos="567"/>
        </w:tabs>
        <w:snapToGrid w:val="0"/>
        <w:spacing w:before="72" w:beforeLines="30" w:after="72" w:afterLines="30" w:line="360" w:lineRule="auto"/>
        <w:ind w:left="567" w:hanging="567"/>
        <w:rPr>
          <w:sz w:val="24"/>
        </w:rPr>
      </w:pPr>
      <w:bookmarkStart w:id="48" w:name="_DV_C687"/>
      <w:r>
        <w:rPr>
          <w:rFonts w:hint="eastAsia" w:hAnsi="宋体"/>
          <w:sz w:val="24"/>
        </w:rPr>
        <w:t>如果买方认为卖方指派的服务人员提供的技术服务无法满足本合同的要求，卖方应更换服务人员并负担由此产生的全部费用。</w:t>
      </w:r>
      <w:bookmarkEnd w:id="48"/>
    </w:p>
    <w:p>
      <w:pPr>
        <w:numPr>
          <w:ilvl w:val="0"/>
          <w:numId w:val="12"/>
        </w:numPr>
        <w:tabs>
          <w:tab w:val="left" w:pos="567"/>
        </w:tabs>
        <w:snapToGrid w:val="0"/>
        <w:spacing w:before="72" w:beforeLines="30" w:after="72" w:afterLines="30" w:line="360" w:lineRule="auto"/>
        <w:ind w:left="567" w:hanging="567"/>
        <w:rPr>
          <w:sz w:val="24"/>
        </w:rPr>
      </w:pPr>
      <w:r>
        <w:rPr>
          <w:rFonts w:hint="eastAsia"/>
          <w:sz w:val="24"/>
        </w:rPr>
        <w:t>卖方指派的服务人员在为买方提供技术服务期间所遭受的人身和财产损失由卖方自行承担，除非该人身损害系因买方造成或该财产损失系因买方重大过失造成。</w:t>
      </w:r>
    </w:p>
    <w:p>
      <w:pPr>
        <w:pStyle w:val="20"/>
        <w:numPr>
          <w:ilvl w:val="0"/>
          <w:numId w:val="1"/>
        </w:numPr>
        <w:tabs>
          <w:tab w:val="left" w:pos="993"/>
        </w:tabs>
        <w:spacing w:before="72" w:beforeLines="30" w:after="72" w:afterLines="30" w:line="360" w:lineRule="auto"/>
        <w:ind w:left="567" w:hanging="567"/>
        <w:jc w:val="left"/>
        <w:rPr>
          <w:sz w:val="24"/>
          <w:szCs w:val="24"/>
        </w:rPr>
      </w:pPr>
      <w:r>
        <w:rPr>
          <w:rFonts w:hint="eastAsia"/>
          <w:sz w:val="24"/>
          <w:szCs w:val="24"/>
        </w:rPr>
        <w:t>权利保证</w:t>
      </w:r>
      <w:bookmarkEnd w:id="47"/>
    </w:p>
    <w:p>
      <w:pPr>
        <w:widowControl/>
        <w:numPr>
          <w:ilvl w:val="0"/>
          <w:numId w:val="13"/>
        </w:numPr>
        <w:tabs>
          <w:tab w:val="left" w:pos="567"/>
          <w:tab w:val="left" w:pos="709"/>
        </w:tabs>
        <w:spacing w:before="72" w:beforeLines="30" w:after="72" w:afterLines="30" w:line="360" w:lineRule="auto"/>
        <w:ind w:left="567" w:hanging="567"/>
        <w:rPr>
          <w:sz w:val="24"/>
        </w:rPr>
      </w:pP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0"/>
          <w:numId w:val="13"/>
        </w:numPr>
        <w:tabs>
          <w:tab w:val="left" w:pos="567"/>
          <w:tab w:val="left" w:pos="709"/>
        </w:tabs>
        <w:spacing w:before="72" w:beforeLines="30" w:after="72" w:afterLines="30" w:line="360" w:lineRule="auto"/>
        <w:ind w:left="567" w:hanging="567"/>
        <w:rPr>
          <w:sz w:val="24"/>
        </w:rPr>
      </w:pP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0"/>
          <w:numId w:val="13"/>
        </w:numPr>
        <w:tabs>
          <w:tab w:val="left" w:pos="567"/>
          <w:tab w:val="left" w:pos="709"/>
        </w:tabs>
        <w:spacing w:before="72" w:beforeLines="30" w:after="72" w:afterLines="30" w:line="360" w:lineRule="auto"/>
        <w:ind w:left="567" w:hanging="567"/>
        <w:rPr>
          <w:sz w:val="24"/>
        </w:rPr>
      </w:pPr>
      <w:r>
        <w:rPr>
          <w:rFonts w:hint="eastAsia"/>
          <w:sz w:val="24"/>
        </w:rPr>
        <w:t>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widowControl/>
        <w:numPr>
          <w:ilvl w:val="0"/>
          <w:numId w:val="13"/>
        </w:numPr>
        <w:tabs>
          <w:tab w:val="left" w:pos="567"/>
          <w:tab w:val="left" w:pos="709"/>
        </w:tabs>
        <w:spacing w:before="72" w:beforeLines="30" w:after="72" w:afterLines="30" w:line="360" w:lineRule="auto"/>
        <w:ind w:left="567" w:hanging="567"/>
        <w:rPr>
          <w:sz w:val="24"/>
        </w:rPr>
      </w:pPr>
      <w:r>
        <w:rPr>
          <w:rFonts w:hint="eastAsia"/>
          <w:sz w:val="24"/>
        </w:rPr>
        <w:t>双方同意，除非本合同另有约定，货物交付且买方按照本合同约定支付合同价款之后，买方</w:t>
      </w:r>
      <w:r>
        <w:rPr>
          <w:rFonts w:hint="eastAsia"/>
          <w:color w:val="000000"/>
          <w:sz w:val="24"/>
        </w:rPr>
        <w:t>不自动获得并拥有货物自身附有的相关知识产权，但</w:t>
      </w:r>
      <w:r>
        <w:rPr>
          <w:rFonts w:hint="eastAsia"/>
          <w:sz w:val="24"/>
        </w:rPr>
        <w:t>卖方同意无偿许可买方使用与货物有关的所有知识产权。</w:t>
      </w:r>
    </w:p>
    <w:p>
      <w:pPr>
        <w:pStyle w:val="20"/>
        <w:numPr>
          <w:ilvl w:val="0"/>
          <w:numId w:val="1"/>
        </w:numPr>
        <w:tabs>
          <w:tab w:val="left" w:pos="993"/>
        </w:tabs>
        <w:spacing w:before="72" w:beforeLines="30" w:after="72" w:afterLines="30" w:line="360" w:lineRule="auto"/>
        <w:ind w:left="567" w:hanging="567"/>
        <w:jc w:val="left"/>
        <w:rPr>
          <w:sz w:val="24"/>
          <w:szCs w:val="24"/>
        </w:rPr>
      </w:pPr>
      <w:bookmarkStart w:id="49" w:name="_Toc306354318"/>
      <w:r>
        <w:rPr>
          <w:rFonts w:hint="eastAsia"/>
          <w:sz w:val="24"/>
          <w:szCs w:val="24"/>
        </w:rPr>
        <w:t xml:space="preserve"> </w:t>
      </w:r>
      <w:r>
        <w:rPr>
          <w:sz w:val="24"/>
          <w:szCs w:val="24"/>
        </w:rPr>
        <w:t>质量保证</w:t>
      </w:r>
      <w:bookmarkEnd w:id="49"/>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rPr>
        <w:t>卖方特此保证提供的货物</w:t>
      </w:r>
      <w:r>
        <w:rPr>
          <w:rFonts w:hint="eastAsia"/>
          <w:sz w:val="24"/>
        </w:rPr>
        <w:t>是崭新、从未使用过的，采用先进技术制造，具备优良的制造工艺和水平，符合本合同规定的要求，不存在</w:t>
      </w:r>
      <w:r>
        <w:rPr>
          <w:rFonts w:hint="eastAsia"/>
          <w:sz w:val="24"/>
          <w:highlight w:val="none"/>
        </w:rPr>
        <w:t>任何缺陷。</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货物的质保期为完成安装并验收合格之日起6个</w:t>
      </w:r>
      <w:r>
        <w:rPr>
          <w:rFonts w:hint="eastAsia"/>
          <w:sz w:val="24"/>
          <w:highlight w:val="none"/>
          <w:lang w:val="en-US" w:eastAsia="zh-CN"/>
        </w:rPr>
        <w:t>月</w:t>
      </w:r>
      <w:r>
        <w:rPr>
          <w:rFonts w:hint="eastAsia"/>
          <w:color w:val="000000"/>
          <w:sz w:val="24"/>
          <w:highlight w:val="none"/>
        </w:rPr>
        <w:t>。</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int="eastAsia"/>
          <w:sz w:val="24"/>
          <w:highlight w:val="none"/>
        </w:rPr>
        <w:t>质保期内，如发现货物违反本合同项下的</w:t>
      </w:r>
      <w:r>
        <w:rPr>
          <w:rFonts w:hint="eastAsia"/>
          <w:sz w:val="24"/>
        </w:rPr>
        <w:t>任何保证，买方有权选择且卖方应采取下列补救措施：</w:t>
      </w:r>
    </w:p>
    <w:p>
      <w:pPr>
        <w:numPr>
          <w:ilvl w:val="0"/>
          <w:numId w:val="15"/>
        </w:numPr>
        <w:tabs>
          <w:tab w:val="left" w:pos="1860"/>
        </w:tabs>
        <w:autoSpaceDE w:val="0"/>
        <w:autoSpaceDN w:val="0"/>
        <w:adjustRightInd w:val="0"/>
        <w:spacing w:before="72" w:beforeLines="30" w:after="72" w:afterLines="30" w:line="360" w:lineRule="auto"/>
        <w:ind w:left="567"/>
        <w:jc w:val="left"/>
        <w:rPr>
          <w:rFonts w:hint="eastAsia"/>
          <w:sz w:val="24"/>
        </w:rPr>
      </w:pPr>
      <w:r>
        <w:rPr>
          <w:rFonts w:hint="eastAsia"/>
          <w:sz w:val="24"/>
        </w:rPr>
        <w:t>卖方对货物进行修复使货物符合本合同项下的保证和本合同的约定。</w:t>
      </w:r>
    </w:p>
    <w:p>
      <w:pPr>
        <w:numPr>
          <w:ilvl w:val="0"/>
          <w:numId w:val="15"/>
        </w:numPr>
        <w:tabs>
          <w:tab w:val="left" w:pos="1860"/>
        </w:tabs>
        <w:autoSpaceDE w:val="0"/>
        <w:autoSpaceDN w:val="0"/>
        <w:adjustRightInd w:val="0"/>
        <w:spacing w:before="72" w:beforeLines="30" w:after="72" w:afterLines="30" w:line="360" w:lineRule="auto"/>
        <w:ind w:left="567"/>
        <w:jc w:val="left"/>
        <w:rPr>
          <w:sz w:val="24"/>
        </w:rPr>
      </w:pPr>
      <w:r>
        <w:rPr>
          <w:rFonts w:hint="eastAsia"/>
          <w:sz w:val="24"/>
        </w:rPr>
        <w:t>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（3）退货。卖方承担由此产生的费用。</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Ansi="宋体"/>
          <w:sz w:val="24"/>
        </w:rPr>
        <w:t>对于任何修复或更换，卖方应在收到</w:t>
      </w:r>
      <w:r>
        <w:rPr>
          <w:rFonts w:hint="eastAsia" w:hAnsi="宋体"/>
          <w:sz w:val="24"/>
        </w:rPr>
        <w:t>买方发出的</w:t>
      </w:r>
      <w:r>
        <w:rPr>
          <w:rFonts w:hAnsi="宋体"/>
          <w:sz w:val="24"/>
        </w:rPr>
        <w:t>货物缺陷通知</w:t>
      </w:r>
      <w:r>
        <w:rPr>
          <w:rFonts w:hAnsi="宋体"/>
          <w:sz w:val="24"/>
          <w:highlight w:val="none"/>
        </w:rPr>
        <w:t>后</w:t>
      </w:r>
      <w:r>
        <w:rPr>
          <w:rFonts w:hint="eastAsia"/>
          <w:color w:val="000000"/>
          <w:sz w:val="24"/>
          <w:highlight w:val="none"/>
        </w:rPr>
        <w:t>【</w:t>
      </w:r>
      <w:r>
        <w:rPr>
          <w:rFonts w:hint="eastAsia"/>
          <w:color w:val="000000"/>
          <w:sz w:val="24"/>
          <w:highlight w:val="none"/>
          <w:lang w:val="en-US" w:eastAsia="zh-CN"/>
        </w:rPr>
        <w:t>三（</w:t>
      </w:r>
      <w:r>
        <w:rPr>
          <w:rFonts w:hint="eastAsia"/>
          <w:i/>
          <w:color w:val="000000"/>
          <w:sz w:val="24"/>
          <w:highlight w:val="none"/>
          <w:lang w:val="en-US" w:eastAsia="zh-CN"/>
        </w:rPr>
        <w:t>3）</w:t>
      </w:r>
      <w:r>
        <w:rPr>
          <w:rFonts w:hint="eastAsia"/>
          <w:color w:val="000000"/>
          <w:sz w:val="24"/>
          <w:highlight w:val="none"/>
        </w:rPr>
        <w:t>】</w:t>
      </w:r>
      <w:r>
        <w:rPr>
          <w:rFonts w:hint="eastAsia" w:hAnsi="宋体"/>
          <w:sz w:val="24"/>
          <w:highlight w:val="none"/>
        </w:rPr>
        <w:t>日</w:t>
      </w:r>
      <w:r>
        <w:rPr>
          <w:rFonts w:hAnsi="宋体"/>
          <w:sz w:val="24"/>
          <w:highlight w:val="none"/>
        </w:rPr>
        <w:t>内</w:t>
      </w:r>
      <w:r>
        <w:rPr>
          <w:rFonts w:hAnsi="宋体"/>
          <w:sz w:val="24"/>
        </w:rPr>
        <w:t>完成。</w:t>
      </w:r>
      <w:r>
        <w:rPr>
          <w:rFonts w:hint="eastAsia" w:hAnsi="宋体"/>
          <w:sz w:val="24"/>
        </w:rPr>
        <w:t>若卖方到通知后未在规定的时</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int="eastAsia" w:hAnsi="宋体"/>
          <w:sz w:val="24"/>
        </w:rPr>
        <w:t>间内及时维修、重作、更换以弥补缺陷，卖方可采取必要的补救措施，但其风险和费用将由买方承担，买方根据合同规定对买方行使的其他权利不受影响。</w:t>
      </w:r>
      <w:r>
        <w:rPr>
          <w:rFonts w:hAnsi="宋体"/>
          <w:sz w:val="24"/>
        </w:rPr>
        <w:t>如经修复、更换仍无法消除该等缺陷，买方有权要求退货。卖方应赔偿买方因货物存在前述缺陷遭受的全部损失。</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Ansi="宋体"/>
          <w:sz w:val="24"/>
        </w:rPr>
        <w:t>如在质保期内发生</w:t>
      </w:r>
      <w:r>
        <w:rPr>
          <w:rFonts w:hint="eastAsia" w:hAnsi="宋体"/>
          <w:sz w:val="24"/>
        </w:rPr>
        <w:t>维修、重作、更换以弥补缺陷事件，</w:t>
      </w:r>
      <w:r>
        <w:rPr>
          <w:rFonts w:hAnsi="宋体"/>
          <w:sz w:val="24"/>
        </w:rPr>
        <w:t>则相应的质保期应重新计算</w:t>
      </w:r>
      <w:r>
        <w:rPr>
          <w:rFonts w:hint="eastAsia" w:hAnsi="宋体"/>
          <w:sz w:val="24"/>
        </w:rPr>
        <w:t>。</w:t>
      </w:r>
    </w:p>
    <w:p>
      <w:pPr>
        <w:numPr>
          <w:ilvl w:val="0"/>
          <w:numId w:val="14"/>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rPr>
      </w:pPr>
      <w:r>
        <w:rPr>
          <w:rFonts w:hint="eastAsia" w:hAnsi="宋体"/>
          <w:sz w:val="24"/>
        </w:rPr>
        <w:t>质保期结束，买方向卖方签发货物最终接收证书。买方签发最终接收证书不减少、免除卖方在本合同项下的任何义务（包括卖方对货物应符合本合同质量、规格要求应承担的责任）。</w:t>
      </w:r>
    </w:p>
    <w:p>
      <w:pPr>
        <w:pStyle w:val="20"/>
        <w:numPr>
          <w:ilvl w:val="0"/>
          <w:numId w:val="1"/>
        </w:numPr>
        <w:tabs>
          <w:tab w:val="left" w:pos="993"/>
        </w:tabs>
        <w:spacing w:before="72" w:beforeLines="30" w:after="72" w:afterLines="30" w:line="360" w:lineRule="auto"/>
        <w:ind w:left="567" w:hanging="567"/>
        <w:jc w:val="left"/>
        <w:rPr>
          <w:rFonts w:ascii="Times New Roman" w:hAnsi="Times New Roman"/>
          <w:sz w:val="24"/>
          <w:szCs w:val="24"/>
        </w:rPr>
      </w:pPr>
      <w:bookmarkStart w:id="50" w:name="_Toc273451906"/>
      <w:bookmarkStart w:id="51" w:name="_Toc278875417"/>
      <w:bookmarkStart w:id="52" w:name="_Toc274668241"/>
      <w:bookmarkStart w:id="53" w:name="_Toc274075964"/>
      <w:bookmarkStart w:id="54" w:name="_Toc274403516"/>
      <w:bookmarkStart w:id="55" w:name="_Toc274076152"/>
      <w:bookmarkStart w:id="56" w:name="_Toc274343584"/>
      <w:bookmarkStart w:id="57" w:name="_Toc273451839"/>
      <w:bookmarkStart w:id="58" w:name="_Toc274344116"/>
      <w:bookmarkStart w:id="59" w:name="_Toc274669182"/>
      <w:bookmarkStart w:id="60" w:name="_Toc306354320"/>
      <w:bookmarkStart w:id="61" w:name="_Toc298158368"/>
      <w:bookmarkStart w:id="62" w:name="_Toc274754051"/>
      <w:bookmarkStart w:id="63" w:name="_Toc273388519"/>
      <w:bookmarkStart w:id="64" w:name="_Toc273388618"/>
      <w:bookmarkStart w:id="65" w:name="_Toc274075986"/>
      <w:bookmarkStart w:id="66" w:name="_Toc273451804"/>
      <w:bookmarkStart w:id="67" w:name="_Toc273458618"/>
      <w:r>
        <w:rPr>
          <w:rFonts w:hint="eastAsia" w:ascii="Times New Roman" w:hAnsi="Times New Roman"/>
          <w:sz w:val="24"/>
          <w:szCs w:val="24"/>
        </w:rPr>
        <w:t xml:space="preserve"> </w:t>
      </w:r>
      <w:r>
        <w:rPr>
          <w:rFonts w:ascii="Times New Roman" w:hAnsi="Times New Roman"/>
          <w:sz w:val="24"/>
          <w:szCs w:val="24"/>
        </w:rPr>
        <w:t>违约责任</w:t>
      </w:r>
      <w:bookmarkEnd w:id="50"/>
      <w:bookmarkEnd w:id="51"/>
      <w:bookmarkEnd w:id="52"/>
      <w:bookmarkEnd w:id="53"/>
      <w:bookmarkEnd w:id="54"/>
      <w:bookmarkEnd w:id="55"/>
      <w:bookmarkEnd w:id="56"/>
      <w:bookmarkEnd w:id="57"/>
      <w:bookmarkEnd w:id="58"/>
      <w:bookmarkEnd w:id="59"/>
      <w:bookmarkEnd w:id="60"/>
      <w:bookmarkEnd w:id="61"/>
      <w:bookmarkEnd w:id="62"/>
    </w:p>
    <w:p>
      <w:pPr>
        <w:numPr>
          <w:ilvl w:val="0"/>
          <w:numId w:val="16"/>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68" w:name="OLE_LINK65"/>
      <w:bookmarkStart w:id="69" w:name="OLE_LINK64"/>
      <w:r>
        <w:rPr>
          <w:rFonts w:hint="eastAsia"/>
          <w:sz w:val="24"/>
          <w:highlight w:val="none"/>
        </w:rPr>
        <w:t>【</w:t>
      </w:r>
      <w:r>
        <w:rPr>
          <w:rFonts w:hint="eastAsia"/>
          <w:sz w:val="24"/>
          <w:highlight w:val="none"/>
          <w:lang w:val="en-US" w:eastAsia="zh-CN"/>
        </w:rPr>
        <w:t>1</w:t>
      </w:r>
      <w:r>
        <w:rPr>
          <w:rFonts w:hint="eastAsia"/>
          <w:i/>
          <w:sz w:val="24"/>
          <w:highlight w:val="none"/>
          <w:lang w:val="en-US" w:eastAsia="zh-CN"/>
        </w:rPr>
        <w:t>0%</w:t>
      </w:r>
      <w:r>
        <w:rPr>
          <w:rFonts w:hint="eastAsia"/>
          <w:sz w:val="24"/>
          <w:highlight w:val="none"/>
        </w:rPr>
        <w:t>】</w:t>
      </w:r>
      <w:bookmarkEnd w:id="68"/>
      <w:bookmarkEnd w:id="69"/>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1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1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17"/>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16"/>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16"/>
        </w:numPr>
        <w:tabs>
          <w:tab w:val="left" w:pos="567"/>
          <w:tab w:val="left" w:pos="709"/>
          <w:tab w:val="left" w:pos="3060"/>
        </w:tabs>
        <w:spacing w:before="72" w:beforeLines="30" w:after="72" w:afterLines="30" w:line="360" w:lineRule="auto"/>
        <w:ind w:left="567" w:hanging="567"/>
        <w:rPr>
          <w:rFonts w:hAnsi="宋体"/>
          <w:bCs/>
          <w:sz w:val="24"/>
        </w:rPr>
      </w:pPr>
      <w:r>
        <w:rPr>
          <w:rFonts w:hint="eastAsia"/>
          <w:sz w:val="24"/>
          <w:highlight w:val="none"/>
        </w:rPr>
        <w:t>如卖方未能在交付日期交付货物，每延期交付一日，卖方应向买方支付合同总价的【</w:t>
      </w:r>
      <w:r>
        <w:rPr>
          <w:rFonts w:hint="eastAsia"/>
          <w:sz w:val="24"/>
          <w:highlight w:val="none"/>
          <w:lang w:val="en-US" w:eastAsia="zh-CN"/>
        </w:rPr>
        <w:t>1‰</w:t>
      </w:r>
      <w:r>
        <w:rPr>
          <w:rFonts w:hint="eastAsia"/>
          <w:sz w:val="24"/>
          <w:highlight w:val="none"/>
        </w:rPr>
        <w:t>】作为延期违约金，但是，该等延期违约金最高不得超过合同总价的【</w:t>
      </w:r>
      <w:r>
        <w:rPr>
          <w:rFonts w:hint="eastAsia"/>
          <w:sz w:val="24"/>
          <w:highlight w:val="none"/>
          <w:lang w:val="en-US" w:eastAsia="zh-CN"/>
        </w:rPr>
        <w:t>1</w:t>
      </w:r>
      <w:r>
        <w:rPr>
          <w:rFonts w:hint="eastAsia"/>
          <w:i/>
          <w:sz w:val="24"/>
          <w:highlight w:val="none"/>
          <w:lang w:val="en-US" w:eastAsia="zh-CN"/>
        </w:rPr>
        <w:t>0%</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sz w:val="24"/>
          <w:highlight w:val="none"/>
          <w:lang w:val="en-US" w:eastAsia="zh-CN"/>
        </w:rPr>
        <w:t>三十（</w:t>
      </w:r>
      <w:r>
        <w:rPr>
          <w:rFonts w:hint="eastAsia" w:hAnsi="宋体"/>
          <w:bCs/>
          <w:i/>
          <w:sz w:val="24"/>
          <w:highlight w:val="none"/>
          <w:lang w:val="en-US" w:eastAsia="zh-CN"/>
        </w:rPr>
        <w:t>30）</w:t>
      </w:r>
      <w:r>
        <w:rPr>
          <w:rFonts w:hAnsi="宋体"/>
          <w:bCs/>
          <w:sz w:val="24"/>
          <w:highlight w:val="none"/>
        </w:rPr>
        <w:t>】</w:t>
      </w:r>
      <w:r>
        <w:rPr>
          <w:rFonts w:hint="eastAsia" w:hAnsi="宋体"/>
          <w:bCs/>
          <w:sz w:val="24"/>
          <w:highlight w:val="none"/>
        </w:rPr>
        <w:t>日，除要求卖</w:t>
      </w:r>
      <w:r>
        <w:rPr>
          <w:rFonts w:hint="eastAsia" w:hAnsi="宋体"/>
          <w:bCs/>
          <w:sz w:val="24"/>
        </w:rPr>
        <w:t>方支付违约金外，买方有权解除本合同，并有权要求卖方赔偿买方因此遭受的</w:t>
      </w:r>
      <w:r>
        <w:rPr>
          <w:rFonts w:hint="eastAsia"/>
          <w:bCs/>
          <w:sz w:val="24"/>
        </w:rPr>
        <w:t>超出违约金数额的</w:t>
      </w:r>
      <w:r>
        <w:rPr>
          <w:rFonts w:hint="eastAsia" w:hAnsi="宋体"/>
          <w:bCs/>
          <w:sz w:val="24"/>
        </w:rPr>
        <w:t>全部损失。</w:t>
      </w:r>
    </w:p>
    <w:p>
      <w:pPr>
        <w:numPr>
          <w:ilvl w:val="0"/>
          <w:numId w:val="16"/>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rPr>
        <w:t>如仅因买方原因，买方</w:t>
      </w:r>
      <w:r>
        <w:rPr>
          <w:rFonts w:hint="eastAsia"/>
          <w:sz w:val="24"/>
          <w:highlight w:val="none"/>
        </w:rPr>
        <w:t>逾期向卖方付款，卖方应向买方发出书面催款通知，买方应在收到该等通知后【</w:t>
      </w:r>
      <w:r>
        <w:rPr>
          <w:rFonts w:hint="eastAsia"/>
          <w:sz w:val="24"/>
          <w:highlight w:val="none"/>
          <w:lang w:val="en-US" w:eastAsia="zh-CN"/>
        </w:rPr>
        <w:t>45</w:t>
      </w:r>
      <w:r>
        <w:rPr>
          <w:rFonts w:hint="eastAsia"/>
          <w:sz w:val="24"/>
          <w:highlight w:val="none"/>
        </w:rPr>
        <w:t>】日内付款，否则，即应自该等【</w:t>
      </w:r>
      <w:r>
        <w:rPr>
          <w:rFonts w:hint="eastAsia"/>
          <w:sz w:val="24"/>
          <w:highlight w:val="none"/>
          <w:lang w:val="en-US" w:eastAsia="zh-CN"/>
        </w:rPr>
        <w:t>45</w:t>
      </w:r>
      <w:r>
        <w:rPr>
          <w:rFonts w:hint="eastAsia"/>
          <w:sz w:val="24"/>
          <w:highlight w:val="none"/>
        </w:rPr>
        <w:t>】日期间结束之日起，按合同订立时1年期贷款市场报价利率计算并支付应付</w:t>
      </w:r>
      <w:r>
        <w:rPr>
          <w:rFonts w:hint="eastAsia"/>
          <w:sz w:val="24"/>
        </w:rPr>
        <w:t>未付合同价款的利息，最高不</w:t>
      </w:r>
      <w:r>
        <w:rPr>
          <w:rFonts w:hint="eastAsia"/>
          <w:sz w:val="24"/>
          <w:highlight w:val="none"/>
        </w:rPr>
        <w:t>超过相关应付未付合同价款的【</w:t>
      </w:r>
      <w:r>
        <w:rPr>
          <w:rFonts w:hint="eastAsia"/>
          <w:sz w:val="24"/>
          <w:highlight w:val="none"/>
          <w:lang w:val="en-US" w:eastAsia="zh-CN"/>
        </w:rPr>
        <w:t>5%</w:t>
      </w:r>
      <w:r>
        <w:rPr>
          <w:rFonts w:hint="eastAsia"/>
          <w:sz w:val="24"/>
          <w:highlight w:val="none"/>
        </w:rPr>
        <w:t>】。双方同意，该等利息的支付是买方就未能如期支付相关合同价款所需承担的全部责任。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right="119" w:rightChars="0" w:hanging="480" w:hangingChars="200"/>
        <w:textAlignment w:val="auto"/>
        <w:rPr>
          <w:rFonts w:hint="default" w:eastAsia="宋体"/>
          <w:highlight w:val="none"/>
          <w:lang w:val="en-US" w:eastAsia="zh-CN"/>
        </w:rPr>
      </w:pPr>
      <w:r>
        <w:rPr>
          <w:rFonts w:hint="eastAsia" w:cs="Times New Roman"/>
          <w:kern w:val="2"/>
          <w:sz w:val="24"/>
          <w:szCs w:val="24"/>
          <w:highlight w:val="none"/>
          <w:lang w:val="en-US" w:eastAsia="zh-CN" w:bidi="ar-SA"/>
        </w:rPr>
        <w:t xml:space="preserve">12.5 </w:t>
      </w:r>
      <w:r>
        <w:rPr>
          <w:rFonts w:hint="eastAsia" w:ascii="Times New Roman" w:hAnsi="Times New Roman" w:eastAsia="宋体" w:cs="Times New Roman"/>
          <w:kern w:val="2"/>
          <w:sz w:val="24"/>
          <w:szCs w:val="24"/>
          <w:highlight w:val="none"/>
          <w:lang w:val="en-US" w:eastAsia="zh-CN" w:bidi="ar-SA"/>
        </w:rPr>
        <w:t>如卖方未能在接到买方邮件或联络函通知后（买方至少提前一周通知），安排服务人员前往指定出海码头出海，服务人员每延期出海一日（出海日期以邮件或联络函通知为准），卖方应向买方支付合同总价的0.5%作为延期违约金（最高不超过合同总价的10%）。如延期超过7日，除要求卖方支付违约金外，买方有权要求卖方赔偿买方在此期间因调试延误产生的人员怠工、工期延误等全部损失。</w:t>
      </w:r>
    </w:p>
    <w:p>
      <w:pPr>
        <w:numPr>
          <w:ilvl w:val="0"/>
          <w:numId w:val="0"/>
        </w:numPr>
        <w:tabs>
          <w:tab w:val="left" w:pos="567"/>
          <w:tab w:val="left" w:pos="709"/>
          <w:tab w:val="left" w:pos="3060"/>
        </w:tabs>
        <w:spacing w:before="72" w:beforeLines="30" w:after="72" w:afterLines="30" w:line="360" w:lineRule="auto"/>
        <w:ind w:left="480" w:leftChars="0" w:hanging="480" w:hangingChars="200"/>
        <w:rPr>
          <w:sz w:val="24"/>
        </w:rPr>
      </w:pPr>
      <w:r>
        <w:rPr>
          <w:rFonts w:hint="eastAsia"/>
          <w:sz w:val="24"/>
          <w:highlight w:val="none"/>
          <w:lang w:val="en-US" w:eastAsia="zh-CN"/>
        </w:rPr>
        <w:t xml:space="preserve">12.6 </w:t>
      </w:r>
      <w:r>
        <w:rPr>
          <w:sz w:val="24"/>
          <w:highlight w:val="none"/>
        </w:rPr>
        <w:t>卖方根据本合同的规定应承担违约金或赔</w:t>
      </w:r>
      <w:r>
        <w:rPr>
          <w:sz w:val="24"/>
        </w:rPr>
        <w:t>偿责任的，买方有权从合同总价余额</w:t>
      </w:r>
      <w:r>
        <w:rPr>
          <w:rFonts w:hint="eastAsia"/>
          <w:sz w:val="24"/>
        </w:rPr>
        <w:t>中直接扣除</w:t>
      </w:r>
      <w:r>
        <w:rPr>
          <w:sz w:val="24"/>
        </w:rPr>
        <w:t>。</w:t>
      </w:r>
    </w:p>
    <w:p>
      <w:pPr>
        <w:pStyle w:val="20"/>
        <w:numPr>
          <w:ilvl w:val="0"/>
          <w:numId w:val="1"/>
        </w:numPr>
        <w:tabs>
          <w:tab w:val="left" w:pos="993"/>
        </w:tabs>
        <w:spacing w:before="72" w:beforeLines="30" w:after="72" w:afterLines="30" w:line="360" w:lineRule="auto"/>
        <w:ind w:left="567" w:hanging="567"/>
        <w:jc w:val="left"/>
        <w:rPr>
          <w:sz w:val="24"/>
          <w:szCs w:val="24"/>
        </w:rPr>
      </w:pPr>
      <w:r>
        <w:rPr>
          <w:rFonts w:hint="eastAsia"/>
          <w:sz w:val="24"/>
        </w:rPr>
        <w:t xml:space="preserve"> </w:t>
      </w:r>
      <w:bookmarkStart w:id="70" w:name="_Toc306354321"/>
      <w:r>
        <w:rPr>
          <w:rFonts w:hint="eastAsia" w:ascii="Times New Roman" w:hAnsi="Times New Roman"/>
          <w:sz w:val="24"/>
          <w:szCs w:val="24"/>
        </w:rPr>
        <w:t>合同的解除和</w:t>
      </w:r>
      <w:r>
        <w:rPr>
          <w:sz w:val="24"/>
          <w:szCs w:val="24"/>
        </w:rPr>
        <w:t>终止</w:t>
      </w:r>
      <w:bookmarkEnd w:id="70"/>
    </w:p>
    <w:p>
      <w:pPr>
        <w:numPr>
          <w:ilvl w:val="0"/>
          <w:numId w:val="18"/>
        </w:numPr>
        <w:tabs>
          <w:tab w:val="left" w:pos="567"/>
          <w:tab w:val="left" w:pos="709"/>
        </w:tabs>
        <w:spacing w:before="72" w:beforeLines="30" w:after="72" w:afterLines="30" w:line="360" w:lineRule="auto"/>
        <w:ind w:left="567" w:hanging="567"/>
        <w:rPr>
          <w:rFonts w:hAnsi="宋体"/>
          <w:color w:val="000000"/>
          <w:sz w:val="24"/>
        </w:rPr>
      </w:pPr>
      <w:r>
        <w:rPr>
          <w:rFonts w:hint="eastAsia" w:hAnsi="宋体"/>
          <w:color w:val="000000"/>
          <w:sz w:val="24"/>
        </w:rPr>
        <w:t>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rPr>
        <w:t>不可抗力</w:t>
      </w:r>
      <w:r>
        <w:rPr>
          <w:sz w:val="24"/>
        </w:rPr>
        <w:t>持</w:t>
      </w:r>
      <w:r>
        <w:rPr>
          <w:sz w:val="24"/>
          <w:highlight w:val="none"/>
        </w:rPr>
        <w:t>续超过【</w:t>
      </w:r>
      <w:r>
        <w:rPr>
          <w:rFonts w:hint="eastAsia"/>
          <w:i/>
          <w:sz w:val="24"/>
          <w:highlight w:val="none"/>
        </w:rPr>
        <w:t>六十（60）</w:t>
      </w:r>
      <w:r>
        <w:rPr>
          <w:sz w:val="24"/>
          <w:highlight w:val="none"/>
        </w:rPr>
        <w:t>】</w:t>
      </w:r>
      <w:r>
        <w:rPr>
          <w:rFonts w:hint="eastAsia"/>
          <w:sz w:val="24"/>
          <w:highlight w:val="none"/>
        </w:rPr>
        <w:t>日。</w:t>
      </w:r>
    </w:p>
    <w:p>
      <w:pPr>
        <w:numPr>
          <w:ilvl w:val="0"/>
          <w:numId w:val="18"/>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18"/>
        </w:numPr>
        <w:tabs>
          <w:tab w:val="left" w:pos="567"/>
          <w:tab w:val="left" w:pos="709"/>
        </w:tabs>
        <w:spacing w:before="72" w:beforeLines="30" w:after="72" w:afterLines="30" w:line="360" w:lineRule="auto"/>
        <w:ind w:left="567" w:hanging="567"/>
        <w:rPr>
          <w:rFonts w:hAnsi="宋体"/>
          <w:color w:val="000000"/>
          <w:sz w:val="24"/>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w:t>
      </w:r>
      <w:r>
        <w:rPr>
          <w:rFonts w:hint="eastAsia" w:hAnsi="宋体"/>
          <w:color w:val="000000"/>
          <w:sz w:val="24"/>
        </w:rPr>
        <w:t>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0"/>
          <w:numId w:val="18"/>
        </w:numPr>
        <w:tabs>
          <w:tab w:val="left" w:pos="567"/>
          <w:tab w:val="left" w:pos="709"/>
        </w:tabs>
        <w:spacing w:before="72" w:beforeLines="30" w:after="72" w:afterLines="30" w:line="360" w:lineRule="auto"/>
        <w:ind w:left="567" w:hanging="567"/>
        <w:rPr>
          <w:rFonts w:hAnsi="宋体"/>
          <w:color w:val="000000"/>
          <w:sz w:val="24"/>
        </w:rPr>
      </w:pPr>
      <w:bookmarkStart w:id="71" w:name="_DV_C932"/>
      <w:r>
        <w:rPr>
          <w:rFonts w:hint="eastAsia" w:hAnsi="宋体"/>
          <w:color w:val="000000"/>
          <w:sz w:val="24"/>
        </w:rPr>
        <w:t>如果本合同根据本条第13</w:t>
      </w:r>
      <w:r>
        <w:rPr>
          <w:rFonts w:hAnsi="宋体"/>
          <w:color w:val="000000"/>
          <w:sz w:val="24"/>
        </w:rPr>
        <w:t>.3款</w:t>
      </w:r>
      <w:r>
        <w:rPr>
          <w:rFonts w:hint="eastAsia" w:hAnsi="宋体"/>
          <w:color w:val="000000"/>
          <w:sz w:val="24"/>
        </w:rPr>
        <w:t>终止，对于合同终止前买方已经支付合同价款或提供补偿费用的货物，卖方应立即移交给买方，买方拥有相关货物的全部权益。</w:t>
      </w:r>
      <w:bookmarkEnd w:id="71"/>
    </w:p>
    <w:p>
      <w:pPr>
        <w:pStyle w:val="20"/>
        <w:numPr>
          <w:ilvl w:val="0"/>
          <w:numId w:val="1"/>
        </w:numPr>
        <w:tabs>
          <w:tab w:val="left" w:pos="993"/>
        </w:tabs>
        <w:spacing w:before="72" w:beforeLines="30" w:after="72" w:afterLines="30" w:line="360" w:lineRule="auto"/>
        <w:ind w:left="567" w:hanging="567"/>
        <w:jc w:val="left"/>
        <w:rPr>
          <w:sz w:val="24"/>
          <w:szCs w:val="24"/>
        </w:rPr>
      </w:pPr>
      <w:bookmarkStart w:id="72" w:name="_Toc306354322"/>
      <w:r>
        <w:rPr>
          <w:rFonts w:hint="eastAsia"/>
          <w:sz w:val="24"/>
          <w:szCs w:val="24"/>
        </w:rPr>
        <w:t xml:space="preserve"> 健康、安全和环保</w:t>
      </w:r>
      <w:bookmarkEnd w:id="72"/>
    </w:p>
    <w:p>
      <w:pPr>
        <w:numPr>
          <w:ilvl w:val="0"/>
          <w:numId w:val="20"/>
        </w:numPr>
        <w:tabs>
          <w:tab w:val="left" w:pos="567"/>
          <w:tab w:val="left" w:pos="709"/>
          <w:tab w:val="left" w:pos="3060"/>
        </w:tabs>
        <w:spacing w:before="72" w:beforeLines="30" w:after="72" w:afterLines="30" w:line="360" w:lineRule="auto"/>
        <w:ind w:left="567" w:hanging="567"/>
        <w:rPr>
          <w:sz w:val="24"/>
        </w:rPr>
      </w:pP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0"/>
          <w:numId w:val="20"/>
        </w:numPr>
        <w:tabs>
          <w:tab w:val="left" w:pos="567"/>
          <w:tab w:val="left" w:pos="709"/>
          <w:tab w:val="left" w:pos="3060"/>
        </w:tabs>
        <w:spacing w:before="72" w:beforeLines="30" w:after="72" w:afterLines="30" w:line="360" w:lineRule="auto"/>
        <w:ind w:left="567" w:hanging="567"/>
        <w:rPr>
          <w:sz w:val="24"/>
        </w:rPr>
      </w:pP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20"/>
        <w:numPr>
          <w:ilvl w:val="0"/>
          <w:numId w:val="1"/>
        </w:numPr>
        <w:tabs>
          <w:tab w:val="left" w:pos="993"/>
        </w:tabs>
        <w:spacing w:before="72" w:beforeLines="30" w:after="72" w:afterLines="30" w:line="360" w:lineRule="auto"/>
        <w:ind w:left="567" w:hanging="567"/>
        <w:jc w:val="left"/>
        <w:rPr>
          <w:sz w:val="24"/>
          <w:szCs w:val="24"/>
        </w:rPr>
      </w:pPr>
      <w:bookmarkStart w:id="73" w:name="_Toc306354323"/>
      <w:r>
        <w:rPr>
          <w:rFonts w:hint="eastAsia" w:ascii="Times New Roman" w:hAnsi="Times New Roman"/>
          <w:sz w:val="24"/>
          <w:szCs w:val="24"/>
        </w:rPr>
        <w:t xml:space="preserve"> 转让</w:t>
      </w:r>
      <w:r>
        <w:rPr>
          <w:rFonts w:hint="eastAsia"/>
          <w:sz w:val="24"/>
          <w:szCs w:val="24"/>
        </w:rPr>
        <w:t>和分包</w:t>
      </w:r>
      <w:bookmarkEnd w:id="73"/>
    </w:p>
    <w:p>
      <w:pPr>
        <w:widowControl/>
        <w:numPr>
          <w:ilvl w:val="0"/>
          <w:numId w:val="21"/>
        </w:numPr>
        <w:tabs>
          <w:tab w:val="left" w:pos="567"/>
          <w:tab w:val="left" w:pos="709"/>
        </w:tabs>
        <w:spacing w:before="72" w:beforeLines="30" w:after="72" w:afterLines="30" w:line="360" w:lineRule="auto"/>
        <w:ind w:left="567" w:hanging="567"/>
        <w:rPr>
          <w:sz w:val="24"/>
        </w:rPr>
      </w:pP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0"/>
          <w:numId w:val="21"/>
        </w:numPr>
        <w:tabs>
          <w:tab w:val="left" w:pos="567"/>
          <w:tab w:val="left" w:pos="709"/>
        </w:tabs>
        <w:spacing w:before="72" w:beforeLines="30" w:after="72" w:afterLines="30" w:line="360" w:lineRule="auto"/>
        <w:ind w:left="567" w:hanging="567"/>
        <w:rPr>
          <w:sz w:val="24"/>
        </w:rPr>
      </w:pPr>
      <w:r>
        <w:rPr>
          <w:rFonts w:hint="eastAsia"/>
          <w:sz w:val="24"/>
        </w:rPr>
        <w:t>未经买方事先书面同意，卖方不得将其在本合同项下的任何义务分包给任何第三方，包括卖方的关联企业。</w:t>
      </w:r>
      <w:bookmarkStart w:id="74" w:name="_DV_C867"/>
      <w:r>
        <w:rPr>
          <w:rFonts w:hint="eastAsia"/>
          <w:sz w:val="24"/>
        </w:rPr>
        <w:t>卖方不得将本合同转包给任何第三方，包括其关联企业。</w:t>
      </w:r>
      <w:bookmarkEnd w:id="74"/>
    </w:p>
    <w:bookmarkEnd w:id="63"/>
    <w:bookmarkEnd w:id="64"/>
    <w:bookmarkEnd w:id="65"/>
    <w:bookmarkEnd w:id="66"/>
    <w:bookmarkEnd w:id="67"/>
    <w:p>
      <w:pPr>
        <w:pStyle w:val="20"/>
        <w:numPr>
          <w:ilvl w:val="0"/>
          <w:numId w:val="1"/>
        </w:numPr>
        <w:tabs>
          <w:tab w:val="left" w:pos="993"/>
        </w:tabs>
        <w:spacing w:before="72" w:beforeLines="30" w:after="72" w:afterLines="30" w:line="360" w:lineRule="auto"/>
        <w:ind w:left="567" w:hanging="567"/>
        <w:jc w:val="left"/>
        <w:rPr>
          <w:rFonts w:hAnsi="宋体"/>
          <w:color w:val="000000"/>
          <w:sz w:val="24"/>
          <w:szCs w:val="24"/>
        </w:rPr>
      </w:pPr>
      <w:bookmarkStart w:id="75" w:name="_Toc306354324"/>
      <w:r>
        <w:rPr>
          <w:rFonts w:hint="eastAsia" w:hAnsi="宋体"/>
          <w:color w:val="000000"/>
          <w:sz w:val="24"/>
          <w:szCs w:val="24"/>
        </w:rPr>
        <w:t xml:space="preserve"> 不可抗力</w:t>
      </w:r>
      <w:bookmarkEnd w:id="75"/>
    </w:p>
    <w:p>
      <w:pPr>
        <w:pStyle w:val="8"/>
        <w:widowControl/>
        <w:numPr>
          <w:ilvl w:val="0"/>
          <w:numId w:val="22"/>
        </w:numPr>
        <w:tabs>
          <w:tab w:val="left" w:pos="567"/>
        </w:tabs>
        <w:spacing w:before="72" w:beforeLines="30" w:after="72" w:afterLines="30" w:line="360" w:lineRule="auto"/>
        <w:ind w:left="567" w:hanging="567"/>
        <w:rPr>
          <w:sz w:val="24"/>
        </w:rPr>
      </w:pPr>
      <w:r>
        <w:rPr>
          <w:rFonts w:hint="eastAsia"/>
          <w:sz w:val="24"/>
        </w:rPr>
        <w:t>不可抗力系指本合同的履行过程中，任何一方经合理努力仍不可预见、不可避免并不能克服的客观情况。</w:t>
      </w:r>
      <w:r>
        <w:rPr>
          <w:sz w:val="24"/>
        </w:rPr>
        <w:t>任何一方因不可抗力不能或延迟履行本合同，不承担违约责任。</w:t>
      </w:r>
    </w:p>
    <w:p>
      <w:pPr>
        <w:pStyle w:val="8"/>
        <w:widowControl/>
        <w:numPr>
          <w:ilvl w:val="0"/>
          <w:numId w:val="22"/>
        </w:numPr>
        <w:tabs>
          <w:tab w:val="left" w:pos="567"/>
        </w:tabs>
        <w:spacing w:before="72" w:beforeLines="30" w:after="72" w:afterLines="30" w:line="360" w:lineRule="auto"/>
        <w:ind w:left="567" w:hanging="567"/>
        <w:rPr>
          <w:sz w:val="24"/>
        </w:rPr>
      </w:pPr>
      <w:r>
        <w:rPr>
          <w:sz w:val="24"/>
        </w:rPr>
        <w:t>如果一方遭受不可抗力，应立即（不迟于24小时内）通知另一方，并采取一切合理、必要的措施减少损失及不可抗力的影响，恢复合同的履行。</w:t>
      </w:r>
      <w:r>
        <w:rPr>
          <w:rFonts w:hint="eastAsia"/>
          <w:sz w:val="24"/>
        </w:rPr>
        <w:t>不可抗力结束后</w:t>
      </w:r>
      <w:r>
        <w:rPr>
          <w:sz w:val="24"/>
        </w:rPr>
        <w:t>48</w:t>
      </w:r>
      <w:r>
        <w:rPr>
          <w:rFonts w:hint="eastAsia"/>
          <w:sz w:val="24"/>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8"/>
        <w:widowControl/>
        <w:numPr>
          <w:ilvl w:val="0"/>
          <w:numId w:val="22"/>
        </w:numPr>
        <w:tabs>
          <w:tab w:val="left" w:pos="567"/>
        </w:tabs>
        <w:spacing w:before="72" w:beforeLines="30" w:after="72" w:afterLines="30" w:line="360" w:lineRule="auto"/>
        <w:ind w:left="567" w:hanging="567"/>
        <w:rPr>
          <w:sz w:val="24"/>
        </w:rPr>
      </w:pPr>
      <w:r>
        <w:rPr>
          <w:rFonts w:hint="eastAsia"/>
          <w:sz w:val="24"/>
        </w:rPr>
        <w:t>如发生不可抗力，双方各自承担其人员和财产损失。一旦不可抗力停止或者影响</w:t>
      </w:r>
      <w:r>
        <w:rPr>
          <w:rFonts w:hint="eastAsia"/>
          <w:sz w:val="24"/>
          <w:highlight w:val="none"/>
        </w:rPr>
        <w:t>消除，双方应立即履行其义务，合同的期限应该相应顺延。如果不可抗力的影响持续超过【</w:t>
      </w:r>
      <w:r>
        <w:rPr>
          <w:rFonts w:hint="eastAsia"/>
          <w:i/>
          <w:sz w:val="24"/>
          <w:highlight w:val="none"/>
          <w:lang w:val="en-US" w:eastAsia="zh-CN"/>
        </w:rPr>
        <w:t>三十（30）</w:t>
      </w:r>
      <w:r>
        <w:rPr>
          <w:rFonts w:hint="eastAsia"/>
          <w:sz w:val="24"/>
          <w:highlight w:val="none"/>
        </w:rPr>
        <w:t>】日，双方</w:t>
      </w:r>
      <w:r>
        <w:rPr>
          <w:rFonts w:hint="eastAsia"/>
          <w:sz w:val="24"/>
        </w:rPr>
        <w:t>应该共同商议应对措施。</w:t>
      </w:r>
    </w:p>
    <w:p>
      <w:pPr>
        <w:pStyle w:val="8"/>
        <w:widowControl/>
        <w:numPr>
          <w:ilvl w:val="0"/>
          <w:numId w:val="22"/>
        </w:numPr>
        <w:tabs>
          <w:tab w:val="left" w:pos="567"/>
        </w:tabs>
        <w:spacing w:before="72" w:beforeLines="30" w:after="72" w:afterLines="30" w:line="360" w:lineRule="auto"/>
        <w:ind w:left="567" w:hanging="567"/>
        <w:rPr>
          <w:sz w:val="24"/>
        </w:rPr>
      </w:pPr>
      <w:r>
        <w:rPr>
          <w:rFonts w:hint="eastAsia"/>
          <w:sz w:val="24"/>
        </w:rPr>
        <w:t>任何一方迟延履行合同后遭受不可抗力的，不得减少、免除该方在本合同项下的任何义务和责任。</w:t>
      </w:r>
    </w:p>
    <w:p>
      <w:pPr>
        <w:pStyle w:val="20"/>
        <w:numPr>
          <w:ilvl w:val="0"/>
          <w:numId w:val="1"/>
        </w:numPr>
        <w:tabs>
          <w:tab w:val="left" w:pos="993"/>
        </w:tabs>
        <w:spacing w:before="72" w:beforeLines="30" w:after="72" w:afterLines="30" w:line="360" w:lineRule="auto"/>
        <w:ind w:left="567" w:hanging="567"/>
        <w:jc w:val="left"/>
        <w:rPr>
          <w:sz w:val="24"/>
          <w:szCs w:val="24"/>
        </w:rPr>
      </w:pPr>
      <w:bookmarkStart w:id="76" w:name="_Toc298158360"/>
      <w:bookmarkStart w:id="77" w:name="_Toc306354326"/>
      <w:r>
        <w:rPr>
          <w:rFonts w:hint="eastAsia"/>
          <w:sz w:val="24"/>
          <w:szCs w:val="24"/>
        </w:rPr>
        <w:t xml:space="preserve"> 保密</w:t>
      </w:r>
      <w:bookmarkEnd w:id="76"/>
      <w:bookmarkEnd w:id="77"/>
    </w:p>
    <w:p>
      <w:pPr>
        <w:numPr>
          <w:ilvl w:val="0"/>
          <w:numId w:val="23"/>
        </w:numPr>
        <w:tabs>
          <w:tab w:val="left" w:pos="567"/>
          <w:tab w:val="left" w:pos="709"/>
        </w:tabs>
        <w:spacing w:before="72" w:beforeLines="30" w:after="72" w:afterLines="30" w:line="360" w:lineRule="auto"/>
        <w:ind w:left="567" w:hanging="567"/>
        <w:rPr>
          <w:sz w:val="24"/>
        </w:rPr>
      </w:pP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20"/>
        <w:numPr>
          <w:ilvl w:val="0"/>
          <w:numId w:val="1"/>
        </w:numPr>
        <w:tabs>
          <w:tab w:val="left" w:pos="993"/>
        </w:tabs>
        <w:spacing w:before="72" w:beforeLines="30" w:after="72" w:afterLines="30" w:line="360" w:lineRule="auto"/>
        <w:ind w:left="567" w:hanging="567"/>
        <w:jc w:val="left"/>
        <w:rPr>
          <w:sz w:val="24"/>
          <w:szCs w:val="24"/>
        </w:rPr>
      </w:pPr>
      <w:bookmarkStart w:id="78" w:name="_Toc306354328"/>
      <w:r>
        <w:rPr>
          <w:rFonts w:hint="eastAsia"/>
          <w:sz w:val="24"/>
          <w:szCs w:val="24"/>
        </w:rPr>
        <w:t xml:space="preserve"> 审计、禁止商业贿赂和反腐败</w:t>
      </w:r>
    </w:p>
    <w:p>
      <w:pPr>
        <w:pStyle w:val="41"/>
        <w:numPr>
          <w:ilvl w:val="0"/>
          <w:numId w:val="24"/>
        </w:numPr>
        <w:adjustRightInd w:val="0"/>
        <w:snapToGrid w:val="0"/>
        <w:spacing w:before="72" w:beforeLines="30" w:after="72" w:afterLines="30"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kern w:val="0"/>
          <w:sz w:val="24"/>
        </w:rPr>
        <w:t>卖方应根据买方要求，接受和配合买方或买方委</w:t>
      </w:r>
      <w:r>
        <w:rPr>
          <w:rFonts w:hint="eastAsia" w:asciiTheme="minorEastAsia" w:hAnsiTheme="minorEastAsia" w:eastAsiaTheme="minorEastAsia"/>
          <w:sz w:val="24"/>
        </w:rPr>
        <w:t>托的会计师事务所进行的与本合同相关的审计。</w:t>
      </w:r>
    </w:p>
    <w:p>
      <w:pPr>
        <w:pStyle w:val="41"/>
        <w:numPr>
          <w:ilvl w:val="0"/>
          <w:numId w:val="24"/>
        </w:numPr>
        <w:adjustRightInd w:val="0"/>
        <w:snapToGrid w:val="0"/>
        <w:spacing w:before="72" w:beforeLines="30" w:after="72" w:afterLines="30"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kern w:val="0"/>
          <w:sz w:val="24"/>
        </w:rPr>
        <w:t>卖方应保存与本合同相关的记录和账目，保存期限为本合同</w:t>
      </w:r>
      <w:r>
        <w:rPr>
          <w:rFonts w:hint="eastAsia" w:asciiTheme="minorEastAsia" w:hAnsiTheme="minorEastAsia" w:eastAsiaTheme="minorEastAsia"/>
          <w:kern w:val="0"/>
          <w:sz w:val="24"/>
          <w:highlight w:val="none"/>
        </w:rPr>
        <w:t>终止后【</w:t>
      </w:r>
      <w:r>
        <w:rPr>
          <w:rFonts w:hint="eastAsia" w:asciiTheme="minorEastAsia" w:hAnsiTheme="minorEastAsia" w:eastAsiaTheme="minorEastAsia"/>
          <w:i/>
          <w:kern w:val="0"/>
          <w:sz w:val="24"/>
          <w:highlight w:val="none"/>
        </w:rPr>
        <w:t>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w:t>
      </w:r>
      <w:r>
        <w:rPr>
          <w:rFonts w:hint="eastAsia" w:asciiTheme="minorEastAsia" w:hAnsiTheme="minorEastAsia" w:eastAsiaTheme="minorEastAsia"/>
          <w:kern w:val="0"/>
          <w:sz w:val="24"/>
        </w:rPr>
        <w:t>师事务所有权检查并复制该等记录和账目。</w:t>
      </w:r>
    </w:p>
    <w:p>
      <w:pPr>
        <w:pStyle w:val="41"/>
        <w:numPr>
          <w:ilvl w:val="0"/>
          <w:numId w:val="24"/>
        </w:numPr>
        <w:spacing w:line="360" w:lineRule="auto"/>
        <w:ind w:left="567" w:hanging="567" w:firstLineChars="0"/>
        <w:rPr>
          <w:rFonts w:asciiTheme="minorEastAsia" w:hAnsiTheme="minorEastAsia" w:eastAsiaTheme="minorEastAsia"/>
          <w:sz w:val="24"/>
        </w:rPr>
      </w:pPr>
      <w:r>
        <w:rPr>
          <w:rFonts w:hint="eastAsia" w:asciiTheme="minorEastAsia" w:hAnsiTheme="minorEastAsia" w:eastAsiaTheme="minorEastAsia"/>
          <w:sz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20"/>
        <w:numPr>
          <w:ilvl w:val="0"/>
          <w:numId w:val="1"/>
        </w:numPr>
        <w:tabs>
          <w:tab w:val="left" w:pos="993"/>
        </w:tabs>
        <w:spacing w:before="72" w:beforeLines="30" w:after="72" w:afterLines="30" w:line="360" w:lineRule="auto"/>
        <w:ind w:left="567" w:hanging="567"/>
        <w:jc w:val="left"/>
        <w:rPr>
          <w:sz w:val="24"/>
          <w:szCs w:val="24"/>
        </w:rPr>
      </w:pPr>
      <w:r>
        <w:rPr>
          <w:rFonts w:hint="eastAsia"/>
          <w:sz w:val="24"/>
          <w:szCs w:val="24"/>
        </w:rPr>
        <w:t xml:space="preserve"> 通知</w:t>
      </w:r>
      <w:bookmarkEnd w:id="78"/>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sz w:val="24"/>
        </w:rPr>
      </w:pPr>
      <w:r>
        <w:rPr>
          <w:rFonts w:hint="eastAsia"/>
          <w:sz w:val="24"/>
        </w:rPr>
        <w:t>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2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2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2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sz w:val="24"/>
        </w:rPr>
      </w:pP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numPr>
          <w:ilvl w:val="0"/>
          <w:numId w:val="25"/>
        </w:numPr>
        <w:adjustRightInd w:val="0"/>
        <w:snapToGrid w:val="0"/>
        <w:spacing w:line="360" w:lineRule="auto"/>
        <w:ind w:left="567" w:hanging="567"/>
        <w:jc w:val="left"/>
        <w:textAlignment w:val="baseline"/>
        <w:outlineLvl w:val="3"/>
        <w:rPr>
          <w:sz w:val="24"/>
        </w:rPr>
      </w:pPr>
      <w:r>
        <w:rPr>
          <w:rFonts w:hint="eastAsia" w:hAnsi="宋体"/>
          <w:bCs/>
          <w:kern w:val="0"/>
          <w:sz w:val="24"/>
        </w:rPr>
        <w:t>本合同送达地址适用范围包括就本合同发生争议时相关文件和法律文书的 送达（包括在争议进入仲裁、民事诉讼程序后的一审、二审、再审和执行程序）。</w:t>
      </w:r>
    </w:p>
    <w:p>
      <w:pPr>
        <w:pStyle w:val="20"/>
        <w:numPr>
          <w:ilvl w:val="0"/>
          <w:numId w:val="1"/>
        </w:numPr>
        <w:tabs>
          <w:tab w:val="left" w:pos="567"/>
        </w:tabs>
        <w:spacing w:before="72" w:beforeLines="30" w:after="72" w:afterLines="30" w:line="360" w:lineRule="auto"/>
        <w:ind w:left="567" w:hanging="567"/>
        <w:jc w:val="left"/>
        <w:rPr>
          <w:sz w:val="24"/>
          <w:szCs w:val="24"/>
        </w:rPr>
      </w:pPr>
      <w:bookmarkStart w:id="79" w:name="_Toc306354329"/>
      <w:r>
        <w:rPr>
          <w:sz w:val="24"/>
          <w:szCs w:val="24"/>
        </w:rPr>
        <w:t>法律适用</w:t>
      </w:r>
      <w:r>
        <w:rPr>
          <w:rFonts w:hint="eastAsia"/>
          <w:sz w:val="24"/>
          <w:szCs w:val="24"/>
        </w:rPr>
        <w:t>和</w:t>
      </w:r>
      <w:r>
        <w:rPr>
          <w:sz w:val="24"/>
          <w:szCs w:val="24"/>
        </w:rPr>
        <w:t>争议解决</w:t>
      </w:r>
      <w:bookmarkEnd w:id="79"/>
    </w:p>
    <w:p>
      <w:pPr>
        <w:numPr>
          <w:ilvl w:val="1"/>
          <w:numId w:val="27"/>
        </w:numPr>
        <w:tabs>
          <w:tab w:val="left" w:pos="567"/>
        </w:tabs>
        <w:spacing w:before="72" w:beforeLines="30" w:after="72" w:afterLines="30" w:line="360" w:lineRule="auto"/>
        <w:ind w:left="567" w:hanging="567"/>
        <w:rPr>
          <w:rFonts w:ascii="宋体" w:hAnsi="宋体"/>
          <w:sz w:val="24"/>
        </w:rPr>
      </w:pPr>
      <w:bookmarkStart w:id="80" w:name="_Toc296955884"/>
      <w:bookmarkStart w:id="81" w:name="_Toc296959346"/>
      <w:r>
        <w:rPr>
          <w:rFonts w:hint="eastAsia" w:ascii="宋体" w:hAnsi="宋体"/>
          <w:sz w:val="24"/>
        </w:rPr>
        <w:t>本合同适用中华人民共和国（不含香港特别行政区、澳门特别行政区和台湾地区）法律。</w:t>
      </w:r>
    </w:p>
    <w:p>
      <w:pPr>
        <w:numPr>
          <w:ilvl w:val="1"/>
          <w:numId w:val="27"/>
        </w:numPr>
        <w:tabs>
          <w:tab w:val="left" w:pos="567"/>
        </w:tabs>
        <w:spacing w:before="72" w:beforeLines="30" w:after="72" w:afterLines="30" w:line="360" w:lineRule="auto"/>
        <w:ind w:left="567" w:hanging="567"/>
        <w:rPr>
          <w:rFonts w:hint="eastAsia" w:ascii="宋体" w:hAnsi="宋体"/>
          <w:sz w:val="24"/>
        </w:rPr>
      </w:pPr>
      <w:r>
        <w:rPr>
          <w:rFonts w:hint="eastAsia" w:ascii="宋体" w:hAnsi="宋体"/>
          <w:sz w:val="24"/>
        </w:rPr>
        <w:t>20.211.2因履行本合同发生的或与本合同有关的一切争议，双方首先应友好协商解决，如经协商三十（30）日内仍不能解决，双方同意：</w:t>
      </w:r>
    </w:p>
    <w:p>
      <w:pPr>
        <w:spacing w:before="72" w:beforeLines="30" w:after="72" w:afterLines="30" w:line="360" w:lineRule="auto"/>
        <w:ind w:left="567"/>
        <w:rPr>
          <w:rFonts w:ascii="宋体" w:hAnsi="宋体"/>
          <w:sz w:val="24"/>
        </w:rPr>
      </w:pPr>
      <w:r>
        <w:rPr>
          <w:rFonts w:hint="eastAsia" w:ascii="宋体" w:hAnsi="宋体"/>
          <w:sz w:val="24"/>
        </w:rPr>
        <w:t>提交天津仲裁委员会进行仲裁。仲裁应根据申请仲裁时该仲裁委员会现行有效的仲裁规则进行。仲裁员人数为3名。庭审地为天津。仲裁裁决是终局的，对双方均有约束力。</w:t>
      </w:r>
    </w:p>
    <w:p>
      <w:pPr>
        <w:numPr>
          <w:ilvl w:val="1"/>
          <w:numId w:val="27"/>
        </w:numPr>
        <w:tabs>
          <w:tab w:val="left" w:pos="567"/>
        </w:tabs>
        <w:spacing w:before="72" w:beforeLines="30" w:after="72" w:afterLines="30" w:line="360" w:lineRule="auto"/>
        <w:ind w:left="567" w:hanging="567"/>
        <w:rPr>
          <w:b/>
          <w:sz w:val="24"/>
        </w:rPr>
      </w:pPr>
      <w:r>
        <w:rPr>
          <w:rFonts w:hint="eastAsia" w:ascii="宋体" w:hAnsi="宋体"/>
          <w:sz w:val="24"/>
        </w:rPr>
        <w:t>争议解决期间</w:t>
      </w:r>
      <w:r>
        <w:rPr>
          <w:rFonts w:ascii="宋体" w:hAnsi="宋体"/>
          <w:sz w:val="24"/>
        </w:rPr>
        <w:t>，除争议事项外，双方应继续履行本合同。</w:t>
      </w:r>
    </w:p>
    <w:bookmarkEnd w:id="80"/>
    <w:bookmarkEnd w:id="81"/>
    <w:p>
      <w:pPr>
        <w:pStyle w:val="20"/>
        <w:numPr>
          <w:ilvl w:val="0"/>
          <w:numId w:val="1"/>
        </w:numPr>
        <w:tabs>
          <w:tab w:val="left" w:pos="567"/>
        </w:tabs>
        <w:spacing w:before="72" w:beforeLines="30" w:after="72" w:afterLines="30" w:line="360" w:lineRule="auto"/>
        <w:ind w:left="567" w:hanging="567"/>
        <w:jc w:val="left"/>
        <w:rPr>
          <w:sz w:val="24"/>
          <w:szCs w:val="24"/>
        </w:rPr>
      </w:pPr>
      <w:bookmarkStart w:id="82" w:name="_Toc306354330"/>
      <w:r>
        <w:rPr>
          <w:rFonts w:hint="eastAsia"/>
          <w:sz w:val="24"/>
          <w:szCs w:val="24"/>
        </w:rPr>
        <w:t xml:space="preserve"> </w:t>
      </w:r>
      <w:r>
        <w:rPr>
          <w:sz w:val="24"/>
          <w:szCs w:val="24"/>
        </w:rPr>
        <w:t>其它</w:t>
      </w:r>
      <w:bookmarkEnd w:id="82"/>
    </w:p>
    <w:p>
      <w:pPr>
        <w:numPr>
          <w:ilvl w:val="1"/>
          <w:numId w:val="28"/>
        </w:numPr>
        <w:tabs>
          <w:tab w:val="left" w:pos="567"/>
        </w:tabs>
        <w:spacing w:before="72" w:beforeLines="30" w:after="72" w:afterLines="30" w:line="360" w:lineRule="auto"/>
        <w:ind w:left="567" w:hanging="567"/>
        <w:rPr>
          <w:sz w:val="24"/>
        </w:rPr>
      </w:pPr>
      <w:r>
        <w:rPr>
          <w:rFonts w:hint="eastAsia"/>
          <w:sz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8"/>
        </w:numPr>
        <w:tabs>
          <w:tab w:val="left" w:pos="567"/>
        </w:tabs>
        <w:spacing w:before="72" w:beforeLines="30" w:after="72" w:afterLines="30" w:line="360" w:lineRule="auto"/>
        <w:ind w:left="567" w:hanging="567"/>
        <w:rPr>
          <w:sz w:val="24"/>
        </w:rPr>
      </w:pPr>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83" w:name="OLE_LINK11"/>
      <w:bookmarkStart w:id="84" w:name="OLE_LINK12"/>
      <w:r>
        <w:rPr>
          <w:rFonts w:hint="eastAsia" w:ascii="宋体" w:hAnsi="宋体"/>
          <w:sz w:val="24"/>
        </w:rPr>
        <w:t>自双方履行完本合同项下全部权利和义务后终止</w:t>
      </w:r>
      <w:bookmarkEnd w:id="83"/>
      <w:bookmarkEnd w:id="84"/>
      <w:r>
        <w:rPr>
          <w:sz w:val="24"/>
        </w:rPr>
        <w:t>。</w:t>
      </w:r>
    </w:p>
    <w:p>
      <w:pPr>
        <w:numPr>
          <w:ilvl w:val="1"/>
          <w:numId w:val="28"/>
        </w:numPr>
        <w:tabs>
          <w:tab w:val="left" w:pos="567"/>
        </w:tabs>
        <w:spacing w:before="72" w:beforeLines="30" w:after="72" w:afterLines="30" w:line="360" w:lineRule="auto"/>
        <w:ind w:left="567" w:hanging="567"/>
        <w:rPr>
          <w:sz w:val="24"/>
        </w:rPr>
      </w:pPr>
      <w:r>
        <w:rPr>
          <w:rFonts w:hint="eastAsia"/>
          <w:sz w:val="24"/>
        </w:rPr>
        <w:t>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1"/>
          <w:numId w:val="28"/>
        </w:numPr>
        <w:tabs>
          <w:tab w:val="left" w:pos="567"/>
        </w:tabs>
        <w:spacing w:before="72" w:beforeLines="30" w:after="72" w:afterLines="30" w:line="360" w:lineRule="auto"/>
        <w:ind w:left="567" w:hanging="567"/>
        <w:rPr>
          <w:rFonts w:ascii="宋体" w:hAnsi="宋体"/>
          <w:sz w:val="24"/>
        </w:rPr>
      </w:pPr>
      <w:r>
        <w:rPr>
          <w:rFonts w:ascii="宋体" w:hAnsi="宋体"/>
          <w:sz w:val="24"/>
        </w:rPr>
        <w:t>未经另一方事先书面同意，任何一方不得以任何方式使用另一方的名称、商品商标、服务商标、企业标志、商号或品牌。</w:t>
      </w:r>
    </w:p>
    <w:p>
      <w:pPr>
        <w:numPr>
          <w:ilvl w:val="1"/>
          <w:numId w:val="28"/>
        </w:numPr>
        <w:tabs>
          <w:tab w:val="left" w:pos="567"/>
        </w:tabs>
        <w:spacing w:before="72" w:beforeLines="30" w:after="72" w:afterLines="30" w:line="360" w:lineRule="auto"/>
        <w:ind w:left="567" w:hanging="567"/>
        <w:rPr>
          <w:sz w:val="24"/>
        </w:rPr>
      </w:pP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1"/>
          <w:numId w:val="28"/>
        </w:numPr>
        <w:tabs>
          <w:tab w:val="left" w:pos="567"/>
        </w:tabs>
        <w:spacing w:before="72" w:beforeLines="30" w:after="72" w:afterLines="30" w:line="360" w:lineRule="auto"/>
        <w:ind w:left="567" w:hanging="567"/>
        <w:rPr>
          <w:sz w:val="24"/>
        </w:rPr>
      </w:pP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8"/>
        </w:numPr>
        <w:tabs>
          <w:tab w:val="left" w:pos="567"/>
        </w:tabs>
        <w:spacing w:before="72" w:beforeLines="30" w:after="72" w:afterLines="30" w:line="360" w:lineRule="auto"/>
        <w:ind w:left="567" w:hanging="567"/>
        <w:rPr>
          <w:sz w:val="24"/>
        </w:rPr>
      </w:pP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1"/>
          <w:numId w:val="28"/>
        </w:numPr>
        <w:tabs>
          <w:tab w:val="left" w:pos="567"/>
        </w:tabs>
        <w:spacing w:before="72" w:beforeLines="30" w:after="72" w:afterLines="30" w:line="360" w:lineRule="auto"/>
        <w:ind w:left="567" w:hanging="567"/>
        <w:rPr>
          <w:sz w:val="24"/>
        </w:rPr>
      </w:pPr>
      <w:r>
        <w:rPr>
          <w:rFonts w:hint="eastAsia"/>
          <w:sz w:val="24"/>
        </w:rPr>
        <w:t>本</w:t>
      </w:r>
      <w:r>
        <w:rPr>
          <w:sz w:val="24"/>
        </w:rPr>
        <w:t>合同未尽事宜，应由双方协商</w:t>
      </w:r>
      <w:r>
        <w:rPr>
          <w:rFonts w:hint="eastAsia"/>
          <w:sz w:val="24"/>
        </w:rPr>
        <w:t>确定</w:t>
      </w:r>
      <w:r>
        <w:rPr>
          <w:sz w:val="24"/>
        </w:rPr>
        <w:t>，并签订补充协议，补充协议与本合同具有同等法律效力。</w:t>
      </w:r>
    </w:p>
    <w:p>
      <w:pPr>
        <w:numPr>
          <w:ilvl w:val="1"/>
          <w:numId w:val="28"/>
        </w:numPr>
        <w:tabs>
          <w:tab w:val="left" w:pos="567"/>
        </w:tabs>
        <w:spacing w:before="72" w:beforeLines="30" w:after="72" w:afterLines="30" w:line="360" w:lineRule="auto"/>
        <w:ind w:left="567" w:hanging="567"/>
        <w:rPr>
          <w:sz w:val="24"/>
        </w:rPr>
      </w:pP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1"/>
          <w:numId w:val="28"/>
        </w:numPr>
        <w:tabs>
          <w:tab w:val="left" w:pos="567"/>
        </w:tabs>
        <w:spacing w:before="72" w:beforeLines="30" w:after="72" w:afterLines="30" w:line="360" w:lineRule="auto"/>
        <w:ind w:left="567" w:hanging="567"/>
        <w:rPr>
          <w:sz w:val="24"/>
        </w:rPr>
      </w:pPr>
      <w:r>
        <w:rPr>
          <w:rFonts w:hint="eastAsia"/>
          <w:sz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8"/>
        </w:numPr>
        <w:tabs>
          <w:tab w:val="left" w:pos="567"/>
        </w:tabs>
        <w:spacing w:before="72" w:beforeLines="30" w:after="72" w:afterLines="30" w:line="360" w:lineRule="auto"/>
        <w:ind w:left="567" w:hanging="567"/>
        <w:rPr>
          <w:sz w:val="24"/>
        </w:rPr>
      </w:pPr>
      <w:r>
        <w:rPr>
          <w:rFonts w:hint="eastAsia"/>
          <w:sz w:val="24"/>
        </w:rPr>
        <w:t>本合同系双方协商、讨论的结果，合同内容非一方当事人单方拟定。本合同不属于格式合同，条款内容不属于格式条款。</w:t>
      </w:r>
    </w:p>
    <w:p>
      <w:pPr>
        <w:numPr>
          <w:ilvl w:val="1"/>
          <w:numId w:val="28"/>
        </w:numPr>
        <w:tabs>
          <w:tab w:val="left" w:pos="567"/>
        </w:tabs>
        <w:spacing w:before="72" w:beforeLines="30" w:after="72" w:afterLines="30" w:line="360" w:lineRule="auto"/>
        <w:ind w:left="567" w:hanging="567"/>
        <w:rPr>
          <w:sz w:val="24"/>
        </w:rPr>
      </w:pPr>
      <w:r>
        <w:rPr>
          <w:rFonts w:hint="eastAsia"/>
          <w:sz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8"/>
        </w:numPr>
        <w:tabs>
          <w:tab w:val="left" w:pos="567"/>
        </w:tabs>
        <w:spacing w:before="72" w:beforeLines="30" w:after="72" w:afterLines="30" w:line="360" w:lineRule="auto"/>
        <w:ind w:left="567" w:hanging="567"/>
        <w:jc w:val="left"/>
        <w:rPr>
          <w:sz w:val="24"/>
        </w:rPr>
      </w:pPr>
      <w:r>
        <w:rPr>
          <w:sz w:val="24"/>
        </w:rPr>
        <w:t>本合同一</w:t>
      </w:r>
      <w:r>
        <w:rPr>
          <w:sz w:val="24"/>
          <w:highlight w:val="none"/>
        </w:rPr>
        <w:t>式</w:t>
      </w:r>
      <w:r>
        <w:rPr>
          <w:rFonts w:hint="eastAsia"/>
          <w:sz w:val="24"/>
          <w:highlight w:val="none"/>
        </w:rPr>
        <w:t>【</w:t>
      </w:r>
      <w:r>
        <w:rPr>
          <w:rFonts w:hint="eastAsia"/>
          <w:i/>
          <w:sz w:val="24"/>
          <w:highlight w:val="none"/>
          <w:lang w:val="en-US" w:eastAsia="zh-CN"/>
        </w:rPr>
        <w:t>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lang w:val="en-US" w:eastAsia="zh-CN"/>
        </w:rPr>
        <w:t>壹</w:t>
      </w:r>
      <w:r>
        <w:rPr>
          <w:rFonts w:hint="eastAsia"/>
          <w:sz w:val="24"/>
          <w:highlight w:val="none"/>
        </w:rPr>
        <w:t>】份</w:t>
      </w:r>
      <w:r>
        <w:rPr>
          <w:sz w:val="24"/>
          <w:highlight w:val="none"/>
        </w:rPr>
        <w:t>，</w:t>
      </w:r>
      <w:r>
        <w:rPr>
          <w:sz w:val="24"/>
        </w:rPr>
        <w:t>具有同等效力。</w:t>
      </w:r>
    </w:p>
    <w:tbl>
      <w:tblPr>
        <w:tblStyle w:val="24"/>
        <w:tblpPr w:leftFromText="180" w:rightFromText="180" w:vertAnchor="text" w:horzAnchor="page" w:tblpX="1450" w:tblpY="312"/>
        <w:tblOverlap w:val="never"/>
        <w:tblW w:w="5000" w:type="pct"/>
        <w:tblInd w:w="0" w:type="dxa"/>
        <w:tblLayout w:type="autofit"/>
        <w:tblCellMar>
          <w:top w:w="0" w:type="dxa"/>
          <w:left w:w="108" w:type="dxa"/>
          <w:bottom w:w="0" w:type="dxa"/>
          <w:right w:w="108" w:type="dxa"/>
        </w:tblCellMar>
      </w:tblPr>
      <w:tblGrid>
        <w:gridCol w:w="4437"/>
        <w:gridCol w:w="4085"/>
      </w:tblGrid>
      <w:tr>
        <w:trPr>
          <w:trHeight w:val="2653" w:hRule="atLeast"/>
        </w:trPr>
        <w:tc>
          <w:tcPr>
            <w:tcW w:w="2603" w:type="pct"/>
          </w:tcPr>
          <w:p>
            <w:pPr>
              <w:tabs>
                <w:tab w:val="left" w:pos="850"/>
              </w:tabs>
              <w:autoSpaceDE w:val="0"/>
              <w:autoSpaceDN w:val="0"/>
              <w:spacing w:before="72" w:beforeLines="30" w:after="72" w:afterLines="30" w:line="360" w:lineRule="auto"/>
              <w:textAlignment w:val="bottom"/>
            </w:pPr>
          </w:p>
          <w:p>
            <w:pPr>
              <w:tabs>
                <w:tab w:val="left" w:pos="850"/>
              </w:tabs>
              <w:autoSpaceDE w:val="0"/>
              <w:autoSpaceDN w:val="0"/>
              <w:spacing w:before="72" w:beforeLines="30" w:after="72" w:afterLines="30" w:line="360" w:lineRule="auto"/>
              <w:textAlignment w:val="bottom"/>
              <w:rPr>
                <w:rFonts w:ascii="Times New Roman" w:hAnsi="Times New Roman" w:eastAsia="宋体" w:cs="Times New Roman"/>
                <w:sz w:val="24"/>
              </w:rPr>
            </w:pPr>
          </w:p>
          <w:p>
            <w:pPr>
              <w:tabs>
                <w:tab w:val="left" w:pos="850"/>
              </w:tabs>
              <w:autoSpaceDE w:val="0"/>
              <w:autoSpaceDN w:val="0"/>
              <w:spacing w:before="72" w:beforeLines="30" w:after="72" w:afterLines="30" w:line="360" w:lineRule="auto"/>
              <w:textAlignment w:val="bottom"/>
              <w:rPr>
                <w:rFonts w:hint="eastAsia" w:ascii="Times New Roman" w:hAnsi="Times New Roman" w:eastAsia="宋体" w:cs="Times New Roman"/>
                <w:sz w:val="24"/>
              </w:rPr>
            </w:pPr>
            <w:r>
              <w:rPr>
                <w:rFonts w:ascii="Times New Roman" w:hAnsi="Times New Roman" w:eastAsia="宋体" w:cs="Times New Roman"/>
                <w:sz w:val="24"/>
              </w:rPr>
              <w:t>买方</w:t>
            </w:r>
            <w:r>
              <w:rPr>
                <w:rFonts w:hint="eastAsia" w:ascii="Times New Roman" w:hAnsi="Times New Roman" w:eastAsia="宋体" w:cs="Times New Roman"/>
                <w:sz w:val="24"/>
              </w:rPr>
              <w:t>（盖章）</w:t>
            </w:r>
          </w:p>
          <w:p>
            <w:pPr>
              <w:tabs>
                <w:tab w:val="left" w:pos="850"/>
              </w:tabs>
              <w:autoSpaceDE w:val="0"/>
              <w:autoSpaceDN w:val="0"/>
              <w:spacing w:before="72" w:beforeLines="30" w:after="72" w:afterLines="30" w:line="360" w:lineRule="auto"/>
              <w:textAlignment w:val="bottom"/>
            </w:pPr>
            <w:r>
              <w:rPr>
                <w:rFonts w:hint="eastAsia"/>
                <w:sz w:val="24"/>
              </w:rPr>
              <w:t>中海油能源发展股份有限公司</w:t>
            </w:r>
          </w:p>
        </w:tc>
        <w:tc>
          <w:tcPr>
            <w:tcW w:w="2396"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rPr>
              <w:t>卖方</w:t>
            </w:r>
            <w:r>
              <w:rPr>
                <w:rFonts w:hint="eastAsia"/>
                <w:sz w:val="24"/>
              </w:rPr>
              <w:t>（盖章）</w:t>
            </w:r>
          </w:p>
          <w:p>
            <w:pPr>
              <w:tabs>
                <w:tab w:val="left" w:pos="850"/>
              </w:tabs>
              <w:autoSpaceDE w:val="0"/>
              <w:autoSpaceDN w:val="0"/>
              <w:spacing w:before="72" w:beforeLines="30" w:after="72" w:afterLines="30" w:line="360" w:lineRule="auto"/>
              <w:textAlignment w:val="bottom"/>
              <w:rPr>
                <w:rFonts w:hint="eastAsia" w:eastAsia="宋体"/>
                <w:sz w:val="24"/>
                <w:lang w:eastAsia="zh-CN"/>
              </w:rPr>
            </w:pPr>
            <w:r>
              <w:rPr>
                <w:rFonts w:hint="eastAsia"/>
                <w:sz w:val="24"/>
                <w:lang w:eastAsia="zh-CN"/>
              </w:rPr>
              <w:t xml:space="preserve"> </w:t>
            </w: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396"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
      <w:pPr>
        <w:spacing w:line="360" w:lineRule="auto"/>
        <w:ind w:firstLine="420" w:firstLineChars="200"/>
        <w:rPr>
          <w:rFonts w:hint="eastAsia" w:ascii="宋体" w:hAnsi="宋体" w:cs="宋体"/>
          <w:bCs/>
          <w:color w:val="auto"/>
          <w:szCs w:val="21"/>
          <w:highlight w:val="none"/>
        </w:rPr>
      </w:pPr>
    </w:p>
    <w:p>
      <w:pPr>
        <w:rPr>
          <w:highlight w:val="none"/>
          <w:lang w:val="en-US" w:eastAsia="zh-CN"/>
        </w:rPr>
      </w:pPr>
    </w:p>
    <w:p>
      <w:pPr>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24"/>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65"/>
        <w:gridCol w:w="5493"/>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765"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93"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220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220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765"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765"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93" w:type="dxa"/>
            <w:shd w:val="clear" w:color="auto" w:fill="auto"/>
            <w:vAlign w:val="center"/>
          </w:tcPr>
          <w:p>
            <w:pPr>
              <w:textAlignment w:val="center"/>
              <w:rPr>
                <w:color w:val="000000"/>
                <w:sz w:val="20"/>
                <w:szCs w:val="20"/>
                <w:highlight w:val="none"/>
              </w:rPr>
            </w:pPr>
            <w:r>
              <w:rPr>
                <w:rStyle w:val="57"/>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57"/>
                <w:rFonts w:hint="default"/>
                <w:highlight w:val="none"/>
                <w:lang w:bidi="ar"/>
              </w:rPr>
              <w:t>破坏招投标秩序等情形的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765"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765"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765"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765"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765" w:type="dxa"/>
            <w:vMerge w:val="continue"/>
            <w:shd w:val="clear" w:color="auto" w:fill="auto"/>
            <w:vAlign w:val="center"/>
          </w:tcPr>
          <w:p>
            <w:pPr>
              <w:jc w:val="cente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765"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765"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765"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765"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765"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765"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765"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765"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220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519"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765" w:type="dxa"/>
            <w:vMerge w:val="continue"/>
            <w:shd w:val="clear" w:color="auto" w:fill="auto"/>
            <w:vAlign w:val="center"/>
          </w:tcPr>
          <w:p>
            <w:pPr>
              <w:rPr>
                <w:color w:val="000000"/>
                <w:sz w:val="20"/>
                <w:szCs w:val="20"/>
                <w:highlight w:val="none"/>
              </w:rPr>
            </w:pPr>
          </w:p>
        </w:tc>
        <w:tc>
          <w:tcPr>
            <w:tcW w:w="5493"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220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6"/>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6"/>
        <w:rPr>
          <w:rFonts w:asciiTheme="minorEastAsia" w:hAnsiTheme="minorEastAsia"/>
          <w:sz w:val="24"/>
          <w:szCs w:val="24"/>
          <w:highlight w:val="none"/>
        </w:rPr>
      </w:pPr>
    </w:p>
    <w:tbl>
      <w:tblPr>
        <w:tblStyle w:val="2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488"/>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6"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488"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48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86"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488"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48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highlight w:val="none"/>
          <w:lang w:eastAsia="zh-CN"/>
        </w:rPr>
      </w:pPr>
    </w:p>
    <w:p>
      <w:pPr>
        <w:pStyle w:val="6"/>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pStyle w:val="6"/>
        <w:rPr>
          <w:highlight w:val="none"/>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40"/>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w:t>
      </w:r>
      <w:r>
        <w:rPr>
          <w:rFonts w:hint="eastAsia" w:ascii="宋体" w:hAnsi="宋体" w:cstheme="minorBidi"/>
          <w:color w:val="000000"/>
          <w:kern w:val="2"/>
          <w:sz w:val="21"/>
          <w:szCs w:val="22"/>
          <w:highlight w:val="none"/>
          <w:lang w:val="en-US" w:eastAsia="zh-CN" w:bidi="ar-SA"/>
        </w:rPr>
        <w:t>无</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无</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cstheme="minorBidi"/>
          <w:b w:val="0"/>
          <w:bCs w:val="0"/>
          <w:color w:val="000000"/>
          <w:sz w:val="21"/>
          <w:szCs w:val="22"/>
          <w:highlight w:val="none"/>
          <w:lang w:val="en-US" w:eastAsia="zh-CN"/>
        </w:rPr>
        <w:t>无</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4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rPr>
          <w:rFonts w:hint="eastAsia"/>
          <w:highlight w:val="none"/>
          <w:lang w:val="en-US" w:eastAsia="zh-CN"/>
        </w:rPr>
      </w:pPr>
    </w:p>
    <w:p>
      <w:pPr>
        <w:pStyle w:val="40"/>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5.1营业执照</w:t>
      </w:r>
    </w:p>
    <w:p>
      <w:pPr>
        <w:pStyle w:val="15"/>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5"/>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6"/>
        <w:rPr>
          <w:rFonts w:ascii="微软雅黑" w:hAnsi="微软雅黑" w:eastAsia="微软雅黑"/>
          <w:b/>
          <w:spacing w:val="2"/>
          <w:sz w:val="32"/>
          <w:szCs w:val="32"/>
          <w:highlight w:val="none"/>
        </w:rPr>
      </w:pPr>
    </w:p>
    <w:p>
      <w:pPr>
        <w:pStyle w:val="6"/>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5.3：授权委托书（如涉及）</w:t>
      </w:r>
    </w:p>
    <w:p>
      <w:pPr>
        <w:pStyle w:val="5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55"/>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hint="eastAsia" w:ascii="微软雅黑" w:hAnsi="微软雅黑" w:eastAsia="微软雅黑" w:cstheme="minorBidi"/>
          <w:kern w:val="0"/>
          <w:sz w:val="24"/>
          <w:szCs w:val="24"/>
          <w:highlight w:val="none"/>
          <w:lang w:val="en-US" w:eastAsia="zh-CN" w:bidi="ar-SA"/>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pStyle w:val="2"/>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5"/>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5"/>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numPr>
          <w:ilvl w:val="0"/>
          <w:numId w:val="29"/>
        </w:numPr>
        <w:suppressLineNumbers w:val="0"/>
        <w:jc w:val="both"/>
        <w:rPr>
          <w:rFonts w:hint="default"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r>
        <w:rPr>
          <w:rFonts w:hint="default" w:ascii="仿宋" w:hAnsi="仿宋" w:eastAsia="仿宋" w:cs="仿宋"/>
          <w:kern w:val="2"/>
          <w:sz w:val="28"/>
          <w:szCs w:val="28"/>
          <w:highlight w:val="none"/>
          <w:lang w:val="en-US" w:eastAsia="zh-CN" w:bidi="ar-SA"/>
        </w:rPr>
        <w:t xml:space="preserve"> </w:t>
      </w:r>
      <w:r>
        <w:rPr>
          <w:rFonts w:hint="eastAsia" w:ascii="仿宋" w:hAnsi="仿宋" w:eastAsia="仿宋" w:cs="仿宋"/>
          <w:kern w:val="2"/>
          <w:sz w:val="28"/>
          <w:szCs w:val="28"/>
          <w:highlight w:val="none"/>
          <w:lang w:val="en-US" w:eastAsia="zh-CN" w:bidi="ar-SA"/>
        </w:rPr>
        <w:t xml:space="preserve">    </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应答人名称（盖章）：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p>
    <w:p>
      <w:pPr>
        <w:keepNext w:val="0"/>
        <w:keepLines w:val="0"/>
        <w:widowControl/>
        <w:suppressLineNumbers w:val="0"/>
        <w:ind w:firstLine="482" w:firstLineChars="2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传统型制造商应提供的证明材料：</w:t>
      </w:r>
    </w:p>
    <w:p>
      <w:pPr>
        <w:pStyle w:val="15"/>
        <w:rPr>
          <w:rFonts w:hint="eastAsia"/>
          <w:highlight w:val="none"/>
          <w:lang w:val="en-US" w:eastAsia="zh-CN"/>
        </w:rPr>
      </w:pPr>
    </w:p>
    <w:p>
      <w:pPr>
        <w:widowControl/>
        <w:numPr>
          <w:ilvl w:val="0"/>
          <w:numId w:val="30"/>
        </w:numPr>
        <w:spacing w:line="360" w:lineRule="auto"/>
        <w:ind w:firstLine="720" w:firstLineChars="300"/>
        <w:rPr>
          <w:rFonts w:hint="eastAsia"/>
          <w:highlight w:val="none"/>
          <w:lang w:val="en-US" w:eastAsia="zh-CN"/>
        </w:rPr>
      </w:pPr>
      <w:r>
        <w:rPr>
          <w:rFonts w:hint="eastAsia" w:ascii="仿宋" w:hAnsi="仿宋" w:eastAsia="仿宋" w:cs="仿宋"/>
          <w:b w:val="0"/>
          <w:bCs w:val="0"/>
          <w:sz w:val="24"/>
          <w:szCs w:val="24"/>
          <w:highlight w:val="none"/>
          <w:lang w:val="en-US" w:eastAsia="zh-CN"/>
        </w:rPr>
        <w:t>有效的质量管理体系认证证书：</w:t>
      </w:r>
    </w:p>
    <w:p>
      <w:pPr>
        <w:keepNext w:val="0"/>
        <w:keepLines w:val="0"/>
        <w:widowControl/>
        <w:numPr>
          <w:ilvl w:val="0"/>
          <w:numId w:val="0"/>
        </w:numPr>
        <w:suppressLineNumbers w:val="0"/>
        <w:spacing w:line="360" w:lineRule="auto"/>
        <w:ind w:left="840" w:leftChars="0"/>
        <w:jc w:val="both"/>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2、厂房、库房证明（须提供土地或房产，自有证明或租赁合同原件扫描件，且须提供厂房及库房实物照片2-4张）：</w:t>
      </w:r>
    </w:p>
    <w:p>
      <w:pPr>
        <w:keepNext w:val="0"/>
        <w:keepLines w:val="0"/>
        <w:widowControl/>
        <w:numPr>
          <w:ilvl w:val="0"/>
          <w:numId w:val="0"/>
        </w:numPr>
        <w:suppressLineNumbers w:val="0"/>
        <w:spacing w:line="360" w:lineRule="auto"/>
        <w:ind w:left="840" w:leftChars="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3、生产设备证明（须提供至少2个反应釜的照片、铭牌、购买发票或租赁合同，反应釜满足技术文件要求）</w:t>
      </w:r>
    </w:p>
    <w:p>
      <w:pPr>
        <w:keepNext w:val="0"/>
        <w:keepLines w:val="0"/>
        <w:widowControl/>
        <w:numPr>
          <w:ilvl w:val="0"/>
          <w:numId w:val="0"/>
        </w:numPr>
        <w:suppressLineNumbers w:val="0"/>
        <w:spacing w:line="360" w:lineRule="auto"/>
        <w:ind w:left="840" w:leftChars="0"/>
        <w:jc w:val="both"/>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w:t>
      </w:r>
      <w:r>
        <w:rPr>
          <w:rFonts w:hint="default" w:ascii="仿宋" w:hAnsi="仿宋" w:eastAsia="仿宋" w:cs="仿宋"/>
          <w:b w:val="0"/>
          <w:bCs w:val="0"/>
          <w:sz w:val="24"/>
          <w:szCs w:val="24"/>
          <w:highlight w:val="none"/>
          <w:lang w:val="en-US" w:eastAsia="zh-CN"/>
        </w:rPr>
        <w:t>近半年内生产线任意1个月的交联剂产品生产运行记录。</w:t>
      </w:r>
    </w:p>
    <w:p>
      <w:pPr>
        <w:widowControl/>
        <w:numPr>
          <w:ilvl w:val="0"/>
          <w:numId w:val="0"/>
        </w:numPr>
        <w:spacing w:line="360" w:lineRule="auto"/>
        <w:ind w:firstLine="720" w:firstLineChars="300"/>
        <w:rPr>
          <w:rFonts w:hint="eastAsia" w:ascii="仿宋" w:hAnsi="仿宋" w:eastAsia="仿宋" w:cs="仿宋"/>
          <w:b w:val="0"/>
          <w:bCs w:val="0"/>
          <w:sz w:val="24"/>
          <w:szCs w:val="24"/>
          <w:highlight w:val="none"/>
          <w:lang w:val="en-US" w:eastAsia="zh-CN"/>
        </w:rPr>
      </w:pPr>
    </w:p>
    <w:p>
      <w:pPr>
        <w:pStyle w:val="56"/>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6"/>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5.10业绩要求</w:t>
      </w:r>
    </w:p>
    <w:p>
      <w:pPr>
        <w:pStyle w:val="56"/>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6"/>
        <w:adjustRightInd/>
        <w:jc w:val="center"/>
        <w:rPr>
          <w:rFonts w:hAnsi="宋体"/>
          <w:b/>
          <w:sz w:val="21"/>
          <w:szCs w:val="21"/>
          <w:highlight w:val="none"/>
        </w:rPr>
      </w:pPr>
      <w:r>
        <w:rPr>
          <w:rFonts w:hint="eastAsia" w:hAnsi="宋体"/>
          <w:b/>
          <w:sz w:val="21"/>
          <w:szCs w:val="21"/>
          <w:highlight w:val="none"/>
        </w:rPr>
        <w:t>商务偏离条款</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73"/>
        <w:gridCol w:w="1179"/>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2173"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179" w:type="dxa"/>
            <w:vAlign w:val="center"/>
          </w:tcPr>
          <w:p>
            <w:pPr>
              <w:spacing w:line="24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240" w:lineRule="auto"/>
              <w:jc w:val="left"/>
              <w:rPr>
                <w:highlight w:val="none"/>
              </w:rPr>
            </w:pPr>
            <w:r>
              <w:rPr>
                <w:rFonts w:hint="eastAsia"/>
                <w:highlight w:val="none"/>
              </w:rPr>
              <w:t>解决方法（不接受/协商/接受询价方条件）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2173" w:type="dxa"/>
            <w:vAlign w:val="center"/>
          </w:tcPr>
          <w:p>
            <w:pPr>
              <w:pStyle w:val="46"/>
              <w:spacing w:line="300" w:lineRule="exact"/>
              <w:jc w:val="center"/>
              <w:rPr>
                <w:rFonts w:hint="eastAsia" w:asciiTheme="minorEastAsia" w:hAnsiTheme="minorEastAsia" w:eastAsiaTheme="minorEastAsia" w:cstheme="minorEastAsia"/>
                <w:bCs/>
                <w:color w:val="auto"/>
                <w:kern w:val="0"/>
                <w:sz w:val="18"/>
                <w:szCs w:val="18"/>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1179" w:type="dxa"/>
            <w:vAlign w:val="center"/>
          </w:tcPr>
          <w:p>
            <w:pPr>
              <w:pStyle w:val="46"/>
              <w:spacing w:line="300" w:lineRule="exact"/>
              <w:jc w:val="center"/>
              <w:rPr>
                <w:rFonts w:hint="eastAsia" w:ascii="仿宋" w:hAnsi="仿宋" w:eastAsia="仿宋" w:cs="仿宋"/>
                <w:bCs/>
                <w:color w:val="auto"/>
                <w:kern w:val="0"/>
                <w:sz w:val="21"/>
                <w:szCs w:val="21"/>
                <w:highlight w:val="none"/>
                <w:lang w:val="en-US" w:eastAsia="zh-CN" w:bidi="ar-SA"/>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2173" w:type="dxa"/>
            <w:vAlign w:val="center"/>
          </w:tcPr>
          <w:p>
            <w:pPr>
              <w:pStyle w:val="46"/>
              <w:spacing w:line="300" w:lineRule="exact"/>
              <w:jc w:val="center"/>
              <w:rPr>
                <w:rFonts w:hint="eastAsia" w:asciiTheme="minorEastAsia" w:hAnsiTheme="minorEastAsia" w:eastAsiaTheme="minorEastAsia" w:cstheme="minorEastAsia"/>
                <w:bCs/>
                <w:color w:val="auto"/>
                <w:kern w:val="0"/>
                <w:sz w:val="18"/>
                <w:szCs w:val="18"/>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1179" w:type="dxa"/>
            <w:vAlign w:val="center"/>
          </w:tcPr>
          <w:p>
            <w:pPr>
              <w:pStyle w:val="46"/>
              <w:spacing w:line="300" w:lineRule="exact"/>
              <w:jc w:val="center"/>
              <w:rPr>
                <w:rFonts w:hint="eastAsia" w:ascii="仿宋" w:hAnsi="仿宋" w:eastAsia="仿宋" w:cs="仿宋"/>
                <w:bCs/>
                <w:color w:val="auto"/>
                <w:kern w:val="0"/>
                <w:sz w:val="21"/>
                <w:szCs w:val="21"/>
                <w:highlight w:val="none"/>
                <w:lang w:val="en-US" w:eastAsia="zh-CN" w:bidi="ar-SA"/>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2173" w:type="dxa"/>
            <w:vAlign w:val="center"/>
          </w:tcPr>
          <w:p>
            <w:pPr>
              <w:pStyle w:val="46"/>
              <w:spacing w:line="300" w:lineRule="exact"/>
              <w:jc w:val="center"/>
              <w:rPr>
                <w:rFonts w:hint="eastAsia" w:asciiTheme="minorEastAsia" w:hAnsiTheme="minorEastAsia" w:eastAsiaTheme="minorEastAsia" w:cstheme="minorEastAsia"/>
                <w:bCs/>
                <w:color w:val="auto"/>
                <w:kern w:val="0"/>
                <w:sz w:val="18"/>
                <w:szCs w:val="18"/>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1179" w:type="dxa"/>
            <w:vAlign w:val="center"/>
          </w:tcPr>
          <w:p>
            <w:pPr>
              <w:pStyle w:val="46"/>
              <w:spacing w:line="300" w:lineRule="exact"/>
              <w:jc w:val="center"/>
              <w:rPr>
                <w:rFonts w:hint="eastAsia" w:ascii="仿宋" w:hAnsi="仿宋" w:eastAsia="仿宋" w:cs="仿宋"/>
                <w:bCs/>
                <w:color w:val="auto"/>
                <w:kern w:val="0"/>
                <w:sz w:val="21"/>
                <w:szCs w:val="21"/>
                <w:highlight w:val="none"/>
                <w:lang w:val="en-US" w:eastAsia="zh-CN" w:bidi="ar-SA"/>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2173" w:type="dxa"/>
            <w:vAlign w:val="center"/>
          </w:tcPr>
          <w:p>
            <w:pPr>
              <w:pStyle w:val="46"/>
              <w:spacing w:line="300" w:lineRule="exact"/>
              <w:jc w:val="center"/>
              <w:rPr>
                <w:rFonts w:hint="eastAsia" w:asciiTheme="minorEastAsia" w:hAnsiTheme="minorEastAsia" w:eastAsiaTheme="minorEastAsia" w:cstheme="minorEastAsia"/>
                <w:bCs/>
                <w:color w:val="auto"/>
                <w:kern w:val="0"/>
                <w:sz w:val="18"/>
                <w:szCs w:val="18"/>
                <w:highlight w:val="none"/>
                <w:lang w:val="en-US" w:eastAsia="zh-CN" w:bidi="ar-SA"/>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1179" w:type="dxa"/>
            <w:vAlign w:val="center"/>
          </w:tcPr>
          <w:p>
            <w:pPr>
              <w:pStyle w:val="46"/>
              <w:spacing w:line="300" w:lineRule="exact"/>
              <w:jc w:val="center"/>
              <w:rPr>
                <w:rFonts w:hint="eastAsia" w:ascii="仿宋" w:hAnsi="仿宋" w:eastAsia="仿宋" w:cs="仿宋"/>
                <w:bCs/>
                <w:color w:val="auto"/>
                <w:kern w:val="0"/>
                <w:sz w:val="21"/>
                <w:szCs w:val="21"/>
                <w:highlight w:val="none"/>
                <w:lang w:val="en-US" w:eastAsia="zh-CN" w:bidi="ar-SA"/>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hint="eastAsia" w:ascii="宋体" w:hAnsi="宋体" w:eastAsiaTheme="minorEastAsia"/>
                <w:color w:val="000000"/>
                <w:highlight w:val="none"/>
                <w:lang w:val="en-US" w:eastAsia="zh-CN"/>
              </w:rPr>
            </w:pPr>
            <w:r>
              <w:rPr>
                <w:rFonts w:hint="eastAsia" w:ascii="宋体" w:hAnsi="宋体"/>
                <w:color w:val="000000"/>
                <w:highlight w:val="none"/>
                <w:lang w:val="en-US" w:eastAsia="zh-CN"/>
              </w:rPr>
              <w:t>5</w:t>
            </w:r>
          </w:p>
        </w:tc>
        <w:tc>
          <w:tcPr>
            <w:tcW w:w="2173" w:type="dxa"/>
            <w:vAlign w:val="center"/>
          </w:tcPr>
          <w:p>
            <w:pPr>
              <w:pStyle w:val="46"/>
              <w:spacing w:line="300" w:lineRule="exact"/>
              <w:jc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1179" w:type="dxa"/>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eastAsia" w:ascii="宋体" w:hAnsi="宋体" w:eastAsiaTheme="minorEastAsia"/>
                <w:color w:val="000000"/>
                <w:highlight w:val="none"/>
                <w:lang w:val="en-US" w:eastAsia="zh-CN"/>
              </w:rPr>
            </w:pPr>
            <w:r>
              <w:rPr>
                <w:rFonts w:hint="eastAsia" w:ascii="宋体" w:hAnsi="宋体"/>
                <w:color w:val="000000"/>
                <w:highlight w:val="none"/>
                <w:lang w:val="en-US" w:eastAsia="zh-CN"/>
              </w:rPr>
              <w:t>6</w:t>
            </w:r>
          </w:p>
        </w:tc>
        <w:tc>
          <w:tcPr>
            <w:tcW w:w="2173" w:type="dxa"/>
            <w:vAlign w:val="center"/>
          </w:tcPr>
          <w:p>
            <w:pPr>
              <w:pStyle w:val="46"/>
              <w:spacing w:line="300" w:lineRule="exact"/>
              <w:jc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1179" w:type="dxa"/>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eastAsia" w:ascii="宋体" w:hAnsi="宋体" w:eastAsiaTheme="minorEastAsia"/>
                <w:color w:val="000000"/>
                <w:highlight w:val="none"/>
                <w:lang w:val="en-US" w:eastAsia="zh-CN"/>
              </w:rPr>
            </w:pPr>
            <w:r>
              <w:rPr>
                <w:rFonts w:hint="eastAsia" w:ascii="宋体" w:hAnsi="宋体"/>
                <w:color w:val="000000"/>
                <w:highlight w:val="none"/>
                <w:lang w:val="en-US" w:eastAsia="zh-CN"/>
              </w:rPr>
              <w:t>7</w:t>
            </w:r>
          </w:p>
        </w:tc>
        <w:tc>
          <w:tcPr>
            <w:tcW w:w="2173" w:type="dxa"/>
            <w:vAlign w:val="center"/>
          </w:tcPr>
          <w:p>
            <w:pPr>
              <w:pStyle w:val="46"/>
              <w:numPr>
                <w:ilvl w:val="-1"/>
                <w:numId w:val="0"/>
              </w:numPr>
              <w:jc w:val="both"/>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tc>
        <w:tc>
          <w:tcPr>
            <w:tcW w:w="1179" w:type="dxa"/>
            <w:vAlign w:val="center"/>
          </w:tcPr>
          <w:p>
            <w:pPr>
              <w:pStyle w:val="46"/>
              <w:jc w:val="center"/>
              <w:rPr>
                <w:rFonts w:hint="default" w:ascii="仿宋" w:hAnsi="仿宋" w:eastAsia="仿宋" w:cs="仿宋"/>
                <w:color w:val="auto"/>
                <w:kern w:val="2"/>
                <w:sz w:val="21"/>
                <w:szCs w:val="21"/>
                <w:highlight w:val="none"/>
                <w:lang w:val="en-US" w:eastAsia="zh-CN" w:bidi="ar-SA"/>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eastAsia" w:ascii="宋体" w:hAnsi="宋体" w:eastAsiaTheme="minorEastAsia"/>
                <w:color w:val="000000"/>
                <w:highlight w:val="none"/>
                <w:lang w:val="en-US" w:eastAsia="zh-CN"/>
              </w:rPr>
            </w:pPr>
            <w:r>
              <w:rPr>
                <w:rFonts w:hint="eastAsia" w:ascii="宋体" w:hAnsi="宋体"/>
                <w:color w:val="000000"/>
                <w:highlight w:val="none"/>
                <w:lang w:val="en-US" w:eastAsia="zh-CN"/>
              </w:rPr>
              <w:t>8</w:t>
            </w:r>
          </w:p>
        </w:tc>
        <w:tc>
          <w:tcPr>
            <w:tcW w:w="2173" w:type="dxa"/>
            <w:vAlign w:val="center"/>
          </w:tcPr>
          <w:p>
            <w:pPr>
              <w:pStyle w:val="46"/>
              <w:spacing w:line="300" w:lineRule="exact"/>
              <w:jc w:val="center"/>
              <w:rPr>
                <w:rFonts w:hint="default" w:asciiTheme="minorEastAsia" w:hAnsiTheme="minorEastAsia" w:eastAsiaTheme="minorEastAsia" w:cstheme="minorEastAsia"/>
                <w:kern w:val="2"/>
                <w:sz w:val="18"/>
                <w:szCs w:val="18"/>
                <w:highlight w:val="none"/>
                <w:lang w:val="en-US" w:eastAsia="zh-CN" w:bidi="ar-SA"/>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1179" w:type="dxa"/>
            <w:vAlign w:val="center"/>
          </w:tcPr>
          <w:p>
            <w:pPr>
              <w:pStyle w:val="8"/>
              <w:tabs>
                <w:tab w:val="left" w:pos="770"/>
              </w:tabs>
              <w:ind w:left="0" w:leftChars="0" w:right="134" w:rightChars="0"/>
              <w:jc w:val="left"/>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default" w:ascii="宋体" w:hAnsi="宋体" w:eastAsiaTheme="minorEastAsia"/>
                <w:color w:val="000000"/>
                <w:highlight w:val="none"/>
                <w:lang w:val="en-US" w:eastAsia="zh-CN"/>
              </w:rPr>
            </w:pPr>
            <w:r>
              <w:rPr>
                <w:rFonts w:hint="eastAsia" w:ascii="宋体" w:hAnsi="宋体"/>
                <w:color w:val="000000"/>
                <w:highlight w:val="none"/>
                <w:lang w:val="en-US" w:eastAsia="zh-CN"/>
              </w:rPr>
              <w:t>9</w:t>
            </w:r>
          </w:p>
        </w:tc>
        <w:tc>
          <w:tcPr>
            <w:tcW w:w="2173" w:type="dxa"/>
            <w:vAlign w:val="center"/>
          </w:tcPr>
          <w:p>
            <w:pPr>
              <w:pStyle w:val="46"/>
              <w:spacing w:line="300" w:lineRule="exact"/>
              <w:jc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1179" w:type="dxa"/>
            <w:vAlign w:val="center"/>
          </w:tcPr>
          <w:p>
            <w:pPr>
              <w:pStyle w:val="46"/>
              <w:spacing w:line="300" w:lineRule="exact"/>
              <w:jc w:val="cente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default" w:ascii="宋体" w:hAnsi="宋体" w:eastAsiaTheme="minorEastAsia"/>
                <w:color w:val="000000"/>
                <w:highlight w:val="none"/>
                <w:lang w:val="en-US" w:eastAsia="zh-CN"/>
              </w:rPr>
            </w:pPr>
            <w:r>
              <w:rPr>
                <w:rFonts w:hint="eastAsia" w:ascii="宋体" w:hAnsi="宋体"/>
                <w:color w:val="000000"/>
                <w:highlight w:val="none"/>
                <w:lang w:val="en-US" w:eastAsia="zh-CN"/>
              </w:rPr>
              <w:t>10</w:t>
            </w:r>
          </w:p>
        </w:tc>
        <w:tc>
          <w:tcPr>
            <w:tcW w:w="2173" w:type="dxa"/>
            <w:vAlign w:val="center"/>
          </w:tcPr>
          <w:p>
            <w:pPr>
              <w:jc w:val="cente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1179" w:type="dxa"/>
            <w:vAlign w:val="center"/>
          </w:tcPr>
          <w:p>
            <w:pPr>
              <w:pStyle w:val="46"/>
              <w:spacing w:line="300" w:lineRule="exact"/>
              <w:jc w:val="center"/>
              <w:rPr>
                <w:rFonts w:hint="eastAsia" w:ascii="仿宋" w:hAnsi="仿宋" w:eastAsia="仿宋" w:cs="仿宋"/>
                <w:color w:val="auto"/>
                <w:kern w:val="0"/>
                <w:sz w:val="21"/>
                <w:szCs w:val="21"/>
                <w:highlight w:val="none"/>
                <w:lang w:val="en-US" w:eastAsia="zh-CN" w:bidi="ar-SA"/>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default" w:ascii="宋体" w:hAnsi="宋体"/>
                <w:color w:val="000000"/>
                <w:highlight w:val="none"/>
                <w:lang w:val="en-US" w:eastAsia="zh-CN"/>
              </w:rPr>
            </w:pPr>
            <w:r>
              <w:rPr>
                <w:rFonts w:hint="eastAsia" w:ascii="宋体" w:hAnsi="宋体"/>
                <w:color w:val="000000"/>
                <w:highlight w:val="none"/>
                <w:lang w:val="en-US" w:eastAsia="zh-CN"/>
              </w:rPr>
              <w:t>11</w:t>
            </w:r>
          </w:p>
        </w:tc>
        <w:tc>
          <w:tcPr>
            <w:tcW w:w="2173" w:type="dxa"/>
            <w:vAlign w:val="center"/>
          </w:tcPr>
          <w:p>
            <w:pPr>
              <w:pStyle w:val="46"/>
              <w:jc w:val="cente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1179" w:type="dxa"/>
            <w:vAlign w:val="center"/>
          </w:tcPr>
          <w:p>
            <w:pPr>
              <w:jc w:val="center"/>
              <w:rPr>
                <w:rFonts w:hint="eastAsia" w:ascii="仿宋" w:hAnsi="仿宋" w:eastAsia="仿宋" w:cs="仿宋"/>
                <w:color w:val="auto"/>
                <w:kern w:val="2"/>
                <w:sz w:val="21"/>
                <w:szCs w:val="21"/>
                <w:highlight w:val="none"/>
                <w:lang w:val="en-US" w:eastAsia="zh-CN" w:bidi="ar-SA"/>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tcPr>
          <w:p>
            <w:pPr>
              <w:spacing w:line="360" w:lineRule="auto"/>
              <w:jc w:val="center"/>
              <w:rPr>
                <w:rFonts w:hint="default" w:ascii="宋体" w:hAnsi="宋体"/>
                <w:color w:val="000000"/>
                <w:highlight w:val="none"/>
                <w:lang w:val="en-US" w:eastAsia="zh-CN"/>
              </w:rPr>
            </w:pPr>
            <w:r>
              <w:rPr>
                <w:rFonts w:hint="eastAsia" w:ascii="宋体" w:hAnsi="宋体"/>
                <w:color w:val="000000"/>
                <w:highlight w:val="none"/>
                <w:lang w:val="en-US" w:eastAsia="zh-CN"/>
              </w:rPr>
              <w:t>12</w:t>
            </w:r>
          </w:p>
        </w:tc>
        <w:tc>
          <w:tcPr>
            <w:tcW w:w="2173" w:type="dxa"/>
            <w:vAlign w:val="center"/>
          </w:tcPr>
          <w:p>
            <w:pPr>
              <w:pStyle w:val="46"/>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p>
        </w:tc>
        <w:tc>
          <w:tcPr>
            <w:tcW w:w="1179" w:type="dxa"/>
            <w:vAlign w:val="center"/>
          </w:tcPr>
          <w:p>
            <w:pPr>
              <w:pStyle w:val="46"/>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p>
        </w:tc>
        <w:tc>
          <w:tcPr>
            <w:tcW w:w="0" w:type="auto"/>
          </w:tcPr>
          <w:p>
            <w:pPr>
              <w:spacing w:line="360" w:lineRule="auto"/>
              <w:jc w:val="center"/>
              <w:rPr>
                <w:rFonts w:ascii="宋体" w:hAnsi="宋体"/>
                <w:color w:val="000000"/>
                <w:highlight w:val="none"/>
              </w:rPr>
            </w:pPr>
          </w:p>
        </w:tc>
        <w:tc>
          <w:tcPr>
            <w:tcW w:w="0" w:type="auto"/>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ind w:right="1680"/>
        <w:jc w:val="center"/>
        <w:rPr>
          <w:rFonts w:hint="eastAsia" w:ascii="宋体" w:hAnsi="宋体"/>
          <w:color w:val="000000"/>
          <w:szCs w:val="21"/>
          <w:highlight w:val="none"/>
        </w:rPr>
      </w:pPr>
      <w:r>
        <w:rPr>
          <w:rFonts w:hint="eastAsia" w:ascii="宋体" w:hAnsi="宋体"/>
          <w:color w:val="000000"/>
          <w:szCs w:val="21"/>
          <w:highlight w:val="none"/>
        </w:rPr>
        <w:t xml:space="preserve">            </w:t>
      </w:r>
    </w:p>
    <w:p>
      <w:pPr>
        <w:spacing w:line="360" w:lineRule="auto"/>
        <w:ind w:right="1680"/>
        <w:jc w:val="center"/>
        <w:rPr>
          <w:rFonts w:hint="eastAsia" w:ascii="宋体" w:hAnsi="宋体"/>
          <w:color w:val="000000"/>
          <w:szCs w:val="21"/>
          <w:highlight w:val="none"/>
        </w:rPr>
      </w:pPr>
    </w:p>
    <w:p>
      <w:pPr>
        <w:spacing w:line="360" w:lineRule="auto"/>
        <w:ind w:right="1680"/>
        <w:jc w:val="both"/>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2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418"/>
        <w:gridCol w:w="1020"/>
        <w:gridCol w:w="174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4418"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102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4418" w:type="dxa"/>
            <w:vAlign w:val="center"/>
          </w:tcPr>
          <w:p>
            <w:pPr>
              <w:pStyle w:val="46"/>
              <w:spacing w:line="360" w:lineRule="auto"/>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技术要求中的其他内容</w:t>
            </w:r>
          </w:p>
        </w:tc>
        <w:tc>
          <w:tcPr>
            <w:tcW w:w="1020" w:type="dxa"/>
            <w:vAlign w:val="center"/>
          </w:tcPr>
          <w:p>
            <w:pPr>
              <w:pStyle w:val="40"/>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4418" w:type="dxa"/>
            <w:vAlign w:val="center"/>
          </w:tcPr>
          <w:p>
            <w:pPr>
              <w:pStyle w:val="46"/>
              <w:spacing w:line="300" w:lineRule="exact"/>
              <w:jc w:val="center"/>
              <w:rPr>
                <w:rFonts w:hint="eastAsia" w:ascii="宋体" w:hAnsi="宋体" w:eastAsiaTheme="minorEastAsia" w:cstheme="minorBidi"/>
                <w:color w:val="000000"/>
                <w:kern w:val="2"/>
                <w:sz w:val="18"/>
                <w:szCs w:val="18"/>
                <w:highlight w:val="none"/>
                <w:lang w:val="en-US" w:eastAsia="zh-CN" w:bidi="ar-SA"/>
              </w:rPr>
            </w:pPr>
          </w:p>
        </w:tc>
        <w:tc>
          <w:tcPr>
            <w:tcW w:w="1020" w:type="dxa"/>
            <w:vAlign w:val="center"/>
          </w:tcPr>
          <w:p>
            <w:pPr>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4418" w:type="dxa"/>
            <w:vAlign w:val="center"/>
          </w:tcPr>
          <w:p>
            <w:pPr>
              <w:widowControl/>
              <w:ind w:right="11" w:rightChars="0"/>
              <w:jc w:val="center"/>
              <w:rPr>
                <w:rFonts w:hint="default" w:ascii="宋体" w:hAnsi="宋体" w:eastAsiaTheme="minorEastAsia" w:cstheme="minorBidi"/>
                <w:color w:val="000000"/>
                <w:kern w:val="2"/>
                <w:sz w:val="18"/>
                <w:szCs w:val="18"/>
                <w:highlight w:val="none"/>
                <w:lang w:val="en-US" w:eastAsia="zh-CN" w:bidi="ar-SA"/>
              </w:rPr>
            </w:pPr>
          </w:p>
        </w:tc>
        <w:tc>
          <w:tcPr>
            <w:tcW w:w="102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4418"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102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4418"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102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3"/>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4418" w:type="dxa"/>
            <w:vAlign w:val="center"/>
          </w:tcPr>
          <w:p>
            <w:pPr>
              <w:pStyle w:val="53"/>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102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40"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776"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3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3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31"/>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41"/>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1"/>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24"/>
        <w:tblW w:w="9574"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00"/>
        <w:gridCol w:w="1075"/>
        <w:gridCol w:w="725"/>
        <w:gridCol w:w="675"/>
        <w:gridCol w:w="1287"/>
        <w:gridCol w:w="1063"/>
        <w:gridCol w:w="133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43"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1300" w:type="dxa"/>
            <w:shd w:val="clear" w:color="auto" w:fill="auto"/>
            <w:vAlign w:val="center"/>
          </w:tcPr>
          <w:p>
            <w:pPr>
              <w:pStyle w:val="41"/>
              <w:spacing w:line="240" w:lineRule="auto"/>
              <w:ind w:firstLine="0"/>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075"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预估</w:t>
            </w: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725" w:type="dxa"/>
            <w:shd w:val="clear" w:color="auto" w:fill="auto"/>
            <w:vAlign w:val="center"/>
          </w:tcPr>
          <w:p>
            <w:pPr>
              <w:pStyle w:val="41"/>
              <w:spacing w:line="240" w:lineRule="auto"/>
              <w:ind w:firstLine="0"/>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675" w:type="dxa"/>
            <w:shd w:val="clear" w:color="auto" w:fill="auto"/>
            <w:vAlign w:val="center"/>
          </w:tcPr>
          <w:p>
            <w:pPr>
              <w:pStyle w:val="41"/>
              <w:spacing w:line="240" w:lineRule="auto"/>
              <w:ind w:firstLine="0" w:firstLineChars="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1287"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1063"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1337"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1369" w:type="dxa"/>
            <w:shd w:val="clear" w:color="auto" w:fill="auto"/>
            <w:vAlign w:val="center"/>
          </w:tcPr>
          <w:p>
            <w:pPr>
              <w:pStyle w:val="41"/>
              <w:spacing w:line="24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43" w:type="dxa"/>
            <w:shd w:val="clear" w:color="auto" w:fill="auto"/>
            <w:vAlign w:val="center"/>
          </w:tcPr>
          <w:p>
            <w:pPr>
              <w:pStyle w:val="41"/>
              <w:spacing w:line="24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w:t>
            </w:r>
          </w:p>
        </w:tc>
        <w:tc>
          <w:tcPr>
            <w:tcW w:w="1300" w:type="dxa"/>
            <w:shd w:val="clear" w:color="auto" w:fill="auto"/>
            <w:vAlign w:val="center"/>
          </w:tcPr>
          <w:p>
            <w:pPr>
              <w:pStyle w:val="41"/>
              <w:spacing w:line="24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聚</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丙</w:t>
            </w:r>
            <w:r>
              <w:rPr>
                <w:rFonts w:hint="eastAsia" w:asciiTheme="minorEastAsia" w:hAnsiTheme="minorEastAsia" w:eastAsiaTheme="minorEastAsia"/>
                <w:color w:val="000000" w:themeColor="text1"/>
                <w:sz w:val="21"/>
                <w:szCs w:val="21"/>
                <w:highlight w:val="none"/>
                <w14:textFill>
                  <w14:solidFill>
                    <w14:schemeClr w14:val="tx1"/>
                  </w14:solidFill>
                </w14:textFill>
              </w:rPr>
              <w:t>烯</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颗粒</w:t>
            </w:r>
          </w:p>
        </w:tc>
        <w:tc>
          <w:tcPr>
            <w:tcW w:w="1075"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725" w:type="dxa"/>
            <w:shd w:val="clear" w:color="auto" w:fill="auto"/>
            <w:vAlign w:val="center"/>
          </w:tcPr>
          <w:p>
            <w:pPr>
              <w:pStyle w:val="41"/>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吨</w:t>
            </w:r>
          </w:p>
        </w:tc>
        <w:tc>
          <w:tcPr>
            <w:tcW w:w="675" w:type="dxa"/>
            <w:shd w:val="clear" w:color="auto" w:fill="auto"/>
            <w:vAlign w:val="center"/>
          </w:tcPr>
          <w:p>
            <w:pPr>
              <w:pStyle w:val="41"/>
              <w:spacing w:line="360" w:lineRule="auto"/>
              <w:ind w:firstLine="0" w:firstLineChars="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287" w:type="dxa"/>
            <w:shd w:val="clear" w:color="auto" w:fill="auto"/>
            <w:vAlign w:val="center"/>
          </w:tcPr>
          <w:p>
            <w:pPr>
              <w:pStyle w:val="41"/>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063" w:type="dxa"/>
            <w:shd w:val="clear" w:color="auto" w:fill="auto"/>
            <w:vAlign w:val="center"/>
          </w:tcPr>
          <w:p>
            <w:pPr>
              <w:pStyle w:val="41"/>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37" w:type="dxa"/>
            <w:shd w:val="clear" w:color="auto" w:fill="auto"/>
            <w:vAlign w:val="center"/>
          </w:tcPr>
          <w:p>
            <w:pPr>
              <w:pStyle w:val="41"/>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69" w:type="dxa"/>
            <w:shd w:val="clear" w:color="auto" w:fill="auto"/>
            <w:vAlign w:val="center"/>
          </w:tcPr>
          <w:p>
            <w:pPr>
              <w:pStyle w:val="41"/>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68" w:type="dxa"/>
            <w:gridSpan w:val="7"/>
            <w:shd w:val="clear" w:color="auto" w:fill="auto"/>
          </w:tcPr>
          <w:p>
            <w:pPr>
              <w:pStyle w:val="41"/>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337" w:type="dxa"/>
            <w:shd w:val="clear" w:color="auto" w:fill="auto"/>
          </w:tcPr>
          <w:p>
            <w:pPr>
              <w:pStyle w:val="41"/>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69" w:type="dxa"/>
            <w:shd w:val="clear" w:color="auto" w:fill="auto"/>
          </w:tcPr>
          <w:p>
            <w:pPr>
              <w:pStyle w:val="41"/>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574" w:type="dxa"/>
            <w:gridSpan w:val="9"/>
            <w:shd w:val="clear" w:color="auto" w:fill="auto"/>
          </w:tcPr>
          <w:p>
            <w:pPr>
              <w:pStyle w:val="41"/>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574" w:type="dxa"/>
            <w:gridSpan w:val="9"/>
            <w:shd w:val="clear" w:color="auto" w:fill="auto"/>
          </w:tcPr>
          <w:p>
            <w:pPr>
              <w:pStyle w:val="41"/>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合同签订后，按照要求听甲方通知送货</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1"/>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41"/>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4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1"/>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41"/>
        <w:spacing w:line="360" w:lineRule="auto"/>
        <w:ind w:right="560" w:firstLine="4830" w:firstLineChars="2300"/>
        <w:rPr>
          <w:rFonts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Calibri" w:hAnsi="Calibri"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2">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6">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0">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1">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6E37274"/>
    <w:multiLevelType w:val="singleLevel"/>
    <w:tmpl w:val="66E37274"/>
    <w:lvl w:ilvl="0" w:tentative="0">
      <w:start w:val="1"/>
      <w:numFmt w:val="decimal"/>
      <w:suff w:val="nothing"/>
      <w:lvlText w:val="%1、"/>
      <w:lvlJc w:val="left"/>
      <w:rPr>
        <w:rFonts w:hint="default"/>
        <w:sz w:val="24"/>
        <w:szCs w:val="24"/>
      </w:rPr>
    </w:lvl>
  </w:abstractNum>
  <w:abstractNum w:abstractNumId="23">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25">
    <w:nsid w:val="766591B6"/>
    <w:multiLevelType w:val="singleLevel"/>
    <w:tmpl w:val="766591B6"/>
    <w:lvl w:ilvl="0" w:tentative="0">
      <w:start w:val="1"/>
      <w:numFmt w:val="decimal"/>
      <w:suff w:val="nothing"/>
      <w:lvlText w:val="（%1）"/>
      <w:lvlJc w:val="left"/>
    </w:lvl>
  </w:abstractNum>
  <w:abstractNum w:abstractNumId="26">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27">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8">
    <w:nsid w:val="7C42FB50"/>
    <w:multiLevelType w:val="singleLevel"/>
    <w:tmpl w:val="7C42FB50"/>
    <w:lvl w:ilvl="0" w:tentative="0">
      <w:start w:val="1"/>
      <w:numFmt w:val="decimal"/>
      <w:suff w:val="nothing"/>
      <w:lvlText w:val="（%1）"/>
      <w:lvlJc w:val="left"/>
    </w:lvl>
  </w:abstractNum>
  <w:abstractNum w:abstractNumId="29">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3"/>
  </w:num>
  <w:num w:numId="3">
    <w:abstractNumId w:val="21"/>
  </w:num>
  <w:num w:numId="4">
    <w:abstractNumId w:val="30"/>
  </w:num>
  <w:num w:numId="5">
    <w:abstractNumId w:val="14"/>
  </w:num>
  <w:num w:numId="6">
    <w:abstractNumId w:val="15"/>
  </w:num>
  <w:num w:numId="7">
    <w:abstractNumId w:val="27"/>
  </w:num>
  <w:num w:numId="8">
    <w:abstractNumId w:val="2"/>
  </w:num>
  <w:num w:numId="9">
    <w:abstractNumId w:val="29"/>
  </w:num>
  <w:num w:numId="10">
    <w:abstractNumId w:val="9"/>
  </w:num>
  <w:num w:numId="11">
    <w:abstractNumId w:val="3"/>
  </w:num>
  <w:num w:numId="12">
    <w:abstractNumId w:val="5"/>
  </w:num>
  <w:num w:numId="13">
    <w:abstractNumId w:val="0"/>
  </w:num>
  <w:num w:numId="14">
    <w:abstractNumId w:val="7"/>
  </w:num>
  <w:num w:numId="15">
    <w:abstractNumId w:val="28"/>
  </w:num>
  <w:num w:numId="16">
    <w:abstractNumId w:val="1"/>
  </w:num>
  <w:num w:numId="17">
    <w:abstractNumId w:val="17"/>
  </w:num>
  <w:num w:numId="18">
    <w:abstractNumId w:val="18"/>
  </w:num>
  <w:num w:numId="19">
    <w:abstractNumId w:val="20"/>
  </w:num>
  <w:num w:numId="20">
    <w:abstractNumId w:val="6"/>
  </w:num>
  <w:num w:numId="21">
    <w:abstractNumId w:val="16"/>
  </w:num>
  <w:num w:numId="22">
    <w:abstractNumId w:val="12"/>
  </w:num>
  <w:num w:numId="23">
    <w:abstractNumId w:val="19"/>
  </w:num>
  <w:num w:numId="24">
    <w:abstractNumId w:val="10"/>
  </w:num>
  <w:num w:numId="25">
    <w:abstractNumId w:val="4"/>
  </w:num>
  <w:num w:numId="26">
    <w:abstractNumId w:val="11"/>
  </w:num>
  <w:num w:numId="27">
    <w:abstractNumId w:val="24"/>
  </w:num>
  <w:num w:numId="28">
    <w:abstractNumId w:val="26"/>
  </w:num>
  <w:num w:numId="29">
    <w:abstractNumId w:val="25"/>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1937D7"/>
    <w:rsid w:val="013C06BC"/>
    <w:rsid w:val="014341E8"/>
    <w:rsid w:val="017967AC"/>
    <w:rsid w:val="01B97ACA"/>
    <w:rsid w:val="01BB351E"/>
    <w:rsid w:val="02293695"/>
    <w:rsid w:val="027E3B30"/>
    <w:rsid w:val="02832B70"/>
    <w:rsid w:val="02987ACD"/>
    <w:rsid w:val="02CB438C"/>
    <w:rsid w:val="03012F09"/>
    <w:rsid w:val="031B4CE9"/>
    <w:rsid w:val="032F103F"/>
    <w:rsid w:val="034D72B2"/>
    <w:rsid w:val="036B136E"/>
    <w:rsid w:val="03A64228"/>
    <w:rsid w:val="03C549C8"/>
    <w:rsid w:val="03F8118B"/>
    <w:rsid w:val="040C6E91"/>
    <w:rsid w:val="0416631A"/>
    <w:rsid w:val="041C385C"/>
    <w:rsid w:val="043C3CAB"/>
    <w:rsid w:val="0442138C"/>
    <w:rsid w:val="04501562"/>
    <w:rsid w:val="049649D9"/>
    <w:rsid w:val="04D426FA"/>
    <w:rsid w:val="04DB0285"/>
    <w:rsid w:val="04EE495B"/>
    <w:rsid w:val="04F32BE0"/>
    <w:rsid w:val="05800AA3"/>
    <w:rsid w:val="059B46A8"/>
    <w:rsid w:val="05CB12D3"/>
    <w:rsid w:val="05EB64ED"/>
    <w:rsid w:val="064D75C2"/>
    <w:rsid w:val="06597396"/>
    <w:rsid w:val="06A00E6B"/>
    <w:rsid w:val="06A478F6"/>
    <w:rsid w:val="06C41C49"/>
    <w:rsid w:val="073A2498"/>
    <w:rsid w:val="07794418"/>
    <w:rsid w:val="07B973B9"/>
    <w:rsid w:val="07EB5DB9"/>
    <w:rsid w:val="087F37FD"/>
    <w:rsid w:val="08A40D88"/>
    <w:rsid w:val="08D65666"/>
    <w:rsid w:val="09141BF4"/>
    <w:rsid w:val="09581E0B"/>
    <w:rsid w:val="095A50FC"/>
    <w:rsid w:val="097D67BB"/>
    <w:rsid w:val="098E03C7"/>
    <w:rsid w:val="09B7349E"/>
    <w:rsid w:val="09F2269B"/>
    <w:rsid w:val="0A6F0775"/>
    <w:rsid w:val="0A9671D9"/>
    <w:rsid w:val="0AEB188B"/>
    <w:rsid w:val="0AEE0F46"/>
    <w:rsid w:val="0B29724A"/>
    <w:rsid w:val="0B4266BB"/>
    <w:rsid w:val="0B531E35"/>
    <w:rsid w:val="0BAC01B4"/>
    <w:rsid w:val="0BEF7DA3"/>
    <w:rsid w:val="0BF33038"/>
    <w:rsid w:val="0BFD0F44"/>
    <w:rsid w:val="0C3854F7"/>
    <w:rsid w:val="0C3A03CD"/>
    <w:rsid w:val="0C434FF4"/>
    <w:rsid w:val="0CAB2C38"/>
    <w:rsid w:val="0CBD2ABF"/>
    <w:rsid w:val="0CEE32B2"/>
    <w:rsid w:val="0CFA6394"/>
    <w:rsid w:val="0CFF413B"/>
    <w:rsid w:val="0D007BE0"/>
    <w:rsid w:val="0D026C09"/>
    <w:rsid w:val="0D111A0B"/>
    <w:rsid w:val="0D2F3ECE"/>
    <w:rsid w:val="0D36577E"/>
    <w:rsid w:val="0DF513F2"/>
    <w:rsid w:val="0E197009"/>
    <w:rsid w:val="0E834B7E"/>
    <w:rsid w:val="0EA20611"/>
    <w:rsid w:val="0EA44750"/>
    <w:rsid w:val="0EB219BC"/>
    <w:rsid w:val="0ECB6F03"/>
    <w:rsid w:val="0EE62D62"/>
    <w:rsid w:val="0F2D3164"/>
    <w:rsid w:val="0FAA4E26"/>
    <w:rsid w:val="0FD329CD"/>
    <w:rsid w:val="0FE442C8"/>
    <w:rsid w:val="0FF05B46"/>
    <w:rsid w:val="104E637E"/>
    <w:rsid w:val="10A50CDB"/>
    <w:rsid w:val="10DC2046"/>
    <w:rsid w:val="10FE0470"/>
    <w:rsid w:val="1117201E"/>
    <w:rsid w:val="116358B9"/>
    <w:rsid w:val="11A3156D"/>
    <w:rsid w:val="11B64CD1"/>
    <w:rsid w:val="11C80560"/>
    <w:rsid w:val="11D51CD2"/>
    <w:rsid w:val="120F2565"/>
    <w:rsid w:val="12404210"/>
    <w:rsid w:val="12B7126D"/>
    <w:rsid w:val="12CD4474"/>
    <w:rsid w:val="12D573EB"/>
    <w:rsid w:val="12DE0F4D"/>
    <w:rsid w:val="12F13DE0"/>
    <w:rsid w:val="13236DB2"/>
    <w:rsid w:val="132668F6"/>
    <w:rsid w:val="1334666D"/>
    <w:rsid w:val="136F1811"/>
    <w:rsid w:val="13991974"/>
    <w:rsid w:val="13A5273B"/>
    <w:rsid w:val="13A574D6"/>
    <w:rsid w:val="13AB3552"/>
    <w:rsid w:val="13D76E48"/>
    <w:rsid w:val="13EB3669"/>
    <w:rsid w:val="142F155F"/>
    <w:rsid w:val="144F71F0"/>
    <w:rsid w:val="14666FD2"/>
    <w:rsid w:val="14856738"/>
    <w:rsid w:val="148A193E"/>
    <w:rsid w:val="14962BF2"/>
    <w:rsid w:val="15022429"/>
    <w:rsid w:val="15112F23"/>
    <w:rsid w:val="15560646"/>
    <w:rsid w:val="15636126"/>
    <w:rsid w:val="15F97AE2"/>
    <w:rsid w:val="160D2A82"/>
    <w:rsid w:val="16394AEC"/>
    <w:rsid w:val="1658087C"/>
    <w:rsid w:val="16C251E8"/>
    <w:rsid w:val="170B0129"/>
    <w:rsid w:val="17270097"/>
    <w:rsid w:val="174727ED"/>
    <w:rsid w:val="182C3D1A"/>
    <w:rsid w:val="1839700F"/>
    <w:rsid w:val="184A22E6"/>
    <w:rsid w:val="1940737B"/>
    <w:rsid w:val="195566E7"/>
    <w:rsid w:val="19820A7A"/>
    <w:rsid w:val="19977D8A"/>
    <w:rsid w:val="19BE1AAB"/>
    <w:rsid w:val="1A182DF0"/>
    <w:rsid w:val="1AF347C3"/>
    <w:rsid w:val="1B5929C7"/>
    <w:rsid w:val="1B8054EF"/>
    <w:rsid w:val="1BF931D7"/>
    <w:rsid w:val="1C3D66FB"/>
    <w:rsid w:val="1C4F5EF0"/>
    <w:rsid w:val="1C5B3F70"/>
    <w:rsid w:val="1CC02D2D"/>
    <w:rsid w:val="1CCD5B89"/>
    <w:rsid w:val="1D142873"/>
    <w:rsid w:val="1D2F5DEB"/>
    <w:rsid w:val="1D506145"/>
    <w:rsid w:val="1DD763E7"/>
    <w:rsid w:val="1DFB16B0"/>
    <w:rsid w:val="1E623046"/>
    <w:rsid w:val="1E7A4FD0"/>
    <w:rsid w:val="1E8349E3"/>
    <w:rsid w:val="1E846C1E"/>
    <w:rsid w:val="1ED61050"/>
    <w:rsid w:val="1F0C773E"/>
    <w:rsid w:val="1F1B2614"/>
    <w:rsid w:val="1F510B7E"/>
    <w:rsid w:val="1F65178F"/>
    <w:rsid w:val="1F674C92"/>
    <w:rsid w:val="1F6751CA"/>
    <w:rsid w:val="1F731332"/>
    <w:rsid w:val="1F960E06"/>
    <w:rsid w:val="1FC74424"/>
    <w:rsid w:val="1FE03C26"/>
    <w:rsid w:val="20030F17"/>
    <w:rsid w:val="2027669A"/>
    <w:rsid w:val="20B34A6E"/>
    <w:rsid w:val="20C70E60"/>
    <w:rsid w:val="20DA7F0E"/>
    <w:rsid w:val="210015CD"/>
    <w:rsid w:val="21374CB3"/>
    <w:rsid w:val="21A45FB1"/>
    <w:rsid w:val="21B454D9"/>
    <w:rsid w:val="220855E6"/>
    <w:rsid w:val="2258523D"/>
    <w:rsid w:val="227C146B"/>
    <w:rsid w:val="22B7139F"/>
    <w:rsid w:val="22BA6508"/>
    <w:rsid w:val="234D0770"/>
    <w:rsid w:val="2363459D"/>
    <w:rsid w:val="23792D2F"/>
    <w:rsid w:val="23C7232D"/>
    <w:rsid w:val="240B77AE"/>
    <w:rsid w:val="2416236F"/>
    <w:rsid w:val="24587C1A"/>
    <w:rsid w:val="24780B22"/>
    <w:rsid w:val="24DC0DCF"/>
    <w:rsid w:val="24E30753"/>
    <w:rsid w:val="24E77DFA"/>
    <w:rsid w:val="24FD433F"/>
    <w:rsid w:val="2535609A"/>
    <w:rsid w:val="255911D5"/>
    <w:rsid w:val="25597020"/>
    <w:rsid w:val="258231E5"/>
    <w:rsid w:val="25A75231"/>
    <w:rsid w:val="25A95660"/>
    <w:rsid w:val="25F31B81"/>
    <w:rsid w:val="25F859EE"/>
    <w:rsid w:val="27573E27"/>
    <w:rsid w:val="27582E99"/>
    <w:rsid w:val="2768684B"/>
    <w:rsid w:val="276C269F"/>
    <w:rsid w:val="277E732D"/>
    <w:rsid w:val="27A40D9A"/>
    <w:rsid w:val="27BF12D5"/>
    <w:rsid w:val="27DD40F7"/>
    <w:rsid w:val="27ED2B8F"/>
    <w:rsid w:val="285D4660"/>
    <w:rsid w:val="28704010"/>
    <w:rsid w:val="28912EC0"/>
    <w:rsid w:val="289E4653"/>
    <w:rsid w:val="289F0B48"/>
    <w:rsid w:val="28CE7583"/>
    <w:rsid w:val="29082C94"/>
    <w:rsid w:val="290D4A28"/>
    <w:rsid w:val="29452A44"/>
    <w:rsid w:val="295E1CE3"/>
    <w:rsid w:val="2984346A"/>
    <w:rsid w:val="298F1F25"/>
    <w:rsid w:val="299B3D6C"/>
    <w:rsid w:val="299B568F"/>
    <w:rsid w:val="29DB7569"/>
    <w:rsid w:val="29E04E39"/>
    <w:rsid w:val="2A332146"/>
    <w:rsid w:val="2A9F5694"/>
    <w:rsid w:val="2AF8212B"/>
    <w:rsid w:val="2B4625A1"/>
    <w:rsid w:val="2BBF67B8"/>
    <w:rsid w:val="2C192C99"/>
    <w:rsid w:val="2C1F0E07"/>
    <w:rsid w:val="2CD163E1"/>
    <w:rsid w:val="2CD62941"/>
    <w:rsid w:val="2D311594"/>
    <w:rsid w:val="2D52226A"/>
    <w:rsid w:val="2D762283"/>
    <w:rsid w:val="2D7E7C14"/>
    <w:rsid w:val="2DA62C15"/>
    <w:rsid w:val="2E136AA5"/>
    <w:rsid w:val="2E1B7152"/>
    <w:rsid w:val="2E494392"/>
    <w:rsid w:val="2EF2591B"/>
    <w:rsid w:val="2F0E1B60"/>
    <w:rsid w:val="2F2F3CA1"/>
    <w:rsid w:val="2F80418D"/>
    <w:rsid w:val="2FEC00E5"/>
    <w:rsid w:val="3029773E"/>
    <w:rsid w:val="30413836"/>
    <w:rsid w:val="3062313F"/>
    <w:rsid w:val="30741918"/>
    <w:rsid w:val="309A1A6F"/>
    <w:rsid w:val="30E402A4"/>
    <w:rsid w:val="31062AD8"/>
    <w:rsid w:val="31293F09"/>
    <w:rsid w:val="314822FB"/>
    <w:rsid w:val="318007EE"/>
    <w:rsid w:val="31923564"/>
    <w:rsid w:val="31E43428"/>
    <w:rsid w:val="322D394E"/>
    <w:rsid w:val="3255420D"/>
    <w:rsid w:val="327D3291"/>
    <w:rsid w:val="32B3677D"/>
    <w:rsid w:val="32DF3A9C"/>
    <w:rsid w:val="3375117B"/>
    <w:rsid w:val="337D0E54"/>
    <w:rsid w:val="33AF14CE"/>
    <w:rsid w:val="33F40DB5"/>
    <w:rsid w:val="34111CBD"/>
    <w:rsid w:val="347E742F"/>
    <w:rsid w:val="348D0637"/>
    <w:rsid w:val="34C1712C"/>
    <w:rsid w:val="35137922"/>
    <w:rsid w:val="353067F3"/>
    <w:rsid w:val="35C7006A"/>
    <w:rsid w:val="35DE7DA0"/>
    <w:rsid w:val="363A6264"/>
    <w:rsid w:val="368A3B58"/>
    <w:rsid w:val="36A838BA"/>
    <w:rsid w:val="36BF0C66"/>
    <w:rsid w:val="36C831AB"/>
    <w:rsid w:val="36E8546D"/>
    <w:rsid w:val="36FF03C7"/>
    <w:rsid w:val="37405D48"/>
    <w:rsid w:val="378F791B"/>
    <w:rsid w:val="379D6FCC"/>
    <w:rsid w:val="37AA40E3"/>
    <w:rsid w:val="37B75977"/>
    <w:rsid w:val="37F66AB8"/>
    <w:rsid w:val="380F27E4"/>
    <w:rsid w:val="381C4EB2"/>
    <w:rsid w:val="38230117"/>
    <w:rsid w:val="382973F6"/>
    <w:rsid w:val="38453E1F"/>
    <w:rsid w:val="38807B07"/>
    <w:rsid w:val="389771E3"/>
    <w:rsid w:val="38D14A40"/>
    <w:rsid w:val="38D30218"/>
    <w:rsid w:val="38D3488A"/>
    <w:rsid w:val="39504729"/>
    <w:rsid w:val="39761180"/>
    <w:rsid w:val="39936654"/>
    <w:rsid w:val="39BF1693"/>
    <w:rsid w:val="3A1F750A"/>
    <w:rsid w:val="3A4F4169"/>
    <w:rsid w:val="3A5C7E1C"/>
    <w:rsid w:val="3AA627C7"/>
    <w:rsid w:val="3AAE035C"/>
    <w:rsid w:val="3AB45DE6"/>
    <w:rsid w:val="3AC46BDD"/>
    <w:rsid w:val="3AE40F3E"/>
    <w:rsid w:val="3B3742B4"/>
    <w:rsid w:val="3B394512"/>
    <w:rsid w:val="3B3E70E9"/>
    <w:rsid w:val="3B720CEE"/>
    <w:rsid w:val="3B9D199D"/>
    <w:rsid w:val="3BBC6ED2"/>
    <w:rsid w:val="3BFA1DF4"/>
    <w:rsid w:val="3C122D1E"/>
    <w:rsid w:val="3C4F64A5"/>
    <w:rsid w:val="3C6B58D1"/>
    <w:rsid w:val="3C83314E"/>
    <w:rsid w:val="3C905633"/>
    <w:rsid w:val="3C9C1A33"/>
    <w:rsid w:val="3CB74AC6"/>
    <w:rsid w:val="3CBB24EF"/>
    <w:rsid w:val="3CE26DBB"/>
    <w:rsid w:val="3D2D5518"/>
    <w:rsid w:val="3D891903"/>
    <w:rsid w:val="3DBE4239"/>
    <w:rsid w:val="3E4037CC"/>
    <w:rsid w:val="3E47743A"/>
    <w:rsid w:val="3E615322"/>
    <w:rsid w:val="3E772188"/>
    <w:rsid w:val="3E7E7442"/>
    <w:rsid w:val="3E9052B0"/>
    <w:rsid w:val="3EE111F7"/>
    <w:rsid w:val="3EF30CA8"/>
    <w:rsid w:val="3F1E0693"/>
    <w:rsid w:val="3F297D01"/>
    <w:rsid w:val="3F476FDD"/>
    <w:rsid w:val="3F4B338A"/>
    <w:rsid w:val="3F9A4869"/>
    <w:rsid w:val="3FB5297C"/>
    <w:rsid w:val="3FBC4A1D"/>
    <w:rsid w:val="3FDD5D2F"/>
    <w:rsid w:val="402661E4"/>
    <w:rsid w:val="406D282A"/>
    <w:rsid w:val="408E3CFE"/>
    <w:rsid w:val="40A971B0"/>
    <w:rsid w:val="40DE3BFB"/>
    <w:rsid w:val="41317E02"/>
    <w:rsid w:val="41525191"/>
    <w:rsid w:val="415972F5"/>
    <w:rsid w:val="41755AFB"/>
    <w:rsid w:val="417E3DFD"/>
    <w:rsid w:val="41B01E22"/>
    <w:rsid w:val="41B11DA3"/>
    <w:rsid w:val="4279224C"/>
    <w:rsid w:val="42821337"/>
    <w:rsid w:val="42947A49"/>
    <w:rsid w:val="42972BCC"/>
    <w:rsid w:val="42C41E24"/>
    <w:rsid w:val="43064505"/>
    <w:rsid w:val="431C1B42"/>
    <w:rsid w:val="43533C20"/>
    <w:rsid w:val="43542786"/>
    <w:rsid w:val="43D2652D"/>
    <w:rsid w:val="43FB2AB4"/>
    <w:rsid w:val="44373FFB"/>
    <w:rsid w:val="445A34E7"/>
    <w:rsid w:val="445C7035"/>
    <w:rsid w:val="44684C68"/>
    <w:rsid w:val="44A00541"/>
    <w:rsid w:val="44AD4835"/>
    <w:rsid w:val="451A3F70"/>
    <w:rsid w:val="452178C6"/>
    <w:rsid w:val="452F4F21"/>
    <w:rsid w:val="45B1484D"/>
    <w:rsid w:val="46052955"/>
    <w:rsid w:val="466E6504"/>
    <w:rsid w:val="467712F2"/>
    <w:rsid w:val="46B41878"/>
    <w:rsid w:val="46F224F1"/>
    <w:rsid w:val="474B1993"/>
    <w:rsid w:val="474F01CE"/>
    <w:rsid w:val="47721B46"/>
    <w:rsid w:val="484740A8"/>
    <w:rsid w:val="484D79E5"/>
    <w:rsid w:val="485E2C37"/>
    <w:rsid w:val="489C5FD2"/>
    <w:rsid w:val="48A33964"/>
    <w:rsid w:val="48B90C6B"/>
    <w:rsid w:val="4916306B"/>
    <w:rsid w:val="497A39F0"/>
    <w:rsid w:val="498B21B5"/>
    <w:rsid w:val="49B63741"/>
    <w:rsid w:val="49C02B87"/>
    <w:rsid w:val="49D50A4A"/>
    <w:rsid w:val="4A3B3017"/>
    <w:rsid w:val="4A4468AC"/>
    <w:rsid w:val="4AB61CA3"/>
    <w:rsid w:val="4B2A63DE"/>
    <w:rsid w:val="4B492C62"/>
    <w:rsid w:val="4BA17322"/>
    <w:rsid w:val="4BA45DBB"/>
    <w:rsid w:val="4BAE4AF4"/>
    <w:rsid w:val="4BC107E2"/>
    <w:rsid w:val="4BC81760"/>
    <w:rsid w:val="4C5770B6"/>
    <w:rsid w:val="4C5A1839"/>
    <w:rsid w:val="4C7572CD"/>
    <w:rsid w:val="4C9F74B1"/>
    <w:rsid w:val="4CE331B1"/>
    <w:rsid w:val="4CED79F8"/>
    <w:rsid w:val="4D896C70"/>
    <w:rsid w:val="4DD059E1"/>
    <w:rsid w:val="4DED0341"/>
    <w:rsid w:val="4DED52CC"/>
    <w:rsid w:val="4E0E49B4"/>
    <w:rsid w:val="4E1A19F6"/>
    <w:rsid w:val="4E294FCA"/>
    <w:rsid w:val="4E456F05"/>
    <w:rsid w:val="4E4D1F7D"/>
    <w:rsid w:val="4E603CD2"/>
    <w:rsid w:val="4E963B00"/>
    <w:rsid w:val="4ECC5CC5"/>
    <w:rsid w:val="4EEC25C0"/>
    <w:rsid w:val="4F01352B"/>
    <w:rsid w:val="4F2547B0"/>
    <w:rsid w:val="4F385E88"/>
    <w:rsid w:val="4F9A75BC"/>
    <w:rsid w:val="500C7739"/>
    <w:rsid w:val="500F5A5D"/>
    <w:rsid w:val="50333805"/>
    <w:rsid w:val="50361940"/>
    <w:rsid w:val="50406C68"/>
    <w:rsid w:val="50656FCA"/>
    <w:rsid w:val="506C41F0"/>
    <w:rsid w:val="50B16EC6"/>
    <w:rsid w:val="50D90CCF"/>
    <w:rsid w:val="512129F0"/>
    <w:rsid w:val="512E4FFA"/>
    <w:rsid w:val="51515AC6"/>
    <w:rsid w:val="51835AAE"/>
    <w:rsid w:val="51971635"/>
    <w:rsid w:val="51A840A2"/>
    <w:rsid w:val="51E444D7"/>
    <w:rsid w:val="51E607DE"/>
    <w:rsid w:val="52272A53"/>
    <w:rsid w:val="52634E37"/>
    <w:rsid w:val="52B171FA"/>
    <w:rsid w:val="530C016B"/>
    <w:rsid w:val="53B27FDC"/>
    <w:rsid w:val="54080330"/>
    <w:rsid w:val="540E1365"/>
    <w:rsid w:val="54306B00"/>
    <w:rsid w:val="546147E5"/>
    <w:rsid w:val="54956561"/>
    <w:rsid w:val="54AA3DF7"/>
    <w:rsid w:val="54B26C85"/>
    <w:rsid w:val="54B61E08"/>
    <w:rsid w:val="54E84524"/>
    <w:rsid w:val="54F55D2D"/>
    <w:rsid w:val="54F70673"/>
    <w:rsid w:val="54FD7A90"/>
    <w:rsid w:val="550F5A8F"/>
    <w:rsid w:val="553A7C2D"/>
    <w:rsid w:val="553C0438"/>
    <w:rsid w:val="556772A4"/>
    <w:rsid w:val="5590756D"/>
    <w:rsid w:val="55A84425"/>
    <w:rsid w:val="55DF6B06"/>
    <w:rsid w:val="561D378D"/>
    <w:rsid w:val="56317909"/>
    <w:rsid w:val="563F3E8D"/>
    <w:rsid w:val="564A53AB"/>
    <w:rsid w:val="56A30136"/>
    <w:rsid w:val="56B77204"/>
    <w:rsid w:val="570D617E"/>
    <w:rsid w:val="577838E9"/>
    <w:rsid w:val="577D7CF3"/>
    <w:rsid w:val="57A84D6C"/>
    <w:rsid w:val="57BC7C44"/>
    <w:rsid w:val="57DC5821"/>
    <w:rsid w:val="57E47675"/>
    <w:rsid w:val="57EE4CDC"/>
    <w:rsid w:val="57F618E2"/>
    <w:rsid w:val="57FD096B"/>
    <w:rsid w:val="583D707B"/>
    <w:rsid w:val="58F94086"/>
    <w:rsid w:val="590B020F"/>
    <w:rsid w:val="5938747F"/>
    <w:rsid w:val="596908FE"/>
    <w:rsid w:val="5974428D"/>
    <w:rsid w:val="59766ED3"/>
    <w:rsid w:val="59B966C3"/>
    <w:rsid w:val="5A3316DD"/>
    <w:rsid w:val="5A3819DA"/>
    <w:rsid w:val="5A5C5ECC"/>
    <w:rsid w:val="5A864044"/>
    <w:rsid w:val="5A873F8B"/>
    <w:rsid w:val="5B5A6CFE"/>
    <w:rsid w:val="5B685CB7"/>
    <w:rsid w:val="5B896B40"/>
    <w:rsid w:val="5B897306"/>
    <w:rsid w:val="5BD55FCE"/>
    <w:rsid w:val="5BD85C58"/>
    <w:rsid w:val="5C0E6FAA"/>
    <w:rsid w:val="5C227DB6"/>
    <w:rsid w:val="5CF215CE"/>
    <w:rsid w:val="5D236187"/>
    <w:rsid w:val="5D40278C"/>
    <w:rsid w:val="5D46011A"/>
    <w:rsid w:val="5D65502F"/>
    <w:rsid w:val="5D922074"/>
    <w:rsid w:val="5DAC0639"/>
    <w:rsid w:val="5DC6579D"/>
    <w:rsid w:val="5DD06C57"/>
    <w:rsid w:val="5DEE3A08"/>
    <w:rsid w:val="5DFB6CB9"/>
    <w:rsid w:val="5E907E2E"/>
    <w:rsid w:val="5E9E2A34"/>
    <w:rsid w:val="5F14140D"/>
    <w:rsid w:val="5F8A64CA"/>
    <w:rsid w:val="5FB4645E"/>
    <w:rsid w:val="5FDD0E56"/>
    <w:rsid w:val="60086C66"/>
    <w:rsid w:val="60595BE0"/>
    <w:rsid w:val="60732C9E"/>
    <w:rsid w:val="609F5F0D"/>
    <w:rsid w:val="60F40D61"/>
    <w:rsid w:val="61044875"/>
    <w:rsid w:val="611D63FB"/>
    <w:rsid w:val="6124336C"/>
    <w:rsid w:val="61366E33"/>
    <w:rsid w:val="6152493E"/>
    <w:rsid w:val="617270AD"/>
    <w:rsid w:val="62115573"/>
    <w:rsid w:val="625A33E9"/>
    <w:rsid w:val="62A80031"/>
    <w:rsid w:val="62CD0FA5"/>
    <w:rsid w:val="62F820BE"/>
    <w:rsid w:val="63883E5B"/>
    <w:rsid w:val="63AD5092"/>
    <w:rsid w:val="63B6085E"/>
    <w:rsid w:val="63D22FD5"/>
    <w:rsid w:val="64025D23"/>
    <w:rsid w:val="644D2F22"/>
    <w:rsid w:val="648D1ADE"/>
    <w:rsid w:val="64C25323"/>
    <w:rsid w:val="652A05D1"/>
    <w:rsid w:val="654324DC"/>
    <w:rsid w:val="65494330"/>
    <w:rsid w:val="6584693C"/>
    <w:rsid w:val="65A74DD4"/>
    <w:rsid w:val="65C57E73"/>
    <w:rsid w:val="65D51AA7"/>
    <w:rsid w:val="65F81FA5"/>
    <w:rsid w:val="660B1854"/>
    <w:rsid w:val="661B3639"/>
    <w:rsid w:val="66286A3B"/>
    <w:rsid w:val="66494E66"/>
    <w:rsid w:val="665530AA"/>
    <w:rsid w:val="667306C5"/>
    <w:rsid w:val="667818A0"/>
    <w:rsid w:val="66C77074"/>
    <w:rsid w:val="66C94D5E"/>
    <w:rsid w:val="67356A41"/>
    <w:rsid w:val="677705DC"/>
    <w:rsid w:val="67F7461E"/>
    <w:rsid w:val="681C674F"/>
    <w:rsid w:val="6826036F"/>
    <w:rsid w:val="68644FD2"/>
    <w:rsid w:val="68836DC3"/>
    <w:rsid w:val="6887648C"/>
    <w:rsid w:val="68EA31C9"/>
    <w:rsid w:val="68FE71CA"/>
    <w:rsid w:val="68FF5939"/>
    <w:rsid w:val="691B4A91"/>
    <w:rsid w:val="69297877"/>
    <w:rsid w:val="692B5915"/>
    <w:rsid w:val="692C6424"/>
    <w:rsid w:val="69352903"/>
    <w:rsid w:val="694E507F"/>
    <w:rsid w:val="69877796"/>
    <w:rsid w:val="6A0B4089"/>
    <w:rsid w:val="6A881DCD"/>
    <w:rsid w:val="6A8955FF"/>
    <w:rsid w:val="6AD356BF"/>
    <w:rsid w:val="6B33205C"/>
    <w:rsid w:val="6B6C0D22"/>
    <w:rsid w:val="6B9E7527"/>
    <w:rsid w:val="6BE92059"/>
    <w:rsid w:val="6BEB1B2A"/>
    <w:rsid w:val="6BFD4FA2"/>
    <w:rsid w:val="6C290AC4"/>
    <w:rsid w:val="6C3D3FC5"/>
    <w:rsid w:val="6C6E76AA"/>
    <w:rsid w:val="6C717B88"/>
    <w:rsid w:val="6CE6394F"/>
    <w:rsid w:val="6CF83784"/>
    <w:rsid w:val="6D783D26"/>
    <w:rsid w:val="6DEF510F"/>
    <w:rsid w:val="6DF01F33"/>
    <w:rsid w:val="6E00572C"/>
    <w:rsid w:val="6E146C1B"/>
    <w:rsid w:val="6E6C03DB"/>
    <w:rsid w:val="6E9523F6"/>
    <w:rsid w:val="6EA32461"/>
    <w:rsid w:val="6F3254E8"/>
    <w:rsid w:val="6F4306FA"/>
    <w:rsid w:val="6F5B4BA2"/>
    <w:rsid w:val="6F615273"/>
    <w:rsid w:val="6FAC05F0"/>
    <w:rsid w:val="6FEB37AA"/>
    <w:rsid w:val="70F328F1"/>
    <w:rsid w:val="711F0324"/>
    <w:rsid w:val="712944B7"/>
    <w:rsid w:val="71496BFF"/>
    <w:rsid w:val="715E6563"/>
    <w:rsid w:val="71635BDF"/>
    <w:rsid w:val="71DD784A"/>
    <w:rsid w:val="71F909A7"/>
    <w:rsid w:val="724E2F94"/>
    <w:rsid w:val="725620A9"/>
    <w:rsid w:val="72961411"/>
    <w:rsid w:val="72CE6A57"/>
    <w:rsid w:val="730B78D2"/>
    <w:rsid w:val="730F0827"/>
    <w:rsid w:val="735F1183"/>
    <w:rsid w:val="73707BF4"/>
    <w:rsid w:val="738A6720"/>
    <w:rsid w:val="73992FB6"/>
    <w:rsid w:val="73A12A03"/>
    <w:rsid w:val="73BA3D76"/>
    <w:rsid w:val="73ED7C13"/>
    <w:rsid w:val="742E7A5F"/>
    <w:rsid w:val="745E3FF9"/>
    <w:rsid w:val="747A11FA"/>
    <w:rsid w:val="7593678E"/>
    <w:rsid w:val="76525BE7"/>
    <w:rsid w:val="765C2136"/>
    <w:rsid w:val="76BF62FB"/>
    <w:rsid w:val="76C259ED"/>
    <w:rsid w:val="76CF002B"/>
    <w:rsid w:val="76D550BD"/>
    <w:rsid w:val="76F27835"/>
    <w:rsid w:val="77186240"/>
    <w:rsid w:val="77506C1B"/>
    <w:rsid w:val="779F2910"/>
    <w:rsid w:val="784D09EB"/>
    <w:rsid w:val="785A2346"/>
    <w:rsid w:val="7864389B"/>
    <w:rsid w:val="78CE2547"/>
    <w:rsid w:val="79685109"/>
    <w:rsid w:val="79EC76CC"/>
    <w:rsid w:val="79FE72AE"/>
    <w:rsid w:val="7A2E1215"/>
    <w:rsid w:val="7A846AC2"/>
    <w:rsid w:val="7A931F2A"/>
    <w:rsid w:val="7B2909D9"/>
    <w:rsid w:val="7B5876BE"/>
    <w:rsid w:val="7B8261EA"/>
    <w:rsid w:val="7B850B4A"/>
    <w:rsid w:val="7B99437C"/>
    <w:rsid w:val="7BC47D5E"/>
    <w:rsid w:val="7C045E06"/>
    <w:rsid w:val="7C1B682B"/>
    <w:rsid w:val="7C255484"/>
    <w:rsid w:val="7C670438"/>
    <w:rsid w:val="7C7D516C"/>
    <w:rsid w:val="7C824F1B"/>
    <w:rsid w:val="7CA413E4"/>
    <w:rsid w:val="7CBA372B"/>
    <w:rsid w:val="7CBB0FC0"/>
    <w:rsid w:val="7D073BAD"/>
    <w:rsid w:val="7D26110F"/>
    <w:rsid w:val="7D4018F0"/>
    <w:rsid w:val="7D7F0DE3"/>
    <w:rsid w:val="7DBA5E84"/>
    <w:rsid w:val="7E094B88"/>
    <w:rsid w:val="7E1E72E8"/>
    <w:rsid w:val="7E4E18AE"/>
    <w:rsid w:val="7E815898"/>
    <w:rsid w:val="7F43615B"/>
    <w:rsid w:val="7F4A1012"/>
    <w:rsid w:val="7F744FDF"/>
    <w:rsid w:val="7FAE329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ind w:firstLine="0" w:firstLineChars="0"/>
      <w:jc w:val="both"/>
      <w:outlineLvl w:val="0"/>
    </w:pPr>
    <w:rPr>
      <w:rFonts w:cs="Times New Roman"/>
      <w:b/>
      <w:bCs/>
      <w:kern w:val="44"/>
      <w:sz w:val="28"/>
      <w:szCs w:val="44"/>
      <w:lang w:val="zh-CN" w:eastAsia="zh-CN"/>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45"/>
    <w:unhideWhenUsed/>
    <w:qFormat/>
    <w:uiPriority w:val="99"/>
    <w:pPr>
      <w:jc w:val="left"/>
    </w:pPr>
  </w:style>
  <w:style w:type="paragraph" w:styleId="8">
    <w:name w:val="Body Text"/>
    <w:basedOn w:val="1"/>
    <w:next w:val="1"/>
    <w:link w:val="48"/>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index 4"/>
    <w:basedOn w:val="1"/>
    <w:next w:val="1"/>
    <w:unhideWhenUsed/>
    <w:qFormat/>
    <w:uiPriority w:val="99"/>
    <w:pPr>
      <w:ind w:left="1260" w:leftChars="600"/>
      <w:jc w:val="left"/>
    </w:pPr>
  </w:style>
  <w:style w:type="paragraph" w:styleId="12">
    <w:name w:val="toc 3"/>
    <w:basedOn w:val="1"/>
    <w:next w:val="1"/>
    <w:unhideWhenUsed/>
    <w:qFormat/>
    <w:uiPriority w:val="39"/>
    <w:pPr>
      <w:widowControl/>
      <w:spacing w:after="100" w:line="259" w:lineRule="auto"/>
      <w:ind w:left="440"/>
    </w:pPr>
    <w:rPr>
      <w:rFonts w:cs="Times New Roman"/>
      <w:lang w:eastAsia="zh-CN"/>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4"/>
    <w:semiHidden/>
    <w:unhideWhenUsed/>
    <w:qFormat/>
    <w:uiPriority w:val="99"/>
    <w:rPr>
      <w:sz w:val="18"/>
      <w:szCs w:val="18"/>
    </w:rPr>
  </w:style>
  <w:style w:type="paragraph" w:styleId="15">
    <w:name w:val="footer"/>
    <w:basedOn w:val="1"/>
    <w:next w:val="6"/>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spacing w:line="360" w:lineRule="auto"/>
    </w:pPr>
    <w:rPr>
      <w:rFonts w:ascii="Times" w:hAnsi="Times"/>
      <w:sz w:val="24"/>
    </w:rPr>
  </w:style>
  <w:style w:type="paragraph" w:styleId="18">
    <w:name w:val="toc 2"/>
    <w:basedOn w:val="1"/>
    <w:next w:val="1"/>
    <w:qFormat/>
    <w:uiPriority w:val="39"/>
    <w:pPr>
      <w:ind w:left="210"/>
      <w:jc w:val="left"/>
    </w:pPr>
    <w:rPr>
      <w:smallCaps/>
      <w:sz w:val="20"/>
      <w:szCs w:val="20"/>
    </w:rPr>
  </w:style>
  <w:style w:type="paragraph" w:styleId="19">
    <w:name w:val="Normal (Web)"/>
    <w:basedOn w:val="1"/>
    <w:qFormat/>
    <w:uiPriority w:val="0"/>
    <w:rPr>
      <w:sz w:val="24"/>
    </w:rPr>
  </w:style>
  <w:style w:type="paragraph" w:styleId="20">
    <w:name w:val="Title"/>
    <w:basedOn w:val="1"/>
    <w:next w:val="1"/>
    <w:qFormat/>
    <w:uiPriority w:val="0"/>
    <w:pPr>
      <w:spacing w:before="240" w:after="60"/>
      <w:jc w:val="center"/>
      <w:outlineLvl w:val="0"/>
    </w:pPr>
    <w:rPr>
      <w:rFonts w:ascii="Arial" w:hAnsi="Arial" w:eastAsia="楷体_GB2312"/>
      <w:b/>
      <w:bCs/>
      <w:sz w:val="32"/>
      <w:szCs w:val="32"/>
    </w:rPr>
  </w:style>
  <w:style w:type="paragraph" w:styleId="21">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2">
    <w:name w:val="Body Text First Indent"/>
    <w:basedOn w:val="8"/>
    <w:unhideWhenUsed/>
    <w:qFormat/>
    <w:uiPriority w:val="99"/>
    <w:pPr>
      <w:ind w:firstLine="420" w:firstLineChars="100"/>
    </w:pPr>
    <w:rPr>
      <w:rFonts w:ascii="Calibri" w:hAnsi="Calibri" w:eastAsia="宋体" w:cs="Times New Roman"/>
      <w:szCs w:val="22"/>
    </w:rPr>
  </w:style>
  <w:style w:type="paragraph" w:styleId="23">
    <w:name w:val="Body Text First Indent 2"/>
    <w:basedOn w:val="9"/>
    <w:semiHidden/>
    <w:unhideWhenUsed/>
    <w:qFormat/>
    <w:uiPriority w:val="99"/>
    <w:pPr>
      <w:ind w:firstLine="420" w:firstLineChars="2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style>
  <w:style w:type="character" w:styleId="28">
    <w:name w:val="FollowedHyperlink"/>
    <w:basedOn w:val="26"/>
    <w:semiHidden/>
    <w:unhideWhenUsed/>
    <w:qFormat/>
    <w:uiPriority w:val="99"/>
    <w:rPr>
      <w:color w:val="333333"/>
      <w:u w:val="none"/>
    </w:rPr>
  </w:style>
  <w:style w:type="character" w:styleId="29">
    <w:name w:val="Emphasis"/>
    <w:basedOn w:val="26"/>
    <w:qFormat/>
    <w:uiPriority w:val="20"/>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sz w:val="20"/>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书目1"/>
    <w:basedOn w:val="1"/>
    <w:next w:val="1"/>
    <w:unhideWhenUsed/>
    <w:qFormat/>
    <w:uiPriority w:val="37"/>
  </w:style>
  <w:style w:type="paragraph" w:styleId="41">
    <w:name w:val="List Paragraph"/>
    <w:basedOn w:val="1"/>
    <w:next w:val="2"/>
    <w:qFormat/>
    <w:uiPriority w:val="34"/>
    <w:pPr>
      <w:widowControl/>
      <w:ind w:firstLine="420"/>
    </w:pPr>
    <w:rPr>
      <w:rFonts w:ascii="Calibri" w:hAnsi="Calibri" w:eastAsia="宋体" w:cs="Calibri"/>
      <w:kern w:val="0"/>
      <w:szCs w:val="21"/>
    </w:rPr>
  </w:style>
  <w:style w:type="character" w:customStyle="1" w:styleId="42">
    <w:name w:val="页眉 字符"/>
    <w:basedOn w:val="26"/>
    <w:link w:val="16"/>
    <w:qFormat/>
    <w:uiPriority w:val="0"/>
    <w:rPr>
      <w:sz w:val="18"/>
      <w:szCs w:val="18"/>
    </w:rPr>
  </w:style>
  <w:style w:type="character" w:customStyle="1" w:styleId="43">
    <w:name w:val="页脚 字符"/>
    <w:basedOn w:val="26"/>
    <w:link w:val="15"/>
    <w:qFormat/>
    <w:uiPriority w:val="99"/>
    <w:rPr>
      <w:sz w:val="18"/>
      <w:szCs w:val="18"/>
    </w:rPr>
  </w:style>
  <w:style w:type="character" w:customStyle="1" w:styleId="44">
    <w:name w:val="批注框文本 字符"/>
    <w:basedOn w:val="26"/>
    <w:link w:val="14"/>
    <w:semiHidden/>
    <w:qFormat/>
    <w:uiPriority w:val="99"/>
    <w:rPr>
      <w:sz w:val="18"/>
      <w:szCs w:val="18"/>
    </w:rPr>
  </w:style>
  <w:style w:type="character" w:customStyle="1" w:styleId="45">
    <w:name w:val="批注文字 字符"/>
    <w:basedOn w:val="26"/>
    <w:link w:val="7"/>
    <w:qFormat/>
    <w:uiPriority w:val="99"/>
  </w:style>
  <w:style w:type="paragraph" w:customStyle="1" w:styleId="46">
    <w:name w:val="Table Paragraph"/>
    <w:basedOn w:val="1"/>
    <w:qFormat/>
    <w:uiPriority w:val="0"/>
    <w:pPr>
      <w:jc w:val="left"/>
    </w:pPr>
    <w:rPr>
      <w:kern w:val="0"/>
      <w:sz w:val="22"/>
      <w:lang w:eastAsia="en-US"/>
    </w:rPr>
  </w:style>
  <w:style w:type="paragraph" w:customStyle="1" w:styleId="47">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8">
    <w:name w:val="正文文本 字符"/>
    <w:basedOn w:val="26"/>
    <w:link w:val="8"/>
    <w:qFormat/>
    <w:uiPriority w:val="1"/>
    <w:rPr>
      <w:rFonts w:ascii="宋体" w:hAnsi="宋体" w:cstheme="minorBidi"/>
      <w:sz w:val="21"/>
      <w:szCs w:val="21"/>
      <w:lang w:eastAsia="en-US"/>
    </w:rPr>
  </w:style>
  <w:style w:type="character" w:customStyle="1" w:styleId="49">
    <w:name w:val="font41"/>
    <w:basedOn w:val="26"/>
    <w:qFormat/>
    <w:uiPriority w:val="0"/>
    <w:rPr>
      <w:rFonts w:hint="eastAsia" w:ascii="宋体" w:hAnsi="宋体" w:eastAsia="宋体" w:cs="宋体"/>
      <w:color w:val="000000"/>
      <w:sz w:val="21"/>
      <w:szCs w:val="21"/>
      <w:u w:val="none"/>
    </w:rPr>
  </w:style>
  <w:style w:type="character" w:customStyle="1" w:styleId="50">
    <w:name w:val="font31"/>
    <w:basedOn w:val="26"/>
    <w:qFormat/>
    <w:uiPriority w:val="0"/>
    <w:rPr>
      <w:rFonts w:hint="default" w:ascii="Times New Roman" w:hAnsi="Times New Roman" w:cs="Times New Roman"/>
      <w:color w:val="000000"/>
      <w:sz w:val="21"/>
      <w:szCs w:val="21"/>
      <w:u w:val="none"/>
    </w:rPr>
  </w:style>
  <w:style w:type="paragraph" w:customStyle="1" w:styleId="51">
    <w:name w:val="默认段落字体 Para Char"/>
    <w:basedOn w:val="52"/>
    <w:next w:val="53"/>
    <w:qFormat/>
    <w:uiPriority w:val="0"/>
    <w:pPr>
      <w:widowControl w:val="0"/>
      <w:spacing w:before="80" w:after="80" w:line="360" w:lineRule="auto"/>
      <w:jc w:val="both"/>
    </w:pPr>
    <w:rPr>
      <w:rFonts w:ascii="Calibri" w:hAnsi="Calibri" w:cs="Times New Roman"/>
      <w:kern w:val="2"/>
      <w:szCs w:val="20"/>
    </w:rPr>
  </w:style>
  <w:style w:type="paragraph" w:customStyle="1" w:styleId="5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Normal_1"/>
    <w:next w:val="51"/>
    <w:qFormat/>
    <w:uiPriority w:val="0"/>
    <w:rPr>
      <w:rFonts w:ascii="Times New Roman" w:hAnsi="Times New Roman" w:eastAsia="Times New Roman" w:cs="Times New Roman"/>
      <w:sz w:val="24"/>
      <w:szCs w:val="24"/>
    </w:rPr>
  </w:style>
  <w:style w:type="paragraph" w:customStyle="1" w:styleId="54">
    <w:name w:val="Normal_0"/>
    <w:next w:val="51"/>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5">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7">
    <w:name w:val="font0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2"/>
      <w:szCs w:val="22"/>
      <w:u w:val="none"/>
    </w:rPr>
  </w:style>
  <w:style w:type="character" w:customStyle="1" w:styleId="59">
    <w:name w:val="font21"/>
    <w:basedOn w:val="26"/>
    <w:qFormat/>
    <w:uiPriority w:val="0"/>
    <w:rPr>
      <w:rFonts w:hint="eastAsia" w:ascii="宋体" w:hAnsi="宋体" w:eastAsia="宋体" w:cs="宋体"/>
      <w:color w:val="000000"/>
      <w:sz w:val="22"/>
      <w:szCs w:val="22"/>
      <w:u w:val="none"/>
    </w:rPr>
  </w:style>
  <w:style w:type="paragraph" w:customStyle="1" w:styleId="60">
    <w:name w:val="列表段落1"/>
    <w:basedOn w:val="1"/>
    <w:qFormat/>
    <w:uiPriority w:val="0"/>
    <w:pPr>
      <w:ind w:firstLine="420"/>
    </w:pPr>
    <w:rPr>
      <w:rFonts w:ascii="Calibri" w:hAnsi="Calibri" w:cs="Times New Roman"/>
      <w:sz w:val="22"/>
      <w:lang w:eastAsia="zh-CN"/>
    </w:rPr>
  </w:style>
  <w:style w:type="character" w:customStyle="1" w:styleId="61">
    <w:name w:val="fontstyle01"/>
    <w:basedOn w:val="26"/>
    <w:qFormat/>
    <w:uiPriority w:val="0"/>
    <w:rPr>
      <w:rFonts w:hint="default" w:ascii="Helvetica" w:hAnsi="Helvetica"/>
      <w:color w:val="000000"/>
      <w:sz w:val="20"/>
      <w:szCs w:val="20"/>
    </w:rPr>
  </w:style>
  <w:style w:type="character" w:customStyle="1" w:styleId="62">
    <w:name w:val="DeltaView Insertion"/>
    <w:qFormat/>
    <w:uiPriority w:val="99"/>
    <w:rPr>
      <w:color w:val="0000FF"/>
      <w:spacing w:val="0"/>
      <w:u w:val="double"/>
    </w:rPr>
  </w:style>
  <w:style w:type="paragraph" w:customStyle="1" w:styleId="63">
    <w:name w:val="列出段落1"/>
    <w:basedOn w:val="53"/>
    <w:qFormat/>
    <w:uiPriority w:val="0"/>
    <w:pPr>
      <w:ind w:firstLine="420" w:firstLineChars="200"/>
    </w:pPr>
    <w:rPr>
      <w:rFonts w:ascii="Calibri" w:hAnsi="Calibri"/>
      <w:szCs w:val="22"/>
    </w:rPr>
  </w:style>
  <w:style w:type="paragraph" w:customStyle="1" w:styleId="6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表格"/>
    <w:basedOn w:val="20"/>
    <w:next w:val="1"/>
    <w:qFormat/>
    <w:uiPriority w:val="0"/>
    <w:pPr>
      <w:spacing w:before="0" w:after="0" w:line="360" w:lineRule="auto"/>
      <w:outlineLvl w:val="9"/>
    </w:pPr>
    <w:rPr>
      <w:rFonts w:ascii="Times New Roman" w:hAnsi="Times New Roman" w:eastAsiaTheme="minorEastAsia"/>
      <w:b w:val="0"/>
      <w:bCs w:val="0"/>
      <w:sz w:val="21"/>
    </w:rPr>
  </w:style>
  <w:style w:type="paragraph" w:customStyle="1" w:styleId="6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2437</Words>
  <Characters>13896</Characters>
  <Lines>115</Lines>
  <Paragraphs>32</Paragraphs>
  <TotalTime>21</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于文超</cp:lastModifiedBy>
  <cp:lastPrinted>2024-04-18T07:10:00Z</cp:lastPrinted>
  <dcterms:modified xsi:type="dcterms:W3CDTF">2025-07-07T02:21:50Z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1AE596240EA54B29A218C0F0F8D0343B</vt:lpwstr>
  </property>
</Properties>
</file>