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1F7CD">
      <w:pPr>
        <w:spacing w:line="360" w:lineRule="auto"/>
        <w:jc w:val="center"/>
        <w:outlineLvl w:val="0"/>
        <w:rPr>
          <w:rFonts w:cs="宋体" w:asciiTheme="minorEastAsia" w:hAnsiTheme="minorEastAsia"/>
          <w:color w:val="000000" w:themeColor="text1"/>
          <w:sz w:val="72"/>
          <w:szCs w:val="72"/>
          <w:highlight w:val="none"/>
          <w14:textFill>
            <w14:solidFill>
              <w14:schemeClr w14:val="tx1"/>
            </w14:solidFill>
          </w14:textFill>
        </w:rPr>
      </w:pPr>
      <w:r>
        <w:rPr>
          <w:rFonts w:hint="eastAsia" w:cs="宋体" w:asciiTheme="minorEastAsia" w:hAnsiTheme="minorEastAsia"/>
          <w:color w:val="C00000"/>
          <w:sz w:val="44"/>
          <w:szCs w:val="44"/>
          <w:highlight w:val="none"/>
          <w:lang w:val="en-US" w:eastAsia="zh-CN"/>
        </w:rPr>
        <w:t>公开/邀请询价文件</w:t>
      </w:r>
    </w:p>
    <w:p w14:paraId="492C08F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5"/>
          <w:szCs w:val="5"/>
          <w:highlight w:val="none"/>
          <w14:textFill>
            <w14:solidFill>
              <w14:schemeClr w14:val="tx1"/>
            </w14:solidFill>
          </w14:textFill>
        </w:rPr>
      </w:pPr>
    </w:p>
    <w:p w14:paraId="524598ED">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000000" w:themeColor="text1"/>
          <w:sz w:val="4"/>
          <w:szCs w:val="4"/>
          <w:highlight w:val="none"/>
          <w14:textFill>
            <w14:solidFill>
              <w14:schemeClr w14:val="tx1"/>
            </w14:solidFill>
          </w14:textFill>
        </w:rPr>
      </w:pPr>
    </w:p>
    <w:p w14:paraId="5D00E04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7"/>
          <w:szCs w:val="7"/>
          <w:highlight w:val="none"/>
          <w14:textFill>
            <w14:solidFill>
              <w14:schemeClr w14:val="tx1"/>
            </w14:solidFill>
          </w14:textFill>
        </w:rPr>
      </w:pPr>
    </w:p>
    <w:p w14:paraId="19A515F3">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C00000"/>
          <w:highlight w:val="none"/>
        </w:rPr>
      </w:pP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lang w:val="en-US" w:eastAsia="zh-CN"/>
        </w:rPr>
        <w:t>项目名称</w:t>
      </w: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u w:val="single"/>
          <w:lang w:eastAsia="zh-CN"/>
        </w:rPr>
        <w:t>常州院缩水甘油醚采购专有协议</w:t>
      </w:r>
      <w:r>
        <w:rPr>
          <w:rFonts w:asciiTheme="minorEastAsia" w:hAnsiTheme="minorEastAsia" w:eastAsiaTheme="minorEastAsia"/>
          <w:color w:val="C00000"/>
          <w:spacing w:val="-3"/>
          <w:highlight w:val="none"/>
          <w:u w:val="single"/>
        </w:rPr>
        <w:tab/>
      </w:r>
      <w:r>
        <w:rPr>
          <w:rFonts w:asciiTheme="minorEastAsia" w:hAnsiTheme="minorEastAsia" w:eastAsiaTheme="minorEastAsia"/>
          <w:color w:val="C00000"/>
          <w:highlight w:val="none"/>
        </w:rPr>
        <w:t>）</w:t>
      </w:r>
    </w:p>
    <w:p w14:paraId="5D96A1D7">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color w:val="000000" w:themeColor="text1"/>
          <w:spacing w:val="-3"/>
          <w:highlight w:val="none"/>
          <w:u w:val="single"/>
          <w:lang w:eastAsia="zh-CN"/>
          <w14:textFill>
            <w14:solidFill>
              <w14:schemeClr w14:val="tx1"/>
            </w14:solidFill>
          </w14:textFill>
        </w:rPr>
        <w:t>GKXJ-2025-HG-2001</w:t>
      </w:r>
      <w:r>
        <w:rPr>
          <w:rFonts w:asciiTheme="minorEastAsia" w:hAnsiTheme="minorEastAsia" w:eastAsiaTheme="minorEastAsia"/>
          <w:color w:val="000000" w:themeColor="text1"/>
          <w:spacing w:val="-3"/>
          <w:highlight w:val="none"/>
          <w:u w:val="singl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w:t>
      </w:r>
    </w:p>
    <w:p w14:paraId="2F03AD9E">
      <w:pPr>
        <w:pStyle w:val="8"/>
      </w:pPr>
    </w:p>
    <w:p w14:paraId="33061600">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14:paraId="491A878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35367E8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3953547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6946442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389A81F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0D27925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2C653A3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66B8C3B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5595755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4899484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03737F1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2F02A168">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lang w:val="en-US" w:eastAsia="zh-CN"/>
          <w14:textFill>
            <w14:solidFill>
              <w14:schemeClr w14:val="tx1"/>
            </w14:solidFill>
          </w14:textFill>
        </w:rPr>
        <w:t>中海油能源发展股份有限公司</w:t>
      </w:r>
    </w:p>
    <w:p w14:paraId="5A0E05D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14:paraId="462BE0B9">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14:paraId="07F48AA3">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14:paraId="2FAB26EE">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14:paraId="5984CF90">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14:paraId="336B25C7">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14:paraId="352D1D17">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14:paraId="75D19E24">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14:paraId="31D4DF8C">
      <w:pPr>
        <w:pStyle w:val="6"/>
        <w:rPr>
          <w:rFonts w:hint="eastAsia"/>
          <w:color w:val="000000" w:themeColor="text1"/>
          <w:highlight w:val="none"/>
          <w14:textFill>
            <w14:solidFill>
              <w14:schemeClr w14:val="tx1"/>
            </w14:solidFill>
          </w14:textFill>
        </w:rPr>
      </w:pPr>
    </w:p>
    <w:p w14:paraId="737A4DE9">
      <w:pPr>
        <w:rPr>
          <w:rFonts w:hint="eastAsia"/>
          <w:color w:val="000000" w:themeColor="text1"/>
          <w:highlight w:val="none"/>
          <w14:textFill>
            <w14:solidFill>
              <w14:schemeClr w14:val="tx1"/>
            </w14:solidFill>
          </w14:textFill>
        </w:rPr>
      </w:pPr>
    </w:p>
    <w:p w14:paraId="639058D8">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14:paraId="02163CC9">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14:paraId="6D582D89">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lang w:eastAsia="zh-CN"/>
          <w14:textFill>
            <w14:solidFill>
              <w14:schemeClr w14:val="tx1"/>
            </w14:solidFill>
          </w14:textFill>
        </w:rPr>
        <w:t>常州院缩水甘油醚采购专有协议</w:t>
      </w:r>
      <w:r>
        <w:rPr>
          <w:rFonts w:hint="eastAsia" w:asciiTheme="minorEastAsia" w:hAnsiTheme="minorEastAsia"/>
          <w:color w:val="000000" w:themeColor="text1"/>
          <w:sz w:val="21"/>
          <w:szCs w:val="21"/>
          <w:highlight w:val="none"/>
          <w14:textFill>
            <w14:solidFill>
              <w14:schemeClr w14:val="tx1"/>
            </w14:solidFill>
          </w14:textFill>
        </w:rPr>
        <w:t>项目进行公开</w:t>
      </w:r>
      <w:r>
        <w:rPr>
          <w:rFonts w:hint="eastAsia" w:asciiTheme="minorEastAsia" w:hAnsiTheme="minorEastAsia"/>
          <w:color w:val="000000" w:themeColor="text1"/>
          <w:sz w:val="21"/>
          <w:szCs w:val="21"/>
          <w:highlight w:val="none"/>
          <w:lang w:val="en-US" w:eastAsia="zh-CN"/>
          <w14:textFill>
            <w14:solidFill>
              <w14:schemeClr w14:val="tx1"/>
            </w14:solidFill>
          </w14:textFill>
        </w:rPr>
        <w:t>/邀请</w:t>
      </w:r>
      <w:r>
        <w:rPr>
          <w:rFonts w:hint="eastAsia" w:asciiTheme="minorEastAsia" w:hAnsiTheme="minorEastAsia"/>
          <w:color w:val="000000" w:themeColor="text1"/>
          <w:sz w:val="21"/>
          <w:szCs w:val="21"/>
          <w:highlight w:val="none"/>
          <w14:textFill>
            <w14:solidFill>
              <w14:schemeClr w14:val="tx1"/>
            </w14:solidFill>
          </w14:textFill>
        </w:rPr>
        <w:t>询价采购，欢迎供应商参加。现将有关事项明确如下：</w:t>
      </w:r>
    </w:p>
    <w:p w14:paraId="6EFB769A">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14:paraId="5CF5EB43">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14:paraId="42EF2D84">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14:paraId="1D2CD49E">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8</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8</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8</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14</w:t>
      </w:r>
      <w:r>
        <w:rPr>
          <w:rFonts w:hint="eastAsia" w:asciiTheme="minorEastAsia" w:hAnsiTheme="minorEastAsia"/>
          <w:color w:val="000000" w:themeColor="text1"/>
          <w:sz w:val="21"/>
          <w:szCs w:val="21"/>
          <w:highlight w:val="none"/>
          <w14:textFill>
            <w14:solidFill>
              <w14:schemeClr w14:val="tx1"/>
            </w14:solidFill>
          </w14:textFill>
        </w:rPr>
        <w:t>日止。</w:t>
      </w:r>
    </w:p>
    <w:p w14:paraId="51319C11">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8</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8</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14:paraId="15BDF42B">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8</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14</w:t>
      </w:r>
      <w:r>
        <w:rPr>
          <w:rFonts w:asciiTheme="minorEastAsia" w:hAnsiTheme="minorEastAsia"/>
          <w:color w:val="000000" w:themeColor="text1"/>
          <w:sz w:val="21"/>
          <w:szCs w:val="21"/>
          <w:highlight w:val="none"/>
          <w14:textFill>
            <w14:solidFill>
              <w14:schemeClr w14:val="tx1"/>
            </w14:solidFill>
          </w14:textFill>
        </w:rPr>
        <w:t>日</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14:paraId="19914796">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14:paraId="59EB1E9F">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14:paraId="0E535C2A">
      <w:pPr>
        <w:pStyle w:val="6"/>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14:paraId="045E8726">
      <w:pPr>
        <w:pStyle w:val="18"/>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14:paraId="235A924C">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14:paraId="3F2E5845">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14:paraId="7E1F04A1">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14:paraId="6B6A621A">
      <w:pPr>
        <w:pStyle w:val="6"/>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（7）合同定价模式：固定单价/费率合同。</w:t>
      </w:r>
    </w:p>
    <w:p w14:paraId="68115F18">
      <w:pPr>
        <w:pStyle w:val="6"/>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（8）</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其它：</w:t>
      </w:r>
    </w:p>
    <w:p w14:paraId="233E18A5">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14:paraId="65A3BADE">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14:paraId="67B1F5DD">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14:paraId="0782D8EC">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14:paraId="38C46F95">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14:paraId="27B81E20">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14:paraId="5E8CE6A2">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14:paraId="13DD35A5">
      <w:pPr>
        <w:pStyle w:val="6"/>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14:paraId="2D545384">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14:paraId="718417C7">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14:paraId="4C4A0C83">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14:paraId="020E9360">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p>
    <w:p w14:paraId="651D68F2">
      <w:pPr>
        <w:pStyle w:val="8"/>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于文超</w:t>
      </w:r>
    </w:p>
    <w:p w14:paraId="4EDF07A8">
      <w:pPr>
        <w:pStyle w:val="8"/>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022-25802271</w:t>
      </w:r>
    </w:p>
    <w:p w14:paraId="7474F796">
      <w:pPr>
        <w:pStyle w:val="8"/>
        <w:ind w:left="415" w:leftChars="135" w:right="10" w:hanging="132" w:hangingChars="63"/>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yuwch2@cnooc.com.cn</w:t>
      </w:r>
    </w:p>
    <w:p w14:paraId="06EB84D3">
      <w:pPr>
        <w:rPr>
          <w:rFonts w:hint="eastAsia"/>
          <w:lang w:val="en-US" w:eastAsia="zh-CN"/>
        </w:rPr>
      </w:pPr>
    </w:p>
    <w:p w14:paraId="156C6822">
      <w:pPr>
        <w:rPr>
          <w:rFonts w:hint="eastAsia"/>
          <w:lang w:val="en-US" w:eastAsia="zh-CN"/>
        </w:rPr>
      </w:pPr>
    </w:p>
    <w:p w14:paraId="2F897665">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14:paraId="4876CD3D">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14:paraId="2749B40A">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14:paraId="2A80B485">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14:paraId="6065BB4A">
      <w:pPr>
        <w:pStyle w:val="6"/>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14:paraId="4C408C86">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14:paraId="36BA2B8D">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14:paraId="147E1627">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14:paraId="15FBA47D">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14:paraId="28248970">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14:paraId="07F6EDCC">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4"/>
        <w:tblW w:w="6831" w:type="pct"/>
        <w:jc w:val="center"/>
        <w:tblLayout w:type="autofit"/>
        <w:tblCellMar>
          <w:top w:w="0" w:type="dxa"/>
          <w:left w:w="0" w:type="dxa"/>
          <w:bottom w:w="0" w:type="dxa"/>
          <w:right w:w="0" w:type="dxa"/>
        </w:tblCellMar>
      </w:tblPr>
      <w:tblGrid>
        <w:gridCol w:w="611"/>
        <w:gridCol w:w="552"/>
        <w:gridCol w:w="2266"/>
        <w:gridCol w:w="7932"/>
      </w:tblGrid>
      <w:tr w14:paraId="3B9FE036">
        <w:tblPrEx>
          <w:tblCellMar>
            <w:top w:w="0" w:type="dxa"/>
            <w:left w:w="0" w:type="dxa"/>
            <w:bottom w:w="0" w:type="dxa"/>
            <w:right w:w="0" w:type="dxa"/>
          </w:tblCellMar>
        </w:tblPrEx>
        <w:trPr>
          <w:trHeight w:val="90" w:hRule="atLeast"/>
          <w:jc w:val="center"/>
        </w:trPr>
        <w:tc>
          <w:tcPr>
            <w:tcW w:w="512" w:type="pct"/>
            <w:gridSpan w:val="2"/>
            <w:tcBorders>
              <w:top w:val="single" w:color="000000" w:sz="4" w:space="0"/>
              <w:left w:val="single" w:color="000000" w:sz="4" w:space="0"/>
              <w:bottom w:val="single" w:color="000000" w:sz="4" w:space="0"/>
              <w:right w:val="single" w:color="000000" w:sz="4" w:space="0"/>
            </w:tcBorders>
            <w:vAlign w:val="center"/>
          </w:tcPr>
          <w:p w14:paraId="375125A8">
            <w:pPr>
              <w:pStyle w:val="18"/>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997" w:type="pct"/>
            <w:tcBorders>
              <w:top w:val="single" w:color="000000" w:sz="4" w:space="0"/>
              <w:left w:val="nil"/>
              <w:bottom w:val="single" w:color="000000" w:sz="4" w:space="0"/>
              <w:right w:val="single" w:color="000000" w:sz="4" w:space="0"/>
            </w:tcBorders>
            <w:vAlign w:val="center"/>
          </w:tcPr>
          <w:p w14:paraId="45597A37">
            <w:pPr>
              <w:pStyle w:val="18"/>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490" w:type="pct"/>
            <w:tcBorders>
              <w:top w:val="single" w:color="000000" w:sz="4" w:space="0"/>
              <w:left w:val="nil"/>
              <w:bottom w:val="single" w:color="000000" w:sz="4" w:space="0"/>
              <w:right w:val="single" w:color="000000" w:sz="4" w:space="0"/>
            </w:tcBorders>
            <w:vAlign w:val="center"/>
          </w:tcPr>
          <w:p w14:paraId="411BF4C2">
            <w:pPr>
              <w:pStyle w:val="18"/>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14:paraId="0CD237A9">
        <w:tblPrEx>
          <w:tblCellMar>
            <w:top w:w="0" w:type="dxa"/>
            <w:left w:w="0" w:type="dxa"/>
            <w:bottom w:w="0" w:type="dxa"/>
            <w:right w:w="0" w:type="dxa"/>
          </w:tblCellMar>
        </w:tblPrEx>
        <w:trPr>
          <w:trHeight w:val="90" w:hRule="atLeast"/>
          <w:jc w:val="center"/>
        </w:trPr>
        <w:tc>
          <w:tcPr>
            <w:tcW w:w="269" w:type="pct"/>
            <w:vMerge w:val="restart"/>
            <w:tcBorders>
              <w:top w:val="nil"/>
              <w:left w:val="single" w:color="000000" w:sz="6" w:space="0"/>
              <w:right w:val="single" w:color="000000" w:sz="6" w:space="0"/>
            </w:tcBorders>
            <w:vAlign w:val="center"/>
          </w:tcPr>
          <w:p w14:paraId="36A9B0B4">
            <w:pPr>
              <w:pStyle w:val="18"/>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14:paraId="3B6D9135">
            <w:pPr>
              <w:spacing w:line="300" w:lineRule="exact"/>
              <w:jc w:val="center"/>
              <w:rPr>
                <w:rFonts w:hint="eastAsia" w:ascii="仿宋" w:hAnsi="仿宋" w:eastAsia="仿宋" w:cs="仿宋"/>
                <w:bCs/>
                <w:color w:val="auto"/>
                <w:sz w:val="21"/>
                <w:szCs w:val="21"/>
                <w:highlight w:val="none"/>
              </w:rPr>
            </w:pPr>
          </w:p>
        </w:tc>
        <w:tc>
          <w:tcPr>
            <w:tcW w:w="243" w:type="pct"/>
            <w:vMerge w:val="restart"/>
            <w:tcBorders>
              <w:top w:val="nil"/>
              <w:left w:val="nil"/>
              <w:right w:val="single" w:color="000000" w:sz="6" w:space="0"/>
            </w:tcBorders>
            <w:textDirection w:val="tbRlV"/>
            <w:vAlign w:val="center"/>
          </w:tcPr>
          <w:p w14:paraId="6BC01A08">
            <w:pPr>
              <w:pStyle w:val="18"/>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997" w:type="pct"/>
            <w:tcBorders>
              <w:top w:val="single" w:color="000000" w:sz="4" w:space="0"/>
              <w:left w:val="nil"/>
              <w:bottom w:val="single" w:color="000000" w:sz="4" w:space="0"/>
              <w:right w:val="single" w:color="000000" w:sz="4" w:space="0"/>
            </w:tcBorders>
            <w:vAlign w:val="center"/>
          </w:tcPr>
          <w:p w14:paraId="5D0B60F9">
            <w:pPr>
              <w:pStyle w:val="18"/>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490" w:type="pct"/>
            <w:tcBorders>
              <w:top w:val="single" w:color="000000" w:sz="4" w:space="0"/>
              <w:left w:val="nil"/>
              <w:bottom w:val="single" w:color="000000" w:sz="4" w:space="0"/>
              <w:right w:val="single" w:color="000000" w:sz="4" w:space="0"/>
            </w:tcBorders>
            <w:vAlign w:val="center"/>
          </w:tcPr>
          <w:p w14:paraId="48E48E0F">
            <w:pPr>
              <w:pStyle w:val="18"/>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14:paraId="59B4AB59">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14:paraId="08DF8F42">
            <w:pPr>
              <w:spacing w:line="300" w:lineRule="exact"/>
              <w:jc w:val="center"/>
              <w:rPr>
                <w:rFonts w:hint="eastAsia" w:ascii="仿宋" w:hAnsi="仿宋" w:eastAsia="仿宋" w:cs="仿宋"/>
                <w:bCs/>
                <w:color w:val="auto"/>
                <w:kern w:val="0"/>
                <w:sz w:val="21"/>
                <w:szCs w:val="21"/>
                <w:highlight w:val="none"/>
              </w:rPr>
            </w:pPr>
          </w:p>
        </w:tc>
        <w:tc>
          <w:tcPr>
            <w:tcW w:w="243" w:type="pct"/>
            <w:vMerge w:val="continue"/>
            <w:tcBorders>
              <w:left w:val="nil"/>
              <w:right w:val="single" w:color="000000" w:sz="6" w:space="0"/>
            </w:tcBorders>
            <w:vAlign w:val="center"/>
          </w:tcPr>
          <w:p w14:paraId="01698927">
            <w:pPr>
              <w:widowControl/>
              <w:rPr>
                <w:rFonts w:hint="eastAsia" w:ascii="仿宋" w:hAnsi="仿宋" w:eastAsia="仿宋" w:cs="仿宋"/>
                <w:bCs/>
                <w:color w:val="auto"/>
                <w:kern w:val="0"/>
                <w:sz w:val="21"/>
                <w:szCs w:val="21"/>
                <w:highlight w:val="none"/>
              </w:rPr>
            </w:pPr>
          </w:p>
        </w:tc>
        <w:tc>
          <w:tcPr>
            <w:tcW w:w="997" w:type="pct"/>
            <w:tcBorders>
              <w:top w:val="single" w:color="000000" w:sz="4" w:space="0"/>
              <w:left w:val="nil"/>
              <w:bottom w:val="nil"/>
              <w:right w:val="single" w:color="000000" w:sz="4" w:space="0"/>
            </w:tcBorders>
            <w:vAlign w:val="center"/>
          </w:tcPr>
          <w:p w14:paraId="6A8C237D">
            <w:pPr>
              <w:pStyle w:val="18"/>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490" w:type="pct"/>
            <w:tcBorders>
              <w:top w:val="single" w:color="000000" w:sz="4" w:space="0"/>
              <w:left w:val="nil"/>
              <w:bottom w:val="nil"/>
              <w:right w:val="single" w:color="000000" w:sz="4" w:space="0"/>
            </w:tcBorders>
            <w:vAlign w:val="center"/>
          </w:tcPr>
          <w:p w14:paraId="4F99B011">
            <w:pPr>
              <w:pStyle w:val="18"/>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14:paraId="746300C1">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14:paraId="601A2DCE">
            <w:pPr>
              <w:spacing w:line="300" w:lineRule="exact"/>
              <w:jc w:val="center"/>
              <w:rPr>
                <w:rFonts w:hint="eastAsia" w:ascii="仿宋" w:hAnsi="仿宋" w:eastAsia="仿宋" w:cs="仿宋"/>
                <w:bCs/>
                <w:color w:val="auto"/>
                <w:kern w:val="0"/>
                <w:sz w:val="21"/>
                <w:szCs w:val="21"/>
                <w:highlight w:val="none"/>
              </w:rPr>
            </w:pPr>
          </w:p>
        </w:tc>
        <w:tc>
          <w:tcPr>
            <w:tcW w:w="243" w:type="pct"/>
            <w:vMerge w:val="continue"/>
            <w:tcBorders>
              <w:left w:val="nil"/>
              <w:right w:val="single" w:color="000000" w:sz="6" w:space="0"/>
            </w:tcBorders>
            <w:vAlign w:val="center"/>
          </w:tcPr>
          <w:p w14:paraId="2B778B46">
            <w:pPr>
              <w:widowControl/>
              <w:rPr>
                <w:rFonts w:hint="eastAsia" w:ascii="仿宋" w:hAnsi="仿宋" w:eastAsia="仿宋" w:cs="仿宋"/>
                <w:bCs/>
                <w:color w:val="auto"/>
                <w:kern w:val="0"/>
                <w:sz w:val="21"/>
                <w:szCs w:val="21"/>
                <w:highlight w:val="none"/>
              </w:rPr>
            </w:pPr>
          </w:p>
        </w:tc>
        <w:tc>
          <w:tcPr>
            <w:tcW w:w="997" w:type="pct"/>
            <w:tcBorders>
              <w:top w:val="single" w:color="000000" w:sz="4" w:space="0"/>
              <w:left w:val="nil"/>
              <w:bottom w:val="single" w:color="000000" w:sz="4" w:space="0"/>
              <w:right w:val="single" w:color="000000" w:sz="4" w:space="0"/>
            </w:tcBorders>
            <w:vAlign w:val="center"/>
          </w:tcPr>
          <w:p w14:paraId="71B8D771">
            <w:pPr>
              <w:pStyle w:val="18"/>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490" w:type="pct"/>
            <w:tcBorders>
              <w:top w:val="single" w:color="000000" w:sz="4" w:space="0"/>
              <w:left w:val="nil"/>
              <w:bottom w:val="single" w:color="000000" w:sz="4" w:space="0"/>
              <w:right w:val="single" w:color="000000" w:sz="4" w:space="0"/>
            </w:tcBorders>
            <w:vAlign w:val="center"/>
          </w:tcPr>
          <w:p w14:paraId="12EE3DCE">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14:paraId="7C02EBB7">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14:paraId="0C49C85A">
            <w:pPr>
              <w:spacing w:line="300" w:lineRule="exact"/>
              <w:jc w:val="center"/>
              <w:rPr>
                <w:rFonts w:hint="eastAsia" w:ascii="仿宋" w:hAnsi="仿宋" w:eastAsia="仿宋" w:cs="仿宋"/>
                <w:bCs/>
                <w:color w:val="auto"/>
                <w:kern w:val="0"/>
                <w:sz w:val="21"/>
                <w:szCs w:val="21"/>
                <w:highlight w:val="none"/>
              </w:rPr>
            </w:pPr>
          </w:p>
        </w:tc>
        <w:tc>
          <w:tcPr>
            <w:tcW w:w="243" w:type="pct"/>
            <w:vMerge w:val="continue"/>
            <w:tcBorders>
              <w:left w:val="nil"/>
              <w:right w:val="single" w:color="000000" w:sz="6" w:space="0"/>
            </w:tcBorders>
            <w:vAlign w:val="center"/>
          </w:tcPr>
          <w:p w14:paraId="0181C8FE">
            <w:pPr>
              <w:widowControl/>
              <w:rPr>
                <w:rFonts w:hint="eastAsia" w:ascii="仿宋" w:hAnsi="仿宋" w:eastAsia="仿宋" w:cs="仿宋"/>
                <w:bCs/>
                <w:color w:val="auto"/>
                <w:kern w:val="0"/>
                <w:sz w:val="21"/>
                <w:szCs w:val="21"/>
                <w:highlight w:val="none"/>
              </w:rPr>
            </w:pPr>
          </w:p>
        </w:tc>
        <w:tc>
          <w:tcPr>
            <w:tcW w:w="997" w:type="pct"/>
            <w:tcBorders>
              <w:top w:val="single" w:color="000000" w:sz="4" w:space="0"/>
              <w:left w:val="nil"/>
              <w:bottom w:val="single" w:color="000000" w:sz="4" w:space="0"/>
              <w:right w:val="single" w:color="000000" w:sz="4" w:space="0"/>
            </w:tcBorders>
            <w:vAlign w:val="center"/>
          </w:tcPr>
          <w:p w14:paraId="40A9BA70">
            <w:pPr>
              <w:pStyle w:val="18"/>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490" w:type="pct"/>
            <w:tcBorders>
              <w:top w:val="single" w:color="000000" w:sz="4" w:space="0"/>
              <w:left w:val="nil"/>
              <w:bottom w:val="single" w:color="000000" w:sz="4" w:space="0"/>
              <w:right w:val="single" w:color="000000" w:sz="4" w:space="0"/>
            </w:tcBorders>
            <w:vAlign w:val="center"/>
          </w:tcPr>
          <w:p w14:paraId="63394D89">
            <w:pPr>
              <w:pStyle w:val="18"/>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90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14:paraId="3561D29B">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14:paraId="64372489">
            <w:pPr>
              <w:spacing w:line="300" w:lineRule="exact"/>
              <w:jc w:val="center"/>
              <w:rPr>
                <w:rFonts w:hint="eastAsia" w:ascii="仿宋" w:hAnsi="仿宋" w:eastAsia="仿宋" w:cs="仿宋"/>
                <w:bCs/>
                <w:color w:val="auto"/>
                <w:kern w:val="0"/>
                <w:sz w:val="21"/>
                <w:szCs w:val="21"/>
                <w:highlight w:val="none"/>
              </w:rPr>
            </w:pPr>
          </w:p>
        </w:tc>
        <w:tc>
          <w:tcPr>
            <w:tcW w:w="243" w:type="pct"/>
            <w:vMerge w:val="continue"/>
            <w:tcBorders>
              <w:left w:val="single" w:color="000000" w:sz="6" w:space="0"/>
              <w:right w:val="single" w:color="000000" w:sz="6" w:space="0"/>
            </w:tcBorders>
            <w:vAlign w:val="center"/>
          </w:tcPr>
          <w:p w14:paraId="04F3C91B">
            <w:pPr>
              <w:pStyle w:val="18"/>
              <w:spacing w:line="300" w:lineRule="exact"/>
              <w:jc w:val="center"/>
              <w:rPr>
                <w:rFonts w:hint="eastAsia" w:ascii="仿宋" w:hAnsi="仿宋" w:eastAsia="仿宋" w:cs="仿宋"/>
                <w:bCs/>
                <w:color w:val="auto"/>
                <w:sz w:val="21"/>
                <w:szCs w:val="21"/>
                <w:highlight w:val="none"/>
                <w:lang w:eastAsia="zh-CN"/>
              </w:rPr>
            </w:pPr>
          </w:p>
        </w:tc>
        <w:tc>
          <w:tcPr>
            <w:tcW w:w="997" w:type="pct"/>
            <w:tcBorders>
              <w:top w:val="single" w:color="000000" w:sz="4" w:space="0"/>
              <w:left w:val="single" w:color="000000" w:sz="6" w:space="0"/>
              <w:bottom w:val="single" w:color="auto" w:sz="4" w:space="0"/>
              <w:right w:val="single" w:color="000000" w:sz="4" w:space="0"/>
            </w:tcBorders>
            <w:vAlign w:val="center"/>
          </w:tcPr>
          <w:p w14:paraId="57C1F694">
            <w:pPr>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lang w:val="en-US" w:eastAsia="zh-CN"/>
              </w:rPr>
            </w:pPr>
            <w:r>
              <w:rPr>
                <w:rFonts w:hint="eastAsia" w:ascii="仿宋" w:hAnsi="仿宋" w:eastAsia="仿宋" w:cs="仿宋"/>
                <w:color w:val="auto"/>
                <w:kern w:val="0"/>
                <w:sz w:val="21"/>
                <w:szCs w:val="21"/>
                <w:highlight w:val="none"/>
                <w:lang w:val="en-US" w:eastAsia="zh-CN" w:bidi="ar-SA"/>
              </w:rPr>
              <w:t>★商务资格</w:t>
            </w:r>
          </w:p>
        </w:tc>
        <w:tc>
          <w:tcPr>
            <w:tcW w:w="3490" w:type="pct"/>
            <w:tcBorders>
              <w:top w:val="single" w:color="000000" w:sz="4" w:space="0"/>
              <w:left w:val="nil"/>
              <w:bottom w:val="single" w:color="auto" w:sz="4" w:space="0"/>
              <w:right w:val="single" w:color="000000" w:sz="4" w:space="0"/>
            </w:tcBorders>
            <w:vAlign w:val="center"/>
          </w:tcPr>
          <w:p w14:paraId="41D89F5C">
            <w:pP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1.营业执照：应答人具有合法有效的企业法人营业执照、税务登记证及组织机构代码证 或证照合一的营业执照，投标时需提供原件扫描件（原件备查）。应答人为事业单位的，应具有合法有效的事业单位法人证书，投标时需提供原件扫描件（原件备查）。应答人为分公司的，应具有合法有效的营业执照和上级法人单位授权书，分公司与上级法人单位只可一家参与投标，同时参与投标的，投标均无效。</w:t>
            </w:r>
          </w:p>
          <w:p w14:paraId="671B22B9">
            <w:pP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2.法定代表人（单位负责人）身份证明。</w:t>
            </w:r>
          </w:p>
          <w:p w14:paraId="3BFD3B33">
            <w:pPr>
              <w:rPr>
                <w:rFonts w:hint="eastAsia"/>
                <w:lang w:val="en-US" w:eastAsia="zh-CN"/>
              </w:rPr>
            </w:pPr>
            <w:r>
              <w:rPr>
                <w:rFonts w:hint="eastAsia" w:ascii="仿宋" w:hAnsi="仿宋" w:eastAsia="仿宋" w:cs="仿宋"/>
                <w:bCs/>
                <w:color w:val="auto"/>
                <w:sz w:val="21"/>
                <w:szCs w:val="21"/>
                <w:highlight w:val="none"/>
                <w:lang w:val="en-US" w:eastAsia="zh-CN"/>
              </w:rPr>
              <w:t>3.法定代表人授权委托书（如涉及）。</w:t>
            </w:r>
          </w:p>
        </w:tc>
      </w:tr>
      <w:tr w14:paraId="6E42AB1A">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14:paraId="0743EA7D">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3" w:type="pct"/>
            <w:vMerge w:val="continue"/>
            <w:tcBorders>
              <w:left w:val="single" w:color="000000" w:sz="6" w:space="0"/>
              <w:right w:val="single" w:color="000000" w:sz="6" w:space="0"/>
            </w:tcBorders>
            <w:vAlign w:val="center"/>
          </w:tcPr>
          <w:p w14:paraId="73450777">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2266" w:type="dxa"/>
            <w:tcBorders>
              <w:top w:val="single" w:color="auto" w:sz="4" w:space="0"/>
              <w:left w:val="single" w:color="000000" w:sz="6" w:space="0"/>
              <w:bottom w:val="single" w:color="000000" w:sz="4" w:space="0"/>
              <w:right w:val="single" w:color="000000" w:sz="4" w:space="0"/>
            </w:tcBorders>
            <w:vAlign w:val="center"/>
          </w:tcPr>
          <w:p w14:paraId="707C172D">
            <w:pPr>
              <w:keepNext w:val="0"/>
              <w:keepLines w:val="0"/>
              <w:pageBreakBefore w:val="0"/>
              <w:numPr>
                <w:ilvl w:val="0"/>
                <w:numId w:val="0"/>
              </w:numPr>
              <w:kinsoku/>
              <w:wordWrap/>
              <w:overflowPunct/>
              <w:topLinePunct w:val="0"/>
              <w:autoSpaceDE/>
              <w:autoSpaceDN/>
              <w:bidi w:val="0"/>
              <w:adjustRightInd/>
              <w:spacing w:line="240" w:lineRule="auto"/>
              <w:ind w:left="0" w:leftChars="0" w:firstLine="0" w:firstLine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w:t>
            </w:r>
          </w:p>
        </w:tc>
        <w:tc>
          <w:tcPr>
            <w:tcW w:w="7932" w:type="dxa"/>
            <w:tcBorders>
              <w:top w:val="single" w:color="auto" w:sz="4" w:space="0"/>
              <w:left w:val="nil"/>
              <w:bottom w:val="single" w:color="000000" w:sz="4" w:space="0"/>
              <w:right w:val="single" w:color="000000" w:sz="4" w:space="0"/>
            </w:tcBorders>
            <w:vAlign w:val="center"/>
          </w:tcPr>
          <w:p w14:paraId="3533F46F">
            <w:pPr>
              <w:keepNext w:val="0"/>
              <w:keepLines w:val="0"/>
              <w:widowControl/>
              <w:suppressLineNumbers w:val="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sz w:val="21"/>
                <w:szCs w:val="21"/>
                <w:highlight w:val="none"/>
                <w:lang w:val="en-US" w:eastAsia="zh-CN"/>
              </w:rPr>
              <w:t>生产企业须具有安全生产许可证，许可范围须包含“</w:t>
            </w:r>
            <w:r>
              <w:rPr>
                <w:rFonts w:hint="default" w:ascii="仿宋" w:hAnsi="仿宋" w:eastAsia="仿宋" w:cs="仿宋"/>
                <w:b w:val="0"/>
                <w:bCs w:val="0"/>
                <w:sz w:val="21"/>
                <w:szCs w:val="21"/>
                <w:highlight w:val="none"/>
                <w:lang w:val="en-US" w:eastAsia="zh-CN"/>
              </w:rPr>
              <w:t>2,3-</w:t>
            </w:r>
            <w:r>
              <w:rPr>
                <w:rFonts w:hint="eastAsia" w:ascii="仿宋" w:hAnsi="仿宋" w:eastAsia="仿宋" w:cs="仿宋"/>
                <w:b w:val="0"/>
                <w:bCs w:val="0"/>
                <w:sz w:val="21"/>
                <w:szCs w:val="21"/>
                <w:highlight w:val="none"/>
                <w:lang w:val="en-US" w:eastAsia="zh-CN"/>
              </w:rPr>
              <w:t>环氧丙基苯基醚”，贸易商、代理商须具有危险化学品经营许可证，许可范围中需包含“</w:t>
            </w:r>
            <w:r>
              <w:rPr>
                <w:rFonts w:hint="default" w:ascii="仿宋" w:hAnsi="仿宋" w:eastAsia="仿宋" w:cs="仿宋"/>
                <w:b w:val="0"/>
                <w:bCs w:val="0"/>
                <w:sz w:val="21"/>
                <w:szCs w:val="21"/>
                <w:highlight w:val="none"/>
                <w:lang w:val="en-US" w:eastAsia="zh-CN"/>
              </w:rPr>
              <w:t>2,3-</w:t>
            </w:r>
            <w:r>
              <w:rPr>
                <w:rFonts w:hint="eastAsia" w:ascii="仿宋" w:hAnsi="仿宋" w:eastAsia="仿宋" w:cs="仿宋"/>
                <w:b w:val="0"/>
                <w:bCs w:val="0"/>
                <w:sz w:val="21"/>
                <w:szCs w:val="21"/>
                <w:highlight w:val="none"/>
                <w:lang w:val="en-US" w:eastAsia="zh-CN"/>
              </w:rPr>
              <w:t>环氧丙基苯基醚”。</w:t>
            </w:r>
          </w:p>
        </w:tc>
      </w:tr>
      <w:tr w14:paraId="57E74021">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14:paraId="40DD6781">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3" w:type="pct"/>
            <w:vMerge w:val="continue"/>
            <w:tcBorders>
              <w:left w:val="single" w:color="000000" w:sz="6" w:space="0"/>
              <w:right w:val="single" w:color="000000" w:sz="6" w:space="0"/>
            </w:tcBorders>
            <w:vAlign w:val="center"/>
          </w:tcPr>
          <w:p w14:paraId="3EB2C412">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auto" w:sz="4" w:space="0"/>
              <w:left w:val="single" w:color="000000" w:sz="6" w:space="0"/>
              <w:bottom w:val="single" w:color="000000" w:sz="4" w:space="0"/>
              <w:right w:val="single" w:color="000000" w:sz="4" w:space="0"/>
            </w:tcBorders>
            <w:vAlign w:val="center"/>
          </w:tcPr>
          <w:p w14:paraId="337519D1">
            <w:pPr>
              <w:pStyle w:val="18"/>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490" w:type="pct"/>
            <w:tcBorders>
              <w:top w:val="single" w:color="auto" w:sz="4" w:space="0"/>
              <w:left w:val="nil"/>
              <w:bottom w:val="single" w:color="000000" w:sz="4" w:space="0"/>
              <w:right w:val="single" w:color="000000" w:sz="4" w:space="0"/>
            </w:tcBorders>
            <w:vAlign w:val="center"/>
          </w:tcPr>
          <w:p w14:paraId="275A0514">
            <w:pPr>
              <w:pStyle w:val="18"/>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1.应答人不得是最高人民法院在“信用中国”网站（</w: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1"/>
                <w:szCs w:val="21"/>
                <w:highlight w:val="none"/>
                <w:lang w:val="en-US" w:eastAsia="zh-CN"/>
                <w14:textFill>
                  <w14:solidFill>
                    <w14:schemeClr w14:val="tx1"/>
                  </w14:solidFill>
                </w14:textFill>
              </w:rPr>
              <w:instrText xml:space="preserve"> HYPERLINK "http://www.creditchina.gov.cn）或" </w:instrTex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separate"/>
            </w:r>
            <w:r>
              <w:rPr>
                <w:rFonts w:hint="eastAsia" w:ascii="仿宋" w:hAnsi="仿宋" w:eastAsia="仿宋" w:cs="仿宋"/>
                <w:color w:val="000000" w:themeColor="text1"/>
                <w:sz w:val="21"/>
                <w:szCs w:val="21"/>
                <w:highlight w:val="none"/>
                <w:lang w:val="en-US" w:eastAsia="zh-CN"/>
                <w14:textFill>
                  <w14:solidFill>
                    <w14:schemeClr w14:val="tx1"/>
                  </w14:solidFill>
                </w14:textFill>
              </w:rPr>
              <w:t>www.creditchina.gov.cn）或</w:t>
            </w:r>
          </w:p>
          <w:p w14:paraId="0DA55C4C">
            <w:pPr>
              <w:pStyle w:val="18"/>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“中国执行信息公开网</w: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1"/>
                <w:szCs w:val="21"/>
                <w:highlight w:val="none"/>
                <w:lang w:val="en-US" w:eastAsia="zh-CN"/>
                <w14:textFill>
                  <w14:solidFill>
                    <w14:schemeClr w14:val="tx1"/>
                  </w14:solidFill>
                </w14:textFill>
              </w:rPr>
              <w:instrText xml:space="preserve"> HYPERLINK "http://zxgk.court.gov.cn/）列入失信被执行人名单（应附查询结果复印件并加盖单位章" </w:instrTex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separate"/>
            </w:r>
            <w:r>
              <w:rPr>
                <w:rFonts w:hint="eastAsia" w:ascii="仿宋" w:hAnsi="仿宋" w:eastAsia="仿宋" w:cs="仿宋"/>
                <w:color w:val="000000" w:themeColor="text1"/>
                <w:sz w:val="21"/>
                <w:szCs w:val="21"/>
                <w:highlight w:val="none"/>
                <w:lang w:val="en-US" w:eastAsia="zh-CN"/>
                <w14:textFill>
                  <w14:solidFill>
                    <w14:schemeClr w14:val="tx1"/>
                  </w14:solidFill>
                </w14:textFill>
              </w:rPr>
              <w:t>http://zxgk.court.gov.cn/）列入失信被执行人名单</w: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p>
          <w:p w14:paraId="6B93D0E0">
            <w:pPr>
              <w:pStyle w:val="18"/>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2.近三年（2021年1月1日-报价截止日前）内应答人或其法定代表人、拟委任的项目负责人不得有行贿犯罪行为，查询网站为“中国裁判文书网”http://wenshu.court.gov.cn）；</w:t>
            </w:r>
          </w:p>
          <w:p w14:paraId="611AB8CD">
            <w:pPr>
              <w:pStyle w:val="18"/>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3.应答人不得被工商行政管理机关在全国企业信用信息公示系统（http://www.gsxt.gov.cn）中列入严重违法失信企业名单。事业单位、大学除外。</w:t>
            </w:r>
          </w:p>
          <w:p w14:paraId="12D4A151">
            <w:pPr>
              <w:pStyle w:val="18"/>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应答人与本采购项目其它应答人不得存在控股关系或管理关系、单位负责人为同一人的情形。在非公开采购项目中，严禁存在控股关系或管理关系、单位负责人为同一人、同一自然人同时持有两家公司非公开上市股份的情形。</w:t>
            </w:r>
          </w:p>
          <w:p w14:paraId="2171CA8B">
            <w:pPr>
              <w:pStyle w:val="18"/>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5.应答人应在应答文件中提供其公司章程或其它能够体现出资人、股东信息的法定文件，作为评标/评审时的依据。</w:t>
            </w:r>
          </w:p>
          <w:p w14:paraId="5914E354">
            <w:pPr>
              <w:pStyle w:val="18"/>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6.应答人承诺：中国海油在职员工（不含正式派出的）未有在应答人单位担任股东、法人代表、董事、监事和其它任职人员的情形。</w:t>
            </w:r>
          </w:p>
          <w:p w14:paraId="453F9147">
            <w:pPr>
              <w:pStyle w:val="18"/>
              <w:jc w:val="both"/>
              <w:rPr>
                <w:rFonts w:hint="default"/>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上述要求应答人应提供供应商承诺书。</w:t>
            </w:r>
          </w:p>
        </w:tc>
      </w:tr>
      <w:tr w14:paraId="33BB9A86">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14:paraId="424BA248">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3" w:type="pct"/>
            <w:vMerge w:val="continue"/>
            <w:tcBorders>
              <w:left w:val="single" w:color="000000" w:sz="6" w:space="0"/>
              <w:right w:val="single" w:color="000000" w:sz="6" w:space="0"/>
            </w:tcBorders>
            <w:vAlign w:val="center"/>
          </w:tcPr>
          <w:p w14:paraId="2C51722F">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000000" w:sz="4" w:space="0"/>
              <w:left w:val="single" w:color="000000" w:sz="6" w:space="0"/>
              <w:bottom w:val="single" w:color="000000" w:sz="4" w:space="0"/>
              <w:right w:val="single" w:color="000000" w:sz="4" w:space="0"/>
            </w:tcBorders>
            <w:vAlign w:val="center"/>
          </w:tcPr>
          <w:p w14:paraId="165C2BCC">
            <w:pPr>
              <w:pStyle w:val="18"/>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应答人或应答人所提供的第三方不得存在的其它情形</w:t>
            </w:r>
          </w:p>
          <w:p w14:paraId="3DCEEF19">
            <w:pPr>
              <w:pStyle w:val="18"/>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490" w:type="pct"/>
            <w:tcBorders>
              <w:top w:val="single" w:color="000000" w:sz="4" w:space="0"/>
              <w:left w:val="nil"/>
              <w:bottom w:val="single" w:color="000000" w:sz="4" w:space="0"/>
              <w:right w:val="single" w:color="000000" w:sz="4" w:space="0"/>
            </w:tcBorders>
            <w:vAlign w:val="center"/>
          </w:tcPr>
          <w:p w14:paraId="5D111221">
            <w:pPr>
              <w:pStyle w:val="18"/>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14:paraId="5963B09D">
            <w:pPr>
              <w:pStyle w:val="18"/>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14:paraId="30DBC8DC">
            <w:pPr>
              <w:pStyle w:val="18"/>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14:paraId="559C0120">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14:paraId="17B8F371">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3" w:type="pct"/>
            <w:vMerge w:val="continue"/>
            <w:tcBorders>
              <w:left w:val="single" w:color="000000" w:sz="6" w:space="0"/>
              <w:right w:val="single" w:color="000000" w:sz="6" w:space="0"/>
            </w:tcBorders>
            <w:vAlign w:val="center"/>
          </w:tcPr>
          <w:p w14:paraId="64E68D05">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000000" w:sz="4" w:space="0"/>
              <w:left w:val="single" w:color="000000" w:sz="6" w:space="0"/>
              <w:right w:val="single" w:color="000000" w:sz="4" w:space="0"/>
            </w:tcBorders>
            <w:vAlign w:val="center"/>
          </w:tcPr>
          <w:p w14:paraId="1E8BB395">
            <w:pPr>
              <w:pStyle w:val="8"/>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★代理商、贸易商、服务商要求（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代理商、贸易商、服务商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490" w:type="pct"/>
            <w:tcBorders>
              <w:top w:val="single" w:color="000000" w:sz="4" w:space="0"/>
              <w:left w:val="nil"/>
              <w:bottom w:val="single" w:color="000000" w:sz="4" w:space="0"/>
              <w:right w:val="single" w:color="000000" w:sz="4" w:space="0"/>
            </w:tcBorders>
            <w:vAlign w:val="center"/>
          </w:tcPr>
          <w:p w14:paraId="59687CFE">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贸易商需满足：1）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p>
          <w:p w14:paraId="7B988EA6">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color w:val="auto"/>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代理商需满足：1）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具有有效代理证书，且满足资质要求，且不能为项目代理。</w:t>
            </w:r>
          </w:p>
        </w:tc>
      </w:tr>
      <w:tr w14:paraId="4DB2D140">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14:paraId="15A15885">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3" w:type="pct"/>
            <w:vMerge w:val="continue"/>
            <w:tcBorders>
              <w:left w:val="single" w:color="000000" w:sz="6" w:space="0"/>
              <w:right w:val="single" w:color="000000" w:sz="6" w:space="0"/>
            </w:tcBorders>
            <w:vAlign w:val="center"/>
          </w:tcPr>
          <w:p w14:paraId="0980FEC7">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000000" w:sz="4" w:space="0"/>
              <w:left w:val="single" w:color="000000" w:sz="6" w:space="0"/>
              <w:bottom w:val="single" w:color="000000" w:sz="4" w:space="0"/>
              <w:right w:val="single" w:color="000000" w:sz="4" w:space="0"/>
            </w:tcBorders>
            <w:vAlign w:val="center"/>
          </w:tcPr>
          <w:p w14:paraId="02B00FD8">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p w14:paraId="5795CE13">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3490" w:type="pct"/>
            <w:tcBorders>
              <w:top w:val="single" w:color="000000" w:sz="4" w:space="0"/>
              <w:left w:val="nil"/>
              <w:bottom w:val="single" w:color="000000" w:sz="4" w:space="0"/>
              <w:right w:val="single" w:color="000000" w:sz="4" w:space="0"/>
            </w:tcBorders>
            <w:vAlign w:val="center"/>
          </w:tcPr>
          <w:p w14:paraId="71BBA802">
            <w:pPr>
              <w:spacing w:line="240" w:lineRule="auto"/>
              <w:ind w:firstLine="420"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2022年1月1日至应答截止日（以合同签署时间为准），应答人应具有至少1个合同的化学品的已完成的供货业绩。</w:t>
            </w:r>
          </w:p>
          <w:p w14:paraId="5072CED6">
            <w:pPr>
              <w:spacing w:line="240" w:lineRule="auto"/>
              <w:ind w:firstLine="420"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应答人须按规定格式提交业绩表，并提交相关业绩证明文件。业绩证明文件必须至少体现以下内容：合同签署时间、项目名称及验收证明材料。具体包括：1）合同复印件（含相关技术附件）；2</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合同</w:t>
            </w:r>
            <w:r>
              <w:rPr>
                <w:rFonts w:hint="eastAsia" w:ascii="仿宋" w:hAnsi="仿宋" w:eastAsia="仿宋" w:cs="仿宋"/>
                <w:color w:val="000000" w:themeColor="text1"/>
                <w:sz w:val="21"/>
                <w:szCs w:val="21"/>
                <w:highlight w:val="none"/>
                <w14:textFill>
                  <w14:solidFill>
                    <w14:schemeClr w14:val="tx1"/>
                  </w14:solidFill>
                </w14:textFill>
              </w:rPr>
              <w:t>所对应的结算发票</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国家税务总局全国增值税发票查验平台的发票查验截图。</w:t>
            </w:r>
          </w:p>
          <w:p w14:paraId="1BCDE79B">
            <w:pPr>
              <w:spacing w:line="24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应答人所提交的业绩证明文件必须至少体现以下内容：合同签署时间、合同签署页（应有双方盖章）、制造商名称、货物名称及到货验收材料。</w:t>
            </w:r>
          </w:p>
        </w:tc>
      </w:tr>
      <w:tr w14:paraId="2E491DD7">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14:paraId="5FA975F1">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3" w:type="pct"/>
            <w:vMerge w:val="continue"/>
            <w:tcBorders>
              <w:left w:val="single" w:color="000000" w:sz="6" w:space="0"/>
              <w:right w:val="single" w:color="000000" w:sz="6" w:space="0"/>
            </w:tcBorders>
            <w:vAlign w:val="center"/>
          </w:tcPr>
          <w:p w14:paraId="62E94F90">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997" w:type="pct"/>
            <w:tcBorders>
              <w:top w:val="single" w:color="auto" w:sz="4" w:space="0"/>
              <w:left w:val="single" w:color="000000" w:sz="6" w:space="0"/>
              <w:bottom w:val="nil"/>
              <w:right w:val="single" w:color="000000" w:sz="4" w:space="0"/>
            </w:tcBorders>
            <w:vAlign w:val="center"/>
          </w:tcPr>
          <w:p w14:paraId="4C6A1073">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490" w:type="pct"/>
            <w:tcBorders>
              <w:top w:val="single" w:color="auto" w:sz="4" w:space="0"/>
              <w:left w:val="nil"/>
              <w:bottom w:val="nil"/>
              <w:right w:val="single" w:color="000000" w:sz="4" w:space="0"/>
            </w:tcBorders>
            <w:vAlign w:val="center"/>
          </w:tcPr>
          <w:p w14:paraId="548847F7">
            <w:pPr>
              <w:pStyle w:val="7"/>
              <w:ind w:right="11"/>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货到验收合格后、收到发票及所有验收材料之日起60天付银行电汇或银行承兑（如付款到期日为非银行工作日，则付款到期日顺延至下一个银行工作日）</w:t>
            </w:r>
            <w: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t>。</w:t>
            </w:r>
          </w:p>
        </w:tc>
      </w:tr>
      <w:tr w14:paraId="27F3E0FD">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14:paraId="58460BA1">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3" w:type="pct"/>
            <w:vMerge w:val="continue"/>
            <w:tcBorders>
              <w:left w:val="single" w:color="000000" w:sz="6" w:space="0"/>
              <w:right w:val="single" w:color="000000" w:sz="6" w:space="0"/>
            </w:tcBorders>
            <w:vAlign w:val="center"/>
          </w:tcPr>
          <w:p w14:paraId="097B38FB">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997" w:type="pct"/>
            <w:tcBorders>
              <w:top w:val="single" w:color="000000" w:sz="4" w:space="0"/>
              <w:left w:val="single" w:color="000000" w:sz="6" w:space="0"/>
              <w:bottom w:val="single" w:color="000000" w:sz="4" w:space="0"/>
              <w:right w:val="single" w:color="000000" w:sz="4" w:space="0"/>
            </w:tcBorders>
            <w:vAlign w:val="center"/>
          </w:tcPr>
          <w:p w14:paraId="5319182A">
            <w:pPr>
              <w:pStyle w:val="18"/>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490" w:type="pct"/>
            <w:tcBorders>
              <w:top w:val="single" w:color="000000" w:sz="4" w:space="0"/>
              <w:left w:val="nil"/>
              <w:bottom w:val="single" w:color="000000" w:sz="4" w:space="0"/>
              <w:right w:val="single" w:color="000000" w:sz="4" w:space="0"/>
            </w:tcBorders>
            <w:vAlign w:val="center"/>
          </w:tcPr>
          <w:p w14:paraId="6EEB6103">
            <w:pPr>
              <w:pStyle w:val="18"/>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1.一般商务指标偏离超过3项，则评议不合格。</w:t>
            </w:r>
          </w:p>
          <w:p w14:paraId="1BC4BE77">
            <w:pPr>
              <w:pStyle w:val="18"/>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14:paraId="59EEC918">
            <w:pPr>
              <w:pStyle w:val="18"/>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14:paraId="38F1772F">
        <w:tblPrEx>
          <w:tblCellMar>
            <w:top w:w="0" w:type="dxa"/>
            <w:left w:w="0" w:type="dxa"/>
            <w:bottom w:w="0" w:type="dxa"/>
            <w:right w:w="0" w:type="dxa"/>
          </w:tblCellMar>
        </w:tblPrEx>
        <w:trPr>
          <w:trHeight w:val="90" w:hRule="atLeast"/>
          <w:jc w:val="center"/>
        </w:trPr>
        <w:tc>
          <w:tcPr>
            <w:tcW w:w="269" w:type="pct"/>
            <w:vMerge w:val="restart"/>
            <w:tcBorders>
              <w:top w:val="single" w:color="auto" w:sz="4" w:space="0"/>
              <w:left w:val="single" w:color="auto" w:sz="4" w:space="0"/>
              <w:bottom w:val="single" w:color="auto" w:sz="4" w:space="0"/>
              <w:right w:val="single" w:color="auto" w:sz="4" w:space="0"/>
            </w:tcBorders>
            <w:vAlign w:val="center"/>
          </w:tcPr>
          <w:p w14:paraId="6D6C9660">
            <w:pPr>
              <w:pStyle w:val="18"/>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43"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6FC1C55E">
            <w:pPr>
              <w:pStyle w:val="18"/>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997" w:type="pct"/>
            <w:tcBorders>
              <w:top w:val="single" w:color="auto" w:sz="4" w:space="0"/>
              <w:left w:val="single" w:color="auto" w:sz="4" w:space="0"/>
              <w:bottom w:val="single" w:color="auto" w:sz="4" w:space="0"/>
              <w:right w:val="single" w:color="auto" w:sz="4" w:space="0"/>
            </w:tcBorders>
            <w:vAlign w:val="center"/>
          </w:tcPr>
          <w:p w14:paraId="60F8C1A0">
            <w:pPr>
              <w:pStyle w:val="18"/>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★规格型号/服务范围</w:t>
            </w:r>
          </w:p>
        </w:tc>
        <w:tc>
          <w:tcPr>
            <w:tcW w:w="3490" w:type="pct"/>
            <w:tcBorders>
              <w:top w:val="single" w:color="000000" w:sz="4" w:space="0"/>
              <w:left w:val="single" w:color="auto" w:sz="4" w:space="0"/>
              <w:bottom w:val="single" w:color="000000" w:sz="4" w:space="0"/>
              <w:right w:val="single" w:color="000000" w:sz="4" w:space="0"/>
            </w:tcBorders>
            <w:vAlign w:val="center"/>
          </w:tcPr>
          <w:p w14:paraId="7A39F1C6">
            <w:pPr>
              <w:pStyle w:val="18"/>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须承诺满足附件2：技术要求。</w:t>
            </w:r>
          </w:p>
        </w:tc>
      </w:tr>
      <w:tr w14:paraId="4E0AAB4D">
        <w:tblPrEx>
          <w:tblCellMar>
            <w:top w:w="0" w:type="dxa"/>
            <w:left w:w="0" w:type="dxa"/>
            <w:bottom w:w="0" w:type="dxa"/>
            <w:right w:w="0" w:type="dxa"/>
          </w:tblCellMar>
        </w:tblPrEx>
        <w:trPr>
          <w:trHeight w:val="90" w:hRule="atLeast"/>
          <w:jc w:val="center"/>
        </w:trPr>
        <w:tc>
          <w:tcPr>
            <w:tcW w:w="269" w:type="pct"/>
            <w:vMerge w:val="continue"/>
            <w:tcBorders>
              <w:top w:val="single" w:color="auto" w:sz="4" w:space="0"/>
              <w:left w:val="single" w:color="auto" w:sz="4" w:space="0"/>
              <w:bottom w:val="single" w:color="auto" w:sz="4" w:space="0"/>
              <w:right w:val="single" w:color="auto" w:sz="4" w:space="0"/>
            </w:tcBorders>
            <w:vAlign w:val="center"/>
          </w:tcPr>
          <w:p w14:paraId="705D2C64">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vAlign w:val="center"/>
          </w:tcPr>
          <w:p w14:paraId="4F65FE59">
            <w:pPr>
              <w:pStyle w:val="18"/>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auto" w:sz="4" w:space="0"/>
              <w:left w:val="single" w:color="auto" w:sz="4" w:space="0"/>
              <w:bottom w:val="single" w:color="auto" w:sz="4" w:space="0"/>
              <w:right w:val="single" w:color="auto" w:sz="4" w:space="0"/>
            </w:tcBorders>
            <w:vAlign w:val="center"/>
          </w:tcPr>
          <w:p w14:paraId="13F3C5A4">
            <w:pPr>
              <w:pStyle w:val="18"/>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交货期/服务期</w:t>
            </w:r>
          </w:p>
        </w:tc>
        <w:tc>
          <w:tcPr>
            <w:tcW w:w="3490" w:type="pct"/>
            <w:tcBorders>
              <w:top w:val="single" w:color="000000" w:sz="4" w:space="0"/>
              <w:left w:val="single" w:color="auto" w:sz="4" w:space="0"/>
              <w:bottom w:val="single" w:color="000000" w:sz="4" w:space="0"/>
              <w:right w:val="single" w:color="000000" w:sz="4" w:space="0"/>
            </w:tcBorders>
            <w:vAlign w:val="center"/>
          </w:tcPr>
          <w:p w14:paraId="36998DCD">
            <w:pPr>
              <w:pStyle w:val="18"/>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订单下达后72小时内交货。</w:t>
            </w:r>
          </w:p>
        </w:tc>
      </w:tr>
      <w:tr w14:paraId="749213B6">
        <w:tblPrEx>
          <w:tblCellMar>
            <w:top w:w="0" w:type="dxa"/>
            <w:left w:w="0" w:type="dxa"/>
            <w:bottom w:w="0" w:type="dxa"/>
            <w:right w:w="0" w:type="dxa"/>
          </w:tblCellMar>
        </w:tblPrEx>
        <w:trPr>
          <w:trHeight w:val="90" w:hRule="atLeast"/>
          <w:jc w:val="center"/>
        </w:trPr>
        <w:tc>
          <w:tcPr>
            <w:tcW w:w="269" w:type="pct"/>
            <w:vMerge w:val="continue"/>
            <w:tcBorders>
              <w:top w:val="single" w:color="auto" w:sz="4" w:space="0"/>
              <w:left w:val="single" w:color="auto" w:sz="4" w:space="0"/>
              <w:bottom w:val="single" w:color="auto" w:sz="4" w:space="0"/>
              <w:right w:val="single" w:color="auto" w:sz="4" w:space="0"/>
            </w:tcBorders>
            <w:vAlign w:val="center"/>
          </w:tcPr>
          <w:p w14:paraId="1B57969E">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vAlign w:val="center"/>
          </w:tcPr>
          <w:p w14:paraId="22343DBC">
            <w:pPr>
              <w:pStyle w:val="18"/>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auto" w:sz="4" w:space="0"/>
              <w:left w:val="single" w:color="auto" w:sz="4" w:space="0"/>
              <w:bottom w:val="single" w:color="auto" w:sz="4" w:space="0"/>
              <w:right w:val="single" w:color="auto" w:sz="4" w:space="0"/>
            </w:tcBorders>
            <w:vAlign w:val="center"/>
          </w:tcPr>
          <w:p w14:paraId="50FC8F4E">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490" w:type="pct"/>
            <w:tcBorders>
              <w:top w:val="single" w:color="000000" w:sz="4" w:space="0"/>
              <w:left w:val="single" w:color="auto" w:sz="4" w:space="0"/>
              <w:bottom w:val="single" w:color="000000" w:sz="4" w:space="0"/>
              <w:right w:val="single" w:color="000000" w:sz="4" w:space="0"/>
            </w:tcBorders>
            <w:vAlign w:val="center"/>
          </w:tcPr>
          <w:p w14:paraId="364AC06F">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1.标注“★”号的条款为关键条款，对这些关键条款的任何偏离将导致应答文件被拒绝。</w:t>
            </w:r>
          </w:p>
          <w:p w14:paraId="0019B082">
            <w:pPr>
              <w:pStyle w:val="6"/>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2.技术偏离表，不提供视为无偏离。</w:t>
            </w:r>
          </w:p>
        </w:tc>
      </w:tr>
      <w:tr w14:paraId="05E9E2FA">
        <w:tblPrEx>
          <w:tblCellMar>
            <w:top w:w="0" w:type="dxa"/>
            <w:left w:w="0" w:type="dxa"/>
            <w:bottom w:w="0" w:type="dxa"/>
            <w:right w:w="0" w:type="dxa"/>
          </w:tblCellMar>
        </w:tblPrEx>
        <w:trPr>
          <w:trHeight w:val="90" w:hRule="atLeast"/>
          <w:jc w:val="center"/>
        </w:trPr>
        <w:tc>
          <w:tcPr>
            <w:tcW w:w="269" w:type="pct"/>
            <w:tcBorders>
              <w:top w:val="single" w:color="auto" w:sz="4" w:space="0"/>
              <w:left w:val="single" w:color="auto" w:sz="4" w:space="0"/>
              <w:bottom w:val="single" w:color="auto" w:sz="4" w:space="0"/>
              <w:right w:val="single" w:color="auto" w:sz="4" w:space="0"/>
            </w:tcBorders>
            <w:vAlign w:val="center"/>
          </w:tcPr>
          <w:p w14:paraId="630F43EC">
            <w:pPr>
              <w:pStyle w:val="18"/>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43" w:type="pct"/>
            <w:tcBorders>
              <w:top w:val="single" w:color="auto" w:sz="4" w:space="0"/>
              <w:left w:val="single" w:color="auto" w:sz="4" w:space="0"/>
              <w:bottom w:val="single" w:color="auto" w:sz="4" w:space="0"/>
              <w:right w:val="single" w:color="auto" w:sz="4" w:space="0"/>
            </w:tcBorders>
            <w:vAlign w:val="center"/>
          </w:tcPr>
          <w:p w14:paraId="010946CA">
            <w:pPr>
              <w:pStyle w:val="18"/>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14:paraId="10324CAC">
            <w:pPr>
              <w:pStyle w:val="18"/>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14:paraId="15BC2ADE">
            <w:pPr>
              <w:pStyle w:val="18"/>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14:paraId="4720B1F7">
            <w:pPr>
              <w:pStyle w:val="18"/>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997" w:type="pct"/>
            <w:tcBorders>
              <w:top w:val="single" w:color="auto" w:sz="4" w:space="0"/>
              <w:left w:val="single" w:color="auto" w:sz="4" w:space="0"/>
              <w:bottom w:val="single" w:color="auto" w:sz="4" w:space="0"/>
              <w:right w:val="single" w:color="auto" w:sz="4" w:space="0"/>
            </w:tcBorders>
            <w:vAlign w:val="center"/>
          </w:tcPr>
          <w:p w14:paraId="0C36EAE5">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490" w:type="pct"/>
            <w:tcBorders>
              <w:top w:val="single" w:color="000000" w:sz="4" w:space="0"/>
              <w:left w:val="single" w:color="auto" w:sz="4" w:space="0"/>
              <w:bottom w:val="single" w:color="000000" w:sz="4" w:space="0"/>
              <w:right w:val="single" w:color="000000" w:sz="4" w:space="0"/>
            </w:tcBorders>
            <w:vAlign w:val="center"/>
          </w:tcPr>
          <w:p w14:paraId="5A25261C">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14:paraId="2099BDF4">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14:paraId="219CCB04">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14:paraId="61FB1C06">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14:paraId="22CCBF48">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14:paraId="2A51283E">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14:paraId="618BC255">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14:paraId="56334F3E">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bl>
    <w:p w14:paraId="018F583B">
      <w:pPr>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14:paraId="707E8A56">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14:paraId="3E8E9A32">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sz w:val="28"/>
          <w:szCs w:val="16"/>
        </w:rPr>
      </w:pPr>
      <w:bookmarkStart w:id="0" w:name="_Toc13249325"/>
      <w:bookmarkStart w:id="1" w:name="_Toc13248928"/>
      <w:r>
        <w:rPr>
          <w:rFonts w:hint="eastAsia" w:asciiTheme="minorEastAsia" w:hAnsiTheme="minorEastAsia" w:eastAsiaTheme="minorEastAsia" w:cstheme="minorEastAsia"/>
          <w:sz w:val="28"/>
          <w:szCs w:val="16"/>
        </w:rPr>
        <w:t>需求一览表</w:t>
      </w:r>
      <w:bookmarkEnd w:id="0"/>
      <w:bookmarkEnd w:id="1"/>
    </w:p>
    <w:p w14:paraId="7F010D17">
      <w:pPr>
        <w:spacing w:line="360" w:lineRule="auto"/>
        <w:rPr>
          <w:rFonts w:hint="default" w:asciiTheme="minorEastAsia" w:hAnsiTheme="minorEastAsia"/>
          <w:sz w:val="24"/>
          <w:szCs w:val="24"/>
          <w:lang w:val="en-US" w:eastAsia="zh-CN"/>
        </w:rPr>
      </w:pPr>
      <w:r>
        <w:rPr>
          <w:rFonts w:hint="eastAsia" w:asciiTheme="minorEastAsia" w:hAnsiTheme="minorEastAsia"/>
          <w:sz w:val="24"/>
          <w:szCs w:val="24"/>
          <w:lang w:eastAsia="zh-CN"/>
        </w:rPr>
        <w:t>生产厂家</w:t>
      </w:r>
      <w:r>
        <w:rPr>
          <w:rFonts w:hint="eastAsia" w:asciiTheme="minorEastAsia" w:hAnsiTheme="minorEastAsia"/>
          <w:sz w:val="24"/>
          <w:szCs w:val="24"/>
          <w:lang w:val="en-US" w:eastAsia="zh-CN"/>
        </w:rPr>
        <w:t>一</w:t>
      </w:r>
      <w:r>
        <w:rPr>
          <w:rFonts w:hint="eastAsia" w:asciiTheme="minorEastAsia" w:hAnsiTheme="minorEastAsia"/>
          <w:sz w:val="24"/>
          <w:szCs w:val="24"/>
          <w:lang w:eastAsia="zh-CN"/>
        </w:rPr>
        <w:t>：常州耐力化工有限公司</w:t>
      </w:r>
      <w:r>
        <w:rPr>
          <w:rFonts w:hint="eastAsia" w:asciiTheme="minorEastAsia" w:hAnsiTheme="minorEastAsia"/>
          <w:sz w:val="24"/>
          <w:szCs w:val="24"/>
          <w:lang w:val="en-US" w:eastAsia="zh-CN"/>
        </w:rPr>
        <w:t>的H8</w:t>
      </w:r>
    </w:p>
    <w:p w14:paraId="3C7AC067">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生产厂家</w:t>
      </w:r>
      <w:r>
        <w:rPr>
          <w:rFonts w:hint="eastAsia" w:asciiTheme="minorEastAsia" w:hAnsiTheme="minorEastAsia"/>
          <w:sz w:val="24"/>
          <w:szCs w:val="24"/>
          <w:lang w:val="en-US" w:eastAsia="zh-CN"/>
        </w:rPr>
        <w:t>二</w:t>
      </w:r>
      <w:r>
        <w:rPr>
          <w:rFonts w:hint="eastAsia" w:asciiTheme="minorEastAsia" w:hAnsiTheme="minorEastAsia"/>
          <w:sz w:val="24"/>
          <w:szCs w:val="24"/>
          <w:lang w:eastAsia="zh-CN"/>
        </w:rPr>
        <w:t>：安徽新远科技股份有限公司</w:t>
      </w:r>
      <w:r>
        <w:rPr>
          <w:rFonts w:hint="eastAsia" w:asciiTheme="minorEastAsia" w:hAnsiTheme="minorEastAsia"/>
          <w:sz w:val="24"/>
          <w:szCs w:val="24"/>
          <w:lang w:val="en-US" w:eastAsia="zh-CN"/>
        </w:rPr>
        <w:t>的</w:t>
      </w:r>
      <w:r>
        <w:rPr>
          <w:rFonts w:hint="eastAsia" w:asciiTheme="minorEastAsia" w:hAnsiTheme="minorEastAsia"/>
          <w:sz w:val="24"/>
          <w:szCs w:val="24"/>
          <w:lang w:eastAsia="zh-CN"/>
        </w:rPr>
        <w:t>X</w:t>
      </w:r>
      <w:r>
        <w:rPr>
          <w:rFonts w:asciiTheme="minorEastAsia" w:hAnsiTheme="minorEastAsia"/>
          <w:sz w:val="24"/>
          <w:szCs w:val="24"/>
          <w:lang w:eastAsia="zh-CN"/>
        </w:rPr>
        <w:t>Y748</w:t>
      </w:r>
    </w:p>
    <w:p w14:paraId="7F24C74C">
      <w:pPr>
        <w:spacing w:line="360" w:lineRule="auto"/>
        <w:rPr>
          <w:rFonts w:hint="eastAsia"/>
        </w:rPr>
      </w:pPr>
      <w:r>
        <w:rPr>
          <w:rFonts w:hint="eastAsia" w:asciiTheme="minorEastAsia" w:hAnsiTheme="minorEastAsia"/>
          <w:sz w:val="24"/>
          <w:szCs w:val="24"/>
          <w:lang w:val="en-US" w:eastAsia="zh-CN"/>
        </w:rPr>
        <w:t>以上厂家品牌2选1即可。</w:t>
      </w:r>
    </w:p>
    <w:tbl>
      <w:tblPr>
        <w:tblStyle w:val="15"/>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150"/>
        <w:gridCol w:w="1967"/>
        <w:gridCol w:w="1299"/>
        <w:gridCol w:w="1312"/>
        <w:gridCol w:w="1158"/>
        <w:gridCol w:w="2677"/>
      </w:tblGrid>
      <w:tr w14:paraId="6702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73" w:type="dxa"/>
            <w:vAlign w:val="center"/>
          </w:tcPr>
          <w:p w14:paraId="2A697AF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eastAsia="zh-CN"/>
              </w:rPr>
              <w:t>序号</w:t>
            </w:r>
          </w:p>
        </w:tc>
        <w:tc>
          <w:tcPr>
            <w:tcW w:w="1150" w:type="dxa"/>
            <w:vAlign w:val="center"/>
          </w:tcPr>
          <w:p w14:paraId="0AFE0D8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val="en-US" w:eastAsia="zh-CN"/>
              </w:rPr>
            </w:pPr>
            <w:r>
              <w:rPr>
                <w:rFonts w:hint="eastAsia" w:asciiTheme="minorEastAsia" w:hAnsiTheme="minorEastAsia"/>
                <w:sz w:val="22"/>
                <w:szCs w:val="22"/>
                <w:lang w:eastAsia="zh-CN"/>
              </w:rPr>
              <w:t>物资编码</w:t>
            </w:r>
          </w:p>
        </w:tc>
        <w:tc>
          <w:tcPr>
            <w:tcW w:w="1967" w:type="dxa"/>
            <w:vAlign w:val="center"/>
          </w:tcPr>
          <w:p w14:paraId="50488F5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eastAsia="zh-CN"/>
              </w:rPr>
              <w:t>物资名称</w:t>
            </w:r>
          </w:p>
        </w:tc>
        <w:tc>
          <w:tcPr>
            <w:tcW w:w="1299" w:type="dxa"/>
            <w:vAlign w:val="center"/>
          </w:tcPr>
          <w:p w14:paraId="76982D7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eastAsia="zh-CN"/>
              </w:rPr>
              <w:t>规格型号</w:t>
            </w:r>
          </w:p>
        </w:tc>
        <w:tc>
          <w:tcPr>
            <w:tcW w:w="1312" w:type="dxa"/>
            <w:tcBorders>
              <w:bottom w:val="single" w:color="auto" w:sz="4" w:space="0"/>
            </w:tcBorders>
            <w:vAlign w:val="center"/>
          </w:tcPr>
          <w:p w14:paraId="6077C06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eastAsia="zh-CN"/>
              </w:rPr>
              <w:t>数量及单位</w:t>
            </w:r>
          </w:p>
        </w:tc>
        <w:tc>
          <w:tcPr>
            <w:tcW w:w="1158" w:type="dxa"/>
            <w:tcBorders>
              <w:bottom w:val="single" w:color="auto" w:sz="4" w:space="0"/>
            </w:tcBorders>
            <w:vAlign w:val="center"/>
          </w:tcPr>
          <w:p w14:paraId="2839F74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eastAsia="zh-CN"/>
              </w:rPr>
              <w:t>交货期</w:t>
            </w:r>
          </w:p>
        </w:tc>
        <w:tc>
          <w:tcPr>
            <w:tcW w:w="2677" w:type="dxa"/>
            <w:vAlign w:val="center"/>
          </w:tcPr>
          <w:p w14:paraId="616D767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eastAsia="zh-CN"/>
              </w:rPr>
              <w:t>备注</w:t>
            </w:r>
          </w:p>
        </w:tc>
      </w:tr>
      <w:tr w14:paraId="1C3F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73" w:type="dxa"/>
            <w:vAlign w:val="center"/>
          </w:tcPr>
          <w:p w14:paraId="5003195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eastAsia="zh-CN"/>
              </w:rPr>
              <w:t>1</w:t>
            </w:r>
          </w:p>
        </w:tc>
        <w:tc>
          <w:tcPr>
            <w:tcW w:w="1150" w:type="dxa"/>
            <w:vAlign w:val="center"/>
          </w:tcPr>
          <w:p w14:paraId="422DB79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eastAsia="zh-CN"/>
              </w:rPr>
              <w:t>84099437</w:t>
            </w:r>
          </w:p>
        </w:tc>
        <w:tc>
          <w:tcPr>
            <w:tcW w:w="1967" w:type="dxa"/>
            <w:vAlign w:val="center"/>
          </w:tcPr>
          <w:p w14:paraId="3F8759D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eastAsia="zh-CN"/>
              </w:rPr>
              <w:t>稀释剂（缩水甘油12-14烷基醚）</w:t>
            </w:r>
          </w:p>
        </w:tc>
        <w:tc>
          <w:tcPr>
            <w:tcW w:w="1299" w:type="dxa"/>
            <w:vAlign w:val="center"/>
          </w:tcPr>
          <w:p w14:paraId="285ADAE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heme="minorEastAsia" w:hAnsiTheme="minorEastAsia"/>
                <w:sz w:val="22"/>
                <w:szCs w:val="22"/>
                <w:lang w:val="en-US" w:eastAsia="zh-CN"/>
              </w:rPr>
            </w:pPr>
            <w:r>
              <w:rPr>
                <w:rFonts w:hint="eastAsia" w:asciiTheme="minorEastAsia" w:hAnsiTheme="minorEastAsia"/>
                <w:sz w:val="22"/>
                <w:szCs w:val="22"/>
                <w:lang w:eastAsia="zh-CN"/>
              </w:rPr>
              <w:t>XY748</w:t>
            </w:r>
            <w:r>
              <w:rPr>
                <w:rFonts w:hint="eastAsia" w:asciiTheme="minorEastAsia" w:hAnsiTheme="minorEastAsia"/>
                <w:sz w:val="22"/>
                <w:szCs w:val="22"/>
                <w:lang w:val="en-US" w:eastAsia="zh-CN"/>
              </w:rPr>
              <w:t>或H8</w:t>
            </w:r>
          </w:p>
        </w:tc>
        <w:tc>
          <w:tcPr>
            <w:tcW w:w="1312" w:type="dxa"/>
            <w:vAlign w:val="center"/>
          </w:tcPr>
          <w:p w14:paraId="2460FA5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heme="minorEastAsia" w:hAnsiTheme="minorEastAsia"/>
                <w:sz w:val="22"/>
                <w:szCs w:val="22"/>
                <w:lang w:val="en-US" w:eastAsia="zh-CN"/>
              </w:rPr>
            </w:pPr>
            <w:r>
              <w:rPr>
                <w:rFonts w:hint="eastAsia" w:asciiTheme="minorEastAsia" w:hAnsiTheme="minorEastAsia"/>
                <w:sz w:val="22"/>
                <w:szCs w:val="22"/>
                <w:lang w:val="en-US" w:eastAsia="zh-CN"/>
              </w:rPr>
              <w:t>32.4TO</w:t>
            </w:r>
          </w:p>
        </w:tc>
        <w:tc>
          <w:tcPr>
            <w:tcW w:w="1158" w:type="dxa"/>
            <w:vMerge w:val="restart"/>
            <w:vAlign w:val="center"/>
          </w:tcPr>
          <w:p w14:paraId="458B6B8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val="en-US" w:eastAsia="zh-CN"/>
              </w:rPr>
              <w:t>订单下达后72小时内交货或以买方通知为准</w:t>
            </w:r>
          </w:p>
        </w:tc>
        <w:tc>
          <w:tcPr>
            <w:tcW w:w="2677" w:type="dxa"/>
            <w:vAlign w:val="center"/>
          </w:tcPr>
          <w:p w14:paraId="3C6F148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heme="minorEastAsia" w:hAnsiTheme="minorEastAsia"/>
                <w:sz w:val="22"/>
                <w:szCs w:val="22"/>
                <w:lang w:val="en-US" w:eastAsia="zh-CN"/>
              </w:rPr>
            </w:pPr>
            <w:r>
              <w:rPr>
                <w:rFonts w:hint="eastAsia" w:asciiTheme="minorEastAsia" w:hAnsiTheme="minorEastAsia"/>
                <w:sz w:val="22"/>
                <w:szCs w:val="22"/>
                <w:lang w:eastAsia="zh-CN"/>
              </w:rPr>
              <w:t>生产厂家</w:t>
            </w:r>
            <w:r>
              <w:rPr>
                <w:rFonts w:hint="eastAsia" w:asciiTheme="minorEastAsia" w:hAnsiTheme="minorEastAsia"/>
                <w:sz w:val="22"/>
                <w:szCs w:val="22"/>
                <w:lang w:val="en-US" w:eastAsia="zh-CN"/>
              </w:rPr>
              <w:t>一</w:t>
            </w:r>
            <w:r>
              <w:rPr>
                <w:rFonts w:hint="eastAsia" w:asciiTheme="minorEastAsia" w:hAnsiTheme="minorEastAsia"/>
                <w:sz w:val="22"/>
                <w:szCs w:val="22"/>
                <w:lang w:eastAsia="zh-CN"/>
              </w:rPr>
              <w:t>：常州耐力化工有限公司</w:t>
            </w:r>
            <w:r>
              <w:rPr>
                <w:rFonts w:hint="eastAsia" w:asciiTheme="minorEastAsia" w:hAnsiTheme="minorEastAsia"/>
                <w:sz w:val="22"/>
                <w:szCs w:val="22"/>
                <w:lang w:val="en-US" w:eastAsia="zh-CN"/>
              </w:rPr>
              <w:t>的H8；</w:t>
            </w:r>
            <w:r>
              <w:rPr>
                <w:rFonts w:hint="eastAsia" w:asciiTheme="minorEastAsia" w:hAnsiTheme="minorEastAsia"/>
                <w:sz w:val="22"/>
                <w:szCs w:val="22"/>
                <w:lang w:eastAsia="zh-CN"/>
              </w:rPr>
              <w:t>生产厂家</w:t>
            </w:r>
            <w:r>
              <w:rPr>
                <w:rFonts w:hint="eastAsia" w:asciiTheme="minorEastAsia" w:hAnsiTheme="minorEastAsia"/>
                <w:sz w:val="22"/>
                <w:szCs w:val="22"/>
                <w:lang w:val="en-US" w:eastAsia="zh-CN"/>
              </w:rPr>
              <w:t>二</w:t>
            </w:r>
            <w:r>
              <w:rPr>
                <w:rFonts w:hint="eastAsia" w:asciiTheme="minorEastAsia" w:hAnsiTheme="minorEastAsia"/>
                <w:sz w:val="22"/>
                <w:szCs w:val="22"/>
                <w:lang w:eastAsia="zh-CN"/>
              </w:rPr>
              <w:t>：安徽新远科技股份有限公司</w:t>
            </w:r>
            <w:r>
              <w:rPr>
                <w:rFonts w:hint="eastAsia" w:asciiTheme="minorEastAsia" w:hAnsiTheme="minorEastAsia"/>
                <w:sz w:val="22"/>
                <w:szCs w:val="22"/>
                <w:lang w:val="en-US" w:eastAsia="zh-CN"/>
              </w:rPr>
              <w:t>的</w:t>
            </w:r>
            <w:r>
              <w:rPr>
                <w:rFonts w:hint="eastAsia" w:asciiTheme="minorEastAsia" w:hAnsiTheme="minorEastAsia"/>
                <w:sz w:val="22"/>
                <w:szCs w:val="22"/>
                <w:lang w:eastAsia="zh-CN"/>
              </w:rPr>
              <w:t>XY748。</w:t>
            </w:r>
          </w:p>
          <w:p w14:paraId="723705C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val="en-US" w:eastAsia="zh-CN"/>
              </w:rPr>
              <w:t>以上厂家品牌2选1即可。</w:t>
            </w:r>
          </w:p>
        </w:tc>
      </w:tr>
      <w:tr w14:paraId="5028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73" w:type="dxa"/>
            <w:vAlign w:val="center"/>
          </w:tcPr>
          <w:p w14:paraId="4524294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2</w:t>
            </w:r>
          </w:p>
        </w:tc>
        <w:tc>
          <w:tcPr>
            <w:tcW w:w="1150" w:type="dxa"/>
            <w:vAlign w:val="center"/>
          </w:tcPr>
          <w:p w14:paraId="5D158E8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val="en-US" w:eastAsia="zh-CN"/>
              </w:rPr>
              <w:t>84068844</w:t>
            </w:r>
          </w:p>
        </w:tc>
        <w:tc>
          <w:tcPr>
            <w:tcW w:w="1967" w:type="dxa"/>
            <w:vAlign w:val="center"/>
          </w:tcPr>
          <w:p w14:paraId="62ABC2D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eastAsia="zh-CN"/>
              </w:rPr>
              <w:t>1,4-环己烷二甲醇二缩水甘油醚</w:t>
            </w:r>
            <w:r>
              <w:rPr>
                <w:rFonts w:hint="eastAsia" w:asciiTheme="minorEastAsia" w:hAnsiTheme="minorEastAsia"/>
                <w:sz w:val="22"/>
                <w:szCs w:val="22"/>
                <w:lang w:val="en-US" w:eastAsia="zh-CN"/>
              </w:rPr>
              <w:t xml:space="preserve"> </w:t>
            </w:r>
            <w:r>
              <w:rPr>
                <w:rFonts w:hint="eastAsia" w:asciiTheme="minorEastAsia" w:hAnsiTheme="minorEastAsia"/>
                <w:sz w:val="22"/>
                <w:szCs w:val="22"/>
                <w:lang w:eastAsia="zh-CN"/>
              </w:rPr>
              <w:t>XY-630</w:t>
            </w:r>
          </w:p>
        </w:tc>
        <w:tc>
          <w:tcPr>
            <w:tcW w:w="1299" w:type="dxa"/>
            <w:vAlign w:val="center"/>
          </w:tcPr>
          <w:p w14:paraId="3506F73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eastAsia="zh-CN"/>
              </w:rPr>
              <w:t>200kg/桶</w:t>
            </w:r>
          </w:p>
        </w:tc>
        <w:tc>
          <w:tcPr>
            <w:tcW w:w="1312" w:type="dxa"/>
            <w:vAlign w:val="center"/>
          </w:tcPr>
          <w:p w14:paraId="0C492B5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1200kg</w:t>
            </w:r>
          </w:p>
        </w:tc>
        <w:tc>
          <w:tcPr>
            <w:tcW w:w="1158" w:type="dxa"/>
            <w:vMerge w:val="continue"/>
            <w:vAlign w:val="center"/>
          </w:tcPr>
          <w:p w14:paraId="7B62BAC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val="en-US" w:eastAsia="zh-CN"/>
              </w:rPr>
            </w:pPr>
          </w:p>
        </w:tc>
        <w:tc>
          <w:tcPr>
            <w:tcW w:w="2677" w:type="dxa"/>
            <w:vAlign w:val="center"/>
          </w:tcPr>
          <w:p w14:paraId="5AC9BD1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val="en-US" w:eastAsia="zh-CN"/>
              </w:rPr>
              <w:t>生产厂家：安徽新远科技股份有限公司</w:t>
            </w:r>
          </w:p>
        </w:tc>
      </w:tr>
      <w:tr w14:paraId="7C72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73" w:type="dxa"/>
            <w:vAlign w:val="center"/>
          </w:tcPr>
          <w:p w14:paraId="47FC972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3</w:t>
            </w:r>
          </w:p>
        </w:tc>
        <w:tc>
          <w:tcPr>
            <w:tcW w:w="1150" w:type="dxa"/>
            <w:vAlign w:val="center"/>
          </w:tcPr>
          <w:p w14:paraId="5B85FF7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val="en-US" w:eastAsia="zh-CN"/>
              </w:rPr>
              <w:t>82868785</w:t>
            </w:r>
          </w:p>
        </w:tc>
        <w:tc>
          <w:tcPr>
            <w:tcW w:w="1967" w:type="dxa"/>
            <w:vAlign w:val="center"/>
          </w:tcPr>
          <w:p w14:paraId="1F52E0E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val="en-US" w:eastAsia="zh-CN"/>
              </w:rPr>
              <w:t>苯基缩水甘油醚 XY690</w:t>
            </w:r>
          </w:p>
        </w:tc>
        <w:tc>
          <w:tcPr>
            <w:tcW w:w="1299" w:type="dxa"/>
            <w:vAlign w:val="center"/>
          </w:tcPr>
          <w:p w14:paraId="565D3B5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eastAsia="zh-CN"/>
              </w:rPr>
              <w:t>200kg/桶</w:t>
            </w:r>
          </w:p>
        </w:tc>
        <w:tc>
          <w:tcPr>
            <w:tcW w:w="1312" w:type="dxa"/>
            <w:vAlign w:val="center"/>
          </w:tcPr>
          <w:p w14:paraId="5BC65C2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7000kg</w:t>
            </w:r>
          </w:p>
        </w:tc>
        <w:tc>
          <w:tcPr>
            <w:tcW w:w="1158" w:type="dxa"/>
            <w:vMerge w:val="continue"/>
            <w:vAlign w:val="center"/>
          </w:tcPr>
          <w:p w14:paraId="55D5B38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val="en-US" w:eastAsia="zh-CN"/>
              </w:rPr>
            </w:pPr>
          </w:p>
        </w:tc>
        <w:tc>
          <w:tcPr>
            <w:tcW w:w="2677" w:type="dxa"/>
            <w:vAlign w:val="center"/>
          </w:tcPr>
          <w:p w14:paraId="41482E0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生产厂家：安徽新远科技股份有限公司</w:t>
            </w:r>
          </w:p>
        </w:tc>
      </w:tr>
      <w:tr w14:paraId="32ED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73" w:type="dxa"/>
            <w:vAlign w:val="center"/>
          </w:tcPr>
          <w:p w14:paraId="1CF60C1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4</w:t>
            </w:r>
          </w:p>
        </w:tc>
        <w:tc>
          <w:tcPr>
            <w:tcW w:w="1150" w:type="dxa"/>
            <w:vAlign w:val="center"/>
          </w:tcPr>
          <w:p w14:paraId="5FA7DD1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val="en-US" w:eastAsia="zh-CN"/>
              </w:rPr>
              <w:t>82868815</w:t>
            </w:r>
          </w:p>
        </w:tc>
        <w:tc>
          <w:tcPr>
            <w:tcW w:w="1967" w:type="dxa"/>
            <w:vAlign w:val="center"/>
          </w:tcPr>
          <w:p w14:paraId="4C3F88A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eastAsia="zh-CN"/>
              </w:rPr>
              <w:t>聚乙二醇二缩水甘油醚</w:t>
            </w:r>
            <w:r>
              <w:rPr>
                <w:rFonts w:hint="eastAsia" w:asciiTheme="minorEastAsia" w:hAnsiTheme="minorEastAsia"/>
                <w:sz w:val="22"/>
                <w:szCs w:val="22"/>
                <w:lang w:val="en-US" w:eastAsia="zh-CN"/>
              </w:rPr>
              <w:t xml:space="preserve"> </w:t>
            </w:r>
            <w:r>
              <w:rPr>
                <w:rFonts w:hint="eastAsia" w:asciiTheme="minorEastAsia" w:hAnsiTheme="minorEastAsia"/>
                <w:sz w:val="22"/>
                <w:szCs w:val="22"/>
                <w:lang w:eastAsia="zh-CN"/>
              </w:rPr>
              <w:t>XY225</w:t>
            </w:r>
          </w:p>
        </w:tc>
        <w:tc>
          <w:tcPr>
            <w:tcW w:w="1299" w:type="dxa"/>
            <w:vAlign w:val="center"/>
          </w:tcPr>
          <w:p w14:paraId="7D57DA1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eastAsia="zh-CN"/>
              </w:rPr>
              <w:t>200kg/桶</w:t>
            </w:r>
          </w:p>
        </w:tc>
        <w:tc>
          <w:tcPr>
            <w:tcW w:w="1312" w:type="dxa"/>
            <w:vAlign w:val="center"/>
          </w:tcPr>
          <w:p w14:paraId="256C166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6000kg</w:t>
            </w:r>
          </w:p>
        </w:tc>
        <w:tc>
          <w:tcPr>
            <w:tcW w:w="1158" w:type="dxa"/>
            <w:vMerge w:val="continue"/>
            <w:vAlign w:val="center"/>
          </w:tcPr>
          <w:p w14:paraId="1F65CDF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val="en-US" w:eastAsia="zh-CN"/>
              </w:rPr>
            </w:pPr>
          </w:p>
        </w:tc>
        <w:tc>
          <w:tcPr>
            <w:tcW w:w="2677" w:type="dxa"/>
            <w:vAlign w:val="center"/>
          </w:tcPr>
          <w:p w14:paraId="683743F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生产厂家：安徽新远科技股份有限公司</w:t>
            </w:r>
          </w:p>
        </w:tc>
      </w:tr>
      <w:tr w14:paraId="57A8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73" w:type="dxa"/>
            <w:vAlign w:val="center"/>
          </w:tcPr>
          <w:p w14:paraId="137380C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5</w:t>
            </w:r>
          </w:p>
        </w:tc>
        <w:tc>
          <w:tcPr>
            <w:tcW w:w="1150" w:type="dxa"/>
            <w:vAlign w:val="center"/>
          </w:tcPr>
          <w:p w14:paraId="45EBD75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val="en-US" w:eastAsia="zh-CN"/>
              </w:rPr>
              <w:t>82887791</w:t>
            </w:r>
          </w:p>
        </w:tc>
        <w:tc>
          <w:tcPr>
            <w:tcW w:w="1967" w:type="dxa"/>
            <w:vAlign w:val="center"/>
          </w:tcPr>
          <w:p w14:paraId="18C4656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eastAsia="zh-CN"/>
              </w:rPr>
              <w:t>三羟甲基丙烷三缩水甘油醚</w:t>
            </w:r>
            <w:r>
              <w:rPr>
                <w:rFonts w:hint="eastAsia" w:asciiTheme="minorEastAsia" w:hAnsiTheme="minorEastAsia"/>
                <w:sz w:val="22"/>
                <w:szCs w:val="22"/>
                <w:lang w:val="en-US" w:eastAsia="zh-CN"/>
              </w:rPr>
              <w:t xml:space="preserve"> </w:t>
            </w:r>
            <w:r>
              <w:rPr>
                <w:rFonts w:hint="eastAsia" w:asciiTheme="minorEastAsia" w:hAnsiTheme="minorEastAsia"/>
                <w:sz w:val="22"/>
                <w:szCs w:val="22"/>
                <w:lang w:eastAsia="zh-CN"/>
              </w:rPr>
              <w:t>XY636</w:t>
            </w:r>
          </w:p>
        </w:tc>
        <w:tc>
          <w:tcPr>
            <w:tcW w:w="1299" w:type="dxa"/>
            <w:vAlign w:val="center"/>
          </w:tcPr>
          <w:p w14:paraId="6B1954D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eastAsia="zh-CN"/>
              </w:rPr>
            </w:pPr>
            <w:r>
              <w:rPr>
                <w:rFonts w:hint="eastAsia" w:asciiTheme="minorEastAsia" w:hAnsiTheme="minorEastAsia"/>
                <w:sz w:val="22"/>
                <w:szCs w:val="22"/>
                <w:lang w:eastAsia="zh-CN"/>
              </w:rPr>
              <w:t>200kg/桶</w:t>
            </w:r>
          </w:p>
        </w:tc>
        <w:tc>
          <w:tcPr>
            <w:tcW w:w="1312" w:type="dxa"/>
            <w:vAlign w:val="center"/>
          </w:tcPr>
          <w:p w14:paraId="7B45CE4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2TO</w:t>
            </w:r>
          </w:p>
        </w:tc>
        <w:tc>
          <w:tcPr>
            <w:tcW w:w="1158" w:type="dxa"/>
            <w:vMerge w:val="continue"/>
            <w:vAlign w:val="center"/>
          </w:tcPr>
          <w:p w14:paraId="1FD55FB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val="en-US" w:eastAsia="zh-CN"/>
              </w:rPr>
            </w:pPr>
          </w:p>
        </w:tc>
        <w:tc>
          <w:tcPr>
            <w:tcW w:w="2677" w:type="dxa"/>
            <w:vAlign w:val="center"/>
          </w:tcPr>
          <w:p w14:paraId="6A3957D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生产厂家：安徽新远科技股份有限公司</w:t>
            </w:r>
          </w:p>
        </w:tc>
      </w:tr>
    </w:tbl>
    <w:p w14:paraId="79C52FD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宋体" w:hAnsi="宋体" w:eastAsia="宋体" w:cs="宋体"/>
          <w:b w:val="0"/>
          <w:bCs w:val="0"/>
          <w:color w:val="auto"/>
          <w:lang w:val="en-US" w:eastAsia="zh-CN"/>
        </w:rPr>
      </w:pPr>
      <w:r>
        <w:rPr>
          <w:rFonts w:hint="eastAsia" w:ascii="宋体" w:hAnsi="宋体" w:eastAsia="宋体" w:cs="宋体"/>
          <w:lang w:val="en-US" w:eastAsia="zh-CN"/>
        </w:rPr>
        <w:t>备注：</w:t>
      </w:r>
      <w:r>
        <w:rPr>
          <w:rFonts w:hint="eastAsia" w:ascii="宋体" w:hAnsi="宋体" w:eastAsia="宋体" w:cs="宋体"/>
        </w:rPr>
        <w:t>1.本表格“数量”是根据历史实际需求估算的，主要用于年协报价及价格评议，不代表实际采购数量，实际采购数量以“订单”下实际验收数量为准。2、订单最小订购量约为</w:t>
      </w:r>
      <w:r>
        <w:rPr>
          <w:rFonts w:hint="eastAsia" w:ascii="宋体" w:hAnsi="宋体" w:eastAsia="宋体" w:cs="宋体"/>
          <w:lang w:val="en-US" w:eastAsia="zh-CN"/>
        </w:rPr>
        <w:t>200</w:t>
      </w:r>
      <w:r>
        <w:rPr>
          <w:rFonts w:hint="eastAsia" w:ascii="宋体" w:hAnsi="宋体" w:eastAsia="宋体" w:cs="宋体"/>
        </w:rPr>
        <w:t>kg。按厂家原包装进行供应，实际交付数量在不超过订单约定数量的范围内允许与订单数量存在5%以内的偏差，且开票数量以最终实际签收数量为准，供应商无需再另行䃼足订单数量，视同订单履约完毕</w:t>
      </w:r>
      <w:r>
        <w:rPr>
          <w:rFonts w:hint="eastAsia" w:ascii="宋体" w:hAnsi="宋体" w:eastAsia="宋体" w:cs="宋体"/>
          <w:lang w:eastAsia="zh-CN"/>
        </w:rPr>
        <w:t>。</w:t>
      </w:r>
    </w:p>
    <w:p w14:paraId="4003C29A">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sz w:val="28"/>
          <w:szCs w:val="16"/>
          <w:lang w:val="en-US" w:eastAsia="zh-CN"/>
        </w:rPr>
      </w:pPr>
      <w:bookmarkStart w:id="2" w:name="_Toc13248929"/>
      <w:bookmarkStart w:id="3" w:name="_Toc13249326"/>
      <w:r>
        <w:rPr>
          <w:rFonts w:hint="eastAsia" w:asciiTheme="minorEastAsia" w:hAnsiTheme="minorEastAsia" w:cstheme="minorEastAsia"/>
          <w:sz w:val="28"/>
          <w:szCs w:val="16"/>
          <w:lang w:val="en-US" w:eastAsia="zh-CN"/>
        </w:rPr>
        <w:t>二</w:t>
      </w:r>
      <w:r>
        <w:rPr>
          <w:rFonts w:hint="eastAsia" w:asciiTheme="minorEastAsia" w:hAnsiTheme="minorEastAsia" w:eastAsiaTheme="minorEastAsia" w:cstheme="minorEastAsia"/>
          <w:sz w:val="28"/>
          <w:szCs w:val="16"/>
          <w:lang w:val="en-US" w:eastAsia="zh-CN"/>
        </w:rPr>
        <w:t>、设计/使用条件</w:t>
      </w:r>
    </w:p>
    <w:p w14:paraId="7DEF0DCA">
      <w:pPr>
        <w:pStyle w:val="1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eastAsia="宋体" w:asciiTheme="minorEastAsia" w:hAnsiTheme="minorEastAsia"/>
          <w:sz w:val="24"/>
          <w:szCs w:val="24"/>
          <w:lang w:eastAsia="zh-CN"/>
        </w:rPr>
      </w:pPr>
      <w:r>
        <w:rPr>
          <w:rFonts w:hint="eastAsia" w:eastAsia="宋体" w:asciiTheme="minorEastAsia" w:hAnsiTheme="minorEastAsia"/>
          <w:sz w:val="24"/>
          <w:szCs w:val="24"/>
          <w:lang w:eastAsia="zh-CN"/>
        </w:rPr>
        <w:t>到货/安装或使用地点：江苏省常州市玉龙中路2号，中海油常州环保涂料有限公司</w:t>
      </w:r>
      <w:r>
        <w:rPr>
          <w:rFonts w:hint="eastAsia" w:eastAsia="宋体" w:asciiTheme="minorEastAsia" w:hAnsiTheme="minorEastAsia"/>
          <w:sz w:val="24"/>
          <w:szCs w:val="24"/>
          <w:lang w:val="en-US" w:eastAsia="zh-CN"/>
        </w:rPr>
        <w:t>北门</w:t>
      </w:r>
      <w:r>
        <w:rPr>
          <w:rFonts w:hint="eastAsia" w:eastAsia="宋体" w:asciiTheme="minorEastAsia" w:hAnsiTheme="minorEastAsia"/>
          <w:sz w:val="24"/>
          <w:szCs w:val="24"/>
          <w:lang w:eastAsia="zh-CN"/>
        </w:rPr>
        <w:t>。</w:t>
      </w:r>
    </w:p>
    <w:p w14:paraId="0B465EC6">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cstheme="minorEastAsia"/>
          <w:sz w:val="28"/>
          <w:szCs w:val="16"/>
          <w:lang w:val="en-US" w:eastAsia="zh-CN"/>
        </w:rPr>
      </w:pPr>
      <w:r>
        <w:rPr>
          <w:rFonts w:hint="eastAsia" w:asciiTheme="minorEastAsia" w:hAnsiTheme="minorEastAsia" w:cstheme="minorEastAsia"/>
          <w:sz w:val="28"/>
          <w:szCs w:val="16"/>
          <w:lang w:val="en-US" w:eastAsia="zh-CN"/>
        </w:rPr>
        <w:t>*三、技术要求</w:t>
      </w:r>
    </w:p>
    <w:p w14:paraId="1B091C92">
      <w:pPr>
        <w:spacing w:line="360" w:lineRule="auto"/>
        <w:rPr>
          <w:rFonts w:asciiTheme="minorEastAsia" w:hAnsiTheme="minorEastAsia"/>
          <w:sz w:val="24"/>
          <w:szCs w:val="24"/>
          <w:lang w:eastAsia="zh-CN"/>
        </w:rPr>
      </w:pPr>
      <w:r>
        <w:rPr>
          <w:rFonts w:hint="eastAsia" w:asciiTheme="minorEastAsia" w:hAnsiTheme="minorEastAsia"/>
          <w:spacing w:val="0"/>
          <w:sz w:val="24"/>
          <w:szCs w:val="24"/>
          <w:lang w:val="en-US" w:eastAsia="zh-CN"/>
        </w:rPr>
        <w:t>1、</w:t>
      </w:r>
      <w:r>
        <w:rPr>
          <w:rFonts w:hint="eastAsia" w:asciiTheme="minorEastAsia" w:hAnsiTheme="minorEastAsia" w:eastAsiaTheme="minorEastAsia"/>
          <w:spacing w:val="0"/>
          <w:sz w:val="24"/>
          <w:szCs w:val="24"/>
          <w:lang w:eastAsia="zh-CN"/>
        </w:rPr>
        <w:t>稀释剂（</w:t>
      </w:r>
      <w:r>
        <w:rPr>
          <w:rFonts w:hint="eastAsia" w:asciiTheme="minorEastAsia" w:hAnsiTheme="minorEastAsia" w:eastAsiaTheme="minorEastAsia"/>
          <w:spacing w:val="0"/>
          <w:sz w:val="24"/>
          <w:szCs w:val="24"/>
        </w:rPr>
        <w:t>缩水甘油12-14烷基醚</w:t>
      </w:r>
      <w:r>
        <w:rPr>
          <w:rFonts w:hint="eastAsia" w:asciiTheme="minorEastAsia" w:hAnsiTheme="minorEastAsia" w:eastAsiaTheme="minorEastAsia"/>
          <w:spacing w:val="0"/>
          <w:sz w:val="24"/>
          <w:szCs w:val="24"/>
          <w:lang w:eastAsia="zh-CN"/>
        </w:rPr>
        <w:t>）</w:t>
      </w:r>
      <w:r>
        <w:rPr>
          <w:rFonts w:hint="eastAsia" w:asciiTheme="minorEastAsia" w:hAnsiTheme="minorEastAsia"/>
          <w:spacing w:val="0"/>
          <w:sz w:val="24"/>
          <w:szCs w:val="24"/>
          <w:lang w:eastAsia="zh-CN"/>
        </w:rPr>
        <w:t>：</w:t>
      </w:r>
      <w:r>
        <w:rPr>
          <w:rFonts w:hint="eastAsia" w:asciiTheme="minorEastAsia" w:hAnsiTheme="minorEastAsia"/>
          <w:sz w:val="24"/>
          <w:szCs w:val="24"/>
          <w:lang w:eastAsia="zh-CN"/>
        </w:rPr>
        <w:t>工业级优级品。（符合R</w:t>
      </w:r>
      <w:r>
        <w:rPr>
          <w:rFonts w:asciiTheme="minorEastAsia" w:hAnsiTheme="minorEastAsia"/>
          <w:sz w:val="24"/>
          <w:szCs w:val="24"/>
          <w:lang w:eastAsia="zh-CN"/>
        </w:rPr>
        <w:t>OHS</w:t>
      </w:r>
      <w:r>
        <w:rPr>
          <w:rFonts w:hint="eastAsia" w:asciiTheme="minorEastAsia" w:hAnsiTheme="minorEastAsia"/>
          <w:sz w:val="24"/>
          <w:szCs w:val="24"/>
          <w:lang w:eastAsia="zh-CN"/>
        </w:rPr>
        <w:t>对应产品）</w:t>
      </w:r>
    </w:p>
    <w:tbl>
      <w:tblPr>
        <w:tblStyle w:val="14"/>
        <w:tblW w:w="8140"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3321"/>
        <w:gridCol w:w="4819"/>
      </w:tblGrid>
      <w:tr w14:paraId="2737F9F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3321"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14:paraId="799CAD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项目</w:t>
            </w:r>
          </w:p>
        </w:tc>
        <w:tc>
          <w:tcPr>
            <w:tcW w:w="4819" w:type="dxa"/>
            <w:tcBorders>
              <w:top w:val="outset" w:color="auto" w:sz="6" w:space="0"/>
              <w:left w:val="outset" w:color="auto" w:sz="6" w:space="0"/>
              <w:bottom w:val="outset" w:color="auto" w:sz="6" w:space="0"/>
              <w:right w:val="outset" w:color="auto" w:sz="6" w:space="0"/>
            </w:tcBorders>
          </w:tcPr>
          <w:p w14:paraId="5F3C26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指标</w:t>
            </w:r>
          </w:p>
        </w:tc>
      </w:tr>
      <w:tr w14:paraId="6038A1C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3321"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14:paraId="48FE85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外观</w:t>
            </w:r>
          </w:p>
        </w:tc>
        <w:tc>
          <w:tcPr>
            <w:tcW w:w="4819" w:type="dxa"/>
            <w:tcBorders>
              <w:top w:val="outset" w:color="auto" w:sz="6" w:space="0"/>
              <w:left w:val="outset" w:color="auto" w:sz="6" w:space="0"/>
              <w:bottom w:val="outset" w:color="auto" w:sz="6" w:space="0"/>
              <w:right w:val="outset" w:color="auto" w:sz="6" w:space="0"/>
            </w:tcBorders>
          </w:tcPr>
          <w:p w14:paraId="2CAC26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透明液体,无机械杂质</w:t>
            </w:r>
          </w:p>
        </w:tc>
      </w:tr>
      <w:tr w14:paraId="77CCDDF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3321"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14:paraId="3630E4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色度，APHA</w:t>
            </w:r>
          </w:p>
        </w:tc>
        <w:tc>
          <w:tcPr>
            <w:tcW w:w="4819" w:type="dxa"/>
            <w:tcBorders>
              <w:top w:val="outset" w:color="auto" w:sz="6" w:space="0"/>
              <w:left w:val="outset" w:color="auto" w:sz="6" w:space="0"/>
              <w:bottom w:val="outset" w:color="auto" w:sz="6" w:space="0"/>
              <w:right w:val="outset" w:color="auto" w:sz="6" w:space="0"/>
            </w:tcBorders>
          </w:tcPr>
          <w:p w14:paraId="29221E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≤20</w:t>
            </w:r>
          </w:p>
        </w:tc>
      </w:tr>
      <w:tr w14:paraId="54DEC8C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3321"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14:paraId="0D98FD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粘度，mPa ▪s，25℃</w:t>
            </w:r>
          </w:p>
        </w:tc>
        <w:tc>
          <w:tcPr>
            <w:tcW w:w="4819" w:type="dxa"/>
            <w:tcBorders>
              <w:top w:val="outset" w:color="auto" w:sz="6" w:space="0"/>
              <w:left w:val="outset" w:color="auto" w:sz="6" w:space="0"/>
              <w:bottom w:val="outset" w:color="auto" w:sz="6" w:space="0"/>
              <w:right w:val="outset" w:color="auto" w:sz="6" w:space="0"/>
            </w:tcBorders>
          </w:tcPr>
          <w:p w14:paraId="0F3BE9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4-10</w:t>
            </w:r>
          </w:p>
        </w:tc>
      </w:tr>
      <w:tr w14:paraId="3B8B1D3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3321"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14:paraId="478705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环氧值 eq/100g</w:t>
            </w:r>
          </w:p>
        </w:tc>
        <w:tc>
          <w:tcPr>
            <w:tcW w:w="4819" w:type="dxa"/>
            <w:tcBorders>
              <w:top w:val="outset" w:color="auto" w:sz="6" w:space="0"/>
              <w:left w:val="outset" w:color="auto" w:sz="6" w:space="0"/>
              <w:bottom w:val="outset" w:color="auto" w:sz="6" w:space="0"/>
              <w:right w:val="outset" w:color="auto" w:sz="6" w:space="0"/>
            </w:tcBorders>
          </w:tcPr>
          <w:p w14:paraId="33328E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0.32-0.34</w:t>
            </w:r>
          </w:p>
        </w:tc>
      </w:tr>
      <w:tr w14:paraId="0C32BCF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3321"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14:paraId="78037E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易皂化氯，%</w:t>
            </w:r>
          </w:p>
        </w:tc>
        <w:tc>
          <w:tcPr>
            <w:tcW w:w="4819" w:type="dxa"/>
            <w:tcBorders>
              <w:top w:val="outset" w:color="auto" w:sz="6" w:space="0"/>
              <w:left w:val="outset" w:color="auto" w:sz="6" w:space="0"/>
              <w:bottom w:val="outset" w:color="auto" w:sz="6" w:space="0"/>
              <w:right w:val="outset" w:color="auto" w:sz="6" w:space="0"/>
            </w:tcBorders>
          </w:tcPr>
          <w:p w14:paraId="7384E3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≤0.15</w:t>
            </w:r>
          </w:p>
        </w:tc>
      </w:tr>
      <w:tr w14:paraId="0238CD7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3321"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14:paraId="53D522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无机氯，mg/Kg</w:t>
            </w:r>
          </w:p>
        </w:tc>
        <w:tc>
          <w:tcPr>
            <w:tcW w:w="4819" w:type="dxa"/>
            <w:tcBorders>
              <w:top w:val="outset" w:color="auto" w:sz="6" w:space="0"/>
              <w:left w:val="outset" w:color="auto" w:sz="6" w:space="0"/>
              <w:bottom w:val="outset" w:color="auto" w:sz="6" w:space="0"/>
              <w:right w:val="outset" w:color="auto" w:sz="6" w:space="0"/>
            </w:tcBorders>
          </w:tcPr>
          <w:p w14:paraId="59DC74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≤20</w:t>
            </w:r>
          </w:p>
        </w:tc>
      </w:tr>
      <w:tr w14:paraId="1AAF2FD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jc w:val="center"/>
        </w:trPr>
        <w:tc>
          <w:tcPr>
            <w:tcW w:w="3321"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14:paraId="002C64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水分，%</w:t>
            </w:r>
          </w:p>
        </w:tc>
        <w:tc>
          <w:tcPr>
            <w:tcW w:w="4819" w:type="dxa"/>
            <w:tcBorders>
              <w:top w:val="outset" w:color="auto" w:sz="6" w:space="0"/>
              <w:left w:val="outset" w:color="auto" w:sz="6" w:space="0"/>
              <w:bottom w:val="outset" w:color="auto" w:sz="6" w:space="0"/>
              <w:right w:val="outset" w:color="auto" w:sz="6" w:space="0"/>
            </w:tcBorders>
          </w:tcPr>
          <w:p w14:paraId="1760DF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≤0.1</w:t>
            </w:r>
          </w:p>
        </w:tc>
      </w:tr>
    </w:tbl>
    <w:p w14:paraId="7F2EF91C">
      <w:pPr>
        <w:spacing w:line="360" w:lineRule="auto"/>
        <w:rPr>
          <w:rFonts w:hint="eastAsia" w:asciiTheme="minorEastAsia" w:hAnsiTheme="minorEastAsia"/>
          <w:spacing w:val="0"/>
          <w:sz w:val="24"/>
          <w:szCs w:val="24"/>
          <w:lang w:val="en-US" w:eastAsia="zh-CN"/>
        </w:rPr>
      </w:pPr>
    </w:p>
    <w:p w14:paraId="0EFCE234">
      <w:pPr>
        <w:spacing w:line="360" w:lineRule="auto"/>
        <w:rPr>
          <w:rFonts w:hint="eastAsia" w:asciiTheme="minorEastAsia" w:hAnsiTheme="minorEastAsia"/>
          <w:spacing w:val="0"/>
          <w:sz w:val="24"/>
          <w:szCs w:val="24"/>
          <w:lang w:val="en-US" w:eastAsia="zh-CN"/>
        </w:rPr>
      </w:pPr>
      <w:r>
        <w:rPr>
          <w:rFonts w:hint="eastAsia" w:asciiTheme="minorEastAsia" w:hAnsiTheme="minorEastAsia"/>
          <w:spacing w:val="0"/>
          <w:sz w:val="24"/>
          <w:szCs w:val="24"/>
          <w:lang w:val="en-US" w:eastAsia="zh-CN"/>
        </w:rPr>
        <w:t>2、1,4-环己烷二甲醇二缩水甘油醚 XY-630</w:t>
      </w:r>
    </w:p>
    <w:tbl>
      <w:tblPr>
        <w:tblStyle w:val="15"/>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6"/>
        <w:gridCol w:w="3819"/>
        <w:gridCol w:w="1943"/>
      </w:tblGrid>
      <w:tr w14:paraId="1E60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416" w:type="dxa"/>
            <w:vAlign w:val="center"/>
          </w:tcPr>
          <w:p w14:paraId="2356B7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测试项目</w:t>
            </w:r>
          </w:p>
        </w:tc>
        <w:tc>
          <w:tcPr>
            <w:tcW w:w="3819" w:type="dxa"/>
            <w:vAlign w:val="center"/>
          </w:tcPr>
          <w:p w14:paraId="764252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测试方法</w:t>
            </w:r>
          </w:p>
        </w:tc>
        <w:tc>
          <w:tcPr>
            <w:tcW w:w="1943" w:type="dxa"/>
            <w:vAlign w:val="center"/>
          </w:tcPr>
          <w:p w14:paraId="3CA9B8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指标</w:t>
            </w:r>
          </w:p>
        </w:tc>
      </w:tr>
      <w:tr w14:paraId="754B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416" w:type="dxa"/>
            <w:vAlign w:val="center"/>
          </w:tcPr>
          <w:p w14:paraId="7ED52C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外观</w:t>
            </w:r>
          </w:p>
        </w:tc>
        <w:tc>
          <w:tcPr>
            <w:tcW w:w="3819" w:type="dxa"/>
            <w:vAlign w:val="center"/>
          </w:tcPr>
          <w:p w14:paraId="635C30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目测</w:t>
            </w:r>
          </w:p>
        </w:tc>
        <w:tc>
          <w:tcPr>
            <w:tcW w:w="1943" w:type="dxa"/>
            <w:vAlign w:val="center"/>
          </w:tcPr>
          <w:p w14:paraId="5A5F9E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淡黄色透明液体</w:t>
            </w:r>
          </w:p>
        </w:tc>
      </w:tr>
      <w:tr w14:paraId="0428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416" w:type="dxa"/>
            <w:vAlign w:val="center"/>
          </w:tcPr>
          <w:p w14:paraId="775978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色度（APHA）</w:t>
            </w:r>
          </w:p>
        </w:tc>
        <w:tc>
          <w:tcPr>
            <w:tcW w:w="3819" w:type="dxa"/>
            <w:vAlign w:val="center"/>
          </w:tcPr>
          <w:p w14:paraId="3D2BC1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GB/T 3143</w:t>
            </w:r>
          </w:p>
        </w:tc>
        <w:tc>
          <w:tcPr>
            <w:tcW w:w="1943" w:type="dxa"/>
            <w:vAlign w:val="center"/>
          </w:tcPr>
          <w:p w14:paraId="1C2738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≤50</w:t>
            </w:r>
          </w:p>
        </w:tc>
      </w:tr>
      <w:tr w14:paraId="6C4D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416" w:type="dxa"/>
            <w:vAlign w:val="center"/>
          </w:tcPr>
          <w:p w14:paraId="4A730F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黏度 25℃（MPa*s）</w:t>
            </w:r>
          </w:p>
        </w:tc>
        <w:tc>
          <w:tcPr>
            <w:tcW w:w="3819" w:type="dxa"/>
            <w:vAlign w:val="center"/>
          </w:tcPr>
          <w:p w14:paraId="17714C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GB/T 22314</w:t>
            </w:r>
          </w:p>
        </w:tc>
        <w:tc>
          <w:tcPr>
            <w:tcW w:w="1943" w:type="dxa"/>
            <w:vAlign w:val="center"/>
          </w:tcPr>
          <w:p w14:paraId="6CA9FD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45～75</w:t>
            </w:r>
          </w:p>
        </w:tc>
      </w:tr>
      <w:tr w14:paraId="23F8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416" w:type="dxa"/>
            <w:vAlign w:val="center"/>
          </w:tcPr>
          <w:p w14:paraId="48C4CF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环氧值（eq/100g）</w:t>
            </w:r>
          </w:p>
        </w:tc>
        <w:tc>
          <w:tcPr>
            <w:tcW w:w="3819" w:type="dxa"/>
            <w:vAlign w:val="center"/>
          </w:tcPr>
          <w:p w14:paraId="3CE98E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GB/T 4612</w:t>
            </w:r>
          </w:p>
        </w:tc>
        <w:tc>
          <w:tcPr>
            <w:tcW w:w="1943" w:type="dxa"/>
            <w:vAlign w:val="center"/>
          </w:tcPr>
          <w:p w14:paraId="3763D9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0.60～0.64</w:t>
            </w:r>
          </w:p>
        </w:tc>
      </w:tr>
      <w:tr w14:paraId="6A59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416" w:type="dxa"/>
            <w:vAlign w:val="center"/>
          </w:tcPr>
          <w:p w14:paraId="222D2B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易皂化氯（%）</w:t>
            </w:r>
          </w:p>
        </w:tc>
        <w:tc>
          <w:tcPr>
            <w:tcW w:w="3819" w:type="dxa"/>
            <w:vAlign w:val="center"/>
          </w:tcPr>
          <w:p w14:paraId="13A22A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GB/T 4618</w:t>
            </w:r>
          </w:p>
          <w:p w14:paraId="32236F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或安徽新远科技股份有限公司企业标准Q/XY 108-2021</w:t>
            </w:r>
          </w:p>
        </w:tc>
        <w:tc>
          <w:tcPr>
            <w:tcW w:w="1943" w:type="dxa"/>
            <w:vAlign w:val="center"/>
          </w:tcPr>
          <w:p w14:paraId="03F93E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≤0.20</w:t>
            </w:r>
          </w:p>
        </w:tc>
      </w:tr>
      <w:tr w14:paraId="58A5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416" w:type="dxa"/>
            <w:vAlign w:val="center"/>
          </w:tcPr>
          <w:p w14:paraId="6BA87A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无机氯（mg/kg）</w:t>
            </w:r>
          </w:p>
        </w:tc>
        <w:tc>
          <w:tcPr>
            <w:tcW w:w="3819" w:type="dxa"/>
            <w:vAlign w:val="center"/>
          </w:tcPr>
          <w:p w14:paraId="527C4D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GB/T 4618.1</w:t>
            </w:r>
          </w:p>
        </w:tc>
        <w:tc>
          <w:tcPr>
            <w:tcW w:w="1943" w:type="dxa"/>
            <w:vAlign w:val="center"/>
          </w:tcPr>
          <w:p w14:paraId="591522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≤20</w:t>
            </w:r>
          </w:p>
        </w:tc>
      </w:tr>
      <w:tr w14:paraId="0C43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416" w:type="dxa"/>
            <w:vAlign w:val="center"/>
          </w:tcPr>
          <w:p w14:paraId="09D443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水分</w:t>
            </w:r>
          </w:p>
        </w:tc>
        <w:tc>
          <w:tcPr>
            <w:tcW w:w="3819" w:type="dxa"/>
            <w:vAlign w:val="center"/>
          </w:tcPr>
          <w:p w14:paraId="174893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GB/T 6283</w:t>
            </w:r>
          </w:p>
        </w:tc>
        <w:tc>
          <w:tcPr>
            <w:tcW w:w="1943" w:type="dxa"/>
            <w:vAlign w:val="center"/>
          </w:tcPr>
          <w:p w14:paraId="031651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≤0.10</w:t>
            </w:r>
          </w:p>
        </w:tc>
      </w:tr>
    </w:tbl>
    <w:p w14:paraId="484C516C">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p>
    <w:p w14:paraId="2E6179CC">
      <w:pPr>
        <w:spacing w:line="360" w:lineRule="auto"/>
        <w:rPr>
          <w:rFonts w:hint="eastAsia" w:asciiTheme="minorEastAsia" w:hAnsiTheme="minorEastAsia"/>
          <w:spacing w:val="0"/>
          <w:sz w:val="24"/>
          <w:szCs w:val="24"/>
          <w:lang w:val="en-US" w:eastAsia="zh-CN"/>
        </w:rPr>
      </w:pPr>
      <w:r>
        <w:rPr>
          <w:rFonts w:hint="eastAsia" w:asciiTheme="minorEastAsia" w:hAnsiTheme="minorEastAsia"/>
          <w:spacing w:val="0"/>
          <w:sz w:val="24"/>
          <w:szCs w:val="24"/>
          <w:lang w:val="en-US" w:eastAsia="zh-CN"/>
        </w:rPr>
        <w:t>3、苯基缩水甘油醚 XY690</w:t>
      </w:r>
    </w:p>
    <w:tbl>
      <w:tblPr>
        <w:tblStyle w:val="14"/>
        <w:tblW w:w="8479"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3784"/>
        <w:gridCol w:w="4695"/>
      </w:tblGrid>
      <w:tr w14:paraId="19292AA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784"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14:paraId="3C2248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项目</w:t>
            </w:r>
          </w:p>
        </w:tc>
        <w:tc>
          <w:tcPr>
            <w:tcW w:w="4695" w:type="dxa"/>
            <w:tcBorders>
              <w:top w:val="outset" w:color="auto" w:sz="6" w:space="0"/>
              <w:left w:val="outset" w:color="auto" w:sz="6" w:space="0"/>
              <w:bottom w:val="outset" w:color="auto" w:sz="6" w:space="0"/>
              <w:right w:val="outset" w:color="auto" w:sz="6" w:space="0"/>
            </w:tcBorders>
            <w:vAlign w:val="center"/>
          </w:tcPr>
          <w:p w14:paraId="152541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XY690</w:t>
            </w:r>
          </w:p>
        </w:tc>
      </w:tr>
      <w:tr w14:paraId="5BD50C4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784"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14:paraId="39850F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外观</w:t>
            </w:r>
          </w:p>
        </w:tc>
        <w:tc>
          <w:tcPr>
            <w:tcW w:w="4695" w:type="dxa"/>
            <w:tcBorders>
              <w:top w:val="outset" w:color="auto" w:sz="6" w:space="0"/>
              <w:left w:val="outset" w:color="auto" w:sz="6" w:space="0"/>
              <w:bottom w:val="outset" w:color="auto" w:sz="6" w:space="0"/>
              <w:right w:val="outset" w:color="auto" w:sz="6" w:space="0"/>
            </w:tcBorders>
            <w:vAlign w:val="center"/>
          </w:tcPr>
          <w:p w14:paraId="1CA87A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透明液体，无机械杂质</w:t>
            </w:r>
          </w:p>
        </w:tc>
      </w:tr>
      <w:tr w14:paraId="77927DF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784"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14:paraId="61CF83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色度</w:t>
            </w:r>
          </w:p>
        </w:tc>
        <w:tc>
          <w:tcPr>
            <w:tcW w:w="4695" w:type="dxa"/>
            <w:tcBorders>
              <w:top w:val="outset" w:color="auto" w:sz="6" w:space="0"/>
              <w:left w:val="outset" w:color="auto" w:sz="6" w:space="0"/>
              <w:bottom w:val="outset" w:color="auto" w:sz="6" w:space="0"/>
              <w:right w:val="outset" w:color="auto" w:sz="6" w:space="0"/>
            </w:tcBorders>
            <w:vAlign w:val="center"/>
          </w:tcPr>
          <w:p w14:paraId="161604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≤60</w:t>
            </w:r>
          </w:p>
        </w:tc>
      </w:tr>
      <w:tr w14:paraId="305300B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784"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14:paraId="11AA9E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粘度 mpa.s，25℃</w:t>
            </w:r>
          </w:p>
        </w:tc>
        <w:tc>
          <w:tcPr>
            <w:tcW w:w="4695" w:type="dxa"/>
            <w:tcBorders>
              <w:top w:val="outset" w:color="auto" w:sz="6" w:space="0"/>
              <w:left w:val="outset" w:color="auto" w:sz="6" w:space="0"/>
              <w:bottom w:val="outset" w:color="auto" w:sz="6" w:space="0"/>
              <w:right w:val="outset" w:color="auto" w:sz="6" w:space="0"/>
            </w:tcBorders>
            <w:vAlign w:val="center"/>
          </w:tcPr>
          <w:p w14:paraId="74112D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4-10</w:t>
            </w:r>
          </w:p>
        </w:tc>
      </w:tr>
      <w:tr w14:paraId="115EA4A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784"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14:paraId="40ED73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环氧值 eq/100g</w:t>
            </w:r>
          </w:p>
        </w:tc>
        <w:tc>
          <w:tcPr>
            <w:tcW w:w="4695" w:type="dxa"/>
            <w:tcBorders>
              <w:top w:val="outset" w:color="auto" w:sz="6" w:space="0"/>
              <w:left w:val="outset" w:color="auto" w:sz="6" w:space="0"/>
              <w:bottom w:val="outset" w:color="auto" w:sz="6" w:space="0"/>
              <w:right w:val="outset" w:color="auto" w:sz="6" w:space="0"/>
            </w:tcBorders>
            <w:vAlign w:val="center"/>
          </w:tcPr>
          <w:p w14:paraId="230DD3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0.54-0.59</w:t>
            </w:r>
          </w:p>
        </w:tc>
      </w:tr>
      <w:tr w14:paraId="3E43BC6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784"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14:paraId="71360C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易皂化氯 ％</w:t>
            </w:r>
          </w:p>
        </w:tc>
        <w:tc>
          <w:tcPr>
            <w:tcW w:w="4695" w:type="dxa"/>
            <w:tcBorders>
              <w:top w:val="outset" w:color="auto" w:sz="6" w:space="0"/>
              <w:left w:val="outset" w:color="auto" w:sz="6" w:space="0"/>
              <w:bottom w:val="outset" w:color="auto" w:sz="6" w:space="0"/>
              <w:right w:val="outset" w:color="auto" w:sz="6" w:space="0"/>
            </w:tcBorders>
            <w:vAlign w:val="center"/>
          </w:tcPr>
          <w:p w14:paraId="7D25B9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≤0.2</w:t>
            </w:r>
          </w:p>
        </w:tc>
      </w:tr>
      <w:tr w14:paraId="6064330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784"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14:paraId="484093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无机氯 ppm</w:t>
            </w:r>
          </w:p>
        </w:tc>
        <w:tc>
          <w:tcPr>
            <w:tcW w:w="4695" w:type="dxa"/>
            <w:tcBorders>
              <w:top w:val="outset" w:color="auto" w:sz="6" w:space="0"/>
              <w:left w:val="outset" w:color="auto" w:sz="6" w:space="0"/>
              <w:bottom w:val="outset" w:color="auto" w:sz="6" w:space="0"/>
              <w:right w:val="outset" w:color="auto" w:sz="6" w:space="0"/>
            </w:tcBorders>
            <w:vAlign w:val="center"/>
          </w:tcPr>
          <w:p w14:paraId="2AF05B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≤20</w:t>
            </w:r>
          </w:p>
        </w:tc>
      </w:tr>
      <w:tr w14:paraId="40BC0E5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3784"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14:paraId="36B5D3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水分 ％</w:t>
            </w:r>
          </w:p>
        </w:tc>
        <w:tc>
          <w:tcPr>
            <w:tcW w:w="4695" w:type="dxa"/>
            <w:tcBorders>
              <w:top w:val="outset" w:color="auto" w:sz="6" w:space="0"/>
              <w:left w:val="outset" w:color="auto" w:sz="6" w:space="0"/>
              <w:bottom w:val="outset" w:color="auto" w:sz="6" w:space="0"/>
              <w:right w:val="outset" w:color="auto" w:sz="6" w:space="0"/>
            </w:tcBorders>
            <w:vAlign w:val="center"/>
          </w:tcPr>
          <w:p w14:paraId="04AFF8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≤0.1</w:t>
            </w:r>
          </w:p>
        </w:tc>
      </w:tr>
    </w:tbl>
    <w:p w14:paraId="0674D83D">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p>
    <w:p w14:paraId="5829EA1E">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4、聚乙二醇二缩水甘油醚 XY225</w:t>
      </w:r>
    </w:p>
    <w:p w14:paraId="53ADAA4A">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聚乙二醇二缩水甘油醚，CAS号:39443-66-8, 分子式：O(CH2CH) CH2O(CH2CH2O)nCH2(CHCH2)O，无色至淡黄色透明液体。</w:t>
      </w:r>
    </w:p>
    <w:p w14:paraId="3419E8EF">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色度：       ≤60 APHA</w:t>
      </w:r>
    </w:p>
    <w:p w14:paraId="0F5F5993">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粘度,25℃：  40-80 mpa.s</w:t>
      </w:r>
    </w:p>
    <w:p w14:paraId="1D9E075F">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环氧值：     0.35-0.40 eq/100g</w:t>
      </w:r>
    </w:p>
    <w:p w14:paraId="72CA294E">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易皂化氯：   ≤0.01 eq/100g</w:t>
      </w:r>
    </w:p>
    <w:p w14:paraId="2EB483E8">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无机氯：     ≤0.005 eq/100g</w:t>
      </w:r>
    </w:p>
    <w:p w14:paraId="3F26E30F">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水分：       ≤0.1%</w:t>
      </w:r>
    </w:p>
    <w:p w14:paraId="71A48EB6">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p>
    <w:p w14:paraId="11EB1F95">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5、环氧活性稀释剂XY636(三羟甲基丙烷三缩水甘油醚)</w:t>
      </w:r>
    </w:p>
    <w:p w14:paraId="51AC3C2D">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外观：透明液体，无机械杂质；      目测</w:t>
      </w:r>
    </w:p>
    <w:p w14:paraId="2D745640">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色号：≤40；                      比色法</w:t>
      </w:r>
    </w:p>
    <w:p w14:paraId="62A55856">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黏度mpa.s,25℃                   100-200</w:t>
      </w:r>
    </w:p>
    <w:p w14:paraId="01391EF4">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环氧值，eq/100g;                  0.69-0.74                                    </w:t>
      </w:r>
    </w:p>
    <w:p w14:paraId="23395320">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易皂化氯，%：                     ≤0.3</w:t>
      </w:r>
    </w:p>
    <w:p w14:paraId="4F36A011">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无机氯，mg/kg；                   ≤20</w:t>
      </w:r>
    </w:p>
    <w:p w14:paraId="68F4A2AB">
      <w:pPr>
        <w:pStyle w:val="22"/>
        <w:keepNext w:val="0"/>
        <w:keepLines w:val="0"/>
        <w:pageBreakBefore w:val="0"/>
        <w:widowControl w:val="0"/>
        <w:kinsoku/>
        <w:wordWrap/>
        <w:overflowPunct/>
        <w:topLinePunct w:val="0"/>
        <w:bidi w:val="0"/>
        <w:snapToGrid/>
        <w:spacing w:before="120" w:after="120" w:line="360" w:lineRule="auto"/>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水分，%；                         ≤0.1</w:t>
      </w:r>
    </w:p>
    <w:p w14:paraId="3546FC60">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cstheme="minorEastAsia"/>
          <w:sz w:val="28"/>
          <w:szCs w:val="16"/>
          <w:lang w:val="en-US" w:eastAsia="zh-CN"/>
        </w:rPr>
      </w:pPr>
      <w:r>
        <w:rPr>
          <w:rFonts w:hint="eastAsia" w:asciiTheme="minorEastAsia" w:hAnsiTheme="minorEastAsia" w:cstheme="minorEastAsia"/>
          <w:sz w:val="28"/>
          <w:szCs w:val="16"/>
          <w:lang w:val="en-US" w:eastAsia="zh-CN"/>
        </w:rPr>
        <w:t>四、检测和试验</w:t>
      </w:r>
    </w:p>
    <w:bookmarkEnd w:id="2"/>
    <w:bookmarkEnd w:id="3"/>
    <w:p w14:paraId="7D6C4D13">
      <w:pPr>
        <w:pStyle w:val="1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color w:val="auto"/>
          <w:sz w:val="24"/>
          <w:szCs w:val="24"/>
          <w:lang w:val="en-US" w:eastAsia="zh-CN"/>
        </w:rPr>
      </w:pPr>
      <w:r>
        <w:rPr>
          <w:rFonts w:hint="eastAsia" w:asciiTheme="minorEastAsia" w:hAnsiTheme="minorEastAsia"/>
          <w:sz w:val="24"/>
          <w:szCs w:val="24"/>
          <w:lang w:eastAsia="zh-CN"/>
        </w:rPr>
        <w:t>具有生产商出具的检验报告/合格证（</w:t>
      </w:r>
      <w:r>
        <w:rPr>
          <w:rFonts w:hint="eastAsia" w:asciiTheme="minorEastAsia" w:hAnsiTheme="minorEastAsia"/>
          <w:sz w:val="24"/>
          <w:szCs w:val="24"/>
          <w:lang w:val="en-US" w:eastAsia="zh-CN"/>
        </w:rPr>
        <w:t>或第三方检测报告</w:t>
      </w:r>
      <w:r>
        <w:rPr>
          <w:rFonts w:hint="eastAsia" w:asciiTheme="minorEastAsia" w:hAnsiTheme="minorEastAsia"/>
          <w:sz w:val="24"/>
          <w:szCs w:val="24"/>
          <w:lang w:eastAsia="zh-CN"/>
        </w:rPr>
        <w:t>），包括质检信息</w:t>
      </w:r>
      <w:r>
        <w:rPr>
          <w:rFonts w:asciiTheme="minorEastAsia" w:hAnsiTheme="minorEastAsia"/>
          <w:sz w:val="24"/>
          <w:szCs w:val="24"/>
          <w:lang w:eastAsia="zh-CN"/>
        </w:rPr>
        <w:t>、</w:t>
      </w:r>
      <w:r>
        <w:rPr>
          <w:rFonts w:hint="eastAsia" w:asciiTheme="minorEastAsia" w:hAnsiTheme="minorEastAsia"/>
          <w:sz w:val="24"/>
          <w:szCs w:val="24"/>
          <w:lang w:eastAsia="zh-CN"/>
        </w:rPr>
        <w:t>生产批号/生产日期及质保期等信息</w:t>
      </w:r>
      <w:r>
        <w:rPr>
          <w:rFonts w:hint="eastAsia" w:asciiTheme="minorEastAsia" w:hAnsiTheme="minorEastAsia"/>
          <w:sz w:val="24"/>
          <w:szCs w:val="24"/>
          <w:lang w:val="en-US" w:eastAsia="zh-CN"/>
        </w:rPr>
        <w:t>。</w:t>
      </w:r>
    </w:p>
    <w:p w14:paraId="4D4C129C">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default" w:asciiTheme="minorEastAsia" w:hAnsiTheme="minorEastAsia" w:cstheme="minorEastAsia"/>
          <w:sz w:val="28"/>
          <w:szCs w:val="16"/>
          <w:lang w:val="en-US" w:eastAsia="zh-CN"/>
        </w:rPr>
      </w:pPr>
      <w:r>
        <w:rPr>
          <w:rFonts w:hint="eastAsia" w:asciiTheme="minorEastAsia" w:hAnsiTheme="minorEastAsia" w:cstheme="minorEastAsia"/>
          <w:sz w:val="28"/>
          <w:szCs w:val="16"/>
          <w:lang w:val="en-US" w:eastAsia="zh-CN"/>
        </w:rPr>
        <w:t>五、标识、包装、运输和存储</w:t>
      </w:r>
    </w:p>
    <w:p w14:paraId="68B3214D">
      <w:pPr>
        <w:pStyle w:val="19"/>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eastAsia="宋体" w:asciiTheme="minorEastAsia" w:hAnsiTheme="minorEastAsia"/>
          <w:sz w:val="24"/>
          <w:szCs w:val="24"/>
          <w:lang w:eastAsia="zh-CN"/>
        </w:rPr>
      </w:pPr>
      <w:r>
        <w:rPr>
          <w:rFonts w:hint="eastAsia" w:eastAsia="宋体" w:asciiTheme="minorEastAsia" w:hAnsiTheme="minorEastAsia"/>
          <w:sz w:val="24"/>
          <w:szCs w:val="24"/>
          <w:lang w:eastAsia="zh-CN"/>
        </w:rPr>
        <w:t>1. 产品包装</w:t>
      </w:r>
    </w:p>
    <w:p w14:paraId="18AC018C">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宋体" w:asciiTheme="minorEastAsia" w:hAnsiTheme="minorEastAsia"/>
          <w:sz w:val="24"/>
          <w:szCs w:val="24"/>
          <w:lang w:val="en-US" w:eastAsia="zh-CN"/>
        </w:rPr>
      </w:pPr>
      <w:r>
        <w:rPr>
          <w:rFonts w:hint="eastAsia" w:eastAsia="宋体" w:asciiTheme="minorEastAsia" w:hAnsiTheme="minorEastAsia"/>
          <w:sz w:val="24"/>
          <w:szCs w:val="24"/>
          <w:lang w:eastAsia="zh-CN"/>
        </w:rPr>
        <w:t>厂家原包装，包装回收。</w:t>
      </w:r>
      <w:r>
        <w:rPr>
          <w:rFonts w:hint="eastAsia" w:eastAsia="宋体" w:asciiTheme="minorEastAsia" w:hAnsiTheme="minorEastAsia"/>
          <w:sz w:val="24"/>
          <w:szCs w:val="24"/>
          <w:lang w:val="en-US" w:eastAsia="zh-CN"/>
        </w:rPr>
        <w:t>200kg/桶</w:t>
      </w:r>
    </w:p>
    <w:p w14:paraId="5DA4B90E">
      <w:pPr>
        <w:pStyle w:val="19"/>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eastAsia="宋体" w:asciiTheme="minorEastAsia" w:hAnsiTheme="minorEastAsia"/>
          <w:sz w:val="24"/>
          <w:szCs w:val="24"/>
          <w:lang w:eastAsia="zh-CN"/>
        </w:rPr>
      </w:pPr>
      <w:r>
        <w:rPr>
          <w:rFonts w:hint="eastAsia" w:eastAsia="宋体" w:asciiTheme="minorEastAsia" w:hAnsiTheme="minorEastAsia"/>
          <w:sz w:val="24"/>
          <w:szCs w:val="24"/>
          <w:lang w:eastAsia="zh-CN"/>
        </w:rPr>
        <w:t>2. 产品运输</w:t>
      </w:r>
    </w:p>
    <w:p w14:paraId="51B8015E">
      <w:pPr>
        <w:pStyle w:val="1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eastAsia="宋体" w:asciiTheme="minorEastAsia" w:hAnsiTheme="minorEastAsia"/>
          <w:sz w:val="24"/>
          <w:szCs w:val="24"/>
          <w:lang w:eastAsia="zh-CN"/>
        </w:rPr>
      </w:pPr>
      <w:r>
        <w:rPr>
          <w:rFonts w:hint="eastAsia" w:eastAsia="宋体" w:asciiTheme="minorEastAsia" w:hAnsiTheme="minorEastAsia"/>
          <w:sz w:val="24"/>
          <w:szCs w:val="24"/>
          <w:lang w:eastAsia="zh-CN"/>
        </w:rPr>
        <w:t>卖方送货至买方仓库。卖方承担运费。标的物所有权自交货时起转移。</w:t>
      </w:r>
    </w:p>
    <w:p w14:paraId="722DF047">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cstheme="minorEastAsia"/>
          <w:sz w:val="28"/>
          <w:szCs w:val="16"/>
          <w:lang w:val="en-US" w:eastAsia="zh-CN"/>
        </w:rPr>
      </w:pPr>
      <w:r>
        <w:rPr>
          <w:rFonts w:hint="eastAsia" w:asciiTheme="minorEastAsia" w:hAnsiTheme="minorEastAsia" w:cstheme="minorEastAsia"/>
          <w:sz w:val="28"/>
          <w:szCs w:val="16"/>
          <w:lang w:val="en-US" w:eastAsia="zh-CN"/>
        </w:rPr>
        <w:t>六、技术文件</w:t>
      </w:r>
    </w:p>
    <w:p w14:paraId="5AADC834">
      <w:pPr>
        <w:pStyle w:val="1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eastAsia="宋体" w:asciiTheme="minorEastAsia" w:hAnsiTheme="minorEastAsia"/>
          <w:sz w:val="24"/>
          <w:szCs w:val="24"/>
          <w:lang w:eastAsia="zh-CN"/>
        </w:rPr>
      </w:pPr>
      <w:bookmarkStart w:id="4" w:name="_Toc13249328"/>
      <w:bookmarkStart w:id="5" w:name="_Toc13248931"/>
      <w:r>
        <w:rPr>
          <w:rFonts w:hint="eastAsia" w:eastAsia="宋体" w:asciiTheme="minorEastAsia" w:hAnsiTheme="minorEastAsia"/>
          <w:sz w:val="24"/>
          <w:szCs w:val="24"/>
          <w:lang w:eastAsia="zh-CN"/>
        </w:rPr>
        <w:t>具有生产商出具的检验报告/合格证（</w:t>
      </w:r>
      <w:r>
        <w:rPr>
          <w:rFonts w:hint="eastAsia" w:eastAsia="宋体" w:asciiTheme="minorEastAsia" w:hAnsiTheme="minorEastAsia"/>
          <w:sz w:val="24"/>
          <w:szCs w:val="24"/>
          <w:lang w:val="en-US" w:eastAsia="zh-CN"/>
        </w:rPr>
        <w:t>或第三方检测报告</w:t>
      </w:r>
      <w:r>
        <w:rPr>
          <w:rFonts w:hint="eastAsia" w:eastAsia="宋体" w:asciiTheme="minorEastAsia" w:hAnsiTheme="minorEastAsia"/>
          <w:sz w:val="24"/>
          <w:szCs w:val="24"/>
          <w:lang w:eastAsia="zh-CN"/>
        </w:rPr>
        <w:t>），包括质检信息、生产批号/生产日期及质保期等信息。</w:t>
      </w:r>
    </w:p>
    <w:p w14:paraId="6ABBB93B">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cstheme="minorEastAsia"/>
          <w:sz w:val="28"/>
          <w:szCs w:val="16"/>
          <w:lang w:val="en-US" w:eastAsia="zh-CN"/>
        </w:rPr>
      </w:pPr>
      <w:r>
        <w:rPr>
          <w:rFonts w:hint="eastAsia" w:asciiTheme="minorEastAsia" w:hAnsiTheme="minorEastAsia" w:cstheme="minorEastAsia"/>
          <w:sz w:val="28"/>
          <w:szCs w:val="16"/>
          <w:lang w:val="en-US" w:eastAsia="zh-CN"/>
        </w:rPr>
        <w:t>七、</w:t>
      </w:r>
      <w:bookmarkEnd w:id="4"/>
      <w:bookmarkEnd w:id="5"/>
      <w:r>
        <w:rPr>
          <w:rFonts w:hint="eastAsia" w:asciiTheme="minorEastAsia" w:hAnsiTheme="minorEastAsia" w:cstheme="minorEastAsia"/>
          <w:sz w:val="28"/>
          <w:szCs w:val="16"/>
          <w:lang w:val="en-US" w:eastAsia="zh-CN"/>
        </w:rPr>
        <w:t>工作进度、监造和现场验收</w:t>
      </w:r>
    </w:p>
    <w:p w14:paraId="5D85DF36">
      <w:pPr>
        <w:pStyle w:val="1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eastAsia="宋体" w:asciiTheme="minorEastAsia" w:hAnsiTheme="minorEastAsia"/>
          <w:sz w:val="24"/>
          <w:szCs w:val="24"/>
          <w:lang w:eastAsia="zh-CN"/>
        </w:rPr>
      </w:pPr>
      <w:r>
        <w:rPr>
          <w:rFonts w:hint="eastAsia" w:eastAsia="宋体" w:asciiTheme="minorEastAsia" w:hAnsiTheme="minorEastAsia"/>
          <w:sz w:val="24"/>
          <w:szCs w:val="24"/>
          <w:lang w:eastAsia="zh-CN"/>
        </w:rPr>
        <w:t>产品交付时需提供产品说明书，交货地点：中海油常州环保涂料有限公司</w:t>
      </w:r>
      <w:r>
        <w:rPr>
          <w:rFonts w:hint="eastAsia" w:eastAsia="宋体" w:asciiTheme="minorEastAsia" w:hAnsiTheme="minorEastAsia"/>
          <w:sz w:val="24"/>
          <w:szCs w:val="24"/>
          <w:lang w:val="en-US" w:eastAsia="zh-CN"/>
        </w:rPr>
        <w:t>北门</w:t>
      </w:r>
      <w:r>
        <w:rPr>
          <w:rFonts w:hint="eastAsia" w:eastAsia="宋体" w:asciiTheme="minorEastAsia" w:hAnsiTheme="minorEastAsia"/>
          <w:sz w:val="24"/>
          <w:szCs w:val="24"/>
          <w:lang w:eastAsia="zh-CN"/>
        </w:rPr>
        <w:t>；按照中海油常州常州环保涂料有限公司有关规定进行验收。</w:t>
      </w:r>
    </w:p>
    <w:p w14:paraId="662E40D3">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cstheme="minorEastAsia"/>
          <w:sz w:val="28"/>
          <w:szCs w:val="16"/>
          <w:lang w:val="en-US" w:eastAsia="zh-CN"/>
        </w:rPr>
      </w:pPr>
      <w:r>
        <w:rPr>
          <w:rFonts w:hint="eastAsia" w:asciiTheme="minorEastAsia" w:hAnsiTheme="minorEastAsia" w:cstheme="minorEastAsia"/>
          <w:sz w:val="28"/>
          <w:szCs w:val="16"/>
          <w:lang w:val="en-US" w:eastAsia="zh-CN"/>
        </w:rPr>
        <w:t>八、技术服务与售后服务</w:t>
      </w:r>
    </w:p>
    <w:p w14:paraId="5D698224">
      <w:pPr>
        <w:pStyle w:val="1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eastAsia="宋体" w:asciiTheme="minorEastAsia" w:hAnsiTheme="minorEastAsia"/>
          <w:sz w:val="24"/>
          <w:szCs w:val="24"/>
          <w:lang w:eastAsia="zh-CN"/>
        </w:rPr>
      </w:pPr>
      <w:r>
        <w:rPr>
          <w:rFonts w:hint="eastAsia" w:eastAsia="宋体" w:asciiTheme="minorEastAsia" w:hAnsiTheme="minorEastAsia"/>
          <w:sz w:val="24"/>
          <w:szCs w:val="24"/>
          <w:lang w:eastAsia="zh-CN"/>
        </w:rPr>
        <w:t>技术联络与响应：卖方在接到买方通知24小时内给予答复，48小时到达现场。</w:t>
      </w:r>
    </w:p>
    <w:p w14:paraId="0856DCE3">
      <w:pPr>
        <w:pStyle w:val="2"/>
        <w:rPr>
          <w:rFonts w:hint="eastAsia"/>
          <w:lang w:val="en-US" w:eastAsia="zh-CN"/>
        </w:rPr>
      </w:pPr>
    </w:p>
    <w:p w14:paraId="4CD77E9D">
      <w:pPr>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14:paraId="63999E9B">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14:paraId="3A514CDC">
      <w:pPr>
        <w:autoSpaceDE w:val="0"/>
        <w:autoSpaceDN w:val="0"/>
        <w:adjustRightInd w:val="0"/>
        <w:spacing w:before="72" w:beforeLines="30" w:after="72" w:afterLines="30"/>
        <w:jc w:val="center"/>
        <w:textAlignment w:val="baseline"/>
        <w:rPr>
          <w:rFonts w:asciiTheme="minorEastAsia" w:hAnsiTheme="minorEastAsia"/>
          <w:b/>
          <w:bCs/>
          <w:sz w:val="48"/>
          <w:szCs w:val="48"/>
          <w:highlight w:val="none"/>
        </w:rPr>
      </w:pPr>
      <w:r>
        <w:rPr>
          <w:rFonts w:asciiTheme="minorEastAsia" w:hAnsiTheme="minorEastAsia"/>
          <w:b/>
          <w:bCs/>
          <w:sz w:val="48"/>
          <w:szCs w:val="48"/>
          <w:highlight w:val="none"/>
        </w:rPr>
        <w:drawing>
          <wp:anchor distT="0" distB="0" distL="114300" distR="114300" simplePos="0" relativeHeight="251659264" behindDoc="0" locked="1" layoutInCell="1" allowOverlap="1">
            <wp:simplePos x="0" y="0"/>
            <wp:positionH relativeFrom="character">
              <wp:posOffset>-2731135</wp:posOffset>
            </wp:positionH>
            <wp:positionV relativeFrom="line">
              <wp:posOffset>368935</wp:posOffset>
            </wp:positionV>
            <wp:extent cx="1152525" cy="1047750"/>
            <wp:effectExtent l="0" t="0" r="0"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noChangeArrowheads="1"/>
                    </pic:cNvPicPr>
                  </pic:nvPicPr>
                  <pic:blipFill>
                    <a:blip r:embed="rId6" cstate="print"/>
                    <a:srcRect/>
                    <a:stretch>
                      <a:fillRect/>
                    </a:stretch>
                  </pic:blipFill>
                  <pic:spPr>
                    <a:xfrm>
                      <a:off x="0" y="0"/>
                      <a:ext cx="1152525" cy="1047750"/>
                    </a:xfrm>
                    <a:prstGeom prst="rect">
                      <a:avLst/>
                    </a:prstGeom>
                    <a:noFill/>
                    <a:ln w="9525">
                      <a:noFill/>
                      <a:miter lim="800000"/>
                      <a:headEnd/>
                      <a:tailEnd/>
                    </a:ln>
                  </pic:spPr>
                </pic:pic>
              </a:graphicData>
            </a:graphic>
          </wp:anchor>
        </w:drawing>
      </w:r>
    </w:p>
    <w:p w14:paraId="67DB8C71">
      <w:pPr>
        <w:autoSpaceDE w:val="0"/>
        <w:autoSpaceDN w:val="0"/>
        <w:adjustRightInd w:val="0"/>
        <w:spacing w:before="72" w:beforeLines="30" w:after="72" w:afterLines="30"/>
        <w:jc w:val="center"/>
        <w:textAlignment w:val="baseline"/>
        <w:rPr>
          <w:rFonts w:ascii="宋体" w:hAnsi="宋体"/>
          <w:b/>
          <w:bCs/>
          <w:sz w:val="52"/>
          <w:szCs w:val="52"/>
          <w:highlight w:val="none"/>
        </w:rPr>
      </w:pPr>
    </w:p>
    <w:p w14:paraId="473BDC5C">
      <w:pPr>
        <w:pStyle w:val="3"/>
      </w:pPr>
    </w:p>
    <w:p w14:paraId="6A3A1E94">
      <w:pPr>
        <w:pStyle w:val="26"/>
        <w:autoSpaceDE w:val="0"/>
        <w:autoSpaceDN w:val="0"/>
        <w:adjustRightInd w:val="0"/>
        <w:spacing w:line="360" w:lineRule="auto"/>
        <w:ind w:right="10"/>
        <w:jc w:val="center"/>
        <w:textAlignment w:val="baseline"/>
        <w:rPr>
          <w:rFonts w:cs="宋体"/>
          <w:b/>
          <w:bCs/>
          <w:color w:val="000000"/>
          <w:sz w:val="52"/>
          <w:szCs w:val="52"/>
          <w:highlight w:val="none"/>
        </w:rPr>
      </w:pPr>
    </w:p>
    <w:p w14:paraId="7924B7E3">
      <w:pPr>
        <w:pStyle w:val="26"/>
        <w:ind w:right="10"/>
        <w:jc w:val="center"/>
        <w:rPr>
          <w:b/>
          <w:bCs/>
          <w:highlight w:val="none"/>
        </w:rPr>
      </w:pPr>
      <w:r>
        <w:rPr>
          <w:rFonts w:hint="eastAsia" w:cs="宋体"/>
          <w:b/>
          <w:bCs/>
          <w:color w:val="000000"/>
          <w:kern w:val="2"/>
          <w:sz w:val="48"/>
          <w:szCs w:val="48"/>
          <w:highlight w:val="none"/>
          <w:lang w:val="en-US" w:eastAsia="zh-CN" w:bidi="ar-SA"/>
        </w:rPr>
        <w:t>常州院缩水甘油醚采购专有协议</w:t>
      </w:r>
    </w:p>
    <w:p w14:paraId="478F9AD2">
      <w:pPr>
        <w:pStyle w:val="26"/>
        <w:ind w:right="10"/>
        <w:jc w:val="center"/>
        <w:rPr>
          <w:b/>
          <w:bCs/>
          <w:highlight w:val="none"/>
        </w:rPr>
      </w:pPr>
    </w:p>
    <w:p w14:paraId="14C55A9A">
      <w:pPr>
        <w:pStyle w:val="26"/>
        <w:ind w:right="10"/>
        <w:jc w:val="center"/>
        <w:rPr>
          <w:b/>
          <w:bCs/>
          <w:sz w:val="28"/>
          <w:szCs w:val="28"/>
          <w:highlight w:val="none"/>
        </w:rPr>
      </w:pPr>
    </w:p>
    <w:p w14:paraId="1CA861B7">
      <w:pPr>
        <w:pStyle w:val="26"/>
        <w:ind w:right="10"/>
        <w:jc w:val="center"/>
        <w:rPr>
          <w:b/>
          <w:bCs/>
          <w:sz w:val="30"/>
          <w:szCs w:val="30"/>
          <w:highlight w:val="none"/>
          <w:u w:val="single"/>
        </w:rPr>
      </w:pPr>
      <w:r>
        <w:rPr>
          <w:rFonts w:hint="eastAsia" w:hAnsi="宋体" w:cs="宋体"/>
          <w:b/>
          <w:bCs/>
          <w:color w:val="000000"/>
          <w:sz w:val="30"/>
          <w:szCs w:val="30"/>
          <w:highlight w:val="none"/>
        </w:rPr>
        <w:t>（合同编号：）</w:t>
      </w:r>
    </w:p>
    <w:p w14:paraId="0A9D9028">
      <w:pPr>
        <w:pStyle w:val="26"/>
        <w:ind w:right="10" w:firstLine="3947" w:firstLineChars="756"/>
        <w:rPr>
          <w:b/>
          <w:bCs/>
          <w:sz w:val="52"/>
          <w:szCs w:val="52"/>
          <w:highlight w:val="none"/>
        </w:rPr>
      </w:pPr>
    </w:p>
    <w:p w14:paraId="45638547">
      <w:pPr>
        <w:pStyle w:val="26"/>
        <w:ind w:right="10"/>
        <w:rPr>
          <w:b/>
          <w:bCs/>
          <w:sz w:val="36"/>
          <w:szCs w:val="36"/>
          <w:highlight w:val="none"/>
        </w:rPr>
      </w:pPr>
    </w:p>
    <w:p w14:paraId="4487F53E">
      <w:pPr>
        <w:pStyle w:val="26"/>
        <w:spacing w:line="360" w:lineRule="auto"/>
        <w:ind w:right="10" w:firstLine="1433" w:firstLineChars="512"/>
        <w:rPr>
          <w:bCs/>
          <w:sz w:val="28"/>
          <w:szCs w:val="28"/>
          <w:highlight w:val="none"/>
        </w:rPr>
      </w:pPr>
      <w:r>
        <w:rPr>
          <w:rFonts w:hint="eastAsia"/>
          <w:bCs/>
          <w:sz w:val="28"/>
          <w:szCs w:val="28"/>
          <w:highlight w:val="none"/>
        </w:rPr>
        <w:t>买方：中海油能源发展股份有限公司</w:t>
      </w:r>
    </w:p>
    <w:p w14:paraId="286AB914">
      <w:pPr>
        <w:pStyle w:val="26"/>
        <w:spacing w:line="360" w:lineRule="auto"/>
        <w:ind w:right="10" w:firstLine="1433" w:firstLineChars="512"/>
        <w:rPr>
          <w:rFonts w:hint="eastAsia"/>
          <w:bCs/>
          <w:sz w:val="28"/>
          <w:szCs w:val="28"/>
          <w:highlight w:val="none"/>
          <w:lang w:eastAsia="zh-CN"/>
        </w:rPr>
      </w:pPr>
      <w:r>
        <w:rPr>
          <w:rFonts w:hint="eastAsia"/>
          <w:bCs/>
          <w:sz w:val="28"/>
          <w:szCs w:val="28"/>
          <w:highlight w:val="none"/>
        </w:rPr>
        <w:t>买方执行方：</w:t>
      </w:r>
    </w:p>
    <w:p w14:paraId="38560C9F">
      <w:pPr>
        <w:pStyle w:val="26"/>
        <w:spacing w:line="360" w:lineRule="auto"/>
        <w:ind w:right="10" w:firstLine="1433" w:firstLineChars="512"/>
        <w:rPr>
          <w:rFonts w:hAnsi="宋体" w:cs="宋体"/>
          <w:bCs/>
          <w:color w:val="000000"/>
          <w:sz w:val="28"/>
          <w:szCs w:val="28"/>
          <w:highlight w:val="none"/>
        </w:rPr>
      </w:pPr>
    </w:p>
    <w:p w14:paraId="54E89BA8">
      <w:pPr>
        <w:pStyle w:val="26"/>
        <w:spacing w:line="360" w:lineRule="auto"/>
        <w:ind w:right="10" w:firstLine="1433" w:firstLineChars="512"/>
        <w:rPr>
          <w:bCs/>
          <w:sz w:val="28"/>
          <w:szCs w:val="28"/>
          <w:highlight w:val="none"/>
        </w:rPr>
      </w:pPr>
      <w:r>
        <w:rPr>
          <w:rFonts w:hint="eastAsia" w:hAnsi="宋体" w:cs="宋体"/>
          <w:bCs/>
          <w:color w:val="000000"/>
          <w:sz w:val="28"/>
          <w:szCs w:val="28"/>
          <w:highlight w:val="none"/>
        </w:rPr>
        <w:t>卖方：</w:t>
      </w:r>
    </w:p>
    <w:p w14:paraId="4F4A5F8D">
      <w:pPr>
        <w:pStyle w:val="26"/>
        <w:ind w:right="10"/>
        <w:rPr>
          <w:b/>
          <w:bCs/>
          <w:highlight w:val="none"/>
        </w:rPr>
      </w:pPr>
    </w:p>
    <w:p w14:paraId="3C9C8368">
      <w:pPr>
        <w:pStyle w:val="26"/>
        <w:spacing w:line="360" w:lineRule="auto"/>
        <w:ind w:right="10" w:firstLine="1433" w:firstLineChars="512"/>
        <w:rPr>
          <w:rFonts w:hAnsi="宋体" w:cs="宋体"/>
          <w:bCs/>
          <w:color w:val="000000"/>
          <w:sz w:val="28"/>
          <w:szCs w:val="28"/>
          <w:highlight w:val="none"/>
        </w:rPr>
      </w:pPr>
      <w:r>
        <w:rPr>
          <w:rFonts w:hint="eastAsia" w:hAnsi="宋体" w:cs="宋体"/>
          <w:bCs/>
          <w:color w:val="000000"/>
          <w:sz w:val="28"/>
          <w:szCs w:val="28"/>
          <w:highlight w:val="none"/>
        </w:rPr>
        <w:t>签订地点：</w:t>
      </w:r>
    </w:p>
    <w:p w14:paraId="2FADBB4B">
      <w:pPr>
        <w:pStyle w:val="26"/>
        <w:spacing w:line="360" w:lineRule="auto"/>
        <w:ind w:right="10"/>
        <w:jc w:val="center"/>
        <w:rPr>
          <w:rFonts w:hAnsi="宋体" w:cs="宋体"/>
          <w:sz w:val="36"/>
          <w:szCs w:val="36"/>
          <w:highlight w:val="none"/>
        </w:rPr>
      </w:pPr>
      <w:r>
        <w:rPr>
          <w:highlight w:val="none"/>
        </w:rPr>
        <w:br w:type="page"/>
      </w:r>
      <w:bookmarkStart w:id="6" w:name="_Toc306354331"/>
      <w:bookmarkStart w:id="7" w:name="_Toc297106662"/>
      <w:bookmarkStart w:id="8" w:name="_Toc300671182"/>
      <w:bookmarkStart w:id="9" w:name="_Toc297055760"/>
      <w:bookmarkStart w:id="10" w:name="_Toc256000002"/>
      <w:r>
        <w:rPr>
          <w:rFonts w:hint="eastAsia" w:hAnsi="宋体" w:cs="宋体"/>
          <w:color w:val="000000"/>
          <w:sz w:val="36"/>
          <w:szCs w:val="36"/>
          <w:highlight w:val="none"/>
        </w:rPr>
        <w:t>第一部分合同书</w:t>
      </w:r>
      <w:bookmarkEnd w:id="6"/>
      <w:bookmarkEnd w:id="7"/>
      <w:bookmarkEnd w:id="8"/>
      <w:bookmarkEnd w:id="9"/>
      <w:bookmarkEnd w:id="10"/>
    </w:p>
    <w:p w14:paraId="01CC73AF">
      <w:pPr>
        <w:pStyle w:val="26"/>
        <w:tabs>
          <w:tab w:val="left" w:pos="3060"/>
        </w:tabs>
        <w:adjustRightInd w:val="0"/>
        <w:snapToGrid w:val="0"/>
        <w:spacing w:line="360" w:lineRule="auto"/>
        <w:ind w:right="10"/>
        <w:rPr>
          <w:b/>
          <w:color w:val="000000"/>
          <w:highlight w:val="none"/>
        </w:rPr>
      </w:pPr>
    </w:p>
    <w:p w14:paraId="700C9B00">
      <w:pPr>
        <w:pStyle w:val="26"/>
        <w:tabs>
          <w:tab w:val="left" w:pos="3060"/>
        </w:tabs>
        <w:adjustRightInd w:val="0"/>
        <w:snapToGrid w:val="0"/>
        <w:spacing w:line="360" w:lineRule="auto"/>
        <w:ind w:right="10"/>
        <w:rPr>
          <w:b/>
          <w:color w:val="000000"/>
          <w:highlight w:val="none"/>
        </w:rPr>
      </w:pPr>
      <w:r>
        <w:rPr>
          <w:b/>
          <w:color w:val="000000"/>
          <w:highlight w:val="none"/>
        </w:rPr>
        <w:t>买方：</w:t>
      </w:r>
      <w:r>
        <w:rPr>
          <w:rFonts w:hint="eastAsia"/>
          <w:b/>
          <w:color w:val="000000"/>
          <w:highlight w:val="none"/>
        </w:rPr>
        <w:t>中海油能源发展股份有限公司</w:t>
      </w:r>
    </w:p>
    <w:p w14:paraId="18B17D8F">
      <w:pPr>
        <w:pStyle w:val="26"/>
        <w:tabs>
          <w:tab w:val="left" w:pos="3060"/>
        </w:tabs>
        <w:adjustRightInd w:val="0"/>
        <w:snapToGrid w:val="0"/>
        <w:spacing w:line="360" w:lineRule="auto"/>
        <w:ind w:right="10"/>
        <w:rPr>
          <w:color w:val="000000"/>
          <w:highlight w:val="none"/>
        </w:rPr>
      </w:pPr>
      <w:r>
        <w:rPr>
          <w:rFonts w:hint="eastAsia"/>
          <w:color w:val="000000"/>
          <w:highlight w:val="none"/>
        </w:rPr>
        <w:t>注册地址：</w:t>
      </w:r>
      <w:r>
        <w:rPr>
          <w:color w:val="000000"/>
          <w:highlight w:val="none"/>
        </w:rPr>
        <w:t>北京市东城区东直门外小街6号</w:t>
      </w:r>
    </w:p>
    <w:p w14:paraId="3B288C41">
      <w:pPr>
        <w:pStyle w:val="26"/>
        <w:tabs>
          <w:tab w:val="left" w:pos="3060"/>
        </w:tabs>
        <w:adjustRightInd w:val="0"/>
        <w:snapToGrid w:val="0"/>
        <w:spacing w:line="360" w:lineRule="auto"/>
        <w:ind w:right="10"/>
        <w:rPr>
          <w:color w:val="000000"/>
          <w:highlight w:val="none"/>
        </w:rPr>
      </w:pPr>
      <w:r>
        <w:rPr>
          <w:rFonts w:hint="eastAsia"/>
          <w:color w:val="000000"/>
          <w:highlight w:val="none"/>
        </w:rPr>
        <w:t>统一社会信用代码：</w:t>
      </w:r>
      <w:r>
        <w:rPr>
          <w:color w:val="000000"/>
          <w:highlight w:val="none"/>
        </w:rPr>
        <w:t>91110101771554423Q</w:t>
      </w:r>
    </w:p>
    <w:p w14:paraId="34606A76">
      <w:pPr>
        <w:pStyle w:val="26"/>
        <w:tabs>
          <w:tab w:val="left" w:pos="3060"/>
        </w:tabs>
        <w:adjustRightInd w:val="0"/>
        <w:snapToGrid w:val="0"/>
        <w:spacing w:line="360" w:lineRule="auto"/>
        <w:ind w:right="10"/>
        <w:rPr>
          <w:rFonts w:hint="eastAsia" w:eastAsia="宋体"/>
          <w:color w:val="000000"/>
          <w:highlight w:val="none"/>
          <w:lang w:eastAsia="zh-CN"/>
        </w:rPr>
      </w:pPr>
      <w:r>
        <w:rPr>
          <w:rFonts w:hint="eastAsia"/>
          <w:color w:val="000000"/>
          <w:highlight w:val="none"/>
        </w:rPr>
        <w:t>买方执行方：</w:t>
      </w:r>
    </w:p>
    <w:p w14:paraId="1E3669E2">
      <w:pPr>
        <w:pStyle w:val="26"/>
        <w:tabs>
          <w:tab w:val="left" w:pos="3060"/>
        </w:tabs>
        <w:adjustRightInd w:val="0"/>
        <w:snapToGrid w:val="0"/>
        <w:spacing w:line="360" w:lineRule="auto"/>
        <w:ind w:right="10"/>
        <w:rPr>
          <w:b/>
          <w:color w:val="000000"/>
          <w:highlight w:val="none"/>
        </w:rPr>
      </w:pPr>
    </w:p>
    <w:p w14:paraId="25E4E3F4">
      <w:pPr>
        <w:pStyle w:val="26"/>
        <w:tabs>
          <w:tab w:val="left" w:pos="3060"/>
        </w:tabs>
        <w:adjustRightInd w:val="0"/>
        <w:snapToGrid w:val="0"/>
        <w:spacing w:line="360" w:lineRule="auto"/>
        <w:ind w:right="10"/>
        <w:rPr>
          <w:b/>
          <w:highlight w:val="none"/>
        </w:rPr>
      </w:pPr>
      <w:r>
        <w:rPr>
          <w:rFonts w:hint="eastAsia"/>
          <w:b/>
          <w:color w:val="000000"/>
          <w:highlight w:val="none"/>
        </w:rPr>
        <w:t>卖</w:t>
      </w:r>
      <w:r>
        <w:rPr>
          <w:b/>
          <w:color w:val="000000"/>
          <w:highlight w:val="none"/>
        </w:rPr>
        <w:t>方：</w:t>
      </w:r>
    </w:p>
    <w:p w14:paraId="2F972190">
      <w:pPr>
        <w:pStyle w:val="26"/>
        <w:tabs>
          <w:tab w:val="left" w:pos="3060"/>
        </w:tabs>
        <w:adjustRightInd w:val="0"/>
        <w:snapToGrid w:val="0"/>
        <w:spacing w:line="360" w:lineRule="auto"/>
        <w:ind w:right="10"/>
        <w:rPr>
          <w:highlight w:val="none"/>
        </w:rPr>
      </w:pPr>
      <w:r>
        <w:rPr>
          <w:rFonts w:hint="eastAsia"/>
          <w:color w:val="000000"/>
          <w:highlight w:val="none"/>
        </w:rPr>
        <w:t>注册地址/住址：</w:t>
      </w:r>
    </w:p>
    <w:p w14:paraId="18B83FCC">
      <w:pPr>
        <w:pStyle w:val="26"/>
        <w:spacing w:line="360" w:lineRule="auto"/>
        <w:ind w:right="10"/>
        <w:rPr>
          <w:highlight w:val="none"/>
        </w:rPr>
      </w:pPr>
    </w:p>
    <w:p w14:paraId="17EE9271">
      <w:pPr>
        <w:pStyle w:val="26"/>
        <w:snapToGrid w:val="0"/>
        <w:spacing w:line="360" w:lineRule="auto"/>
        <w:ind w:right="10" w:firstLine="660"/>
        <w:rPr>
          <w:highlight w:val="none"/>
        </w:rPr>
      </w:pPr>
      <w:r>
        <w:rPr>
          <w:rFonts w:hint="eastAsia" w:cs="宋体"/>
          <w:color w:val="000000"/>
          <w:highlight w:val="none"/>
        </w:rPr>
        <w:t>鉴于，买方是一家根据中华人民共和国法律合法设立并存续的企业，按照本合同约定的条件和采购订单,购买用于买方及其买方下属分公司、子公司（以下简称“</w:t>
      </w:r>
      <w:r>
        <w:rPr>
          <w:rFonts w:cs="宋体"/>
          <w:color w:val="000000"/>
          <w:highlight w:val="none"/>
        </w:rPr>
        <w:t>买方”</w:t>
      </w:r>
      <w:r>
        <w:rPr>
          <w:rFonts w:hint="eastAsia" w:cs="宋体"/>
          <w:color w:val="000000"/>
          <w:highlight w:val="none"/>
        </w:rPr>
        <w:t>），符合本合同要求的</w:t>
      </w:r>
      <w:r>
        <w:rPr>
          <w:rFonts w:hint="eastAsia" w:cs="宋体"/>
          <w:color w:val="000000"/>
          <w:highlight w:val="none"/>
          <w:lang w:val="en-US" w:eastAsia="zh-CN"/>
        </w:rPr>
        <w:t>XX</w:t>
      </w:r>
      <w:r>
        <w:rPr>
          <w:rFonts w:hint="eastAsia" w:cs="宋体"/>
          <w:color w:val="000000"/>
          <w:highlight w:val="none"/>
        </w:rPr>
        <w:t>（以下简称“货物”）；</w:t>
      </w:r>
    </w:p>
    <w:p w14:paraId="3F94BEC6">
      <w:pPr>
        <w:pStyle w:val="26"/>
        <w:tabs>
          <w:tab w:val="left" w:pos="3060"/>
        </w:tabs>
        <w:spacing w:line="360" w:lineRule="auto"/>
        <w:ind w:right="10" w:firstLine="420" w:firstLineChars="200"/>
        <w:rPr>
          <w:rFonts w:cs="宋体"/>
          <w:color w:val="000000"/>
          <w:highlight w:val="none"/>
        </w:rPr>
      </w:pPr>
      <w:r>
        <w:rPr>
          <w:rFonts w:hint="eastAsia" w:cs="宋体"/>
          <w:color w:val="000000"/>
          <w:highlight w:val="none"/>
        </w:rPr>
        <w:t>鉴于，卖方是一家根据中华人民共和国法律合法设立并存续的企业，具备提供符合本合同要求的货物的全部资质、资格和条件；</w:t>
      </w:r>
    </w:p>
    <w:p w14:paraId="46EEE799">
      <w:pPr>
        <w:pStyle w:val="26"/>
        <w:tabs>
          <w:tab w:val="left" w:pos="3060"/>
        </w:tabs>
        <w:spacing w:line="360" w:lineRule="auto"/>
        <w:ind w:right="10" w:firstLine="420" w:firstLineChars="200"/>
        <w:rPr>
          <w:rFonts w:cs="宋体"/>
          <w:color w:val="000000"/>
          <w:highlight w:val="none"/>
        </w:rPr>
      </w:pPr>
      <w:r>
        <w:rPr>
          <w:rFonts w:hint="eastAsia" w:cs="宋体"/>
          <w:color w:val="000000"/>
          <w:highlight w:val="none"/>
        </w:rPr>
        <w:t>鉴于，卖方在货物的制造、安装、质量保证、技术服务等方面具有较强的专业能力和良好信誉，愿意根据本合同的规定向买方提供货物；</w:t>
      </w:r>
    </w:p>
    <w:p w14:paraId="30F14D8B">
      <w:pPr>
        <w:pStyle w:val="26"/>
        <w:tabs>
          <w:tab w:val="left" w:pos="3060"/>
        </w:tabs>
        <w:spacing w:line="360" w:lineRule="auto"/>
        <w:ind w:right="10" w:firstLine="420" w:firstLineChars="200"/>
        <w:rPr>
          <w:rFonts w:cs="宋体"/>
          <w:color w:val="000000"/>
          <w:highlight w:val="none"/>
        </w:rPr>
      </w:pPr>
      <w:r>
        <w:rPr>
          <w:rFonts w:hint="eastAsia" w:cs="宋体"/>
          <w:color w:val="000000"/>
          <w:highlight w:val="none"/>
        </w:rPr>
        <w:t>鉴于1.买方在生产上对本合同标的物有需求；2.买卖双方自愿按照本合同约束的各项条款，实施服务与被服务的商业贸易；3.本合同权利义务同样适用于买方及买方下属分公司、子公司。买方及买方子公司均为本合同的独立买方，均独立享有本合同的所有权利和义务，但互相之间不负有连带责任。卖方应分别向买方及买方子公司独立供货并履行相关义务和责任。</w:t>
      </w:r>
    </w:p>
    <w:p w14:paraId="503ECAEE">
      <w:pPr>
        <w:pStyle w:val="26"/>
        <w:tabs>
          <w:tab w:val="left" w:pos="3060"/>
        </w:tabs>
        <w:spacing w:line="360" w:lineRule="auto"/>
        <w:ind w:right="10" w:firstLine="420" w:firstLineChars="200"/>
        <w:rPr>
          <w:highlight w:val="none"/>
        </w:rPr>
      </w:pPr>
      <w:r>
        <w:rPr>
          <w:rFonts w:hint="eastAsia" w:cs="宋体"/>
          <w:color w:val="000000"/>
          <w:highlight w:val="none"/>
        </w:rPr>
        <w:t>根据《中华人民共和国</w:t>
      </w:r>
      <w:r>
        <w:rPr>
          <w:rFonts w:hint="eastAsia" w:cs="宋体"/>
          <w:color w:val="000000"/>
          <w:highlight w:val="none"/>
          <w:lang w:val="en-US" w:eastAsia="zh-CN"/>
        </w:rPr>
        <w:t>民法典</w:t>
      </w:r>
      <w:r>
        <w:rPr>
          <w:rFonts w:hint="eastAsia" w:cs="宋体"/>
          <w:color w:val="000000"/>
          <w:highlight w:val="none"/>
        </w:rPr>
        <w:t>》及相关法律法规，在遵循平等、自愿、公平和诚实信用原则的基础上，经协商一致，双方订立本合同如下：</w:t>
      </w:r>
    </w:p>
    <w:p w14:paraId="52624CCC">
      <w:pPr>
        <w:pStyle w:val="27"/>
        <w:numPr>
          <w:ilvl w:val="1"/>
          <w:numId w:val="2"/>
        </w:numPr>
        <w:spacing w:before="360" w:after="360" w:line="240" w:lineRule="auto"/>
        <w:ind w:left="3685" w:right="11" w:rightChars="0" w:hanging="958"/>
        <w:jc w:val="both"/>
        <w:outlineLvl w:val="9"/>
        <w:rPr>
          <w:rFonts w:ascii="宋体"/>
          <w:iCs/>
          <w:sz w:val="24"/>
          <w:szCs w:val="24"/>
          <w:highlight w:val="none"/>
        </w:rPr>
      </w:pPr>
      <w:bookmarkStart w:id="11" w:name="_Toc274403529"/>
      <w:bookmarkStart w:id="12" w:name="_Toc274754019"/>
      <w:bookmarkStart w:id="13" w:name="_Toc274343600"/>
      <w:bookmarkStart w:id="14" w:name="_Toc287657099"/>
      <w:bookmarkStart w:id="15" w:name="_Toc306354332"/>
      <w:bookmarkStart w:id="16" w:name="_Toc300671183"/>
      <w:bookmarkStart w:id="17" w:name="_Toc276251151"/>
      <w:bookmarkStart w:id="18" w:name="_Toc274075953"/>
      <w:bookmarkStart w:id="19" w:name="_Toc276157510"/>
      <w:bookmarkStart w:id="20" w:name="_Toc275597818"/>
      <w:bookmarkStart w:id="21" w:name="_Toc274669313"/>
      <w:bookmarkStart w:id="22" w:name="_Toc288567127"/>
      <w:bookmarkStart w:id="23" w:name="_Toc274076141"/>
      <w:bookmarkStart w:id="24" w:name="_Toc287364267"/>
      <w:bookmarkStart w:id="25" w:name="_Toc274075952"/>
      <w:r>
        <w:rPr>
          <w:rFonts w:hint="eastAsia" w:ascii="宋体" w:hAnsi="宋体" w:cs="宋体"/>
          <w:iCs/>
          <w:color w:val="000000"/>
          <w:sz w:val="24"/>
          <w:szCs w:val="24"/>
          <w:highlight w:val="none"/>
        </w:rPr>
        <w:t>合同标的</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1EFC758">
      <w:pPr>
        <w:pStyle w:val="26"/>
        <w:numPr>
          <w:ilvl w:val="1"/>
          <w:numId w:val="3"/>
        </w:numPr>
        <w:tabs>
          <w:tab w:val="left" w:pos="720"/>
        </w:tabs>
        <w:spacing w:line="360" w:lineRule="auto"/>
        <w:ind w:left="720" w:right="11" w:hanging="720"/>
        <w:rPr>
          <w:highlight w:val="none"/>
        </w:rPr>
      </w:pPr>
      <w:r>
        <w:rPr>
          <w:rFonts w:hint="eastAsia" w:cs="宋体"/>
          <w:color w:val="000000"/>
          <w:highlight w:val="none"/>
        </w:rPr>
        <w:t>卖方应根据本合同向买方销售货物，且就货物提供合同约定的培训、售后等相关服务。</w:t>
      </w:r>
    </w:p>
    <w:p w14:paraId="2D98DB56">
      <w:pPr>
        <w:pStyle w:val="26"/>
        <w:numPr>
          <w:ilvl w:val="1"/>
          <w:numId w:val="3"/>
        </w:numPr>
        <w:tabs>
          <w:tab w:val="left" w:pos="709"/>
        </w:tabs>
        <w:spacing w:line="360" w:lineRule="auto"/>
        <w:ind w:left="720" w:right="11" w:hanging="720"/>
        <w:rPr>
          <w:highlight w:val="none"/>
        </w:rPr>
      </w:pPr>
      <w:r>
        <w:rPr>
          <w:rFonts w:hint="eastAsia" w:cs="宋体"/>
          <w:color w:val="000000"/>
          <w:highlight w:val="none"/>
        </w:rPr>
        <w:t>货物的型号、规格、数量、技术规范、指标、性能和要求等详见本合同附件一。</w:t>
      </w:r>
    </w:p>
    <w:p w14:paraId="33729AE1">
      <w:pPr>
        <w:pStyle w:val="26"/>
        <w:numPr>
          <w:ilvl w:val="1"/>
          <w:numId w:val="3"/>
        </w:numPr>
        <w:tabs>
          <w:tab w:val="left" w:pos="709"/>
        </w:tabs>
        <w:spacing w:line="360" w:lineRule="auto"/>
        <w:ind w:left="720" w:right="11" w:hanging="720"/>
        <w:rPr>
          <w:highlight w:val="none"/>
        </w:rPr>
      </w:pPr>
      <w:r>
        <w:rPr>
          <w:rFonts w:hint="eastAsia"/>
          <w:color w:val="000000"/>
          <w:highlight w:val="none"/>
        </w:rPr>
        <w:t>货物的供货范围和交货时间将根据双方另行签订的</w:t>
      </w:r>
      <w:r>
        <w:rPr>
          <w:rFonts w:hint="eastAsia" w:cs="宋体"/>
          <w:color w:val="000000"/>
          <w:highlight w:val="none"/>
        </w:rPr>
        <w:t>采购订单确定。</w:t>
      </w:r>
    </w:p>
    <w:p w14:paraId="6855CB1C">
      <w:pPr>
        <w:pStyle w:val="26"/>
        <w:numPr>
          <w:ilvl w:val="1"/>
          <w:numId w:val="3"/>
        </w:numPr>
        <w:tabs>
          <w:tab w:val="left" w:pos="709"/>
        </w:tabs>
        <w:spacing w:line="360" w:lineRule="auto"/>
        <w:ind w:left="720" w:right="11" w:hanging="720"/>
        <w:rPr>
          <w:color w:val="000000"/>
          <w:highlight w:val="none"/>
        </w:rPr>
      </w:pPr>
      <w:r>
        <w:rPr>
          <w:rFonts w:hint="eastAsia" w:cs="宋体"/>
          <w:color w:val="000000"/>
          <w:highlight w:val="none"/>
        </w:rPr>
        <w:t>技术要求详见本合同附件二。</w:t>
      </w:r>
    </w:p>
    <w:p w14:paraId="55FDD239">
      <w:pPr>
        <w:pStyle w:val="27"/>
        <w:numPr>
          <w:ilvl w:val="1"/>
          <w:numId w:val="2"/>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26" w:name="_Toc288479378"/>
      <w:bookmarkStart w:id="27" w:name="_Toc296959304"/>
      <w:bookmarkStart w:id="28" w:name="_Toc296955842"/>
      <w:bookmarkStart w:id="29" w:name="_Toc306354333"/>
      <w:bookmarkStart w:id="30" w:name="_Toc300671184"/>
      <w:bookmarkStart w:id="31" w:name="_Toc274668316"/>
      <w:bookmarkStart w:id="32" w:name="_Toc273451896"/>
      <w:bookmarkStart w:id="33" w:name="_Toc278889775"/>
      <w:bookmarkStart w:id="34" w:name="_Toc274754020"/>
      <w:bookmarkStart w:id="35" w:name="_Toc274403530"/>
      <w:bookmarkStart w:id="36" w:name="_Toc291435828"/>
      <w:bookmarkStart w:id="37" w:name="_Toc274075954"/>
      <w:bookmarkStart w:id="38" w:name="_Toc274343601"/>
      <w:bookmarkStart w:id="39" w:name="_Toc291435895"/>
      <w:bookmarkStart w:id="40" w:name="_Toc273451829"/>
      <w:bookmarkStart w:id="41" w:name="_Toc274076142"/>
      <w:bookmarkStart w:id="42" w:name="_Toc274669314"/>
      <w:bookmarkStart w:id="43" w:name="_Toc274474905"/>
      <w:r>
        <w:rPr>
          <w:rFonts w:hint="eastAsia" w:ascii="宋体" w:hAnsi="宋体" w:cs="宋体"/>
          <w:iCs/>
          <w:color w:val="000000"/>
          <w:sz w:val="24"/>
          <w:szCs w:val="24"/>
          <w:highlight w:val="none"/>
        </w:rPr>
        <w:t>合同</w:t>
      </w:r>
      <w:bookmarkEnd w:id="26"/>
      <w:bookmarkEnd w:id="27"/>
      <w:bookmarkEnd w:id="28"/>
      <w:r>
        <w:rPr>
          <w:rFonts w:hint="eastAsia" w:ascii="宋体" w:hAnsi="宋体" w:cs="宋体"/>
          <w:iCs/>
          <w:color w:val="000000"/>
          <w:sz w:val="24"/>
          <w:szCs w:val="24"/>
          <w:highlight w:val="none"/>
        </w:rPr>
        <w:t>价款</w:t>
      </w:r>
      <w:bookmarkEnd w:id="29"/>
      <w:bookmarkEnd w:id="30"/>
    </w:p>
    <w:p w14:paraId="072BA230">
      <w:pPr>
        <w:pStyle w:val="26"/>
        <w:numPr>
          <w:ilvl w:val="0"/>
          <w:numId w:val="4"/>
        </w:numPr>
        <w:tabs>
          <w:tab w:val="left" w:pos="720"/>
        </w:tabs>
        <w:spacing w:line="360" w:lineRule="auto"/>
        <w:ind w:left="542" w:right="11" w:hanging="540"/>
        <w:rPr>
          <w:highlight w:val="none"/>
        </w:rPr>
      </w:pPr>
      <w:r>
        <w:rPr>
          <w:rFonts w:hint="eastAsia" w:hAnsi="宋体" w:cs="宋体"/>
          <w:color w:val="000000"/>
          <w:highlight w:val="none"/>
        </w:rPr>
        <w:t>本合同项下货物的分项价格、单价、费率或组成详见本合同附件一。</w:t>
      </w:r>
    </w:p>
    <w:bookmarkEnd w:id="31"/>
    <w:bookmarkEnd w:id="32"/>
    <w:bookmarkEnd w:id="33"/>
    <w:bookmarkEnd w:id="34"/>
    <w:bookmarkEnd w:id="35"/>
    <w:bookmarkEnd w:id="36"/>
    <w:bookmarkEnd w:id="37"/>
    <w:bookmarkEnd w:id="38"/>
    <w:bookmarkEnd w:id="39"/>
    <w:bookmarkEnd w:id="40"/>
    <w:bookmarkEnd w:id="41"/>
    <w:bookmarkEnd w:id="42"/>
    <w:bookmarkEnd w:id="43"/>
    <w:p w14:paraId="752D061A">
      <w:pPr>
        <w:pStyle w:val="27"/>
        <w:numPr>
          <w:ilvl w:val="1"/>
          <w:numId w:val="2"/>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44" w:name="_Toc300671185"/>
      <w:bookmarkStart w:id="45" w:name="_Toc306354334"/>
      <w:r>
        <w:rPr>
          <w:rFonts w:hint="eastAsia" w:ascii="宋体" w:hAnsi="宋体" w:cs="宋体"/>
          <w:iCs/>
          <w:color w:val="000000"/>
          <w:sz w:val="24"/>
          <w:szCs w:val="24"/>
          <w:highlight w:val="none"/>
        </w:rPr>
        <w:t>合同的构成和效力</w:t>
      </w:r>
      <w:bookmarkEnd w:id="44"/>
      <w:bookmarkEnd w:id="45"/>
    </w:p>
    <w:p w14:paraId="2BAA2878">
      <w:pPr>
        <w:pStyle w:val="26"/>
        <w:numPr>
          <w:ilvl w:val="3"/>
          <w:numId w:val="5"/>
        </w:numPr>
        <w:tabs>
          <w:tab w:val="left" w:pos="720"/>
          <w:tab w:val="left" w:pos="3060"/>
          <w:tab w:val="clear" w:pos="1468"/>
        </w:tabs>
        <w:spacing w:line="360" w:lineRule="auto"/>
        <w:ind w:right="11" w:hanging="1468"/>
        <w:rPr>
          <w:highlight w:val="none"/>
        </w:rPr>
      </w:pPr>
      <w:r>
        <w:rPr>
          <w:rFonts w:hint="eastAsia" w:cs="宋体"/>
          <w:color w:val="000000"/>
          <w:highlight w:val="none"/>
        </w:rPr>
        <w:t>本合同由以下部分组成：</w:t>
      </w:r>
    </w:p>
    <w:p w14:paraId="16ED7928">
      <w:pPr>
        <w:pStyle w:val="26"/>
        <w:numPr>
          <w:ilvl w:val="5"/>
          <w:numId w:val="5"/>
        </w:numPr>
        <w:tabs>
          <w:tab w:val="left" w:pos="1260"/>
        </w:tabs>
        <w:autoSpaceDE w:val="0"/>
        <w:autoSpaceDN w:val="0"/>
        <w:spacing w:line="360" w:lineRule="auto"/>
        <w:ind w:left="1134" w:right="11" w:hanging="414"/>
        <w:textAlignment w:val="bottom"/>
        <w:rPr>
          <w:highlight w:val="none"/>
        </w:rPr>
      </w:pPr>
      <w:r>
        <w:rPr>
          <w:rFonts w:hint="eastAsia" w:cs="宋体"/>
          <w:color w:val="000000"/>
          <w:highlight w:val="none"/>
        </w:rPr>
        <w:t>第一部分：</w:t>
      </w:r>
      <w:r>
        <w:rPr>
          <w:rFonts w:hint="eastAsia" w:hAnsi="宋体" w:cs="宋体"/>
          <w:color w:val="000000"/>
          <w:highlight w:val="none"/>
        </w:rPr>
        <w:t>合同书</w:t>
      </w:r>
    </w:p>
    <w:p w14:paraId="1FB17291">
      <w:pPr>
        <w:pStyle w:val="26"/>
        <w:numPr>
          <w:ilvl w:val="5"/>
          <w:numId w:val="5"/>
        </w:numPr>
        <w:tabs>
          <w:tab w:val="left" w:pos="1260"/>
        </w:tabs>
        <w:autoSpaceDE w:val="0"/>
        <w:autoSpaceDN w:val="0"/>
        <w:spacing w:line="360" w:lineRule="auto"/>
        <w:ind w:left="1134" w:right="11" w:hanging="414"/>
        <w:textAlignment w:val="bottom"/>
        <w:rPr>
          <w:highlight w:val="none"/>
        </w:rPr>
      </w:pPr>
      <w:r>
        <w:rPr>
          <w:rFonts w:hint="eastAsia" w:cs="宋体"/>
          <w:color w:val="000000"/>
          <w:highlight w:val="none"/>
        </w:rPr>
        <w:t>第二部分：</w:t>
      </w:r>
      <w:r>
        <w:rPr>
          <w:rFonts w:hint="eastAsia" w:hAnsi="宋体" w:cs="宋体"/>
          <w:color w:val="000000"/>
          <w:highlight w:val="none"/>
        </w:rPr>
        <w:t>专用合同条款</w:t>
      </w:r>
    </w:p>
    <w:p w14:paraId="4685CEC1">
      <w:pPr>
        <w:pStyle w:val="26"/>
        <w:numPr>
          <w:ilvl w:val="5"/>
          <w:numId w:val="5"/>
        </w:numPr>
        <w:tabs>
          <w:tab w:val="left" w:pos="1260"/>
        </w:tabs>
        <w:autoSpaceDE w:val="0"/>
        <w:autoSpaceDN w:val="0"/>
        <w:spacing w:line="360" w:lineRule="auto"/>
        <w:ind w:left="1134" w:right="11" w:hanging="414"/>
        <w:textAlignment w:val="bottom"/>
        <w:rPr>
          <w:highlight w:val="none"/>
        </w:rPr>
      </w:pPr>
      <w:r>
        <w:rPr>
          <w:rFonts w:hint="eastAsia" w:cs="宋体"/>
          <w:color w:val="000000"/>
          <w:highlight w:val="none"/>
        </w:rPr>
        <w:t>第三部分：</w:t>
      </w:r>
      <w:r>
        <w:rPr>
          <w:rFonts w:hint="eastAsia" w:hAnsi="宋体" w:cs="宋体"/>
          <w:color w:val="000000"/>
          <w:highlight w:val="none"/>
        </w:rPr>
        <w:t>通用合同条款</w:t>
      </w:r>
    </w:p>
    <w:p w14:paraId="02420193">
      <w:pPr>
        <w:pStyle w:val="26"/>
        <w:numPr>
          <w:ilvl w:val="5"/>
          <w:numId w:val="5"/>
        </w:numPr>
        <w:tabs>
          <w:tab w:val="left" w:pos="1260"/>
        </w:tabs>
        <w:autoSpaceDE w:val="0"/>
        <w:autoSpaceDN w:val="0"/>
        <w:spacing w:line="360" w:lineRule="auto"/>
        <w:ind w:left="1134" w:right="11" w:hanging="414"/>
        <w:textAlignment w:val="bottom"/>
        <w:rPr>
          <w:rFonts w:hAnsi="宋体"/>
          <w:highlight w:val="none"/>
        </w:rPr>
      </w:pPr>
      <w:r>
        <w:rPr>
          <w:rFonts w:hint="eastAsia" w:cs="宋体"/>
          <w:color w:val="000000"/>
          <w:highlight w:val="none"/>
        </w:rPr>
        <w:t>第四部分：</w:t>
      </w:r>
      <w:r>
        <w:rPr>
          <w:rFonts w:hint="eastAsia" w:hAnsi="宋体" w:cs="宋体"/>
          <w:color w:val="000000"/>
          <w:highlight w:val="none"/>
        </w:rPr>
        <w:t>附件</w:t>
      </w:r>
    </w:p>
    <w:p w14:paraId="5D585F61">
      <w:pPr>
        <w:pStyle w:val="26"/>
        <w:autoSpaceDE w:val="0"/>
        <w:autoSpaceDN w:val="0"/>
        <w:spacing w:line="360" w:lineRule="auto"/>
        <w:ind w:left="1153" w:leftChars="549" w:right="10"/>
        <w:textAlignment w:val="bottom"/>
        <w:rPr>
          <w:highlight w:val="none"/>
        </w:rPr>
      </w:pPr>
      <w:r>
        <w:rPr>
          <w:rFonts w:hint="eastAsia" w:cs="宋体"/>
          <w:color w:val="000000"/>
          <w:highlight w:val="none"/>
        </w:rPr>
        <w:t>附件一：货物清单及价格明细</w:t>
      </w:r>
    </w:p>
    <w:p w14:paraId="56D531B1">
      <w:pPr>
        <w:pStyle w:val="26"/>
        <w:autoSpaceDE w:val="0"/>
        <w:autoSpaceDN w:val="0"/>
        <w:spacing w:line="360" w:lineRule="auto"/>
        <w:ind w:left="1153" w:leftChars="549" w:right="10"/>
        <w:textAlignment w:val="bottom"/>
        <w:rPr>
          <w:highlight w:val="none"/>
        </w:rPr>
      </w:pPr>
      <w:r>
        <w:rPr>
          <w:rFonts w:hint="eastAsia" w:cs="宋体"/>
          <w:color w:val="000000"/>
          <w:highlight w:val="none"/>
        </w:rPr>
        <w:t>附件二：技术要求</w:t>
      </w:r>
    </w:p>
    <w:p w14:paraId="478D15E1">
      <w:pPr>
        <w:pStyle w:val="26"/>
        <w:autoSpaceDE w:val="0"/>
        <w:autoSpaceDN w:val="0"/>
        <w:spacing w:line="360" w:lineRule="auto"/>
        <w:ind w:left="1153" w:leftChars="549" w:right="10"/>
        <w:textAlignment w:val="bottom"/>
        <w:rPr>
          <w:highlight w:val="none"/>
        </w:rPr>
      </w:pPr>
      <w:r>
        <w:rPr>
          <w:rFonts w:hint="eastAsia" w:cs="宋体"/>
          <w:color w:val="000000"/>
          <w:highlight w:val="none"/>
        </w:rPr>
        <w:t>附件三：采购订单及发货清单（格式）</w:t>
      </w:r>
    </w:p>
    <w:p w14:paraId="4A16E438">
      <w:pPr>
        <w:pStyle w:val="26"/>
        <w:autoSpaceDE w:val="0"/>
        <w:autoSpaceDN w:val="0"/>
        <w:spacing w:line="360" w:lineRule="auto"/>
        <w:ind w:left="1153" w:leftChars="549" w:right="10"/>
        <w:textAlignment w:val="bottom"/>
        <w:rPr>
          <w:highlight w:val="none"/>
        </w:rPr>
      </w:pPr>
      <w:r>
        <w:rPr>
          <w:rFonts w:hint="eastAsia" w:cs="宋体"/>
          <w:color w:val="000000"/>
          <w:highlight w:val="none"/>
        </w:rPr>
        <w:t>附件四：送货单（格式）</w:t>
      </w:r>
    </w:p>
    <w:p w14:paraId="4392BCC5">
      <w:pPr>
        <w:pStyle w:val="26"/>
        <w:spacing w:line="360" w:lineRule="auto"/>
        <w:ind w:left="1153" w:leftChars="549" w:right="10"/>
        <w:rPr>
          <w:rFonts w:cs="宋体"/>
          <w:color w:val="000000"/>
          <w:highlight w:val="none"/>
        </w:rPr>
      </w:pPr>
      <w:r>
        <w:rPr>
          <w:rFonts w:hint="eastAsia" w:cs="宋体"/>
          <w:color w:val="000000"/>
          <w:highlight w:val="none"/>
        </w:rPr>
        <w:t>附件五：廉洁备忘录</w:t>
      </w:r>
    </w:p>
    <w:p w14:paraId="0F933354">
      <w:pPr>
        <w:pStyle w:val="26"/>
        <w:numPr>
          <w:ilvl w:val="3"/>
          <w:numId w:val="5"/>
        </w:numPr>
        <w:tabs>
          <w:tab w:val="left" w:pos="720"/>
          <w:tab w:val="left" w:pos="3060"/>
          <w:tab w:val="clear" w:pos="1468"/>
        </w:tabs>
        <w:spacing w:line="360" w:lineRule="auto"/>
        <w:ind w:left="709" w:right="11" w:hanging="709"/>
        <w:rPr>
          <w:highlight w:val="none"/>
        </w:rPr>
      </w:pPr>
      <w:r>
        <w:rPr>
          <w:rFonts w:hint="eastAsia" w:cs="宋体"/>
          <w:color w:val="000000"/>
          <w:highlight w:val="none"/>
        </w:rPr>
        <w:t>合同书、专用合同条款、通用合同条款和各附件均构成本合同不可分割的组成部分，各部分之间的内容相互补充、说明，以便对合同予以完整理解。如合同各组成部分之间存在冲突或不一致，以上述序列作为优先顺序进行解释。</w:t>
      </w:r>
    </w:p>
    <w:p w14:paraId="67AB956A">
      <w:pPr>
        <w:pStyle w:val="26"/>
        <w:numPr>
          <w:ilvl w:val="3"/>
          <w:numId w:val="5"/>
        </w:numPr>
        <w:tabs>
          <w:tab w:val="left" w:pos="720"/>
          <w:tab w:val="left" w:pos="3060"/>
          <w:tab w:val="clear" w:pos="1468"/>
        </w:tabs>
        <w:spacing w:line="360" w:lineRule="auto"/>
        <w:ind w:left="709" w:right="11" w:hanging="709"/>
        <w:rPr>
          <w:highlight w:val="none"/>
        </w:rPr>
      </w:pPr>
      <w:r>
        <w:rPr>
          <w:rFonts w:hint="eastAsia" w:cs="宋体"/>
          <w:color w:val="000000"/>
          <w:highlight w:val="none"/>
        </w:rPr>
        <w:t>本合同构成双方就合同标的达成的全部理解和一致，</w:t>
      </w:r>
      <w:r>
        <w:rPr>
          <w:rFonts w:hint="eastAsia" w:hAnsi="宋体" w:cs="宋体"/>
          <w:color w:val="000000"/>
          <w:highlight w:val="none"/>
        </w:rPr>
        <w:t>本合同签署以前双方就</w:t>
      </w:r>
      <w:r>
        <w:rPr>
          <w:rFonts w:hint="eastAsia" w:cs="宋体"/>
          <w:color w:val="000000"/>
          <w:highlight w:val="none"/>
        </w:rPr>
        <w:t>合同标的</w:t>
      </w:r>
      <w:r>
        <w:rPr>
          <w:rFonts w:hint="eastAsia" w:hAnsi="宋体" w:cs="宋体"/>
          <w:color w:val="000000"/>
          <w:highlight w:val="none"/>
        </w:rPr>
        <w:t>达成的所有口头和</w:t>
      </w:r>
      <w:r>
        <w:rPr>
          <w:rFonts w:hAnsi="宋体"/>
          <w:color w:val="000000"/>
          <w:highlight w:val="none"/>
        </w:rPr>
        <w:t>/</w:t>
      </w:r>
      <w:r>
        <w:rPr>
          <w:rFonts w:hint="eastAsia" w:hAnsi="宋体" w:cs="宋体"/>
          <w:color w:val="000000"/>
          <w:highlight w:val="none"/>
        </w:rPr>
        <w:t>或书面的理解、声明、文件、信件及双方其它形式的通信在本合同生效后自动失效。</w:t>
      </w:r>
    </w:p>
    <w:p w14:paraId="3006C08B">
      <w:pPr>
        <w:pStyle w:val="27"/>
        <w:numPr>
          <w:ilvl w:val="1"/>
          <w:numId w:val="2"/>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46" w:name="_Toc306354335"/>
      <w:bookmarkStart w:id="47" w:name="_Toc300671186"/>
      <w:r>
        <w:rPr>
          <w:rFonts w:hint="eastAsia" w:ascii="宋体" w:hAnsi="宋体" w:cs="宋体"/>
          <w:iCs/>
          <w:color w:val="000000"/>
          <w:sz w:val="24"/>
          <w:szCs w:val="24"/>
          <w:highlight w:val="none"/>
        </w:rPr>
        <w:t>联系方式</w:t>
      </w:r>
      <w:bookmarkEnd w:id="46"/>
      <w:bookmarkEnd w:id="47"/>
    </w:p>
    <w:p w14:paraId="7CF9FAD7">
      <w:pPr>
        <w:pStyle w:val="26"/>
        <w:numPr>
          <w:ilvl w:val="0"/>
          <w:numId w:val="6"/>
        </w:numPr>
        <w:tabs>
          <w:tab w:val="left" w:pos="720"/>
          <w:tab w:val="clear" w:pos="1468"/>
        </w:tabs>
        <w:spacing w:line="360" w:lineRule="auto"/>
        <w:ind w:left="720" w:right="11" w:hanging="720"/>
        <w:rPr>
          <w:highlight w:val="none"/>
        </w:rPr>
      </w:pPr>
      <w:r>
        <w:rPr>
          <w:rFonts w:hint="eastAsia" w:cs="宋体"/>
          <w:color w:val="000000"/>
          <w:highlight w:val="none"/>
        </w:rPr>
        <w:t>除非本合同另有明确规定或双方另行书面同意，任何一方根据本合同向另一方交付资料和发送通知的联系方式如下：</w:t>
      </w:r>
    </w:p>
    <w:p w14:paraId="3B8B3936">
      <w:pPr>
        <w:numPr>
          <w:ilvl w:val="1"/>
          <w:numId w:val="7"/>
        </w:numPr>
        <w:tabs>
          <w:tab w:val="left" w:pos="1418"/>
        </w:tabs>
        <w:autoSpaceDE w:val="0"/>
        <w:autoSpaceDN w:val="0"/>
        <w:spacing w:line="360" w:lineRule="auto"/>
        <w:ind w:left="1418" w:hanging="709"/>
        <w:textAlignment w:val="bottom"/>
        <w:rPr>
          <w:highlight w:val="none"/>
        </w:rPr>
      </w:pPr>
      <w:r>
        <w:rPr>
          <w:rFonts w:hint="eastAsia"/>
          <w:highlight w:val="none"/>
        </w:rPr>
        <w:t>买方</w:t>
      </w:r>
      <w:r>
        <w:rPr>
          <w:highlight w:val="none"/>
        </w:rPr>
        <w:t>地址：</w:t>
      </w:r>
      <w:r>
        <w:rPr>
          <w:rFonts w:hint="eastAsia"/>
          <w:highlight w:val="none"/>
        </w:rPr>
        <w:t>天津市滨海新区塘沽渤海石油路688号</w:t>
      </w:r>
    </w:p>
    <w:p w14:paraId="05A081B7">
      <w:pPr>
        <w:tabs>
          <w:tab w:val="left" w:pos="1418"/>
        </w:tabs>
        <w:autoSpaceDE w:val="0"/>
        <w:autoSpaceDN w:val="0"/>
        <w:spacing w:line="360" w:lineRule="auto"/>
        <w:ind w:left="1237" w:leftChars="589" w:firstLine="2"/>
        <w:textAlignment w:val="bottom"/>
        <w:rPr>
          <w:highlight w:val="none"/>
        </w:rPr>
      </w:pPr>
      <w:r>
        <w:rPr>
          <w:highlight w:val="none"/>
        </w:rPr>
        <w:t>邮政编码：</w:t>
      </w:r>
      <w:r>
        <w:rPr>
          <w:rFonts w:hint="eastAsia"/>
          <w:highlight w:val="none"/>
        </w:rPr>
        <w:t>300452</w:t>
      </w:r>
    </w:p>
    <w:p w14:paraId="6F491A13">
      <w:pPr>
        <w:tabs>
          <w:tab w:val="left" w:pos="1418"/>
        </w:tabs>
        <w:autoSpaceDE w:val="0"/>
        <w:autoSpaceDN w:val="0"/>
        <w:spacing w:line="360" w:lineRule="auto"/>
        <w:ind w:left="1237" w:leftChars="589" w:firstLine="2"/>
        <w:textAlignment w:val="bottom"/>
        <w:rPr>
          <w:highlight w:val="none"/>
        </w:rPr>
      </w:pPr>
      <w:r>
        <w:rPr>
          <w:rFonts w:hint="eastAsia"/>
          <w:highlight w:val="none"/>
        </w:rPr>
        <w:t>联系人</w:t>
      </w:r>
      <w:r>
        <w:rPr>
          <w:highlight w:val="none"/>
        </w:rPr>
        <w:t>：</w:t>
      </w:r>
      <w:r>
        <w:rPr>
          <w:rFonts w:hint="eastAsia"/>
          <w:highlight w:val="none"/>
        </w:rPr>
        <w:t>于文超</w:t>
      </w:r>
    </w:p>
    <w:p w14:paraId="079C5940">
      <w:pPr>
        <w:tabs>
          <w:tab w:val="left" w:pos="1418"/>
        </w:tabs>
        <w:autoSpaceDE w:val="0"/>
        <w:autoSpaceDN w:val="0"/>
        <w:spacing w:line="360" w:lineRule="auto"/>
        <w:ind w:left="1237" w:leftChars="589" w:firstLine="2"/>
        <w:textAlignment w:val="bottom"/>
        <w:rPr>
          <w:rFonts w:hint="eastAsia" w:eastAsiaTheme="minorEastAsia"/>
          <w:highlight w:val="none"/>
          <w:lang w:eastAsia="zh-CN"/>
        </w:rPr>
      </w:pPr>
      <w:r>
        <w:rPr>
          <w:rFonts w:hint="eastAsia"/>
          <w:highlight w:val="none"/>
        </w:rPr>
        <w:t>联系</w:t>
      </w:r>
      <w:r>
        <w:rPr>
          <w:highlight w:val="none"/>
        </w:rPr>
        <w:t>电话：</w:t>
      </w:r>
      <w:r>
        <w:rPr>
          <w:rFonts w:hint="eastAsia"/>
          <w:highlight w:val="none"/>
        </w:rPr>
        <w:t>022-2580227</w:t>
      </w:r>
      <w:r>
        <w:rPr>
          <w:rFonts w:hint="eastAsia"/>
          <w:highlight w:val="none"/>
          <w:lang w:val="en-US" w:eastAsia="zh-CN"/>
        </w:rPr>
        <w:t>1</w:t>
      </w:r>
    </w:p>
    <w:p w14:paraId="1393478E">
      <w:pPr>
        <w:numPr>
          <w:ilvl w:val="1"/>
          <w:numId w:val="7"/>
        </w:numPr>
        <w:tabs>
          <w:tab w:val="left" w:pos="1418"/>
        </w:tabs>
        <w:autoSpaceDE w:val="0"/>
        <w:autoSpaceDN w:val="0"/>
        <w:spacing w:line="360" w:lineRule="auto"/>
        <w:ind w:left="1418" w:hanging="709"/>
        <w:textAlignment w:val="bottom"/>
        <w:rPr>
          <w:highlight w:val="none"/>
        </w:rPr>
      </w:pPr>
      <w:r>
        <w:rPr>
          <w:highlight w:val="none"/>
        </w:rPr>
        <w:t>卖方地址：</w:t>
      </w:r>
    </w:p>
    <w:p w14:paraId="01C18860">
      <w:pPr>
        <w:pStyle w:val="26"/>
        <w:tabs>
          <w:tab w:val="left" w:pos="1418"/>
        </w:tabs>
        <w:autoSpaceDE w:val="0"/>
        <w:autoSpaceDN w:val="0"/>
        <w:spacing w:line="360" w:lineRule="auto"/>
        <w:ind w:left="1237" w:leftChars="589" w:right="10" w:firstLine="2"/>
        <w:textAlignment w:val="bottom"/>
        <w:rPr>
          <w:highlight w:val="none"/>
        </w:rPr>
      </w:pPr>
      <w:r>
        <w:rPr>
          <w:color w:val="000000"/>
          <w:highlight w:val="none"/>
        </w:rPr>
        <w:t>邮政编码：</w:t>
      </w:r>
    </w:p>
    <w:p w14:paraId="6F355455">
      <w:pPr>
        <w:pStyle w:val="26"/>
        <w:tabs>
          <w:tab w:val="left" w:pos="1418"/>
        </w:tabs>
        <w:autoSpaceDE w:val="0"/>
        <w:autoSpaceDN w:val="0"/>
        <w:spacing w:line="360" w:lineRule="auto"/>
        <w:ind w:left="1237" w:leftChars="589" w:right="10" w:firstLine="2"/>
        <w:textAlignment w:val="bottom"/>
        <w:rPr>
          <w:highlight w:val="none"/>
        </w:rPr>
      </w:pPr>
      <w:r>
        <w:rPr>
          <w:rFonts w:hint="eastAsia"/>
          <w:color w:val="000000"/>
          <w:highlight w:val="none"/>
        </w:rPr>
        <w:t>联系人</w:t>
      </w:r>
      <w:r>
        <w:rPr>
          <w:color w:val="000000"/>
          <w:highlight w:val="none"/>
        </w:rPr>
        <w:t>：</w:t>
      </w:r>
    </w:p>
    <w:p w14:paraId="53BBD356">
      <w:pPr>
        <w:pStyle w:val="26"/>
        <w:tabs>
          <w:tab w:val="left" w:pos="1418"/>
        </w:tabs>
        <w:autoSpaceDE w:val="0"/>
        <w:autoSpaceDN w:val="0"/>
        <w:spacing w:line="360" w:lineRule="auto"/>
        <w:ind w:left="1237" w:leftChars="589" w:right="10" w:firstLine="2"/>
        <w:textAlignment w:val="bottom"/>
        <w:rPr>
          <w:highlight w:val="none"/>
        </w:rPr>
      </w:pPr>
      <w:r>
        <w:rPr>
          <w:rFonts w:hint="eastAsia"/>
          <w:color w:val="000000"/>
          <w:highlight w:val="none"/>
        </w:rPr>
        <w:t>联系</w:t>
      </w:r>
      <w:r>
        <w:rPr>
          <w:color w:val="000000"/>
          <w:highlight w:val="none"/>
        </w:rPr>
        <w:t>电话：</w:t>
      </w:r>
    </w:p>
    <w:p w14:paraId="6DC63248">
      <w:pPr>
        <w:pStyle w:val="26"/>
        <w:tabs>
          <w:tab w:val="left" w:pos="1418"/>
        </w:tabs>
        <w:autoSpaceDE w:val="0"/>
        <w:autoSpaceDN w:val="0"/>
        <w:spacing w:line="360" w:lineRule="auto"/>
        <w:ind w:left="1237" w:leftChars="589" w:right="10" w:firstLine="2"/>
        <w:textAlignment w:val="bottom"/>
        <w:rPr>
          <w:highlight w:val="none"/>
        </w:rPr>
      </w:pPr>
      <w:r>
        <w:rPr>
          <w:color w:val="000000"/>
          <w:highlight w:val="none"/>
        </w:rPr>
        <w:t>传真</w:t>
      </w:r>
      <w:r>
        <w:rPr>
          <w:rFonts w:hint="eastAsia"/>
          <w:color w:val="000000"/>
          <w:highlight w:val="none"/>
        </w:rPr>
        <w:t>号码</w:t>
      </w:r>
      <w:r>
        <w:rPr>
          <w:color w:val="000000"/>
          <w:highlight w:val="none"/>
        </w:rPr>
        <w:t>：</w:t>
      </w:r>
    </w:p>
    <w:p w14:paraId="0FB614F5">
      <w:pPr>
        <w:pStyle w:val="27"/>
        <w:numPr>
          <w:ilvl w:val="1"/>
          <w:numId w:val="2"/>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48" w:name="_Toc300671187"/>
      <w:bookmarkStart w:id="49" w:name="_Toc306354336"/>
      <w:r>
        <w:rPr>
          <w:rFonts w:hint="eastAsia" w:ascii="宋体" w:hAnsi="宋体" w:cs="宋体"/>
          <w:iCs/>
          <w:color w:val="000000"/>
          <w:sz w:val="24"/>
          <w:szCs w:val="24"/>
          <w:highlight w:val="none"/>
        </w:rPr>
        <w:t>合同份数</w:t>
      </w:r>
      <w:bookmarkEnd w:id="48"/>
      <w:bookmarkEnd w:id="49"/>
    </w:p>
    <w:p w14:paraId="5E57C3FE">
      <w:pPr>
        <w:pStyle w:val="26"/>
        <w:numPr>
          <w:ilvl w:val="0"/>
          <w:numId w:val="8"/>
        </w:numPr>
        <w:tabs>
          <w:tab w:val="left" w:pos="720"/>
          <w:tab w:val="left" w:pos="1680"/>
          <w:tab w:val="clear" w:pos="1468"/>
        </w:tabs>
        <w:spacing w:line="360" w:lineRule="auto"/>
        <w:ind w:left="720" w:right="11" w:hanging="720"/>
        <w:rPr>
          <w:highlight w:val="none"/>
        </w:rPr>
      </w:pPr>
      <w:r>
        <w:rPr>
          <w:rFonts w:hint="eastAsia" w:cs="宋体"/>
          <w:color w:val="000000"/>
          <w:highlight w:val="none"/>
        </w:rPr>
        <w:t>本合同正本一式二份，买方执一份，卖方执一份，具有同等效力。</w:t>
      </w:r>
    </w:p>
    <w:p w14:paraId="41F5C0F2">
      <w:pPr>
        <w:pStyle w:val="27"/>
        <w:numPr>
          <w:ilvl w:val="1"/>
          <w:numId w:val="2"/>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50" w:name="_Toc299608974"/>
      <w:bookmarkStart w:id="51" w:name="_Toc299695678"/>
      <w:bookmarkStart w:id="52" w:name="_Toc298159080"/>
      <w:bookmarkStart w:id="53" w:name="_Toc306354337"/>
      <w:bookmarkStart w:id="54" w:name="_Toc300671188"/>
      <w:r>
        <w:rPr>
          <w:rFonts w:hint="eastAsia" w:ascii="宋体" w:hAnsi="宋体" w:cs="宋体"/>
          <w:iCs/>
          <w:color w:val="000000"/>
          <w:sz w:val="24"/>
          <w:szCs w:val="24"/>
          <w:highlight w:val="none"/>
        </w:rPr>
        <w:t>合同生效</w:t>
      </w:r>
      <w:bookmarkEnd w:id="50"/>
      <w:bookmarkEnd w:id="51"/>
      <w:bookmarkEnd w:id="52"/>
      <w:bookmarkEnd w:id="53"/>
      <w:bookmarkEnd w:id="54"/>
    </w:p>
    <w:p w14:paraId="26453F67">
      <w:pPr>
        <w:pStyle w:val="26"/>
        <w:numPr>
          <w:ilvl w:val="0"/>
          <w:numId w:val="9"/>
        </w:numPr>
        <w:tabs>
          <w:tab w:val="left" w:pos="720"/>
          <w:tab w:val="left" w:pos="3060"/>
          <w:tab w:val="clear" w:pos="1468"/>
        </w:tabs>
        <w:spacing w:line="360" w:lineRule="auto"/>
        <w:ind w:left="720" w:right="11" w:hanging="720"/>
        <w:rPr>
          <w:highlight w:val="none"/>
        </w:rPr>
      </w:pPr>
      <w:r>
        <w:rPr>
          <w:rFonts w:hint="eastAsia"/>
          <w:color w:val="000000"/>
          <w:highlight w:val="none"/>
        </w:rPr>
        <w:t>本合同</w:t>
      </w:r>
      <w:r>
        <w:rPr>
          <w:rFonts w:hint="eastAsia"/>
          <w:iCs/>
          <w:color w:val="000000"/>
          <w:highlight w:val="none"/>
        </w:rPr>
        <w:t>在以下条件全部获得满足之后生效：</w:t>
      </w:r>
    </w:p>
    <w:p w14:paraId="34677C70">
      <w:pPr>
        <w:pStyle w:val="28"/>
        <w:widowControl/>
        <w:numPr>
          <w:ilvl w:val="2"/>
          <w:numId w:val="10"/>
        </w:numPr>
        <w:spacing w:line="360" w:lineRule="auto"/>
        <w:ind w:left="1097" w:leftChars="354" w:hanging="354" w:hangingChars="177"/>
        <w:rPr>
          <w:highlight w:val="none"/>
        </w:rPr>
      </w:pPr>
      <w:r>
        <w:rPr>
          <w:rFonts w:hint="eastAsia"/>
          <w:color w:val="000000"/>
          <w:highlight w:val="none"/>
        </w:rPr>
        <w:t>双方法定代表人或授权代表签字并盖章；</w:t>
      </w:r>
    </w:p>
    <w:p w14:paraId="7B7B989D">
      <w:pPr>
        <w:pStyle w:val="26"/>
        <w:numPr>
          <w:ilvl w:val="0"/>
          <w:numId w:val="9"/>
        </w:numPr>
        <w:tabs>
          <w:tab w:val="left" w:pos="720"/>
          <w:tab w:val="left" w:pos="3060"/>
          <w:tab w:val="clear" w:pos="1468"/>
        </w:tabs>
        <w:spacing w:line="360" w:lineRule="auto"/>
        <w:ind w:left="720" w:right="11" w:hanging="720"/>
        <w:rPr>
          <w:highlight w:val="none"/>
        </w:rPr>
      </w:pPr>
      <w:r>
        <w:rPr>
          <w:rFonts w:hint="eastAsia"/>
          <w:color w:val="000000"/>
          <w:highlight w:val="none"/>
        </w:rPr>
        <w:t>本合同至双方在本合同项下的全部义务履行完毕后失效。</w:t>
      </w:r>
    </w:p>
    <w:p w14:paraId="33808FE7">
      <w:pPr>
        <w:pStyle w:val="26"/>
        <w:numPr>
          <w:ilvl w:val="0"/>
          <w:numId w:val="9"/>
        </w:numPr>
        <w:tabs>
          <w:tab w:val="left" w:pos="720"/>
          <w:tab w:val="left" w:pos="3060"/>
          <w:tab w:val="clear" w:pos="1468"/>
        </w:tabs>
        <w:spacing w:line="360" w:lineRule="auto"/>
        <w:ind w:left="720" w:right="11" w:hanging="720"/>
        <w:rPr>
          <w:rFonts w:hint="eastAsia"/>
          <w:color w:val="000000"/>
          <w:highlight w:val="none"/>
          <w:lang w:val="en-US" w:eastAsia="zh-CN"/>
        </w:rPr>
      </w:pPr>
      <w:r>
        <w:rPr>
          <w:rFonts w:hint="eastAsia"/>
          <w:color w:val="000000"/>
          <w:highlight w:val="none"/>
        </w:rPr>
        <w:t>本合同有效期</w:t>
      </w:r>
      <w:r>
        <w:rPr>
          <w:rFonts w:hint="eastAsia" w:ascii="Times New Roman" w:hAnsi="Times New Roman" w:cs="Times New Roman"/>
          <w:color w:val="000000"/>
          <w:highlight w:val="none"/>
          <w:lang w:val="en-US" w:eastAsia="zh-CN"/>
        </w:rPr>
        <w:t>：</w:t>
      </w:r>
    </w:p>
    <w:p w14:paraId="7CFC5ED7">
      <w:pPr>
        <w:pStyle w:val="26"/>
        <w:tabs>
          <w:tab w:val="left" w:pos="720"/>
          <w:tab w:val="left" w:pos="3060"/>
        </w:tabs>
        <w:spacing w:line="360" w:lineRule="auto"/>
        <w:ind w:left="720" w:right="11"/>
        <w:rPr>
          <w:color w:val="000000"/>
          <w:highlight w:val="none"/>
        </w:rPr>
      </w:pPr>
    </w:p>
    <w:p w14:paraId="24ED1092">
      <w:pPr>
        <w:pStyle w:val="26"/>
        <w:tabs>
          <w:tab w:val="left" w:pos="850"/>
        </w:tabs>
        <w:autoSpaceDE w:val="0"/>
        <w:autoSpaceDN w:val="0"/>
        <w:spacing w:line="360" w:lineRule="auto"/>
        <w:ind w:right="10"/>
        <w:jc w:val="center"/>
        <w:textAlignment w:val="bottom"/>
        <w:rPr>
          <w:b/>
          <w:bCs/>
          <w:highlight w:val="none"/>
        </w:rPr>
      </w:pPr>
      <w:r>
        <w:rPr>
          <w:b/>
          <w:bCs/>
          <w:color w:val="000000"/>
          <w:highlight w:val="none"/>
        </w:rPr>
        <w:br w:type="page"/>
      </w:r>
    </w:p>
    <w:p w14:paraId="15667C49">
      <w:pPr>
        <w:pStyle w:val="26"/>
        <w:tabs>
          <w:tab w:val="left" w:pos="850"/>
        </w:tabs>
        <w:autoSpaceDE w:val="0"/>
        <w:autoSpaceDN w:val="0"/>
        <w:spacing w:line="360" w:lineRule="auto"/>
        <w:ind w:right="10"/>
        <w:jc w:val="center"/>
        <w:textAlignment w:val="bottom"/>
        <w:rPr>
          <w:b/>
          <w:bCs/>
          <w:highlight w:val="none"/>
        </w:rPr>
      </w:pPr>
      <w:r>
        <w:rPr>
          <w:rFonts w:hint="eastAsia" w:cs="宋体"/>
          <w:b/>
          <w:bCs/>
          <w:color w:val="000000"/>
          <w:highlight w:val="none"/>
        </w:rPr>
        <w:t>（本页无正文，为【填写合同编号】签章页）</w:t>
      </w:r>
    </w:p>
    <w:p w14:paraId="288EEC67">
      <w:pPr>
        <w:pStyle w:val="26"/>
        <w:tabs>
          <w:tab w:val="left" w:pos="850"/>
        </w:tabs>
        <w:autoSpaceDE w:val="0"/>
        <w:autoSpaceDN w:val="0"/>
        <w:spacing w:line="360" w:lineRule="auto"/>
        <w:ind w:right="10"/>
        <w:jc w:val="center"/>
        <w:textAlignment w:val="bottom"/>
        <w:rPr>
          <w:b/>
          <w:bCs/>
          <w:highlight w:val="none"/>
        </w:rPr>
      </w:pPr>
    </w:p>
    <w:p w14:paraId="237F3BE6">
      <w:pPr>
        <w:pStyle w:val="26"/>
        <w:tabs>
          <w:tab w:val="left" w:pos="850"/>
        </w:tabs>
        <w:autoSpaceDE w:val="0"/>
        <w:autoSpaceDN w:val="0"/>
        <w:spacing w:line="360" w:lineRule="auto"/>
        <w:ind w:right="10"/>
        <w:jc w:val="center"/>
        <w:textAlignment w:val="bottom"/>
        <w:rPr>
          <w:b/>
          <w:bCs/>
          <w:highlight w:val="none"/>
        </w:rPr>
      </w:pPr>
    </w:p>
    <w:tbl>
      <w:tblPr>
        <w:tblStyle w:val="14"/>
        <w:tblW w:w="5000" w:type="pct"/>
        <w:tblInd w:w="-106" w:type="dxa"/>
        <w:tblLayout w:type="autofit"/>
        <w:tblCellMar>
          <w:top w:w="0" w:type="dxa"/>
          <w:left w:w="108" w:type="dxa"/>
          <w:bottom w:w="0" w:type="dxa"/>
          <w:right w:w="108" w:type="dxa"/>
        </w:tblCellMar>
      </w:tblPr>
      <w:tblGrid>
        <w:gridCol w:w="4437"/>
        <w:gridCol w:w="4085"/>
      </w:tblGrid>
      <w:tr w14:paraId="5B69F83D">
        <w:tblPrEx>
          <w:tblCellMar>
            <w:top w:w="0" w:type="dxa"/>
            <w:left w:w="108" w:type="dxa"/>
            <w:bottom w:w="0" w:type="dxa"/>
            <w:right w:w="108" w:type="dxa"/>
          </w:tblCellMar>
        </w:tblPrEx>
        <w:trPr>
          <w:trHeight w:val="2653" w:hRule="atLeast"/>
        </w:trPr>
        <w:tc>
          <w:tcPr>
            <w:tcW w:w="2603" w:type="pct"/>
          </w:tcPr>
          <w:p w14:paraId="1F691FB2">
            <w:pPr>
              <w:pStyle w:val="26"/>
              <w:tabs>
                <w:tab w:val="left" w:pos="850"/>
              </w:tabs>
              <w:autoSpaceDE w:val="0"/>
              <w:autoSpaceDN w:val="0"/>
              <w:spacing w:line="360" w:lineRule="auto"/>
              <w:ind w:right="10"/>
              <w:textAlignment w:val="bottom"/>
              <w:rPr>
                <w:highlight w:val="none"/>
              </w:rPr>
            </w:pPr>
            <w:r>
              <w:rPr>
                <w:rFonts w:hint="eastAsia" w:cs="宋体"/>
                <w:color w:val="000000"/>
                <w:highlight w:val="none"/>
              </w:rPr>
              <w:t>买方（盖章）</w:t>
            </w:r>
          </w:p>
        </w:tc>
        <w:tc>
          <w:tcPr>
            <w:tcW w:w="2397" w:type="pct"/>
          </w:tcPr>
          <w:p w14:paraId="234DA2C4">
            <w:pPr>
              <w:pStyle w:val="26"/>
              <w:tabs>
                <w:tab w:val="left" w:pos="850"/>
              </w:tabs>
              <w:autoSpaceDE w:val="0"/>
              <w:autoSpaceDN w:val="0"/>
              <w:spacing w:line="360" w:lineRule="auto"/>
              <w:ind w:right="10"/>
              <w:textAlignment w:val="bottom"/>
              <w:rPr>
                <w:highlight w:val="none"/>
              </w:rPr>
            </w:pPr>
            <w:r>
              <w:rPr>
                <w:rFonts w:hint="eastAsia" w:cs="宋体"/>
                <w:color w:val="000000"/>
                <w:highlight w:val="none"/>
              </w:rPr>
              <w:t>卖方（盖章）</w:t>
            </w:r>
          </w:p>
          <w:p w14:paraId="635CFD2B">
            <w:pPr>
              <w:pStyle w:val="26"/>
              <w:tabs>
                <w:tab w:val="left" w:pos="850"/>
              </w:tabs>
              <w:autoSpaceDE w:val="0"/>
              <w:autoSpaceDN w:val="0"/>
              <w:spacing w:line="360" w:lineRule="auto"/>
              <w:ind w:right="10"/>
              <w:textAlignment w:val="bottom"/>
              <w:rPr>
                <w:highlight w:val="none"/>
              </w:rPr>
            </w:pPr>
          </w:p>
        </w:tc>
      </w:tr>
      <w:tr w14:paraId="773702A1">
        <w:tblPrEx>
          <w:tblCellMar>
            <w:top w:w="0" w:type="dxa"/>
            <w:left w:w="108" w:type="dxa"/>
            <w:bottom w:w="0" w:type="dxa"/>
            <w:right w:w="108" w:type="dxa"/>
          </w:tblCellMar>
        </w:tblPrEx>
        <w:trPr>
          <w:trHeight w:val="1084" w:hRule="atLeast"/>
        </w:trPr>
        <w:tc>
          <w:tcPr>
            <w:tcW w:w="2603" w:type="pct"/>
            <w:vAlign w:val="center"/>
          </w:tcPr>
          <w:p w14:paraId="217968E5">
            <w:pPr>
              <w:pStyle w:val="26"/>
              <w:tabs>
                <w:tab w:val="left" w:pos="850"/>
              </w:tabs>
              <w:autoSpaceDE w:val="0"/>
              <w:autoSpaceDN w:val="0"/>
              <w:spacing w:line="360" w:lineRule="auto"/>
              <w:ind w:right="10"/>
              <w:textAlignment w:val="bottom"/>
              <w:rPr>
                <w:highlight w:val="none"/>
              </w:rPr>
            </w:pPr>
            <w:r>
              <w:rPr>
                <w:rFonts w:hint="eastAsia" w:cs="宋体"/>
                <w:color w:val="000000"/>
                <w:highlight w:val="none"/>
              </w:rPr>
              <w:t>法定代表人或授权代表签字：</w:t>
            </w:r>
          </w:p>
          <w:p w14:paraId="1942C2B2">
            <w:pPr>
              <w:pStyle w:val="26"/>
              <w:tabs>
                <w:tab w:val="left" w:pos="850"/>
              </w:tabs>
              <w:autoSpaceDE w:val="0"/>
              <w:autoSpaceDN w:val="0"/>
              <w:spacing w:line="360" w:lineRule="auto"/>
              <w:ind w:right="10"/>
              <w:textAlignment w:val="bottom"/>
              <w:rPr>
                <w:highlight w:val="none"/>
              </w:rPr>
            </w:pPr>
          </w:p>
          <w:p w14:paraId="6A41BE0F">
            <w:pPr>
              <w:pStyle w:val="26"/>
              <w:tabs>
                <w:tab w:val="left" w:pos="850"/>
              </w:tabs>
              <w:autoSpaceDE w:val="0"/>
              <w:autoSpaceDN w:val="0"/>
              <w:spacing w:line="360" w:lineRule="auto"/>
              <w:ind w:right="10"/>
              <w:textAlignment w:val="bottom"/>
              <w:rPr>
                <w:highlight w:val="none"/>
              </w:rPr>
            </w:pPr>
          </w:p>
          <w:p w14:paraId="5FF18978">
            <w:pPr>
              <w:pStyle w:val="26"/>
              <w:tabs>
                <w:tab w:val="left" w:pos="850"/>
              </w:tabs>
              <w:autoSpaceDE w:val="0"/>
              <w:autoSpaceDN w:val="0"/>
              <w:spacing w:line="360" w:lineRule="auto"/>
              <w:ind w:right="10"/>
              <w:textAlignment w:val="bottom"/>
              <w:rPr>
                <w:highlight w:val="none"/>
              </w:rPr>
            </w:pPr>
          </w:p>
          <w:p w14:paraId="7F9614D2">
            <w:pPr>
              <w:pStyle w:val="26"/>
              <w:tabs>
                <w:tab w:val="left" w:pos="850"/>
              </w:tabs>
              <w:autoSpaceDE w:val="0"/>
              <w:autoSpaceDN w:val="0"/>
              <w:spacing w:line="360" w:lineRule="auto"/>
              <w:ind w:right="10"/>
              <w:textAlignment w:val="bottom"/>
              <w:rPr>
                <w:highlight w:val="none"/>
              </w:rPr>
            </w:pPr>
          </w:p>
          <w:p w14:paraId="47F586EF">
            <w:pPr>
              <w:pStyle w:val="26"/>
              <w:tabs>
                <w:tab w:val="left" w:pos="850"/>
              </w:tabs>
              <w:autoSpaceDE w:val="0"/>
              <w:autoSpaceDN w:val="0"/>
              <w:spacing w:line="360" w:lineRule="auto"/>
              <w:ind w:right="10"/>
              <w:textAlignment w:val="bottom"/>
              <w:rPr>
                <w:highlight w:val="none"/>
              </w:rPr>
            </w:pPr>
          </w:p>
        </w:tc>
        <w:tc>
          <w:tcPr>
            <w:tcW w:w="2397" w:type="pct"/>
            <w:vAlign w:val="center"/>
          </w:tcPr>
          <w:p w14:paraId="05AE7006">
            <w:pPr>
              <w:pStyle w:val="26"/>
              <w:tabs>
                <w:tab w:val="left" w:pos="850"/>
              </w:tabs>
              <w:autoSpaceDE w:val="0"/>
              <w:autoSpaceDN w:val="0"/>
              <w:spacing w:line="360" w:lineRule="auto"/>
              <w:ind w:right="10"/>
              <w:textAlignment w:val="bottom"/>
              <w:rPr>
                <w:highlight w:val="none"/>
              </w:rPr>
            </w:pPr>
            <w:r>
              <w:rPr>
                <w:rFonts w:hint="eastAsia" w:cs="宋体"/>
                <w:color w:val="000000"/>
                <w:highlight w:val="none"/>
              </w:rPr>
              <w:t>法定代表人或授权代表签字：</w:t>
            </w:r>
          </w:p>
          <w:p w14:paraId="33203D3E">
            <w:pPr>
              <w:pStyle w:val="26"/>
              <w:tabs>
                <w:tab w:val="left" w:pos="850"/>
              </w:tabs>
              <w:autoSpaceDE w:val="0"/>
              <w:autoSpaceDN w:val="0"/>
              <w:spacing w:line="360" w:lineRule="auto"/>
              <w:ind w:right="10"/>
              <w:textAlignment w:val="bottom"/>
              <w:rPr>
                <w:highlight w:val="none"/>
              </w:rPr>
            </w:pPr>
          </w:p>
          <w:p w14:paraId="20A08D54">
            <w:pPr>
              <w:pStyle w:val="26"/>
              <w:tabs>
                <w:tab w:val="left" w:pos="850"/>
              </w:tabs>
              <w:autoSpaceDE w:val="0"/>
              <w:autoSpaceDN w:val="0"/>
              <w:spacing w:line="360" w:lineRule="auto"/>
              <w:ind w:right="10"/>
              <w:textAlignment w:val="bottom"/>
              <w:rPr>
                <w:highlight w:val="none"/>
              </w:rPr>
            </w:pPr>
          </w:p>
          <w:p w14:paraId="0D111C59">
            <w:pPr>
              <w:pStyle w:val="26"/>
              <w:tabs>
                <w:tab w:val="left" w:pos="850"/>
              </w:tabs>
              <w:autoSpaceDE w:val="0"/>
              <w:autoSpaceDN w:val="0"/>
              <w:spacing w:line="360" w:lineRule="auto"/>
              <w:ind w:right="10"/>
              <w:textAlignment w:val="bottom"/>
              <w:rPr>
                <w:highlight w:val="none"/>
              </w:rPr>
            </w:pPr>
          </w:p>
          <w:p w14:paraId="1A1748DB">
            <w:pPr>
              <w:pStyle w:val="26"/>
              <w:tabs>
                <w:tab w:val="left" w:pos="850"/>
              </w:tabs>
              <w:autoSpaceDE w:val="0"/>
              <w:autoSpaceDN w:val="0"/>
              <w:spacing w:line="360" w:lineRule="auto"/>
              <w:ind w:right="10"/>
              <w:textAlignment w:val="bottom"/>
              <w:rPr>
                <w:highlight w:val="none"/>
              </w:rPr>
            </w:pPr>
          </w:p>
          <w:p w14:paraId="1260F265">
            <w:pPr>
              <w:pStyle w:val="26"/>
              <w:tabs>
                <w:tab w:val="left" w:pos="850"/>
              </w:tabs>
              <w:autoSpaceDE w:val="0"/>
              <w:autoSpaceDN w:val="0"/>
              <w:spacing w:line="360" w:lineRule="auto"/>
              <w:ind w:right="10"/>
              <w:textAlignment w:val="bottom"/>
              <w:rPr>
                <w:highlight w:val="none"/>
              </w:rPr>
            </w:pPr>
          </w:p>
        </w:tc>
      </w:tr>
    </w:tbl>
    <w:p w14:paraId="73E688F3">
      <w:pPr>
        <w:pStyle w:val="30"/>
        <w:spacing w:line="360" w:lineRule="auto"/>
        <w:ind w:left="527" w:right="10" w:hanging="527"/>
        <w:jc w:val="center"/>
        <w:outlineLvl w:val="9"/>
        <w:rPr>
          <w:rFonts w:ascii="Times New Roman"/>
          <w:highlight w:val="none"/>
          <w:lang w:eastAsia="zh-CN"/>
        </w:rPr>
      </w:pPr>
      <w:r>
        <w:rPr>
          <w:color w:val="000000"/>
          <w:highlight w:val="none"/>
          <w:lang w:eastAsia="zh-CN"/>
        </w:rPr>
        <w:br w:type="page"/>
      </w:r>
      <w:bookmarkStart w:id="55" w:name="_Toc297106668"/>
      <w:bookmarkStart w:id="56" w:name="_Toc256000003"/>
      <w:bookmarkStart w:id="57" w:name="_Toc306354338"/>
      <w:bookmarkStart w:id="58" w:name="_Toc300671189"/>
      <w:bookmarkStart w:id="59" w:name="_Toc297055766"/>
      <w:r>
        <w:rPr>
          <w:rFonts w:hint="eastAsia" w:ascii="Times New Roman" w:hAnsi="宋体" w:cs="宋体"/>
          <w:color w:val="000000"/>
          <w:sz w:val="36"/>
          <w:szCs w:val="36"/>
          <w:highlight w:val="none"/>
          <w:lang w:eastAsia="zh-CN"/>
        </w:rPr>
        <w:t>第二部分专用合同条款</w:t>
      </w:r>
      <w:bookmarkEnd w:id="55"/>
      <w:bookmarkEnd w:id="56"/>
      <w:bookmarkEnd w:id="57"/>
      <w:bookmarkEnd w:id="58"/>
      <w:bookmarkEnd w:id="59"/>
    </w:p>
    <w:p w14:paraId="73013E16">
      <w:pPr>
        <w:numPr>
          <w:ilvl w:val="0"/>
          <w:numId w:val="11"/>
        </w:numPr>
        <w:spacing w:before="360" w:after="360"/>
        <w:jc w:val="center"/>
        <w:rPr>
          <w:b/>
          <w:sz w:val="24"/>
          <w:szCs w:val="24"/>
          <w:highlight w:val="none"/>
        </w:rPr>
      </w:pPr>
      <w:bookmarkStart w:id="60" w:name="_Toc300671190"/>
      <w:bookmarkStart w:id="61" w:name="_Toc5889363"/>
      <w:bookmarkStart w:id="62" w:name="_Toc17390364"/>
      <w:bookmarkStart w:id="63" w:name="_Toc288567161"/>
      <w:r>
        <w:rPr>
          <w:rFonts w:hint="eastAsia"/>
          <w:b/>
          <w:sz w:val="24"/>
          <w:szCs w:val="24"/>
          <w:highlight w:val="none"/>
        </w:rPr>
        <w:t>付款</w:t>
      </w:r>
      <w:bookmarkEnd w:id="60"/>
      <w:bookmarkEnd w:id="61"/>
      <w:bookmarkEnd w:id="62"/>
    </w:p>
    <w:p w14:paraId="455D97CB">
      <w:pPr>
        <w:numPr>
          <w:ilvl w:val="0"/>
          <w:numId w:val="12"/>
        </w:numPr>
        <w:tabs>
          <w:tab w:val="left" w:pos="720"/>
          <w:tab w:val="left" w:pos="900"/>
          <w:tab w:val="left" w:pos="1080"/>
        </w:tabs>
        <w:spacing w:line="360" w:lineRule="auto"/>
        <w:ind w:left="720" w:hanging="720"/>
        <w:rPr>
          <w:rFonts w:hint="eastAsia" w:cs="宋体"/>
          <w:highlight w:val="none"/>
        </w:rPr>
      </w:pPr>
      <w:r>
        <w:rPr>
          <w:rFonts w:hint="eastAsia" w:cs="宋体"/>
          <w:highlight w:val="none"/>
        </w:rPr>
        <w:t>付款方式：</w:t>
      </w:r>
    </w:p>
    <w:p w14:paraId="4EF121DA">
      <w:pPr>
        <w:numPr>
          <w:ilvl w:val="0"/>
          <w:numId w:val="12"/>
        </w:numPr>
        <w:tabs>
          <w:tab w:val="left" w:pos="720"/>
          <w:tab w:val="left" w:pos="900"/>
          <w:tab w:val="left" w:pos="1080"/>
        </w:tabs>
        <w:spacing w:line="360" w:lineRule="auto"/>
        <w:ind w:left="720" w:hanging="720"/>
        <w:rPr>
          <w:highlight w:val="none"/>
        </w:rPr>
      </w:pPr>
      <w:r>
        <w:rPr>
          <w:rFonts w:hint="eastAsia" w:cs="宋体"/>
          <w:highlight w:val="none"/>
        </w:rPr>
        <w:t>对于本合同的合同价款，双方同意按照以下方式予以支付：</w:t>
      </w:r>
    </w:p>
    <w:p w14:paraId="5380D050">
      <w:pPr>
        <w:widowControl w:val="0"/>
        <w:tabs>
          <w:tab w:val="left" w:pos="1260"/>
        </w:tabs>
        <w:spacing w:line="360" w:lineRule="auto"/>
        <w:ind w:left="825"/>
        <w:jc w:val="both"/>
        <w:rPr>
          <w:rFonts w:hint="eastAsia" w:ascii="宋体" w:hAnsi="宋体" w:cs="宋体"/>
          <w:highlight w:val="none"/>
        </w:rPr>
      </w:pPr>
      <w:r>
        <w:rPr>
          <w:rFonts w:hint="eastAsia" w:ascii="宋体" w:hAnsi="宋体" w:cs="宋体"/>
          <w:highlight w:val="none"/>
        </w:rPr>
        <w:t>（1) 月度付款。卖方与买方执行方在每月第15日前确认上个月经买方执行方验收合格后的实际发生的采购订单量，自检验或验收合格之日起，卖方3日内向买方执行方提供与上个月度采购订单总价款相应的有效增值税专用发票及相关支持文件，买方执行方于</w:t>
      </w:r>
      <w:r>
        <w:rPr>
          <w:rFonts w:hint="eastAsia" w:ascii="宋体" w:hAnsi="宋体" w:cs="宋体"/>
          <w:highlight w:val="none"/>
          <w:lang w:val="en-US" w:eastAsia="zh-CN"/>
        </w:rPr>
        <w:t>45</w:t>
      </w:r>
      <w:r>
        <w:rPr>
          <w:rFonts w:hint="eastAsia" w:ascii="宋体" w:hAnsi="宋体" w:cs="宋体"/>
          <w:highlight w:val="none"/>
        </w:rPr>
        <w:t>日内支付上个月度的订单总价款（具体见买方执行用户下达的采购订单中的要求）。</w:t>
      </w:r>
    </w:p>
    <w:p w14:paraId="518BE0E1">
      <w:pPr>
        <w:widowControl w:val="0"/>
        <w:tabs>
          <w:tab w:val="left" w:pos="1260"/>
        </w:tabs>
        <w:spacing w:line="360" w:lineRule="auto"/>
        <w:ind w:left="825"/>
        <w:jc w:val="both"/>
        <w:rPr>
          <w:rFonts w:ascii="宋体" w:hAnsi="宋体" w:cs="宋体"/>
          <w:highlight w:val="none"/>
        </w:rPr>
      </w:pPr>
      <w:r>
        <w:rPr>
          <w:rFonts w:hint="eastAsia" w:ascii="宋体" w:hAnsi="宋体" w:cs="宋体"/>
          <w:highlight w:val="none"/>
        </w:rPr>
        <w:t>（2)</w:t>
      </w:r>
      <w:r>
        <w:rPr>
          <w:rFonts w:ascii="宋体" w:hAnsi="宋体" w:cs="宋体"/>
          <w:highlight w:val="none"/>
        </w:rPr>
        <w:t xml:space="preserve"> </w:t>
      </w:r>
      <w:r>
        <w:rPr>
          <w:rFonts w:hint="eastAsia" w:ascii="宋体" w:hAnsi="宋体" w:cs="宋体"/>
          <w:highlight w:val="none"/>
        </w:rPr>
        <w:t>按照交货批次付款。卖方在每批次实际交付货物并经买方执行方验收合格之日起，卖方3日内向买方执行方提供有效增值税专用发票及相关支持文件，买方执行方于45</w:t>
      </w:r>
      <w:r>
        <w:rPr>
          <w:rFonts w:hint="eastAsia" w:ascii="宋体" w:hAnsi="宋体" w:cs="宋体"/>
          <w:highlight w:val="none"/>
          <w:lang w:val="en-US" w:eastAsia="zh-CN"/>
        </w:rPr>
        <w:t>日/个工作日</w:t>
      </w:r>
      <w:r>
        <w:rPr>
          <w:rFonts w:hint="eastAsia" w:ascii="宋体" w:hAnsi="宋体" w:cs="宋体"/>
          <w:highlight w:val="none"/>
        </w:rPr>
        <w:t>内支付款订单价款（具体见买方执行用户下达的采购订单中的要求）。</w:t>
      </w:r>
    </w:p>
    <w:p w14:paraId="3C1CAEDB">
      <w:pPr>
        <w:numPr>
          <w:ilvl w:val="0"/>
          <w:numId w:val="12"/>
        </w:numPr>
        <w:tabs>
          <w:tab w:val="left" w:pos="720"/>
          <w:tab w:val="left" w:pos="1080"/>
        </w:tabs>
        <w:spacing w:line="360" w:lineRule="auto"/>
        <w:ind w:left="540" w:hanging="540"/>
        <w:rPr>
          <w:highlight w:val="none"/>
        </w:rPr>
      </w:pPr>
      <w:r>
        <w:rPr>
          <w:rFonts w:hint="eastAsia" w:cs="宋体"/>
          <w:highlight w:val="none"/>
        </w:rPr>
        <w:t>账户</w:t>
      </w:r>
    </w:p>
    <w:p w14:paraId="285683B4">
      <w:pPr>
        <w:numPr>
          <w:ilvl w:val="0"/>
          <w:numId w:val="13"/>
        </w:numPr>
        <w:tabs>
          <w:tab w:val="left" w:pos="1260"/>
        </w:tabs>
        <w:spacing w:line="360" w:lineRule="auto"/>
        <w:ind w:hanging="116"/>
        <w:rPr>
          <w:rFonts w:cs="宋体"/>
          <w:highlight w:val="none"/>
        </w:rPr>
      </w:pPr>
      <w:r>
        <w:rPr>
          <w:rFonts w:cs="宋体"/>
          <w:highlight w:val="none"/>
        </w:rPr>
        <w:t>卖方</w:t>
      </w:r>
      <w:r>
        <w:rPr>
          <w:rFonts w:hint="eastAsia" w:cs="宋体"/>
          <w:highlight w:val="none"/>
        </w:rPr>
        <w:t>账户</w:t>
      </w:r>
      <w:r>
        <w:rPr>
          <w:rFonts w:cs="宋体"/>
          <w:highlight w:val="none"/>
        </w:rPr>
        <w:t>信息</w:t>
      </w:r>
    </w:p>
    <w:p w14:paraId="6BB18B28">
      <w:pPr>
        <w:tabs>
          <w:tab w:val="left" w:pos="1260"/>
        </w:tabs>
        <w:spacing w:line="360" w:lineRule="auto"/>
        <w:ind w:left="825"/>
        <w:rPr>
          <w:rFonts w:cs="宋体"/>
          <w:highlight w:val="none"/>
        </w:rPr>
      </w:pPr>
      <w:r>
        <w:rPr>
          <w:rFonts w:hint="eastAsia" w:cs="宋体"/>
          <w:highlight w:val="none"/>
        </w:rPr>
        <w:t>卖方应通过如下账户收取合同价款及其它款项，并通过该账户向买方支付与合同有关的任何款项：</w:t>
      </w:r>
    </w:p>
    <w:p w14:paraId="08E7301F">
      <w:pPr>
        <w:tabs>
          <w:tab w:val="left" w:pos="709"/>
        </w:tabs>
        <w:spacing w:line="360" w:lineRule="auto"/>
        <w:ind w:left="708" w:leftChars="337"/>
        <w:rPr>
          <w:rFonts w:ascii="宋体" w:hAnsi="宋体"/>
          <w:b/>
          <w:szCs w:val="21"/>
          <w:highlight w:val="none"/>
        </w:rPr>
      </w:pPr>
      <w:r>
        <w:rPr>
          <w:rFonts w:hint="eastAsia" w:ascii="宋体" w:hAnsi="宋体"/>
          <w:b/>
          <w:szCs w:val="21"/>
          <w:highlight w:val="none"/>
        </w:rPr>
        <w:t>开户单位：</w:t>
      </w:r>
      <w:r>
        <w:rPr>
          <w:rFonts w:ascii="宋体" w:hAnsi="宋体"/>
          <w:b/>
          <w:szCs w:val="21"/>
          <w:highlight w:val="none"/>
        </w:rPr>
        <w:t xml:space="preserve"> </w:t>
      </w:r>
    </w:p>
    <w:p w14:paraId="0126F609">
      <w:pPr>
        <w:tabs>
          <w:tab w:val="left" w:pos="709"/>
        </w:tabs>
        <w:spacing w:line="360" w:lineRule="auto"/>
        <w:ind w:left="708" w:leftChars="337"/>
        <w:rPr>
          <w:rFonts w:ascii="宋体" w:hAnsi="宋体"/>
          <w:b/>
          <w:szCs w:val="21"/>
          <w:highlight w:val="none"/>
        </w:rPr>
      </w:pPr>
      <w:r>
        <w:rPr>
          <w:rFonts w:hint="eastAsia" w:ascii="宋体" w:hAnsi="宋体"/>
          <w:b/>
          <w:szCs w:val="21"/>
          <w:highlight w:val="none"/>
        </w:rPr>
        <w:t xml:space="preserve">开户银行： </w:t>
      </w:r>
    </w:p>
    <w:p w14:paraId="17FD8E60">
      <w:pPr>
        <w:tabs>
          <w:tab w:val="left" w:pos="709"/>
        </w:tabs>
        <w:spacing w:line="360" w:lineRule="auto"/>
        <w:ind w:left="708" w:leftChars="337"/>
        <w:rPr>
          <w:rFonts w:ascii="宋体" w:hAnsi="宋体"/>
          <w:b/>
          <w:szCs w:val="21"/>
          <w:highlight w:val="none"/>
        </w:rPr>
      </w:pPr>
      <w:r>
        <w:rPr>
          <w:rFonts w:hint="eastAsia" w:ascii="宋体" w:hAnsi="宋体"/>
          <w:b/>
          <w:szCs w:val="21"/>
          <w:highlight w:val="none"/>
        </w:rPr>
        <w:t>账号：</w:t>
      </w:r>
    </w:p>
    <w:p w14:paraId="1EDBD2CF">
      <w:pPr>
        <w:tabs>
          <w:tab w:val="left" w:pos="709"/>
        </w:tabs>
        <w:spacing w:line="360" w:lineRule="auto"/>
        <w:ind w:left="708" w:leftChars="337"/>
        <w:rPr>
          <w:rFonts w:ascii="宋体" w:hAnsi="宋体"/>
          <w:b/>
          <w:szCs w:val="21"/>
          <w:highlight w:val="none"/>
        </w:rPr>
      </w:pPr>
      <w:r>
        <w:rPr>
          <w:rFonts w:hint="eastAsia" w:ascii="宋体" w:hAnsi="宋体"/>
          <w:b/>
          <w:szCs w:val="21"/>
          <w:highlight w:val="none"/>
        </w:rPr>
        <w:t>税号：</w:t>
      </w:r>
    </w:p>
    <w:p w14:paraId="2733AABE">
      <w:pPr>
        <w:numPr>
          <w:ilvl w:val="0"/>
          <w:numId w:val="13"/>
        </w:numPr>
        <w:tabs>
          <w:tab w:val="left" w:pos="1260"/>
        </w:tabs>
        <w:spacing w:line="360" w:lineRule="auto"/>
        <w:ind w:hanging="116"/>
        <w:rPr>
          <w:rFonts w:cs="宋体"/>
          <w:highlight w:val="none"/>
        </w:rPr>
      </w:pPr>
      <w:r>
        <w:rPr>
          <w:rFonts w:cs="宋体"/>
          <w:highlight w:val="none"/>
        </w:rPr>
        <w:t>买方开票信息</w:t>
      </w:r>
    </w:p>
    <w:p w14:paraId="53587806">
      <w:pPr>
        <w:tabs>
          <w:tab w:val="left" w:pos="3060"/>
        </w:tabs>
        <w:spacing w:line="360" w:lineRule="auto"/>
        <w:ind w:left="628" w:leftChars="299"/>
        <w:rPr>
          <w:highlight w:val="none"/>
        </w:rPr>
      </w:pPr>
      <w:r>
        <w:rPr>
          <w:highlight w:val="none"/>
        </w:rPr>
        <w:t>按照买方执行方开票信息执行</w:t>
      </w:r>
      <w:r>
        <w:rPr>
          <w:rFonts w:hint="eastAsia"/>
          <w:highlight w:val="none"/>
        </w:rPr>
        <w:t>，</w:t>
      </w:r>
      <w:r>
        <w:rPr>
          <w:highlight w:val="none"/>
        </w:rPr>
        <w:t>具体开票信息及相关要求详见《采购订单</w:t>
      </w:r>
      <w:r>
        <w:rPr>
          <w:rFonts w:hint="eastAsia"/>
          <w:highlight w:val="none"/>
        </w:rPr>
        <w:t>》</w:t>
      </w:r>
      <w:r>
        <w:rPr>
          <w:highlight w:val="none"/>
        </w:rPr>
        <w:t>的要求</w:t>
      </w:r>
      <w:r>
        <w:rPr>
          <w:rFonts w:hint="eastAsia"/>
          <w:highlight w:val="none"/>
        </w:rPr>
        <w:t>。</w:t>
      </w:r>
    </w:p>
    <w:p w14:paraId="7381A177">
      <w:pPr>
        <w:numPr>
          <w:ilvl w:val="0"/>
          <w:numId w:val="11"/>
        </w:numPr>
        <w:spacing w:before="360" w:after="360"/>
        <w:jc w:val="center"/>
        <w:rPr>
          <w:b/>
          <w:sz w:val="24"/>
          <w:szCs w:val="24"/>
          <w:highlight w:val="none"/>
        </w:rPr>
      </w:pPr>
      <w:bookmarkStart w:id="64" w:name="_Toc287657101"/>
      <w:bookmarkStart w:id="65" w:name="_Toc287364269"/>
      <w:bookmarkStart w:id="66" w:name="_Toc17390365"/>
      <w:bookmarkStart w:id="67" w:name="_Toc5889364"/>
      <w:bookmarkStart w:id="68" w:name="_Toc288567129"/>
      <w:bookmarkStart w:id="69" w:name="_Toc300671191"/>
      <w:r>
        <w:rPr>
          <w:rFonts w:hint="eastAsia"/>
          <w:b/>
          <w:sz w:val="24"/>
          <w:szCs w:val="24"/>
          <w:highlight w:val="none"/>
        </w:rPr>
        <w:t>订货方式</w:t>
      </w:r>
      <w:bookmarkEnd w:id="64"/>
      <w:bookmarkEnd w:id="65"/>
      <w:bookmarkEnd w:id="66"/>
      <w:bookmarkEnd w:id="67"/>
      <w:bookmarkEnd w:id="68"/>
      <w:bookmarkEnd w:id="69"/>
    </w:p>
    <w:p w14:paraId="21B61A49">
      <w:pPr>
        <w:numPr>
          <w:ilvl w:val="0"/>
          <w:numId w:val="14"/>
        </w:numPr>
        <w:tabs>
          <w:tab w:val="left" w:pos="720"/>
          <w:tab w:val="left" w:pos="3060"/>
          <w:tab w:val="clear" w:pos="1468"/>
        </w:tabs>
        <w:spacing w:line="360" w:lineRule="auto"/>
        <w:ind w:left="720" w:hanging="720"/>
        <w:rPr>
          <w:highlight w:val="none"/>
        </w:rPr>
      </w:pPr>
      <w:r>
        <w:rPr>
          <w:rFonts w:hint="eastAsia" w:cs="宋体"/>
          <w:highlight w:val="none"/>
        </w:rPr>
        <w:t>本合同有效期内，买方执行方应以签署《采购订单》的形式一次或分批向卖方选购本合同约定范围内的货物。《采购订单》的格式（详见本合同附件三）；</w:t>
      </w:r>
    </w:p>
    <w:p w14:paraId="11142D16">
      <w:pPr>
        <w:numPr>
          <w:ilvl w:val="0"/>
          <w:numId w:val="14"/>
        </w:numPr>
        <w:tabs>
          <w:tab w:val="left" w:pos="720"/>
          <w:tab w:val="left" w:pos="3060"/>
          <w:tab w:val="clear" w:pos="1468"/>
        </w:tabs>
        <w:spacing w:line="360" w:lineRule="auto"/>
        <w:ind w:left="720" w:hanging="720"/>
        <w:rPr>
          <w:rFonts w:cs="宋体"/>
          <w:highlight w:val="none"/>
        </w:rPr>
      </w:pPr>
      <w:r>
        <w:rPr>
          <w:rFonts w:hint="eastAsia" w:cs="宋体"/>
          <w:highlight w:val="none"/>
        </w:rPr>
        <w:t>买方执行方应至少</w:t>
      </w:r>
      <w:r>
        <w:rPr>
          <w:rFonts w:cs="宋体"/>
          <w:highlight w:val="none"/>
        </w:rPr>
        <w:t>提前</w:t>
      </w:r>
      <w:r>
        <w:rPr>
          <w:rFonts w:hint="eastAsia" w:cs="宋体"/>
          <w:highlight w:val="none"/>
        </w:rPr>
        <w:t>120小时下订单，如遇特殊情况，以买方执行方的实际要求为准；</w:t>
      </w:r>
    </w:p>
    <w:p w14:paraId="56E1D45A">
      <w:pPr>
        <w:numPr>
          <w:ilvl w:val="0"/>
          <w:numId w:val="14"/>
        </w:numPr>
        <w:tabs>
          <w:tab w:val="left" w:pos="720"/>
          <w:tab w:val="left" w:pos="3060"/>
          <w:tab w:val="clear" w:pos="1468"/>
        </w:tabs>
        <w:spacing w:line="360" w:lineRule="auto"/>
        <w:ind w:left="720" w:hanging="720"/>
        <w:rPr>
          <w:highlight w:val="none"/>
        </w:rPr>
      </w:pPr>
      <w:r>
        <w:rPr>
          <w:rFonts w:hint="eastAsia" w:cs="宋体"/>
          <w:highlight w:val="none"/>
        </w:rPr>
        <w:t>卖方应当自收到采购订单之日起120小时</w:t>
      </w:r>
      <w:r>
        <w:rPr>
          <w:rFonts w:hint="eastAsia"/>
          <w:highlight w:val="none"/>
        </w:rPr>
        <w:t>内将</w:t>
      </w:r>
      <w:r>
        <w:rPr>
          <w:rFonts w:hint="eastAsia" w:cs="宋体"/>
          <w:highlight w:val="none"/>
        </w:rPr>
        <w:t>签字盖章的采购订单递送至买方执行方；</w:t>
      </w:r>
    </w:p>
    <w:p w14:paraId="22FD4CC6">
      <w:pPr>
        <w:numPr>
          <w:ilvl w:val="0"/>
          <w:numId w:val="14"/>
        </w:numPr>
        <w:tabs>
          <w:tab w:val="left" w:pos="720"/>
          <w:tab w:val="left" w:pos="3060"/>
          <w:tab w:val="clear" w:pos="1468"/>
        </w:tabs>
        <w:spacing w:line="360" w:lineRule="auto"/>
        <w:ind w:left="720" w:hanging="720"/>
        <w:rPr>
          <w:highlight w:val="none"/>
        </w:rPr>
      </w:pPr>
      <w:r>
        <w:rPr>
          <w:rFonts w:hint="eastAsia" w:cs="宋体"/>
          <w:highlight w:val="none"/>
        </w:rPr>
        <w:t>采购订单由双方签字盖章后即生效；</w:t>
      </w:r>
    </w:p>
    <w:p w14:paraId="20EDF1A2">
      <w:pPr>
        <w:numPr>
          <w:ilvl w:val="0"/>
          <w:numId w:val="14"/>
        </w:numPr>
        <w:tabs>
          <w:tab w:val="left" w:pos="720"/>
          <w:tab w:val="left" w:pos="3060"/>
          <w:tab w:val="clear" w:pos="1468"/>
        </w:tabs>
        <w:spacing w:line="360" w:lineRule="auto"/>
        <w:ind w:left="720" w:hanging="720"/>
        <w:rPr>
          <w:highlight w:val="none"/>
        </w:rPr>
      </w:pPr>
      <w:r>
        <w:rPr>
          <w:rFonts w:hint="eastAsia" w:cs="宋体"/>
          <w:highlight w:val="none"/>
        </w:rPr>
        <w:t>卖方按照采购订单的要求向买方执行方及时交付货物；</w:t>
      </w:r>
    </w:p>
    <w:p w14:paraId="21F9407F">
      <w:pPr>
        <w:numPr>
          <w:ilvl w:val="0"/>
          <w:numId w:val="14"/>
        </w:numPr>
        <w:tabs>
          <w:tab w:val="left" w:pos="720"/>
          <w:tab w:val="left" w:pos="3060"/>
          <w:tab w:val="clear" w:pos="1468"/>
        </w:tabs>
        <w:spacing w:line="360" w:lineRule="auto"/>
        <w:ind w:left="720" w:hanging="720"/>
        <w:rPr>
          <w:rFonts w:cs="宋体"/>
          <w:highlight w:val="none"/>
        </w:rPr>
      </w:pPr>
      <w:r>
        <w:rPr>
          <w:rFonts w:hint="eastAsia" w:cs="宋体"/>
          <w:highlight w:val="none"/>
        </w:rPr>
        <w:t>货物送到买方执行方指定地点后，买方执行方应及时组织验收。双方按照国家或行业有关标准或合同技术要求共同核实规格、数量、交验计量标准、检验或试验等项目；</w:t>
      </w:r>
    </w:p>
    <w:p w14:paraId="1D4E8E0D">
      <w:pPr>
        <w:tabs>
          <w:tab w:val="left" w:pos="3060"/>
        </w:tabs>
        <w:spacing w:line="360" w:lineRule="auto"/>
        <w:ind w:left="720"/>
        <w:rPr>
          <w:rFonts w:cs="宋体"/>
          <w:highlight w:val="none"/>
        </w:rPr>
      </w:pPr>
      <w:r>
        <w:rPr>
          <w:rFonts w:hint="eastAsia" w:cs="宋体"/>
          <w:highlight w:val="none"/>
        </w:rPr>
        <w:t>买方执行方依据合同付款条款和</w:t>
      </w:r>
      <w:r>
        <w:rPr>
          <w:rFonts w:cs="宋体"/>
          <w:highlight w:val="none"/>
        </w:rPr>
        <w:t>《采购订单</w:t>
      </w:r>
      <w:r>
        <w:rPr>
          <w:rFonts w:hint="eastAsia" w:cs="宋体"/>
          <w:highlight w:val="none"/>
        </w:rPr>
        <w:t>》的具体要求为卖方办理付款手续。</w:t>
      </w:r>
    </w:p>
    <w:p w14:paraId="0D0A0685">
      <w:pPr>
        <w:numPr>
          <w:ilvl w:val="0"/>
          <w:numId w:val="11"/>
        </w:numPr>
        <w:spacing w:before="360" w:after="360"/>
        <w:jc w:val="center"/>
        <w:rPr>
          <w:b/>
          <w:sz w:val="24"/>
          <w:szCs w:val="24"/>
          <w:highlight w:val="none"/>
        </w:rPr>
      </w:pPr>
      <w:bookmarkStart w:id="70" w:name="_Toc5889365"/>
      <w:bookmarkStart w:id="71" w:name="_Toc300671192"/>
      <w:bookmarkStart w:id="72" w:name="_Toc17390366"/>
      <w:r>
        <w:rPr>
          <w:rFonts w:hint="eastAsia"/>
          <w:b/>
          <w:sz w:val="24"/>
          <w:szCs w:val="24"/>
          <w:highlight w:val="none"/>
        </w:rPr>
        <w:t>交货和运输</w:t>
      </w:r>
      <w:bookmarkEnd w:id="70"/>
      <w:bookmarkEnd w:id="71"/>
      <w:bookmarkEnd w:id="72"/>
    </w:p>
    <w:p w14:paraId="3C89C089">
      <w:pPr>
        <w:numPr>
          <w:ilvl w:val="0"/>
          <w:numId w:val="15"/>
        </w:numPr>
        <w:tabs>
          <w:tab w:val="left" w:pos="720"/>
          <w:tab w:val="clear" w:pos="1468"/>
        </w:tabs>
        <w:spacing w:line="360" w:lineRule="auto"/>
        <w:ind w:left="720" w:hanging="720"/>
        <w:rPr>
          <w:highlight w:val="none"/>
        </w:rPr>
      </w:pPr>
      <w:r>
        <w:rPr>
          <w:rFonts w:hint="eastAsia" w:cs="宋体"/>
          <w:highlight w:val="none"/>
        </w:rPr>
        <w:t>本合同项下每批货物的供货范围、交货日期、交货地点等以采购订单为准。</w:t>
      </w:r>
    </w:p>
    <w:p w14:paraId="052A44BA">
      <w:pPr>
        <w:numPr>
          <w:ilvl w:val="0"/>
          <w:numId w:val="15"/>
        </w:numPr>
        <w:tabs>
          <w:tab w:val="left" w:pos="720"/>
          <w:tab w:val="clear" w:pos="1468"/>
        </w:tabs>
        <w:spacing w:line="360" w:lineRule="auto"/>
        <w:ind w:left="720" w:hanging="720"/>
        <w:rPr>
          <w:rFonts w:cs="宋体"/>
          <w:highlight w:val="none"/>
        </w:rPr>
      </w:pPr>
      <w:r>
        <w:rPr>
          <w:rFonts w:hint="eastAsia" w:cs="宋体"/>
          <w:highlight w:val="none"/>
        </w:rPr>
        <w:t>本合同项下的货物由卖方负责运输并承担与运输、包装等事项相关的全部费用。本合同项下货物的运输方式为：国内：汽车运输、船运、铁路等。</w:t>
      </w:r>
    </w:p>
    <w:p w14:paraId="65823BC7">
      <w:pPr>
        <w:numPr>
          <w:ilvl w:val="0"/>
          <w:numId w:val="15"/>
        </w:numPr>
        <w:tabs>
          <w:tab w:val="left" w:pos="720"/>
          <w:tab w:val="clear" w:pos="1468"/>
        </w:tabs>
        <w:spacing w:line="360" w:lineRule="auto"/>
        <w:ind w:left="720" w:hanging="720"/>
        <w:rPr>
          <w:rFonts w:cs="宋体"/>
          <w:highlight w:val="none"/>
        </w:rPr>
      </w:pPr>
      <w:r>
        <w:rPr>
          <w:rFonts w:hint="eastAsia" w:cs="宋体"/>
          <w:highlight w:val="none"/>
        </w:rPr>
        <w:t>本合同项下货物的包装方式为：</w:t>
      </w:r>
      <w:r>
        <w:rPr>
          <w:rFonts w:hint="eastAsia" w:cs="宋体"/>
          <w:b/>
          <w:highlight w:val="none"/>
        </w:rPr>
        <w:t>详</w:t>
      </w:r>
      <w:r>
        <w:rPr>
          <w:rFonts w:hint="eastAsia"/>
          <w:b/>
          <w:highlight w:val="none"/>
        </w:rPr>
        <w:t>见本合同附件二</w:t>
      </w:r>
      <w:r>
        <w:rPr>
          <w:rFonts w:hint="eastAsia" w:cs="宋体"/>
          <w:highlight w:val="none"/>
        </w:rPr>
        <w:t>。</w:t>
      </w:r>
    </w:p>
    <w:p w14:paraId="532DA540">
      <w:pPr>
        <w:numPr>
          <w:ilvl w:val="0"/>
          <w:numId w:val="15"/>
        </w:numPr>
        <w:tabs>
          <w:tab w:val="left" w:pos="720"/>
          <w:tab w:val="clear" w:pos="1468"/>
        </w:tabs>
        <w:spacing w:line="360" w:lineRule="auto"/>
        <w:ind w:left="720" w:hanging="720"/>
        <w:rPr>
          <w:highlight w:val="none"/>
        </w:rPr>
      </w:pPr>
      <w:r>
        <w:rPr>
          <w:rFonts w:hint="eastAsia" w:cs="宋体"/>
          <w:highlight w:val="none"/>
        </w:rPr>
        <w:t>买方对交货日期及交货地点有特殊要求的，可以在采购订单中提出。</w:t>
      </w:r>
    </w:p>
    <w:p w14:paraId="51E22288">
      <w:pPr>
        <w:numPr>
          <w:ilvl w:val="0"/>
          <w:numId w:val="15"/>
        </w:numPr>
        <w:tabs>
          <w:tab w:val="left" w:pos="720"/>
          <w:tab w:val="clear" w:pos="1468"/>
        </w:tabs>
        <w:spacing w:line="360" w:lineRule="auto"/>
        <w:ind w:left="720" w:hanging="720"/>
        <w:rPr>
          <w:highlight w:val="none"/>
        </w:rPr>
      </w:pPr>
      <w:r>
        <w:rPr>
          <w:rFonts w:hint="eastAsia" w:cs="宋体"/>
          <w:highlight w:val="none"/>
        </w:rPr>
        <w:t>在货物交付运输后2日内，卖方应通过（亲自递送、特快专递、传真、电子邮件等）向买方提供以下资料，具体以买方通知为准：</w:t>
      </w:r>
    </w:p>
    <w:p w14:paraId="1E31B3C5">
      <w:pPr>
        <w:numPr>
          <w:ilvl w:val="1"/>
          <w:numId w:val="15"/>
        </w:numPr>
        <w:tabs>
          <w:tab w:val="left" w:pos="993"/>
          <w:tab w:val="left" w:pos="1260"/>
        </w:tabs>
        <w:spacing w:line="360" w:lineRule="auto"/>
        <w:ind w:hanging="105"/>
        <w:rPr>
          <w:highlight w:val="none"/>
        </w:rPr>
      </w:pPr>
      <w:r>
        <w:rPr>
          <w:rFonts w:hint="eastAsia" w:cs="宋体"/>
          <w:highlight w:val="none"/>
        </w:rPr>
        <w:t>发货清单（发货清单的格式，详见本合同附件三）；</w:t>
      </w:r>
    </w:p>
    <w:p w14:paraId="0974A6C6">
      <w:pPr>
        <w:numPr>
          <w:ilvl w:val="1"/>
          <w:numId w:val="15"/>
        </w:numPr>
        <w:tabs>
          <w:tab w:val="left" w:pos="993"/>
          <w:tab w:val="left" w:pos="1260"/>
        </w:tabs>
        <w:spacing w:line="360" w:lineRule="auto"/>
        <w:ind w:hanging="105"/>
        <w:rPr>
          <w:highlight w:val="none"/>
        </w:rPr>
      </w:pPr>
      <w:r>
        <w:rPr>
          <w:rFonts w:hint="eastAsia" w:cs="宋体"/>
          <w:highlight w:val="none"/>
        </w:rPr>
        <w:t>出厂合格证书；</w:t>
      </w:r>
    </w:p>
    <w:p w14:paraId="230B168F">
      <w:pPr>
        <w:numPr>
          <w:ilvl w:val="1"/>
          <w:numId w:val="15"/>
        </w:numPr>
        <w:tabs>
          <w:tab w:val="left" w:pos="993"/>
          <w:tab w:val="left" w:pos="1260"/>
        </w:tabs>
        <w:spacing w:line="360" w:lineRule="auto"/>
        <w:ind w:hanging="105"/>
        <w:rPr>
          <w:highlight w:val="none"/>
        </w:rPr>
      </w:pPr>
      <w:r>
        <w:rPr>
          <w:rFonts w:hint="eastAsia" w:cs="宋体"/>
          <w:highlight w:val="none"/>
        </w:rPr>
        <w:t>相关证书、报告，如材质证、第三方检验合格证书及检验报告等；</w:t>
      </w:r>
    </w:p>
    <w:p w14:paraId="24A7EDFC">
      <w:pPr>
        <w:numPr>
          <w:ilvl w:val="1"/>
          <w:numId w:val="15"/>
        </w:numPr>
        <w:tabs>
          <w:tab w:val="left" w:pos="993"/>
          <w:tab w:val="left" w:pos="1260"/>
        </w:tabs>
        <w:spacing w:line="360" w:lineRule="auto"/>
        <w:ind w:hanging="105"/>
        <w:rPr>
          <w:highlight w:val="none"/>
        </w:rPr>
      </w:pPr>
      <w:r>
        <w:rPr>
          <w:rFonts w:hint="eastAsia" w:cs="宋体"/>
          <w:highlight w:val="none"/>
        </w:rPr>
        <w:t>安装／操作／维修使用说明书；</w:t>
      </w:r>
    </w:p>
    <w:p w14:paraId="274E91B4">
      <w:pPr>
        <w:numPr>
          <w:ilvl w:val="1"/>
          <w:numId w:val="15"/>
        </w:numPr>
        <w:tabs>
          <w:tab w:val="left" w:pos="993"/>
          <w:tab w:val="left" w:pos="1260"/>
        </w:tabs>
        <w:spacing w:line="360" w:lineRule="auto"/>
        <w:ind w:hanging="105"/>
        <w:rPr>
          <w:rFonts w:cs="宋体"/>
          <w:highlight w:val="none"/>
        </w:rPr>
      </w:pPr>
      <w:r>
        <w:rPr>
          <w:rFonts w:hint="eastAsia" w:cs="宋体"/>
          <w:highlight w:val="none"/>
        </w:rPr>
        <w:t>领货凭证；</w:t>
      </w:r>
    </w:p>
    <w:p w14:paraId="5CE2ADD5">
      <w:pPr>
        <w:numPr>
          <w:ilvl w:val="1"/>
          <w:numId w:val="15"/>
        </w:numPr>
        <w:tabs>
          <w:tab w:val="left" w:pos="993"/>
          <w:tab w:val="left" w:pos="1260"/>
        </w:tabs>
        <w:spacing w:line="360" w:lineRule="auto"/>
        <w:ind w:hanging="105"/>
        <w:rPr>
          <w:highlight w:val="none"/>
        </w:rPr>
      </w:pPr>
      <w:r>
        <w:rPr>
          <w:rFonts w:hint="eastAsia" w:cs="宋体"/>
          <w:highlight w:val="none"/>
        </w:rPr>
        <w:t>相关证书、报告，如材质证、第三方检验合格证书及检验报告等；</w:t>
      </w:r>
    </w:p>
    <w:p w14:paraId="7C4AB648">
      <w:pPr>
        <w:numPr>
          <w:ilvl w:val="1"/>
          <w:numId w:val="15"/>
        </w:numPr>
        <w:tabs>
          <w:tab w:val="left" w:pos="993"/>
          <w:tab w:val="left" w:pos="1260"/>
        </w:tabs>
        <w:spacing w:line="360" w:lineRule="auto"/>
        <w:ind w:hanging="105"/>
        <w:rPr>
          <w:rFonts w:cs="宋体"/>
          <w:highlight w:val="none"/>
        </w:rPr>
      </w:pPr>
      <w:r>
        <w:rPr>
          <w:rFonts w:hint="eastAsia" w:cs="宋体"/>
          <w:highlight w:val="none"/>
        </w:rPr>
        <w:t>产品MSDS一份；</w:t>
      </w:r>
    </w:p>
    <w:p w14:paraId="6CA3FA5E">
      <w:pPr>
        <w:numPr>
          <w:ilvl w:val="1"/>
          <w:numId w:val="15"/>
        </w:numPr>
        <w:tabs>
          <w:tab w:val="left" w:pos="993"/>
          <w:tab w:val="left" w:pos="1260"/>
        </w:tabs>
        <w:spacing w:line="360" w:lineRule="auto"/>
        <w:ind w:hanging="105"/>
        <w:rPr>
          <w:rFonts w:cs="宋体"/>
          <w:highlight w:val="none"/>
        </w:rPr>
      </w:pPr>
      <w:r>
        <w:rPr>
          <w:rFonts w:hint="eastAsia" w:cs="宋体"/>
          <w:highlight w:val="none"/>
        </w:rPr>
        <w:t>合同技术要求中规定的</w:t>
      </w:r>
      <w:r>
        <w:rPr>
          <w:rFonts w:hint="eastAsia" w:cs="宋体"/>
          <w:highlight w:val="none"/>
          <w:lang w:eastAsia="zh-CN"/>
        </w:rPr>
        <w:t>其它</w:t>
      </w:r>
      <w:r>
        <w:rPr>
          <w:rFonts w:hint="eastAsia" w:cs="宋体"/>
          <w:highlight w:val="none"/>
        </w:rPr>
        <w:t>资料及证书一份。</w:t>
      </w:r>
    </w:p>
    <w:p w14:paraId="52B3A5A3">
      <w:pPr>
        <w:tabs>
          <w:tab w:val="left" w:pos="720"/>
          <w:tab w:val="left" w:pos="993"/>
        </w:tabs>
        <w:spacing w:line="360" w:lineRule="auto"/>
        <w:ind w:left="720"/>
        <w:rPr>
          <w:rFonts w:cs="宋体"/>
          <w:highlight w:val="none"/>
        </w:rPr>
      </w:pPr>
      <w:r>
        <w:rPr>
          <w:rFonts w:hint="eastAsia" w:cs="宋体"/>
          <w:highlight w:val="none"/>
        </w:rPr>
        <w:t>卖方交付的货物资料应完整、正确、整洁、书写明确、符合标准或行业惯例，并能满足买方正常使用与维护货物之所需。买方验收货物以卖方完整交付货物资料为前提。如买方发现货物资料存在任何错漏、短缺、损坏、遗失，买方应于收到之日起2日内通知卖方；卖方收到通知后2日内应自行承担费用将补充或替换的货物资料送达买方，并不得因此影响交货进度。</w:t>
      </w:r>
    </w:p>
    <w:p w14:paraId="21E8F212">
      <w:pPr>
        <w:numPr>
          <w:ilvl w:val="0"/>
          <w:numId w:val="15"/>
        </w:numPr>
        <w:tabs>
          <w:tab w:val="left" w:pos="720"/>
          <w:tab w:val="clear" w:pos="1468"/>
        </w:tabs>
        <w:spacing w:line="360" w:lineRule="auto"/>
        <w:ind w:left="720" w:hanging="720"/>
        <w:rPr>
          <w:highlight w:val="none"/>
        </w:rPr>
      </w:pPr>
      <w:r>
        <w:rPr>
          <w:rFonts w:hint="eastAsia" w:cs="宋体"/>
          <w:highlight w:val="none"/>
        </w:rPr>
        <w:t>在货物交付运输后2日内，卖方应通过（亲自递送、特快专递、传真、电子邮件等）向买方提供合同规定的技术资料。</w:t>
      </w:r>
    </w:p>
    <w:p w14:paraId="1AC55A3A">
      <w:pPr>
        <w:numPr>
          <w:ilvl w:val="0"/>
          <w:numId w:val="11"/>
        </w:numPr>
        <w:spacing w:before="360" w:after="360"/>
        <w:jc w:val="center"/>
        <w:rPr>
          <w:b/>
          <w:sz w:val="24"/>
          <w:szCs w:val="24"/>
          <w:highlight w:val="none"/>
        </w:rPr>
      </w:pPr>
      <w:bookmarkStart w:id="73" w:name="_Toc274076148"/>
      <w:bookmarkStart w:id="74" w:name="_Toc296955850"/>
      <w:bookmarkStart w:id="75" w:name="_Toc274343606"/>
      <w:bookmarkStart w:id="76" w:name="_Toc273451902"/>
      <w:bookmarkStart w:id="77" w:name="_Toc300671193"/>
      <w:bookmarkStart w:id="78" w:name="_Toc17390367"/>
      <w:bookmarkStart w:id="79" w:name="_Toc274474911"/>
      <w:bookmarkStart w:id="80" w:name="_Toc278889783"/>
      <w:bookmarkStart w:id="81" w:name="_Toc274669319"/>
      <w:bookmarkStart w:id="82" w:name="_Toc274668321"/>
      <w:bookmarkStart w:id="83" w:name="_Toc274754028"/>
      <w:bookmarkStart w:id="84" w:name="_Toc274075960"/>
      <w:bookmarkStart w:id="85" w:name="_Toc5889366"/>
      <w:bookmarkStart w:id="86" w:name="_Toc274403536"/>
      <w:bookmarkStart w:id="87" w:name="_Toc273451835"/>
      <w:bookmarkStart w:id="88" w:name="_Toc291435905"/>
      <w:bookmarkStart w:id="89" w:name="_Toc291435838"/>
      <w:bookmarkStart w:id="90" w:name="_Toc296959312"/>
      <w:r>
        <w:rPr>
          <w:rFonts w:hint="eastAsia"/>
          <w:b/>
          <w:sz w:val="24"/>
          <w:szCs w:val="24"/>
          <w:highlight w:val="none"/>
        </w:rPr>
        <w:t>包装与标记</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CCCFFEC">
      <w:pPr>
        <w:numPr>
          <w:ilvl w:val="0"/>
          <w:numId w:val="16"/>
        </w:numPr>
        <w:tabs>
          <w:tab w:val="left" w:pos="709"/>
        </w:tabs>
        <w:spacing w:line="360" w:lineRule="auto"/>
        <w:ind w:left="619" w:hanging="619" w:hangingChars="295"/>
        <w:rPr>
          <w:highlight w:val="none"/>
        </w:rPr>
      </w:pPr>
      <w:r>
        <w:rPr>
          <w:rFonts w:hint="eastAsia" w:cs="宋体"/>
          <w:highlight w:val="none"/>
        </w:rPr>
        <w:t>卖方应在每件货物包装箱的两个侧面（如货物没有包装箱，在货物的其它显著位置），用不褪色的油漆或其它醒目方式以明显易见的中文字样注明以下标记：</w:t>
      </w:r>
    </w:p>
    <w:p w14:paraId="5CE27E6B">
      <w:pPr>
        <w:widowControl/>
        <w:numPr>
          <w:ilvl w:val="0"/>
          <w:numId w:val="17"/>
        </w:numPr>
        <w:tabs>
          <w:tab w:val="left" w:pos="3060"/>
        </w:tabs>
        <w:spacing w:line="360" w:lineRule="auto"/>
        <w:ind w:hanging="431"/>
        <w:jc w:val="left"/>
        <w:rPr>
          <w:highlight w:val="none"/>
        </w:rPr>
      </w:pPr>
      <w:r>
        <w:rPr>
          <w:rFonts w:hint="eastAsia" w:cs="宋体"/>
          <w:highlight w:val="none"/>
        </w:rPr>
        <w:t>合同号；</w:t>
      </w:r>
    </w:p>
    <w:p w14:paraId="2327EB08">
      <w:pPr>
        <w:widowControl/>
        <w:numPr>
          <w:ilvl w:val="0"/>
          <w:numId w:val="17"/>
        </w:numPr>
        <w:tabs>
          <w:tab w:val="left" w:pos="3060"/>
        </w:tabs>
        <w:spacing w:line="360" w:lineRule="auto"/>
        <w:ind w:hanging="431"/>
        <w:jc w:val="left"/>
        <w:rPr>
          <w:highlight w:val="none"/>
        </w:rPr>
      </w:pPr>
      <w:r>
        <w:rPr>
          <w:rFonts w:hint="eastAsia" w:cs="宋体"/>
          <w:highlight w:val="none"/>
        </w:rPr>
        <w:t>目的站；</w:t>
      </w:r>
    </w:p>
    <w:p w14:paraId="2C275BAD">
      <w:pPr>
        <w:widowControl/>
        <w:numPr>
          <w:ilvl w:val="0"/>
          <w:numId w:val="17"/>
        </w:numPr>
        <w:tabs>
          <w:tab w:val="left" w:pos="3060"/>
        </w:tabs>
        <w:spacing w:line="360" w:lineRule="auto"/>
        <w:ind w:hanging="431"/>
        <w:jc w:val="left"/>
        <w:rPr>
          <w:highlight w:val="none"/>
        </w:rPr>
      </w:pPr>
      <w:r>
        <w:rPr>
          <w:rFonts w:hint="eastAsia" w:cs="宋体"/>
          <w:highlight w:val="none"/>
        </w:rPr>
        <w:t>货物名称；</w:t>
      </w:r>
    </w:p>
    <w:p w14:paraId="57D955BF">
      <w:pPr>
        <w:widowControl/>
        <w:numPr>
          <w:ilvl w:val="0"/>
          <w:numId w:val="17"/>
        </w:numPr>
        <w:tabs>
          <w:tab w:val="left" w:pos="3060"/>
        </w:tabs>
        <w:spacing w:line="360" w:lineRule="auto"/>
        <w:ind w:hanging="431"/>
        <w:jc w:val="left"/>
        <w:rPr>
          <w:highlight w:val="none"/>
        </w:rPr>
      </w:pPr>
      <w:r>
        <w:rPr>
          <w:rFonts w:hint="eastAsia" w:cs="宋体"/>
          <w:highlight w:val="none"/>
        </w:rPr>
        <w:t>箱号</w:t>
      </w:r>
      <w:r>
        <w:rPr>
          <w:highlight w:val="none"/>
        </w:rPr>
        <w:t>/</w:t>
      </w:r>
      <w:r>
        <w:rPr>
          <w:rFonts w:hint="eastAsia" w:cs="宋体"/>
          <w:highlight w:val="none"/>
        </w:rPr>
        <w:t>件号；</w:t>
      </w:r>
    </w:p>
    <w:p w14:paraId="2C23043F">
      <w:pPr>
        <w:widowControl/>
        <w:numPr>
          <w:ilvl w:val="0"/>
          <w:numId w:val="17"/>
        </w:numPr>
        <w:tabs>
          <w:tab w:val="left" w:pos="3060"/>
        </w:tabs>
        <w:spacing w:line="360" w:lineRule="auto"/>
        <w:ind w:hanging="431"/>
        <w:jc w:val="left"/>
        <w:rPr>
          <w:highlight w:val="none"/>
        </w:rPr>
      </w:pPr>
      <w:r>
        <w:rPr>
          <w:rFonts w:hint="eastAsia" w:cs="宋体"/>
          <w:highlight w:val="none"/>
        </w:rPr>
        <w:t>毛重</w:t>
      </w:r>
      <w:r>
        <w:rPr>
          <w:highlight w:val="none"/>
        </w:rPr>
        <w:t>/</w:t>
      </w:r>
      <w:r>
        <w:rPr>
          <w:rFonts w:hint="eastAsia" w:cs="宋体"/>
          <w:highlight w:val="none"/>
        </w:rPr>
        <w:t>净重（公斤）；</w:t>
      </w:r>
    </w:p>
    <w:p w14:paraId="4CD5626F">
      <w:pPr>
        <w:widowControl/>
        <w:numPr>
          <w:ilvl w:val="0"/>
          <w:numId w:val="17"/>
        </w:numPr>
        <w:tabs>
          <w:tab w:val="left" w:pos="3060"/>
        </w:tabs>
        <w:spacing w:line="360" w:lineRule="auto"/>
        <w:ind w:hanging="431"/>
        <w:jc w:val="left"/>
        <w:rPr>
          <w:highlight w:val="none"/>
        </w:rPr>
      </w:pPr>
      <w:r>
        <w:rPr>
          <w:rFonts w:hint="eastAsia" w:cs="宋体"/>
          <w:highlight w:val="none"/>
        </w:rPr>
        <w:t>体积（长</w:t>
      </w:r>
      <w:r>
        <w:rPr>
          <w:highlight w:val="none"/>
        </w:rPr>
        <w:t>×</w:t>
      </w:r>
      <w:r>
        <w:rPr>
          <w:rFonts w:hint="eastAsia" w:cs="宋体"/>
          <w:highlight w:val="none"/>
        </w:rPr>
        <w:t>宽</w:t>
      </w:r>
      <w:r>
        <w:rPr>
          <w:highlight w:val="none"/>
        </w:rPr>
        <w:t>×</w:t>
      </w:r>
      <w:r>
        <w:rPr>
          <w:rFonts w:hint="eastAsia" w:cs="宋体"/>
          <w:highlight w:val="none"/>
        </w:rPr>
        <w:t>高，以毫米表示）；</w:t>
      </w:r>
    </w:p>
    <w:p w14:paraId="3F529739">
      <w:pPr>
        <w:widowControl/>
        <w:numPr>
          <w:ilvl w:val="0"/>
          <w:numId w:val="17"/>
        </w:numPr>
        <w:tabs>
          <w:tab w:val="left" w:pos="3060"/>
        </w:tabs>
        <w:spacing w:line="360" w:lineRule="auto"/>
        <w:ind w:hanging="431"/>
        <w:jc w:val="left"/>
        <w:rPr>
          <w:highlight w:val="none"/>
        </w:rPr>
      </w:pPr>
      <w:r>
        <w:rPr>
          <w:rFonts w:hint="eastAsia" w:cs="宋体"/>
          <w:highlight w:val="none"/>
        </w:rPr>
        <w:t>吊点；</w:t>
      </w:r>
    </w:p>
    <w:p w14:paraId="5CA219FD">
      <w:pPr>
        <w:numPr>
          <w:ilvl w:val="0"/>
          <w:numId w:val="16"/>
        </w:numPr>
        <w:tabs>
          <w:tab w:val="left" w:pos="708"/>
        </w:tabs>
        <w:spacing w:line="360" w:lineRule="auto"/>
        <w:ind w:left="619" w:hanging="619" w:hangingChars="295"/>
        <w:rPr>
          <w:highlight w:val="none"/>
        </w:rPr>
      </w:pPr>
      <w:r>
        <w:rPr>
          <w:rFonts w:hint="eastAsia" w:cs="宋体"/>
          <w:highlight w:val="none"/>
        </w:rPr>
        <w:t>凡</w:t>
      </w:r>
      <w:r>
        <w:rPr>
          <w:rFonts w:hint="eastAsia"/>
          <w:highlight w:val="none"/>
        </w:rPr>
        <w:t>重量</w:t>
      </w:r>
      <w:r>
        <w:rPr>
          <w:rFonts w:hint="eastAsia" w:cs="宋体"/>
          <w:highlight w:val="none"/>
        </w:rPr>
        <w:t>超过</w:t>
      </w:r>
      <w:r>
        <w:rPr>
          <w:rFonts w:hint="eastAsia"/>
          <w:szCs w:val="21"/>
          <w:highlight w:val="none"/>
        </w:rPr>
        <w:t>2吨</w:t>
      </w:r>
      <w:r>
        <w:rPr>
          <w:szCs w:val="21"/>
          <w:highlight w:val="none"/>
        </w:rPr>
        <w:t>(包括二吨)</w:t>
      </w:r>
      <w:r>
        <w:rPr>
          <w:rFonts w:hint="eastAsia"/>
          <w:szCs w:val="21"/>
          <w:highlight w:val="none"/>
        </w:rPr>
        <w:t>或</w:t>
      </w:r>
      <w:r>
        <w:rPr>
          <w:szCs w:val="21"/>
          <w:highlight w:val="none"/>
        </w:rPr>
        <w:t>尺寸超过</w:t>
      </w:r>
      <w:r>
        <w:rPr>
          <w:rFonts w:hint="eastAsia"/>
          <w:szCs w:val="21"/>
          <w:highlight w:val="none"/>
        </w:rPr>
        <w:t>2</w:t>
      </w:r>
      <w:r>
        <w:rPr>
          <w:szCs w:val="21"/>
          <w:highlight w:val="none"/>
        </w:rPr>
        <w:t>米</w:t>
      </w:r>
      <w:r>
        <w:rPr>
          <w:rFonts w:hint="eastAsia"/>
          <w:szCs w:val="21"/>
          <w:highlight w:val="none"/>
        </w:rPr>
        <w:t>×2</w:t>
      </w:r>
      <w:r>
        <w:rPr>
          <w:szCs w:val="21"/>
          <w:highlight w:val="none"/>
        </w:rPr>
        <w:t>米</w:t>
      </w:r>
      <w:r>
        <w:rPr>
          <w:rFonts w:hint="eastAsia"/>
          <w:szCs w:val="21"/>
          <w:highlight w:val="none"/>
        </w:rPr>
        <w:t>×2</w:t>
      </w:r>
      <w:r>
        <w:rPr>
          <w:szCs w:val="21"/>
          <w:highlight w:val="none"/>
        </w:rPr>
        <w:t>米</w:t>
      </w:r>
      <w:r>
        <w:rPr>
          <w:rFonts w:hint="eastAsia" w:cs="宋体"/>
          <w:highlight w:val="none"/>
        </w:rPr>
        <w:t>的货物，应在包装箱的侧面以运输常用的标记和图案标明重心位置及起吊点。</w:t>
      </w:r>
    </w:p>
    <w:p w14:paraId="214223F4">
      <w:pPr>
        <w:numPr>
          <w:ilvl w:val="0"/>
          <w:numId w:val="16"/>
        </w:numPr>
        <w:tabs>
          <w:tab w:val="left" w:pos="708"/>
        </w:tabs>
        <w:spacing w:line="360" w:lineRule="auto"/>
        <w:ind w:left="619" w:hanging="619" w:hangingChars="295"/>
        <w:rPr>
          <w:highlight w:val="none"/>
        </w:rPr>
      </w:pPr>
      <w:r>
        <w:rPr>
          <w:rFonts w:hint="eastAsia" w:cs="宋体"/>
          <w:highlight w:val="none"/>
        </w:rPr>
        <w:t>根据货物的特点和装卸、运输的不同要求，包装箱应显著标明“轻放”、“勿倒置”、“防潮”和“防雨”等字样。</w:t>
      </w:r>
    </w:p>
    <w:p w14:paraId="344A8177">
      <w:pPr>
        <w:numPr>
          <w:ilvl w:val="0"/>
          <w:numId w:val="16"/>
        </w:numPr>
        <w:tabs>
          <w:tab w:val="left" w:pos="708"/>
        </w:tabs>
        <w:spacing w:line="360" w:lineRule="auto"/>
        <w:ind w:left="619" w:hanging="619" w:hangingChars="295"/>
        <w:rPr>
          <w:highlight w:val="none"/>
        </w:rPr>
      </w:pPr>
      <w:r>
        <w:rPr>
          <w:rFonts w:hint="eastAsia" w:cs="宋体"/>
          <w:highlight w:val="none"/>
        </w:rPr>
        <w:t>如果在一个包装箱内同时装有两件以上不同的货物，卖方应用显著标明主要货物的名称及货号。</w:t>
      </w:r>
    </w:p>
    <w:p w14:paraId="31FDDABC">
      <w:pPr>
        <w:numPr>
          <w:ilvl w:val="0"/>
          <w:numId w:val="16"/>
        </w:numPr>
        <w:tabs>
          <w:tab w:val="left" w:pos="708"/>
        </w:tabs>
        <w:spacing w:line="360" w:lineRule="auto"/>
        <w:ind w:left="619" w:hanging="619" w:hangingChars="295"/>
        <w:rPr>
          <w:highlight w:val="none"/>
        </w:rPr>
      </w:pPr>
      <w:r>
        <w:rPr>
          <w:rFonts w:hint="eastAsia" w:cs="宋体"/>
          <w:highlight w:val="none"/>
        </w:rPr>
        <w:t>对裸装的大件货物，卖方应在每捆、每件上系上标签，标签应清晰标明：货物名称、规格型号、数量、装配图号、重心位置、起吊点、包装件号或系列号等。</w:t>
      </w:r>
    </w:p>
    <w:p w14:paraId="07D56368">
      <w:pPr>
        <w:numPr>
          <w:ilvl w:val="0"/>
          <w:numId w:val="16"/>
        </w:numPr>
        <w:tabs>
          <w:tab w:val="left" w:pos="708"/>
        </w:tabs>
        <w:spacing w:line="360" w:lineRule="auto"/>
        <w:ind w:left="619" w:hanging="619" w:hangingChars="295"/>
        <w:rPr>
          <w:highlight w:val="none"/>
        </w:rPr>
      </w:pPr>
      <w:r>
        <w:rPr>
          <w:rFonts w:hint="eastAsia"/>
          <w:highlight w:val="none"/>
        </w:rPr>
        <w:t>卖方向买方提供的货物资料，应具有适合长途运输、多次装卸及搬运、防潮和防雨的包装，货物资料包装的封面上应注明下述内容：</w:t>
      </w:r>
    </w:p>
    <w:p w14:paraId="43CC756E">
      <w:pPr>
        <w:widowControl/>
        <w:numPr>
          <w:ilvl w:val="0"/>
          <w:numId w:val="18"/>
        </w:numPr>
        <w:tabs>
          <w:tab w:val="left" w:pos="1134"/>
        </w:tabs>
        <w:autoSpaceDE w:val="0"/>
        <w:autoSpaceDN w:val="0"/>
        <w:adjustRightInd w:val="0"/>
        <w:spacing w:line="360" w:lineRule="auto"/>
        <w:ind w:hanging="405"/>
        <w:jc w:val="left"/>
        <w:textAlignment w:val="bottom"/>
        <w:rPr>
          <w:highlight w:val="none"/>
        </w:rPr>
      </w:pPr>
      <w:r>
        <w:rPr>
          <w:rFonts w:hint="eastAsia"/>
          <w:highlight w:val="none"/>
        </w:rPr>
        <w:t>合同号；</w:t>
      </w:r>
    </w:p>
    <w:p w14:paraId="0BB67334">
      <w:pPr>
        <w:widowControl/>
        <w:numPr>
          <w:ilvl w:val="0"/>
          <w:numId w:val="18"/>
        </w:numPr>
        <w:tabs>
          <w:tab w:val="left" w:pos="1134"/>
          <w:tab w:val="left" w:pos="1260"/>
        </w:tabs>
        <w:autoSpaceDE w:val="0"/>
        <w:autoSpaceDN w:val="0"/>
        <w:adjustRightInd w:val="0"/>
        <w:spacing w:line="360" w:lineRule="auto"/>
        <w:ind w:hanging="405"/>
        <w:jc w:val="left"/>
        <w:textAlignment w:val="bottom"/>
        <w:rPr>
          <w:highlight w:val="none"/>
        </w:rPr>
      </w:pPr>
      <w:r>
        <w:rPr>
          <w:rFonts w:hint="eastAsia"/>
          <w:highlight w:val="none"/>
        </w:rPr>
        <w:t>收货人；</w:t>
      </w:r>
    </w:p>
    <w:p w14:paraId="195AD692">
      <w:pPr>
        <w:widowControl/>
        <w:numPr>
          <w:ilvl w:val="0"/>
          <w:numId w:val="18"/>
        </w:numPr>
        <w:tabs>
          <w:tab w:val="left" w:pos="1134"/>
          <w:tab w:val="left" w:pos="1260"/>
        </w:tabs>
        <w:autoSpaceDE w:val="0"/>
        <w:autoSpaceDN w:val="0"/>
        <w:adjustRightInd w:val="0"/>
        <w:spacing w:line="360" w:lineRule="auto"/>
        <w:ind w:hanging="405"/>
        <w:jc w:val="left"/>
        <w:textAlignment w:val="bottom"/>
        <w:rPr>
          <w:highlight w:val="none"/>
        </w:rPr>
      </w:pPr>
      <w:r>
        <w:rPr>
          <w:rFonts w:hint="eastAsia"/>
          <w:highlight w:val="none"/>
        </w:rPr>
        <w:t>目的地；</w:t>
      </w:r>
    </w:p>
    <w:p w14:paraId="6A7CA6D6">
      <w:pPr>
        <w:widowControl/>
        <w:numPr>
          <w:ilvl w:val="0"/>
          <w:numId w:val="18"/>
        </w:numPr>
        <w:tabs>
          <w:tab w:val="left" w:pos="1134"/>
          <w:tab w:val="left" w:pos="1260"/>
        </w:tabs>
        <w:autoSpaceDE w:val="0"/>
        <w:autoSpaceDN w:val="0"/>
        <w:adjustRightInd w:val="0"/>
        <w:spacing w:line="360" w:lineRule="auto"/>
        <w:ind w:hanging="405"/>
        <w:jc w:val="left"/>
        <w:textAlignment w:val="bottom"/>
        <w:rPr>
          <w:highlight w:val="none"/>
        </w:rPr>
      </w:pPr>
      <w:r>
        <w:rPr>
          <w:rFonts w:hint="eastAsia"/>
          <w:highlight w:val="none"/>
        </w:rPr>
        <w:t>毛重（公斤）；</w:t>
      </w:r>
    </w:p>
    <w:p w14:paraId="4E1DA00B">
      <w:pPr>
        <w:widowControl/>
        <w:numPr>
          <w:ilvl w:val="0"/>
          <w:numId w:val="18"/>
        </w:numPr>
        <w:tabs>
          <w:tab w:val="left" w:pos="1134"/>
          <w:tab w:val="left" w:pos="1260"/>
        </w:tabs>
        <w:autoSpaceDE w:val="0"/>
        <w:autoSpaceDN w:val="0"/>
        <w:adjustRightInd w:val="0"/>
        <w:spacing w:line="360" w:lineRule="auto"/>
        <w:ind w:hanging="405"/>
        <w:jc w:val="left"/>
        <w:textAlignment w:val="bottom"/>
        <w:rPr>
          <w:highlight w:val="none"/>
        </w:rPr>
      </w:pPr>
      <w:r>
        <w:rPr>
          <w:rFonts w:hint="eastAsia"/>
          <w:highlight w:val="none"/>
        </w:rPr>
        <w:t>箱号</w:t>
      </w:r>
      <w:r>
        <w:rPr>
          <w:highlight w:val="none"/>
        </w:rPr>
        <w:t>/</w:t>
      </w:r>
      <w:r>
        <w:rPr>
          <w:rFonts w:hint="eastAsia"/>
          <w:highlight w:val="none"/>
        </w:rPr>
        <w:t>件号。</w:t>
      </w:r>
    </w:p>
    <w:p w14:paraId="59FA8F75">
      <w:pPr>
        <w:spacing w:line="360" w:lineRule="auto"/>
        <w:ind w:left="619" w:leftChars="295"/>
        <w:textAlignment w:val="bottom"/>
        <w:rPr>
          <w:highlight w:val="none"/>
        </w:rPr>
      </w:pPr>
      <w:r>
        <w:rPr>
          <w:rFonts w:hint="eastAsia"/>
          <w:highlight w:val="none"/>
        </w:rPr>
        <w:t>每一包货物资料内应附有货物资料的详细清单两份，标明货物资料的序号、代号、名称和页数。</w:t>
      </w:r>
    </w:p>
    <w:p w14:paraId="27D546BE">
      <w:pPr>
        <w:numPr>
          <w:ilvl w:val="0"/>
          <w:numId w:val="11"/>
        </w:numPr>
        <w:spacing w:before="360" w:after="360"/>
        <w:jc w:val="center"/>
        <w:rPr>
          <w:b/>
          <w:sz w:val="24"/>
          <w:szCs w:val="24"/>
          <w:highlight w:val="none"/>
        </w:rPr>
      </w:pPr>
      <w:bookmarkStart w:id="91" w:name="_Toc287657103"/>
      <w:bookmarkStart w:id="92" w:name="_Toc288567131"/>
      <w:bookmarkStart w:id="93" w:name="_Toc5889367"/>
      <w:bookmarkStart w:id="94" w:name="_Toc300671194"/>
      <w:bookmarkStart w:id="95" w:name="_Toc287364271"/>
      <w:bookmarkStart w:id="96" w:name="_Toc17390368"/>
      <w:r>
        <w:rPr>
          <w:rFonts w:hint="eastAsia"/>
          <w:b/>
          <w:sz w:val="24"/>
          <w:szCs w:val="24"/>
          <w:highlight w:val="none"/>
        </w:rPr>
        <w:t>验收</w:t>
      </w:r>
      <w:bookmarkEnd w:id="91"/>
      <w:bookmarkEnd w:id="92"/>
      <w:bookmarkEnd w:id="93"/>
      <w:bookmarkEnd w:id="94"/>
      <w:bookmarkEnd w:id="95"/>
      <w:bookmarkEnd w:id="96"/>
    </w:p>
    <w:p w14:paraId="7475270D">
      <w:pPr>
        <w:numPr>
          <w:ilvl w:val="0"/>
          <w:numId w:val="19"/>
        </w:numPr>
        <w:tabs>
          <w:tab w:val="left" w:pos="720"/>
          <w:tab w:val="left" w:pos="1080"/>
          <w:tab w:val="clear" w:pos="1468"/>
        </w:tabs>
        <w:spacing w:line="360" w:lineRule="auto"/>
        <w:ind w:left="720" w:hanging="720"/>
        <w:rPr>
          <w:rFonts w:cs="宋体"/>
          <w:highlight w:val="none"/>
        </w:rPr>
      </w:pPr>
      <w:r>
        <w:rPr>
          <w:rFonts w:hint="eastAsia" w:cs="宋体"/>
          <w:highlight w:val="none"/>
        </w:rPr>
        <w:t>货物到达指定交货地点后，买方在2日内对货物进行验收。验收由买方组织并指派专人参加，卖方应当指派人员参加。验收标准详见本合同附件二。</w:t>
      </w:r>
    </w:p>
    <w:p w14:paraId="6DD9224C">
      <w:pPr>
        <w:numPr>
          <w:ilvl w:val="0"/>
          <w:numId w:val="19"/>
        </w:numPr>
        <w:tabs>
          <w:tab w:val="left" w:pos="720"/>
          <w:tab w:val="left" w:pos="1080"/>
          <w:tab w:val="clear" w:pos="1468"/>
        </w:tabs>
        <w:spacing w:line="360" w:lineRule="auto"/>
        <w:ind w:left="720" w:hanging="720"/>
        <w:rPr>
          <w:rFonts w:cs="宋体"/>
          <w:highlight w:val="none"/>
        </w:rPr>
      </w:pPr>
      <w:r>
        <w:rPr>
          <w:rFonts w:hint="eastAsia" w:cs="宋体"/>
          <w:highlight w:val="none"/>
        </w:rPr>
        <w:t>买方按照本合同约定的标准进行验收，并将验收结果通知卖方。对于验收合格的，由参与验收的人员在送货单（一式四联）上签字确认，买卖双方各留（二）份。对于验收中买方发现的问题，卖方应当在0.5日内予以书面回复。对于验收中发现的质量问题，卖方应在验收后1日内根据买方的要求予以解决。</w:t>
      </w:r>
    </w:p>
    <w:p w14:paraId="7FC8AED4">
      <w:pPr>
        <w:numPr>
          <w:ilvl w:val="0"/>
          <w:numId w:val="19"/>
        </w:numPr>
        <w:tabs>
          <w:tab w:val="left" w:pos="720"/>
          <w:tab w:val="left" w:pos="1080"/>
          <w:tab w:val="clear" w:pos="1468"/>
        </w:tabs>
        <w:spacing w:line="360" w:lineRule="auto"/>
        <w:ind w:left="720" w:hanging="720"/>
        <w:rPr>
          <w:rFonts w:cs="宋体"/>
          <w:highlight w:val="none"/>
        </w:rPr>
      </w:pPr>
      <w:r>
        <w:rPr>
          <w:rFonts w:hint="eastAsia" w:cs="宋体"/>
          <w:highlight w:val="none"/>
        </w:rPr>
        <w:t>卖方对验收结果提出异议的，由买卖双方协商解决。买卖双方协商不成的，买卖双方同意委托双方协商的有资质的第三方权威</w:t>
      </w:r>
      <w:r>
        <w:rPr>
          <w:rFonts w:cs="宋体"/>
          <w:highlight w:val="none"/>
        </w:rPr>
        <w:t>机构</w:t>
      </w:r>
      <w:r>
        <w:rPr>
          <w:rFonts w:hint="eastAsia" w:cs="宋体"/>
          <w:highlight w:val="none"/>
        </w:rPr>
        <w:t>进行检验并以该检验机构的检验结果为准。委托检验所发生的费用由卖方承担。</w:t>
      </w:r>
    </w:p>
    <w:p w14:paraId="768A34CF">
      <w:pPr>
        <w:numPr>
          <w:ilvl w:val="0"/>
          <w:numId w:val="11"/>
        </w:numPr>
        <w:spacing w:before="360" w:after="360"/>
        <w:jc w:val="center"/>
        <w:rPr>
          <w:b/>
          <w:sz w:val="24"/>
          <w:szCs w:val="24"/>
          <w:highlight w:val="none"/>
        </w:rPr>
      </w:pPr>
      <w:bookmarkStart w:id="97" w:name="_Toc5889368"/>
      <w:bookmarkStart w:id="98" w:name="_Toc300671197"/>
      <w:bookmarkStart w:id="99" w:name="_Toc17390369"/>
      <w:r>
        <w:rPr>
          <w:rFonts w:hint="eastAsia"/>
          <w:b/>
          <w:sz w:val="24"/>
          <w:szCs w:val="24"/>
          <w:highlight w:val="none"/>
        </w:rPr>
        <w:t>卖方代表</w:t>
      </w:r>
      <w:bookmarkEnd w:id="97"/>
      <w:bookmarkEnd w:id="98"/>
      <w:bookmarkEnd w:id="99"/>
    </w:p>
    <w:p w14:paraId="250BA8F2">
      <w:pPr>
        <w:numPr>
          <w:ilvl w:val="0"/>
          <w:numId w:val="20"/>
        </w:numPr>
        <w:tabs>
          <w:tab w:val="left" w:pos="708"/>
        </w:tabs>
        <w:spacing w:line="360" w:lineRule="auto"/>
        <w:ind w:left="720" w:hanging="720"/>
        <w:rPr>
          <w:highlight w:val="none"/>
        </w:rPr>
      </w:pPr>
      <w:r>
        <w:rPr>
          <w:rFonts w:hint="eastAsia" w:cs="宋体"/>
          <w:highlight w:val="none"/>
        </w:rPr>
        <w:t>卖方应于本合同生效后5日内指派一位项目经理作为卖方代表，全权代表卖方执行本合同，有权代表卖方接收和发出本合同项下的任何通知、同意、批准和决定等，有权代表卖方处理本合同项下需与买方沟通和协调的事项。</w:t>
      </w:r>
      <w:r>
        <w:rPr>
          <w:rFonts w:hint="eastAsia" w:cs="Arial"/>
          <w:szCs w:val="21"/>
          <w:highlight w:val="none"/>
          <w:lang w:val="en-GB"/>
        </w:rPr>
        <w:t>卖方</w:t>
      </w:r>
      <w:r>
        <w:rPr>
          <w:rFonts w:hint="eastAsia" w:cs="Arial"/>
          <w:szCs w:val="21"/>
          <w:highlight w:val="none"/>
          <w:lang w:val="en-GB" w:eastAsia="zh-TW"/>
        </w:rPr>
        <w:t>代表的任何</w:t>
      </w:r>
      <w:r>
        <w:rPr>
          <w:rFonts w:hint="eastAsia" w:cs="Arial"/>
          <w:szCs w:val="21"/>
          <w:highlight w:val="none"/>
          <w:lang w:val="en-GB"/>
        </w:rPr>
        <w:t>行为</w:t>
      </w:r>
      <w:r>
        <w:rPr>
          <w:rFonts w:hint="eastAsia" w:cs="Arial"/>
          <w:szCs w:val="21"/>
          <w:highlight w:val="none"/>
          <w:lang w:val="en-GB" w:eastAsia="zh-TW"/>
        </w:rPr>
        <w:t>、疏忽或不作为</w:t>
      </w:r>
      <w:r>
        <w:rPr>
          <w:rFonts w:hint="eastAsia" w:cs="Arial"/>
          <w:szCs w:val="21"/>
          <w:highlight w:val="none"/>
          <w:lang w:val="en-GB"/>
        </w:rPr>
        <w:t>应视同卖方的行为、疏忽或不作为，卖方</w:t>
      </w:r>
      <w:r>
        <w:rPr>
          <w:rFonts w:hint="eastAsia" w:cs="Arial"/>
          <w:szCs w:val="21"/>
          <w:highlight w:val="none"/>
          <w:lang w:val="en-GB" w:eastAsia="zh-TW"/>
        </w:rPr>
        <w:t>应对</w:t>
      </w:r>
      <w:r>
        <w:rPr>
          <w:rFonts w:hint="eastAsia" w:cs="Arial"/>
          <w:szCs w:val="21"/>
          <w:highlight w:val="none"/>
          <w:lang w:val="en-GB"/>
        </w:rPr>
        <w:t>此</w:t>
      </w:r>
      <w:r>
        <w:rPr>
          <w:rFonts w:hint="eastAsia" w:cs="Arial"/>
          <w:szCs w:val="21"/>
          <w:highlight w:val="none"/>
          <w:lang w:val="en-GB" w:eastAsia="zh-TW"/>
        </w:rPr>
        <w:t>承担</w:t>
      </w:r>
      <w:r>
        <w:rPr>
          <w:rFonts w:hint="eastAsia" w:cs="Arial"/>
          <w:szCs w:val="21"/>
          <w:highlight w:val="none"/>
          <w:lang w:val="en-GB"/>
        </w:rPr>
        <w:t>全部</w:t>
      </w:r>
      <w:r>
        <w:rPr>
          <w:rFonts w:hint="eastAsia" w:cs="Arial"/>
          <w:szCs w:val="21"/>
          <w:highlight w:val="none"/>
          <w:lang w:val="en-GB" w:eastAsia="zh-TW"/>
        </w:rPr>
        <w:t>责任</w:t>
      </w:r>
      <w:r>
        <w:rPr>
          <w:rFonts w:hint="eastAsia" w:cs="Arial"/>
          <w:szCs w:val="21"/>
          <w:highlight w:val="none"/>
          <w:lang w:val="en-GB"/>
        </w:rPr>
        <w:t>。</w:t>
      </w:r>
      <w:r>
        <w:rPr>
          <w:rFonts w:hint="eastAsia"/>
          <w:highlight w:val="none"/>
        </w:rPr>
        <w:t>卖方代表应具有丰富的经验和良好的沟通及协调能力。</w:t>
      </w:r>
    </w:p>
    <w:p w14:paraId="3470F7A9">
      <w:pPr>
        <w:numPr>
          <w:ilvl w:val="0"/>
          <w:numId w:val="20"/>
        </w:numPr>
        <w:tabs>
          <w:tab w:val="left" w:pos="708"/>
        </w:tabs>
        <w:spacing w:line="360" w:lineRule="auto"/>
        <w:ind w:left="720" w:hanging="720"/>
        <w:rPr>
          <w:highlight w:val="none"/>
        </w:rPr>
      </w:pPr>
      <w:r>
        <w:rPr>
          <w:rFonts w:hint="eastAsia" w:cs="宋体"/>
          <w:highlight w:val="none"/>
        </w:rPr>
        <w:t>卖方应于指派卖方代表后将卖方代表的简历及联系方式提供给买方。未经买方事先书面同意，卖方不得更换卖方代表。</w:t>
      </w:r>
    </w:p>
    <w:p w14:paraId="064B5147">
      <w:pPr>
        <w:numPr>
          <w:ilvl w:val="0"/>
          <w:numId w:val="20"/>
        </w:numPr>
        <w:tabs>
          <w:tab w:val="left" w:pos="720"/>
        </w:tabs>
        <w:spacing w:line="360" w:lineRule="auto"/>
        <w:ind w:left="720" w:hanging="720"/>
        <w:rPr>
          <w:highlight w:val="none"/>
        </w:rPr>
      </w:pPr>
      <w:r>
        <w:rPr>
          <w:rFonts w:hint="eastAsia" w:cs="宋体"/>
          <w:highlight w:val="none"/>
        </w:rPr>
        <w:t>本合同有效期内，如果买方认为卖方代表无法胜任其工作，经书面通知卖方后，卖方应于收到买方通知后5日内更换卖方代表。</w:t>
      </w:r>
      <w:r>
        <w:rPr>
          <w:rFonts w:hint="eastAsia"/>
          <w:highlight w:val="none"/>
        </w:rPr>
        <w:t>如果卖方未在买方要求的期限内更换卖方代表，买方有权立即解除本合同并无需为此承担任何责任。</w:t>
      </w:r>
      <w:bookmarkStart w:id="100" w:name="_Toc288567138"/>
      <w:bookmarkStart w:id="101" w:name="_Toc287364276"/>
      <w:bookmarkStart w:id="102" w:name="_Toc287657108"/>
    </w:p>
    <w:p w14:paraId="639216AC">
      <w:pPr>
        <w:numPr>
          <w:ilvl w:val="0"/>
          <w:numId w:val="11"/>
        </w:numPr>
        <w:spacing w:before="360" w:after="360"/>
        <w:jc w:val="center"/>
        <w:rPr>
          <w:b/>
          <w:sz w:val="24"/>
          <w:szCs w:val="24"/>
          <w:highlight w:val="none"/>
        </w:rPr>
      </w:pPr>
      <w:bookmarkStart w:id="103" w:name="_Toc274076149"/>
      <w:bookmarkStart w:id="104" w:name="_Toc278889784"/>
      <w:bookmarkStart w:id="105" w:name="_Toc273451903"/>
      <w:bookmarkStart w:id="106" w:name="_Toc274668322"/>
      <w:bookmarkStart w:id="107" w:name="_Toc274669320"/>
      <w:bookmarkStart w:id="108" w:name="_Toc274403537"/>
      <w:bookmarkStart w:id="109" w:name="_Toc273451836"/>
      <w:bookmarkStart w:id="110" w:name="_Toc274754029"/>
      <w:bookmarkStart w:id="111" w:name="_Toc274474912"/>
      <w:bookmarkStart w:id="112" w:name="_Toc274075961"/>
      <w:bookmarkStart w:id="113" w:name="_Toc291435840"/>
      <w:bookmarkStart w:id="114" w:name="_Toc274343607"/>
      <w:bookmarkStart w:id="115" w:name="_Toc291435907"/>
      <w:bookmarkStart w:id="116" w:name="_Toc300671195"/>
      <w:bookmarkStart w:id="117" w:name="_Toc296955852"/>
      <w:bookmarkStart w:id="118" w:name="_Toc5889369"/>
      <w:bookmarkStart w:id="119" w:name="_Toc296959314"/>
      <w:bookmarkStart w:id="120" w:name="_Toc17390370"/>
      <w:r>
        <w:rPr>
          <w:rFonts w:hint="eastAsia"/>
          <w:b/>
          <w:sz w:val="24"/>
          <w:szCs w:val="24"/>
          <w:highlight w:val="none"/>
        </w:rPr>
        <w:t>技术服务</w:t>
      </w:r>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b/>
          <w:sz w:val="24"/>
          <w:szCs w:val="24"/>
          <w:highlight w:val="none"/>
        </w:rPr>
        <w:t>和培训</w:t>
      </w:r>
      <w:bookmarkEnd w:id="116"/>
      <w:bookmarkEnd w:id="117"/>
      <w:bookmarkEnd w:id="118"/>
      <w:bookmarkEnd w:id="119"/>
      <w:bookmarkEnd w:id="120"/>
    </w:p>
    <w:p w14:paraId="5B50D476">
      <w:pPr>
        <w:numPr>
          <w:ilvl w:val="0"/>
          <w:numId w:val="21"/>
        </w:numPr>
        <w:tabs>
          <w:tab w:val="left" w:pos="709"/>
        </w:tabs>
        <w:spacing w:line="360" w:lineRule="auto"/>
        <w:ind w:left="720" w:hanging="720"/>
        <w:rPr>
          <w:highlight w:val="none"/>
        </w:rPr>
      </w:pPr>
      <w:r>
        <w:rPr>
          <w:rFonts w:hint="eastAsia" w:cs="宋体"/>
          <w:highlight w:val="none"/>
        </w:rPr>
        <w:t>卖方应根据本合同的规定提供技术服务，相关费用已经包含在合同价款内。技术服务的内容和具体要求（详见本合同附件二）。</w:t>
      </w:r>
    </w:p>
    <w:p w14:paraId="6E227A06">
      <w:pPr>
        <w:numPr>
          <w:ilvl w:val="0"/>
          <w:numId w:val="21"/>
        </w:numPr>
        <w:tabs>
          <w:tab w:val="left" w:pos="709"/>
        </w:tabs>
        <w:spacing w:line="360" w:lineRule="auto"/>
        <w:ind w:left="619" w:hanging="619" w:hangingChars="295"/>
        <w:rPr>
          <w:highlight w:val="none"/>
        </w:rPr>
      </w:pPr>
      <w:r>
        <w:rPr>
          <w:rFonts w:hint="eastAsia" w:cs="宋体"/>
          <w:highlight w:val="none"/>
        </w:rPr>
        <w:t>卖方应根据本合同的规定向买方人员提供培训服务，其相关费用已经包含在合同价款内，培训的范围、时间、方式等（详见本合同附件二）。</w:t>
      </w:r>
    </w:p>
    <w:p w14:paraId="0ECABB5F">
      <w:pPr>
        <w:numPr>
          <w:ilvl w:val="0"/>
          <w:numId w:val="11"/>
        </w:numPr>
        <w:spacing w:before="360" w:after="360"/>
        <w:jc w:val="center"/>
        <w:rPr>
          <w:b/>
          <w:sz w:val="24"/>
          <w:szCs w:val="24"/>
          <w:highlight w:val="none"/>
        </w:rPr>
      </w:pPr>
      <w:bookmarkStart w:id="121" w:name="_Toc300671196"/>
      <w:bookmarkStart w:id="122" w:name="_Toc17390371"/>
      <w:bookmarkStart w:id="123" w:name="_Toc5889370"/>
      <w:bookmarkStart w:id="124" w:name="_Toc288567132"/>
      <w:r>
        <w:rPr>
          <w:rFonts w:hint="eastAsia"/>
          <w:b/>
          <w:sz w:val="24"/>
          <w:szCs w:val="24"/>
          <w:highlight w:val="none"/>
        </w:rPr>
        <w:t>质保期</w:t>
      </w:r>
      <w:bookmarkEnd w:id="121"/>
      <w:bookmarkEnd w:id="122"/>
      <w:bookmarkEnd w:id="123"/>
      <w:bookmarkEnd w:id="124"/>
    </w:p>
    <w:p w14:paraId="25C4D703">
      <w:pPr>
        <w:numPr>
          <w:ilvl w:val="0"/>
          <w:numId w:val="22"/>
        </w:numPr>
        <w:tabs>
          <w:tab w:val="left" w:pos="709"/>
        </w:tabs>
        <w:spacing w:line="360" w:lineRule="auto"/>
        <w:ind w:left="709" w:hanging="709"/>
        <w:rPr>
          <w:highlight w:val="none"/>
        </w:rPr>
      </w:pPr>
      <w:r>
        <w:rPr>
          <w:rFonts w:hint="eastAsia" w:cs="宋体"/>
          <w:highlight w:val="none"/>
        </w:rPr>
        <w:t>本合同项下每批货物的质量保证期为卖方交付该批货物并经双方签署送货单后12个月。</w:t>
      </w:r>
    </w:p>
    <w:p w14:paraId="2DF15B1B">
      <w:pPr>
        <w:numPr>
          <w:ilvl w:val="0"/>
          <w:numId w:val="11"/>
        </w:numPr>
        <w:spacing w:before="360" w:after="360"/>
        <w:jc w:val="center"/>
        <w:rPr>
          <w:b/>
          <w:sz w:val="24"/>
          <w:szCs w:val="24"/>
          <w:highlight w:val="none"/>
        </w:rPr>
      </w:pPr>
      <w:bookmarkStart w:id="125" w:name="_Toc5889371"/>
      <w:bookmarkStart w:id="126" w:name="_Toc300671199"/>
      <w:bookmarkStart w:id="127" w:name="_Toc17390372"/>
      <w:r>
        <w:rPr>
          <w:rFonts w:hint="eastAsia"/>
          <w:b/>
          <w:sz w:val="24"/>
          <w:szCs w:val="24"/>
          <w:highlight w:val="none"/>
        </w:rPr>
        <w:t>保险</w:t>
      </w:r>
      <w:bookmarkEnd w:id="100"/>
      <w:bookmarkEnd w:id="101"/>
      <w:bookmarkEnd w:id="102"/>
      <w:bookmarkEnd w:id="125"/>
      <w:bookmarkEnd w:id="126"/>
      <w:bookmarkEnd w:id="127"/>
    </w:p>
    <w:p w14:paraId="52E2D1F9">
      <w:pPr>
        <w:numPr>
          <w:ilvl w:val="0"/>
          <w:numId w:val="23"/>
        </w:numPr>
        <w:tabs>
          <w:tab w:val="left" w:pos="720"/>
          <w:tab w:val="clear" w:pos="1468"/>
        </w:tabs>
        <w:spacing w:line="360" w:lineRule="auto"/>
        <w:ind w:left="709" w:hanging="709"/>
        <w:rPr>
          <w:highlight w:val="none"/>
        </w:rPr>
      </w:pPr>
      <w:r>
        <w:rPr>
          <w:rFonts w:hint="eastAsia" w:cs="宋体"/>
          <w:highlight w:val="none"/>
        </w:rPr>
        <w:t>对于本合同项下的货物，卖方应向买方认可的、拥有合法资质的著名保险公司投保以下第（1）项规定的保险金额和险种的保险，并将买方列为共同被保险人或受益人。保险保障区段为卖方制造厂存储货物的仓库到买方用于存储货物的仓库，投保的期限始于装货（含装货）止于卸货后30日：</w:t>
      </w:r>
    </w:p>
    <w:p w14:paraId="2CF38BB9">
      <w:pPr>
        <w:numPr>
          <w:ilvl w:val="0"/>
          <w:numId w:val="0"/>
        </w:numPr>
        <w:tabs>
          <w:tab w:val="left" w:pos="720"/>
        </w:tabs>
        <w:spacing w:line="360" w:lineRule="auto"/>
        <w:ind w:leftChars="0" w:firstLine="630" w:firstLineChars="300"/>
        <w:rPr>
          <w:rFonts w:hint="eastAsia" w:cs="宋体"/>
          <w:highlight w:val="none"/>
        </w:rPr>
      </w:pPr>
      <w:r>
        <w:rPr>
          <w:rFonts w:hint="eastAsia" w:cs="宋体"/>
          <w:highlight w:val="none"/>
          <w:lang w:eastAsia="zh-CN"/>
        </w:rPr>
        <w:t>（</w:t>
      </w:r>
      <w:r>
        <w:rPr>
          <w:rFonts w:hint="eastAsia" w:cs="宋体"/>
          <w:highlight w:val="none"/>
          <w:lang w:val="en-US" w:eastAsia="zh-CN"/>
        </w:rPr>
        <w:t>2</w:t>
      </w:r>
      <w:r>
        <w:rPr>
          <w:rFonts w:hint="eastAsia" w:cs="宋体"/>
          <w:highlight w:val="none"/>
          <w:lang w:eastAsia="zh-CN"/>
        </w:rPr>
        <w:t>）</w:t>
      </w:r>
      <w:r>
        <w:rPr>
          <w:rFonts w:hint="eastAsia" w:cs="宋体"/>
          <w:highlight w:val="none"/>
        </w:rPr>
        <w:t>保险金额为合同总价110%的运输保险；</w:t>
      </w:r>
    </w:p>
    <w:p w14:paraId="30B61CDB">
      <w:pPr>
        <w:numPr>
          <w:ilvl w:val="0"/>
          <w:numId w:val="23"/>
        </w:numPr>
        <w:tabs>
          <w:tab w:val="left" w:pos="720"/>
          <w:tab w:val="clear" w:pos="1468"/>
        </w:tabs>
        <w:spacing w:line="360" w:lineRule="auto"/>
        <w:ind w:left="720" w:hanging="720"/>
        <w:rPr>
          <w:highlight w:val="none"/>
        </w:rPr>
      </w:pPr>
      <w:bookmarkStart w:id="128" w:name="_Toc274669323"/>
      <w:bookmarkStart w:id="129" w:name="_Toc274075968"/>
      <w:bookmarkStart w:id="130" w:name="_Toc276069955"/>
      <w:bookmarkStart w:id="131" w:name="_Toc274403541"/>
      <w:bookmarkStart w:id="132" w:name="_Toc287364275"/>
      <w:bookmarkStart w:id="133" w:name="_Toc274668325"/>
      <w:bookmarkStart w:id="134" w:name="_Toc274474916"/>
      <w:bookmarkStart w:id="135" w:name="_Toc274754032"/>
      <w:bookmarkStart w:id="136" w:name="_Toc287657107"/>
      <w:bookmarkStart w:id="137" w:name="_Toc274343611"/>
      <w:bookmarkStart w:id="138" w:name="_Toc288567137"/>
      <w:bookmarkStart w:id="139" w:name="_Toc274076156"/>
      <w:bookmarkStart w:id="140" w:name="_Toc275783105"/>
      <w:r>
        <w:rPr>
          <w:rFonts w:hint="eastAsia" w:cs="宋体"/>
          <w:highlight w:val="none"/>
        </w:rPr>
        <w:t>货物交付前5日内，卖方应向买方提交保险合同的复印件</w:t>
      </w:r>
      <w:r>
        <w:rPr>
          <w:rFonts w:hint="eastAsia"/>
          <w:highlight w:val="none"/>
        </w:rPr>
        <w:t>，并</w:t>
      </w:r>
      <w:r>
        <w:rPr>
          <w:rFonts w:hint="eastAsia" w:cs="Arial"/>
          <w:szCs w:val="21"/>
          <w:highlight w:val="none"/>
        </w:rPr>
        <w:t>应至少提前30日向买方通知所有保险的取消或内容的变更</w:t>
      </w:r>
      <w:r>
        <w:rPr>
          <w:rFonts w:hint="eastAsia" w:cs="宋体"/>
          <w:highlight w:val="none"/>
        </w:rPr>
        <w:t>。</w:t>
      </w:r>
    </w:p>
    <w:p w14:paraId="5E6C2F87">
      <w:pPr>
        <w:numPr>
          <w:ilvl w:val="0"/>
          <w:numId w:val="23"/>
        </w:numPr>
        <w:tabs>
          <w:tab w:val="left" w:pos="720"/>
          <w:tab w:val="clear" w:pos="1468"/>
        </w:tabs>
        <w:spacing w:line="360" w:lineRule="auto"/>
        <w:ind w:left="720" w:hanging="720"/>
        <w:rPr>
          <w:highlight w:val="none"/>
        </w:rPr>
      </w:pPr>
      <w:r>
        <w:rPr>
          <w:rFonts w:hint="eastAsia" w:cs="宋体"/>
          <w:highlight w:val="none"/>
        </w:rPr>
        <w:t>如果卖方未按照买方的上述要求对货物进行投保或无法提供保险合同的复印件，应自行承担货物在制造及运输过程中所产生的任何风险和费用。买方有权自行对货物进行投保并有权从合同价款中直接扣除因此产生的所有费用。</w:t>
      </w:r>
    </w:p>
    <w:p w14:paraId="50C9C364">
      <w:pPr>
        <w:numPr>
          <w:ilvl w:val="0"/>
          <w:numId w:val="23"/>
        </w:numPr>
        <w:tabs>
          <w:tab w:val="left" w:pos="709"/>
          <w:tab w:val="clear" w:pos="1468"/>
        </w:tabs>
        <w:spacing w:line="360" w:lineRule="auto"/>
        <w:ind w:left="720" w:hanging="720"/>
        <w:rPr>
          <w:rFonts w:cs="宋体"/>
          <w:highlight w:val="none"/>
        </w:rPr>
      </w:pPr>
      <w:r>
        <w:rPr>
          <w:rFonts w:hint="eastAsia" w:cs="宋体"/>
          <w:highlight w:val="none"/>
        </w:rPr>
        <w:t>卖方应根据合同规定的责任和义务购买其它保险（包括但不限于设计责任险、雇主责任险、员工意外伤害险、第三方责任险等）。卖方已购买的保险应足以覆盖本合同履行过程中可能产生的一切责任与风险，如果卖方未购买相应的保险，卖方应自行承担任何风险和损失。</w:t>
      </w:r>
    </w:p>
    <w:p w14:paraId="6BEFFED4">
      <w:pPr>
        <w:numPr>
          <w:ilvl w:val="0"/>
          <w:numId w:val="23"/>
        </w:numPr>
        <w:tabs>
          <w:tab w:val="left" w:pos="709"/>
          <w:tab w:val="clear" w:pos="1468"/>
        </w:tabs>
        <w:spacing w:line="360" w:lineRule="auto"/>
        <w:ind w:left="720" w:hanging="720"/>
        <w:rPr>
          <w:rFonts w:cs="宋体"/>
          <w:highlight w:val="none"/>
        </w:rPr>
      </w:pPr>
      <w:r>
        <w:rPr>
          <w:rFonts w:hint="eastAsia" w:cs="宋体"/>
          <w:highlight w:val="none"/>
        </w:rPr>
        <w:t>卖方在本合同项下购买的所有保险合同均应明确规定，承保人放弃任何可能因为卖方而产生的对买方的代位求偿权或任何形式的追索权。</w:t>
      </w:r>
    </w:p>
    <w:p w14:paraId="6467239D">
      <w:pPr>
        <w:numPr>
          <w:ilvl w:val="0"/>
          <w:numId w:val="23"/>
        </w:numPr>
        <w:tabs>
          <w:tab w:val="left" w:pos="709"/>
          <w:tab w:val="clear" w:pos="1468"/>
        </w:tabs>
        <w:spacing w:line="360" w:lineRule="auto"/>
        <w:ind w:left="720" w:hanging="720"/>
        <w:rPr>
          <w:rFonts w:cs="宋体"/>
          <w:highlight w:val="none"/>
        </w:rPr>
      </w:pPr>
      <w:r>
        <w:rPr>
          <w:rFonts w:hint="eastAsia" w:cs="宋体"/>
          <w:highlight w:val="none"/>
        </w:rPr>
        <w:t>本第九条的规定不能限制并免除卖方在本合同项下的责任。</w:t>
      </w:r>
    </w:p>
    <w:p w14:paraId="513677BA">
      <w:pPr>
        <w:numPr>
          <w:ilvl w:val="0"/>
          <w:numId w:val="11"/>
        </w:numPr>
        <w:spacing w:before="360" w:after="360"/>
        <w:jc w:val="center"/>
        <w:rPr>
          <w:b/>
          <w:sz w:val="24"/>
          <w:szCs w:val="24"/>
          <w:highlight w:val="none"/>
        </w:rPr>
      </w:pPr>
      <w:bookmarkStart w:id="141" w:name="_Toc300670331"/>
      <w:bookmarkStart w:id="142" w:name="_Toc5889372"/>
      <w:bookmarkStart w:id="143" w:name="_Toc300670799"/>
      <w:bookmarkStart w:id="144" w:name="_Toc300670403"/>
      <w:bookmarkStart w:id="145" w:name="_Toc17390373"/>
      <w:bookmarkStart w:id="146" w:name="_Toc296955855"/>
      <w:r>
        <w:rPr>
          <w:rFonts w:hint="eastAsia"/>
          <w:b/>
          <w:sz w:val="24"/>
          <w:szCs w:val="24"/>
          <w:highlight w:val="none"/>
        </w:rPr>
        <w:t>知识产权</w:t>
      </w:r>
      <w:bookmarkEnd w:id="141"/>
      <w:bookmarkEnd w:id="142"/>
      <w:bookmarkEnd w:id="143"/>
      <w:bookmarkEnd w:id="144"/>
      <w:bookmarkEnd w:id="145"/>
    </w:p>
    <w:p w14:paraId="404E2A14">
      <w:pPr>
        <w:widowControl/>
        <w:numPr>
          <w:ilvl w:val="0"/>
          <w:numId w:val="24"/>
        </w:numPr>
        <w:tabs>
          <w:tab w:val="left" w:pos="709"/>
        </w:tabs>
        <w:spacing w:line="360" w:lineRule="auto"/>
        <w:ind w:left="619" w:hanging="619" w:hangingChars="295"/>
        <w:jc w:val="left"/>
        <w:rPr>
          <w:highlight w:val="none"/>
        </w:rPr>
      </w:pPr>
      <w:r>
        <w:rPr>
          <w:rFonts w:hint="eastAsia"/>
          <w:highlight w:val="none"/>
        </w:rPr>
        <w:t>双方同意，货物交付且买方按照本合同约定支付合同价款之后，买方自动获得并拥有货物自身附有的和/或为拥有、使用及维护货物所需的全部知识产权。</w:t>
      </w:r>
    </w:p>
    <w:p w14:paraId="5A203F7C">
      <w:pPr>
        <w:widowControl/>
        <w:numPr>
          <w:ilvl w:val="0"/>
          <w:numId w:val="24"/>
        </w:numPr>
        <w:tabs>
          <w:tab w:val="left" w:pos="709"/>
        </w:tabs>
        <w:spacing w:line="360" w:lineRule="auto"/>
        <w:ind w:left="619" w:hanging="619" w:hangingChars="295"/>
        <w:rPr>
          <w:highlight w:val="none"/>
        </w:rPr>
      </w:pPr>
      <w:r>
        <w:rPr>
          <w:rFonts w:hint="eastAsia"/>
          <w:highlight w:val="none"/>
        </w:rPr>
        <w:t>本合同有效期内，如卖方对所许可的专利和</w:t>
      </w:r>
      <w:r>
        <w:rPr>
          <w:highlight w:val="none"/>
        </w:rPr>
        <w:t>/</w:t>
      </w:r>
      <w:r>
        <w:rPr>
          <w:rFonts w:hint="eastAsia"/>
          <w:highlight w:val="none"/>
        </w:rPr>
        <w:t>或专有技术有所改进，则卖方应向买方免费提供技术支持以使该技术改进能顺利投入本合同项下货物的使用过程中。</w:t>
      </w:r>
    </w:p>
    <w:p w14:paraId="5189A234">
      <w:pPr>
        <w:widowControl/>
        <w:numPr>
          <w:ilvl w:val="0"/>
          <w:numId w:val="24"/>
        </w:numPr>
        <w:tabs>
          <w:tab w:val="left" w:pos="709"/>
        </w:tabs>
        <w:spacing w:line="360" w:lineRule="auto"/>
        <w:ind w:left="619" w:hanging="619" w:hangingChars="295"/>
        <w:rPr>
          <w:highlight w:val="none"/>
        </w:rPr>
      </w:pPr>
      <w:r>
        <w:rPr>
          <w:rFonts w:hint="eastAsia"/>
          <w:highlight w:val="none"/>
        </w:rPr>
        <w:t>买方有权对卖方许可买方使用的专利和</w:t>
      </w:r>
      <w:r>
        <w:rPr>
          <w:highlight w:val="none"/>
        </w:rPr>
        <w:t>/</w:t>
      </w:r>
      <w:r>
        <w:rPr>
          <w:rFonts w:hint="eastAsia"/>
          <w:highlight w:val="none"/>
        </w:rPr>
        <w:t>或专有技术予以改进，买方所作的任何技术改进的专利申请权归买方所有。</w:t>
      </w:r>
    </w:p>
    <w:p w14:paraId="4CF627F7">
      <w:pPr>
        <w:widowControl/>
        <w:numPr>
          <w:ilvl w:val="0"/>
          <w:numId w:val="24"/>
        </w:numPr>
        <w:tabs>
          <w:tab w:val="left" w:pos="709"/>
        </w:tabs>
        <w:spacing w:line="360" w:lineRule="auto"/>
        <w:ind w:left="619" w:hanging="619" w:hangingChars="295"/>
        <w:jc w:val="left"/>
        <w:rPr>
          <w:highlight w:val="none"/>
        </w:rPr>
      </w:pPr>
      <w:r>
        <w:rPr>
          <w:rFonts w:hint="eastAsia"/>
          <w:highlight w:val="none"/>
        </w:rPr>
        <w:t>在货物设计、制造、组装、调试及运行期间，如果买方为此提供任何</w:t>
      </w:r>
      <w:r>
        <w:rPr>
          <w:rFonts w:hint="eastAsia"/>
          <w:bCs/>
          <w:szCs w:val="18"/>
          <w:highlight w:val="none"/>
        </w:rPr>
        <w:t>构思、程序、软件、硬件、设计、图纸、技术、诀窍、发明、商标、专利及其它任何形式的保密信息或知识产权（“买方专有资料”），则无论该等买方专有资料是否构成货物不可分拆的一部分，且无论买方是否获得与货物有关的任何其它知识产权，买方应</w:t>
      </w:r>
      <w:r>
        <w:rPr>
          <w:rFonts w:hint="eastAsia"/>
          <w:highlight w:val="none"/>
        </w:rPr>
        <w:t>始终拥有该等买方专有资料的所有权及与之相关的知识产权。</w:t>
      </w:r>
    </w:p>
    <w:p w14:paraId="16A3BD7D">
      <w:pPr>
        <w:numPr>
          <w:ilvl w:val="0"/>
          <w:numId w:val="11"/>
        </w:numPr>
        <w:spacing w:before="360" w:after="360"/>
        <w:jc w:val="center"/>
        <w:rPr>
          <w:b/>
          <w:sz w:val="24"/>
          <w:szCs w:val="24"/>
          <w:highlight w:val="none"/>
        </w:rPr>
      </w:pPr>
      <w:bookmarkStart w:id="147" w:name="_Toc300670404"/>
      <w:bookmarkStart w:id="148" w:name="_Toc300670800"/>
      <w:bookmarkStart w:id="149" w:name="_Toc5889373"/>
      <w:bookmarkStart w:id="150" w:name="_Toc300670332"/>
      <w:bookmarkStart w:id="151" w:name="_Toc17390374"/>
      <w:r>
        <w:rPr>
          <w:rFonts w:hint="eastAsia"/>
          <w:b/>
          <w:sz w:val="24"/>
          <w:szCs w:val="24"/>
          <w:highlight w:val="none"/>
        </w:rPr>
        <w:t>违约责任</w:t>
      </w:r>
      <w:bookmarkEnd w:id="146"/>
      <w:bookmarkEnd w:id="147"/>
      <w:bookmarkEnd w:id="148"/>
      <w:bookmarkEnd w:id="149"/>
      <w:bookmarkEnd w:id="150"/>
      <w:bookmarkEnd w:id="151"/>
    </w:p>
    <w:bookmarkEnd w:id="128"/>
    <w:bookmarkEnd w:id="129"/>
    <w:bookmarkEnd w:id="130"/>
    <w:bookmarkEnd w:id="131"/>
    <w:bookmarkEnd w:id="132"/>
    <w:bookmarkEnd w:id="133"/>
    <w:bookmarkEnd w:id="134"/>
    <w:bookmarkEnd w:id="135"/>
    <w:bookmarkEnd w:id="136"/>
    <w:bookmarkEnd w:id="137"/>
    <w:bookmarkEnd w:id="138"/>
    <w:bookmarkEnd w:id="139"/>
    <w:bookmarkEnd w:id="140"/>
    <w:p w14:paraId="24745A97">
      <w:pPr>
        <w:numPr>
          <w:ilvl w:val="1"/>
          <w:numId w:val="25"/>
        </w:numPr>
        <w:tabs>
          <w:tab w:val="clear" w:pos="420"/>
        </w:tabs>
        <w:spacing w:line="360" w:lineRule="auto"/>
        <w:ind w:left="709" w:hanging="709"/>
        <w:rPr>
          <w:rFonts w:ascii="宋体" w:hAnsi="宋体"/>
          <w:highlight w:val="none"/>
        </w:rPr>
      </w:pPr>
      <w:bookmarkStart w:id="152" w:name="_Toc274668327"/>
      <w:bookmarkStart w:id="153" w:name="_Toc288567140"/>
      <w:bookmarkStart w:id="154" w:name="_Toc275783106"/>
      <w:bookmarkStart w:id="155" w:name="_Toc276069956"/>
      <w:bookmarkStart w:id="156" w:name="_Toc274403543"/>
      <w:bookmarkStart w:id="157" w:name="_Toc287657109"/>
      <w:bookmarkStart w:id="158" w:name="_Toc300671200"/>
      <w:bookmarkStart w:id="159" w:name="_Toc287364277"/>
      <w:bookmarkStart w:id="160" w:name="_Toc5889374"/>
      <w:bookmarkStart w:id="161" w:name="_Toc17390375"/>
      <w:bookmarkStart w:id="162" w:name="_Toc274474918"/>
      <w:bookmarkStart w:id="163" w:name="_Toc274669325"/>
      <w:bookmarkStart w:id="164" w:name="_Toc274754033"/>
      <w:r>
        <w:rPr>
          <w:rFonts w:hint="eastAsia" w:ascii="宋体" w:hAnsi="宋体"/>
          <w:highlight w:val="none"/>
        </w:rPr>
        <w:t>如非因买方或不可抗力原因，卖方未按照合同规定的交货日期交货，每延期一日，卖方应按照延期交货货物对应订单价款</w:t>
      </w:r>
      <w:r>
        <w:rPr>
          <w:rFonts w:hint="eastAsia" w:ascii="宋体" w:hAnsi="宋体"/>
          <w:kern w:val="2"/>
          <w:highlight w:val="none"/>
        </w:rPr>
        <w:t>0.1%</w:t>
      </w:r>
      <w:r>
        <w:rPr>
          <w:rFonts w:hint="eastAsia" w:ascii="宋体" w:hAnsi="宋体"/>
          <w:highlight w:val="none"/>
        </w:rPr>
        <w:t>的比例，向买方支付违约金。如货物延期交付超过</w:t>
      </w:r>
      <w:r>
        <w:rPr>
          <w:rFonts w:hint="eastAsia" w:ascii="宋体" w:hAnsi="宋体"/>
          <w:kern w:val="2"/>
          <w:highlight w:val="none"/>
        </w:rPr>
        <w:t>30</w:t>
      </w:r>
      <w:r>
        <w:rPr>
          <w:rFonts w:hint="eastAsia" w:ascii="宋体" w:hAnsi="宋体"/>
          <w:highlight w:val="none"/>
        </w:rPr>
        <w:t>日，除要求卖方支付延期交货违约金外，买方有权解除本合同，并有权要求卖方赔偿买方因此遭受的全部损失，同时，卖方应偿还买方支付的预付款。</w:t>
      </w:r>
    </w:p>
    <w:p w14:paraId="718F3187">
      <w:pPr>
        <w:numPr>
          <w:ilvl w:val="1"/>
          <w:numId w:val="25"/>
        </w:numPr>
        <w:tabs>
          <w:tab w:val="clear" w:pos="420"/>
        </w:tabs>
        <w:spacing w:line="360" w:lineRule="auto"/>
        <w:ind w:left="709" w:hanging="709"/>
        <w:rPr>
          <w:rFonts w:ascii="宋体" w:hAnsi="宋体"/>
          <w:highlight w:val="none"/>
        </w:rPr>
      </w:pPr>
      <w:r>
        <w:rPr>
          <w:rFonts w:hint="eastAsia" w:ascii="宋体" w:hAnsi="宋体"/>
          <w:highlight w:val="none"/>
        </w:rPr>
        <w:t>如非因买方或不可抗力原因，卖方未按时交付技术资料，每延期交付一日，卖方应按照延期交货货物对应订单价款</w:t>
      </w:r>
      <w:r>
        <w:rPr>
          <w:rFonts w:hint="eastAsia" w:ascii="宋体" w:hAnsi="宋体"/>
          <w:kern w:val="2"/>
          <w:highlight w:val="none"/>
        </w:rPr>
        <w:t>0.1%</w:t>
      </w:r>
      <w:r>
        <w:rPr>
          <w:rFonts w:hint="eastAsia" w:ascii="宋体" w:hAnsi="宋体"/>
          <w:highlight w:val="none"/>
        </w:rPr>
        <w:t>的比例，向买方支付违约金。如卖方延期交付技术资料超过</w:t>
      </w:r>
      <w:r>
        <w:rPr>
          <w:rFonts w:hint="eastAsia" w:ascii="宋体" w:hAnsi="宋体"/>
          <w:kern w:val="2"/>
          <w:highlight w:val="none"/>
        </w:rPr>
        <w:t>30</w:t>
      </w:r>
      <w:r>
        <w:rPr>
          <w:rFonts w:hint="eastAsia" w:ascii="宋体" w:hAnsi="宋体"/>
          <w:highlight w:val="none"/>
        </w:rPr>
        <w:t>日，卖方除应向买方支付该等延期违约金外，还应赔偿买方因此遭受的全部损失。</w:t>
      </w:r>
    </w:p>
    <w:p w14:paraId="5C4BA077">
      <w:pPr>
        <w:numPr>
          <w:ilvl w:val="1"/>
          <w:numId w:val="25"/>
        </w:numPr>
        <w:tabs>
          <w:tab w:val="clear" w:pos="420"/>
        </w:tabs>
        <w:spacing w:line="360" w:lineRule="auto"/>
        <w:ind w:left="709" w:hanging="709"/>
        <w:rPr>
          <w:rFonts w:ascii="宋体" w:hAnsi="宋体"/>
          <w:highlight w:val="none"/>
        </w:rPr>
      </w:pPr>
      <w:r>
        <w:rPr>
          <w:rFonts w:hint="eastAsia" w:ascii="宋体" w:hAnsi="宋体"/>
          <w:highlight w:val="none"/>
        </w:rPr>
        <w:t>对于验收过程中发现的货物的任何损坏、缺陷、短缺，如卖方未能在买方发出修理、更换或补发通知后</w:t>
      </w:r>
      <w:r>
        <w:rPr>
          <w:rFonts w:hint="eastAsia" w:ascii="宋体" w:hAnsi="宋体"/>
          <w:kern w:val="2"/>
          <w:highlight w:val="none"/>
        </w:rPr>
        <w:t>7</w:t>
      </w:r>
      <w:r>
        <w:rPr>
          <w:rFonts w:hint="eastAsia" w:ascii="宋体" w:hAnsi="宋体"/>
          <w:highlight w:val="none"/>
        </w:rPr>
        <w:t>日内予以修理、更换或补发短缺部分，买方有权解除本合同，并要求卖方支付订单总价</w:t>
      </w:r>
      <w:r>
        <w:rPr>
          <w:rFonts w:hint="eastAsia" w:ascii="宋体" w:hAnsi="宋体"/>
          <w:kern w:val="2"/>
          <w:highlight w:val="none"/>
        </w:rPr>
        <w:t>10%</w:t>
      </w:r>
      <w:r>
        <w:rPr>
          <w:rFonts w:hint="eastAsia" w:ascii="宋体" w:hAnsi="宋体"/>
          <w:highlight w:val="none"/>
        </w:rPr>
        <w:t>的违约金，同时有权要求卖方赔偿因此遭受的全部损失并偿还买方支付的预付款。</w:t>
      </w:r>
    </w:p>
    <w:p w14:paraId="2CD13095">
      <w:pPr>
        <w:numPr>
          <w:ilvl w:val="1"/>
          <w:numId w:val="25"/>
        </w:numPr>
        <w:tabs>
          <w:tab w:val="clear" w:pos="420"/>
        </w:tabs>
        <w:spacing w:line="360" w:lineRule="auto"/>
        <w:ind w:left="709" w:hanging="709"/>
        <w:rPr>
          <w:rFonts w:ascii="宋体" w:hAnsi="宋体"/>
          <w:highlight w:val="none"/>
        </w:rPr>
      </w:pPr>
      <w:r>
        <w:rPr>
          <w:rFonts w:hint="eastAsia" w:ascii="宋体" w:hAnsi="宋体"/>
          <w:highlight w:val="none"/>
        </w:rPr>
        <w:t>如因包装或保护措施不妥引起货物、货物资料或技术资料损坏、遗失或锈蚀，卖方应予以修理、替换、补充并赔偿买方因此遭受的全部损失。卖方应尽快将修理、替换或补充的货物、货物资料或技术资料运达目的地，并承担因此发生的任何费用。</w:t>
      </w:r>
    </w:p>
    <w:p w14:paraId="37C59100">
      <w:pPr>
        <w:numPr>
          <w:ilvl w:val="1"/>
          <w:numId w:val="25"/>
        </w:numPr>
        <w:tabs>
          <w:tab w:val="clear" w:pos="420"/>
        </w:tabs>
        <w:spacing w:line="360" w:lineRule="auto"/>
        <w:ind w:left="709" w:hanging="709"/>
        <w:rPr>
          <w:rFonts w:ascii="宋体" w:hAnsi="宋体"/>
          <w:highlight w:val="none"/>
        </w:rPr>
      </w:pPr>
      <w:r>
        <w:rPr>
          <w:rFonts w:hint="eastAsia" w:ascii="宋体" w:hAnsi="宋体"/>
          <w:highlight w:val="none"/>
        </w:rPr>
        <w:t>质保期内，如货物被发现存在任何缺陷，卖方未根据合同规定进行修理、更换或经修理、更换仍无法消除该等缺陷，除行使合同规定的其它权利外，买方有权要求卖方支付该货物之订单价款</w:t>
      </w:r>
      <w:r>
        <w:rPr>
          <w:rFonts w:hint="eastAsia" w:ascii="宋体" w:hAnsi="宋体"/>
          <w:kern w:val="2"/>
          <w:highlight w:val="none"/>
        </w:rPr>
        <w:t>10%</w:t>
      </w:r>
      <w:r>
        <w:rPr>
          <w:rFonts w:hint="eastAsia" w:ascii="宋体" w:hAnsi="宋体"/>
          <w:highlight w:val="none"/>
        </w:rPr>
        <w:t>的违约金，卖方应同时赔偿买方因此遭受的全部损失。</w:t>
      </w:r>
    </w:p>
    <w:p w14:paraId="5B8F1C06">
      <w:pPr>
        <w:numPr>
          <w:ilvl w:val="1"/>
          <w:numId w:val="25"/>
        </w:numPr>
        <w:tabs>
          <w:tab w:val="clear" w:pos="420"/>
        </w:tabs>
        <w:spacing w:line="360" w:lineRule="auto"/>
        <w:ind w:left="709" w:hanging="709"/>
        <w:rPr>
          <w:rFonts w:ascii="宋体" w:hAnsi="宋体"/>
          <w:highlight w:val="none"/>
        </w:rPr>
      </w:pPr>
      <w:r>
        <w:rPr>
          <w:rFonts w:hint="eastAsia" w:ascii="宋体" w:hAnsi="宋体"/>
          <w:highlight w:val="none"/>
        </w:rPr>
        <w:t>如卖方提供的技术服务发生延误或错误，每延期一日或发生一次错误，卖方应按照订单总价</w:t>
      </w:r>
      <w:r>
        <w:rPr>
          <w:rFonts w:hint="eastAsia" w:ascii="宋体" w:hAnsi="宋体"/>
          <w:kern w:val="2"/>
          <w:highlight w:val="none"/>
        </w:rPr>
        <w:t>0.1%</w:t>
      </w:r>
      <w:r>
        <w:rPr>
          <w:rFonts w:hint="eastAsia" w:ascii="宋体" w:hAnsi="宋体"/>
          <w:highlight w:val="none"/>
        </w:rPr>
        <w:t>向买方支付违约金。如卖方延误提供技术服务超过</w:t>
      </w:r>
      <w:r>
        <w:rPr>
          <w:rFonts w:hint="eastAsia" w:ascii="宋体" w:hAnsi="宋体"/>
          <w:kern w:val="2"/>
          <w:highlight w:val="none"/>
        </w:rPr>
        <w:t>7</w:t>
      </w:r>
      <w:r>
        <w:rPr>
          <w:rFonts w:hint="eastAsia" w:ascii="宋体" w:hAnsi="宋体"/>
          <w:highlight w:val="none"/>
        </w:rPr>
        <w:t>日，卖方除应向买方支付该等违约金外，还应赔偿买方因此遭受的全部损失。</w:t>
      </w:r>
    </w:p>
    <w:p w14:paraId="2266B58D">
      <w:pPr>
        <w:numPr>
          <w:ilvl w:val="1"/>
          <w:numId w:val="25"/>
        </w:numPr>
        <w:tabs>
          <w:tab w:val="clear" w:pos="420"/>
        </w:tabs>
        <w:spacing w:line="360" w:lineRule="auto"/>
        <w:ind w:left="709" w:hanging="709"/>
        <w:rPr>
          <w:rFonts w:ascii="宋体" w:hAnsi="宋体"/>
          <w:highlight w:val="none"/>
        </w:rPr>
      </w:pPr>
      <w:r>
        <w:rPr>
          <w:rFonts w:hint="eastAsia" w:ascii="宋体" w:hAnsi="宋体"/>
          <w:highlight w:val="none"/>
        </w:rPr>
        <w:t>未经买方同意，卖方擅自进行转让、分包，买方有权解除本合同，卖方应退还买方已支付的全部款项，并支付转让、分包货物之合同价款</w:t>
      </w:r>
      <w:r>
        <w:rPr>
          <w:rFonts w:hint="eastAsia" w:ascii="宋体" w:hAnsi="宋体"/>
          <w:kern w:val="2"/>
          <w:highlight w:val="none"/>
        </w:rPr>
        <w:t>20%</w:t>
      </w:r>
      <w:r>
        <w:rPr>
          <w:rFonts w:hint="eastAsia" w:ascii="宋体" w:hAnsi="宋体"/>
          <w:highlight w:val="none"/>
        </w:rPr>
        <w:t>的违约金，卖方应同时赔偿买方因此遭受的全部损失。</w:t>
      </w:r>
    </w:p>
    <w:p w14:paraId="6E1909EA">
      <w:pPr>
        <w:numPr>
          <w:ilvl w:val="1"/>
          <w:numId w:val="25"/>
        </w:numPr>
        <w:tabs>
          <w:tab w:val="clear" w:pos="420"/>
        </w:tabs>
        <w:spacing w:line="360" w:lineRule="auto"/>
        <w:jc w:val="both"/>
        <w:rPr>
          <w:rFonts w:hint="eastAsia" w:ascii="宋体" w:hAnsi="宋体"/>
          <w:highlight w:val="none"/>
        </w:rPr>
      </w:pPr>
      <w:r>
        <w:rPr>
          <w:rFonts w:hint="eastAsia" w:ascii="宋体" w:hAnsi="宋体"/>
          <w:highlight w:val="none"/>
        </w:rPr>
        <w:t>如仅因买方原因，买方逾期向卖方付款，卖方应向买方发出书面催款通知，买方应在收到该等通知后30日内付款，否则，即应自该等30日期间结束之日起，按合同订立时1年期贷款市场报价利率计算并支付应付未付合同价款的利息，最高不超过相关应付未付合同价款的10%。双方同意，该等利息的支付是买方就未能如期支付相关合同价款所需承担的全部责任。</w:t>
      </w:r>
    </w:p>
    <w:p w14:paraId="16968034">
      <w:pPr>
        <w:numPr>
          <w:ilvl w:val="0"/>
          <w:numId w:val="11"/>
        </w:numPr>
        <w:spacing w:before="360" w:after="360"/>
        <w:jc w:val="center"/>
        <w:rPr>
          <w:b/>
          <w:sz w:val="24"/>
          <w:szCs w:val="24"/>
          <w:highlight w:val="none"/>
        </w:rPr>
      </w:pPr>
      <w:r>
        <w:rPr>
          <w:rFonts w:hint="eastAsia"/>
          <w:b/>
          <w:sz w:val="24"/>
          <w:szCs w:val="24"/>
          <w:highlight w:val="none"/>
        </w:rPr>
        <w:t>争议解决</w:t>
      </w:r>
      <w:bookmarkEnd w:id="152"/>
      <w:bookmarkEnd w:id="153"/>
      <w:bookmarkEnd w:id="154"/>
      <w:bookmarkEnd w:id="155"/>
      <w:bookmarkEnd w:id="156"/>
      <w:bookmarkEnd w:id="157"/>
      <w:bookmarkEnd w:id="158"/>
      <w:bookmarkEnd w:id="159"/>
      <w:bookmarkEnd w:id="160"/>
      <w:bookmarkEnd w:id="161"/>
      <w:bookmarkEnd w:id="162"/>
      <w:bookmarkEnd w:id="163"/>
      <w:bookmarkEnd w:id="164"/>
    </w:p>
    <w:p w14:paraId="295E8715">
      <w:pPr>
        <w:widowControl/>
        <w:numPr>
          <w:ilvl w:val="0"/>
          <w:numId w:val="26"/>
        </w:numPr>
        <w:tabs>
          <w:tab w:val="left" w:pos="720"/>
          <w:tab w:val="left" w:pos="900"/>
        </w:tabs>
        <w:spacing w:line="360" w:lineRule="auto"/>
        <w:ind w:left="720" w:hanging="720"/>
        <w:rPr>
          <w:highlight w:val="none"/>
        </w:rPr>
      </w:pPr>
      <w:r>
        <w:rPr>
          <w:rFonts w:hint="eastAsia" w:cs="宋体"/>
          <w:highlight w:val="none"/>
        </w:rPr>
        <w:t>因履行本合同发生的或与本合同有关的一切争议，双方首先应友好协商解决，如经协商仍不能解决，双方同意选择以下第</w:t>
      </w:r>
      <w:r>
        <w:rPr>
          <w:rFonts w:hint="eastAsia"/>
          <w:highlight w:val="none"/>
        </w:rPr>
        <w:t>（2）</w:t>
      </w:r>
      <w:r>
        <w:rPr>
          <w:rFonts w:hint="eastAsia" w:cs="宋体"/>
          <w:highlight w:val="none"/>
        </w:rPr>
        <w:t>种方式予以解决：</w:t>
      </w:r>
    </w:p>
    <w:p w14:paraId="4B47EB0A">
      <w:pPr>
        <w:widowControl/>
        <w:numPr>
          <w:ilvl w:val="2"/>
          <w:numId w:val="27"/>
        </w:numPr>
        <w:tabs>
          <w:tab w:val="left" w:pos="648"/>
          <w:tab w:val="left" w:pos="1260"/>
        </w:tabs>
        <w:spacing w:line="360" w:lineRule="auto"/>
        <w:ind w:left="1134" w:hanging="414"/>
        <w:rPr>
          <w:highlight w:val="none"/>
        </w:rPr>
      </w:pPr>
      <w:r>
        <w:rPr>
          <w:rFonts w:hint="eastAsia" w:cs="宋体"/>
          <w:highlight w:val="none"/>
        </w:rPr>
        <w:t>向买方所在地人民法院起诉。</w:t>
      </w:r>
    </w:p>
    <w:p w14:paraId="554180E1">
      <w:pPr>
        <w:widowControl/>
        <w:numPr>
          <w:ilvl w:val="2"/>
          <w:numId w:val="27"/>
        </w:numPr>
        <w:tabs>
          <w:tab w:val="left" w:pos="648"/>
          <w:tab w:val="left" w:pos="1260"/>
        </w:tabs>
        <w:spacing w:line="360" w:lineRule="auto"/>
        <w:ind w:left="1260" w:hanging="540"/>
        <w:rPr>
          <w:highlight w:val="none"/>
        </w:rPr>
      </w:pPr>
      <w:r>
        <w:rPr>
          <w:rFonts w:hint="eastAsia" w:cs="宋体"/>
          <w:highlight w:val="none"/>
        </w:rPr>
        <w:t>提交天津仲裁委员会进行仲裁。仲裁地点在</w:t>
      </w:r>
      <w:r>
        <w:rPr>
          <w:rFonts w:hint="eastAsia"/>
          <w:highlight w:val="none"/>
        </w:rPr>
        <w:t>天津</w:t>
      </w:r>
      <w:r>
        <w:rPr>
          <w:rFonts w:hint="eastAsia" w:cs="宋体"/>
          <w:highlight w:val="none"/>
        </w:rPr>
        <w:t>。仲裁应根据该仲裁委员会现行有效的仲裁规则进行。仲裁裁决是终局的，对双方均有约束力。除仲裁庭另有裁决外，仲裁费用由败诉方承担。</w:t>
      </w:r>
    </w:p>
    <w:p w14:paraId="262DAE38">
      <w:pPr>
        <w:widowControl/>
        <w:numPr>
          <w:ilvl w:val="0"/>
          <w:numId w:val="26"/>
        </w:numPr>
        <w:tabs>
          <w:tab w:val="left" w:pos="720"/>
          <w:tab w:val="left" w:pos="900"/>
        </w:tabs>
        <w:spacing w:line="360" w:lineRule="auto"/>
        <w:ind w:left="720" w:hanging="720"/>
        <w:rPr>
          <w:rFonts w:cs="宋体"/>
          <w:highlight w:val="none"/>
        </w:rPr>
      </w:pPr>
      <w:r>
        <w:rPr>
          <w:rFonts w:hint="eastAsia" w:cs="宋体"/>
          <w:highlight w:val="none"/>
        </w:rPr>
        <w:t>争议解决期间，除争议事项外，双方应继续履行本合同。</w:t>
      </w:r>
    </w:p>
    <w:p w14:paraId="0DF74AF4">
      <w:pPr>
        <w:pStyle w:val="30"/>
        <w:spacing w:line="360" w:lineRule="auto"/>
        <w:ind w:left="527" w:right="10" w:hanging="527"/>
        <w:jc w:val="center"/>
        <w:outlineLvl w:val="9"/>
        <w:rPr>
          <w:sz w:val="36"/>
          <w:szCs w:val="36"/>
          <w:highlight w:val="none"/>
        </w:rPr>
      </w:pPr>
      <w:r>
        <w:rPr>
          <w:highlight w:val="none"/>
          <w:lang w:eastAsia="zh-CN"/>
        </w:rPr>
        <w:br w:type="page"/>
      </w:r>
      <w:bookmarkStart w:id="165" w:name="_Toc297055778"/>
      <w:bookmarkStart w:id="166" w:name="_Toc5889375"/>
      <w:bookmarkStart w:id="167" w:name="_Toc297106680"/>
      <w:bookmarkStart w:id="168" w:name="_Toc300671201"/>
      <w:bookmarkStart w:id="169" w:name="_Toc17390376"/>
      <w:r>
        <w:rPr>
          <w:rFonts w:hint="eastAsia" w:ascii="Times New Roman" w:hAnsi="宋体" w:cs="宋体"/>
          <w:color w:val="000000"/>
          <w:sz w:val="36"/>
          <w:szCs w:val="36"/>
          <w:highlight w:val="none"/>
          <w:lang w:eastAsia="zh-CN"/>
        </w:rPr>
        <w:t>第三部分通用合同条款</w:t>
      </w:r>
      <w:bookmarkEnd w:id="165"/>
      <w:bookmarkEnd w:id="166"/>
      <w:bookmarkEnd w:id="167"/>
      <w:bookmarkEnd w:id="168"/>
      <w:bookmarkEnd w:id="169"/>
    </w:p>
    <w:p w14:paraId="4C32A951">
      <w:pPr>
        <w:numPr>
          <w:ilvl w:val="0"/>
          <w:numId w:val="28"/>
        </w:numPr>
        <w:spacing w:before="360" w:after="360"/>
        <w:jc w:val="center"/>
        <w:rPr>
          <w:b/>
          <w:sz w:val="24"/>
          <w:szCs w:val="24"/>
          <w:highlight w:val="none"/>
        </w:rPr>
      </w:pPr>
      <w:bookmarkStart w:id="170" w:name="_Toc5889376"/>
      <w:bookmarkStart w:id="171" w:name="_Toc17390377"/>
      <w:bookmarkStart w:id="172" w:name="_Toc291435847"/>
      <w:bookmarkStart w:id="173" w:name="_Toc291435914"/>
      <w:bookmarkStart w:id="174" w:name="_Toc296959321"/>
      <w:bookmarkStart w:id="175" w:name="_Toc300671202"/>
      <w:bookmarkStart w:id="176" w:name="_Toc296955859"/>
      <w:bookmarkStart w:id="177" w:name="_Toc288567142"/>
      <w:r>
        <w:rPr>
          <w:rFonts w:hint="eastAsia"/>
          <w:b/>
          <w:sz w:val="24"/>
          <w:szCs w:val="24"/>
          <w:highlight w:val="none"/>
        </w:rPr>
        <w:t>定义</w:t>
      </w:r>
      <w:bookmarkEnd w:id="170"/>
      <w:bookmarkEnd w:id="171"/>
      <w:bookmarkEnd w:id="172"/>
      <w:bookmarkEnd w:id="173"/>
      <w:bookmarkEnd w:id="174"/>
      <w:bookmarkEnd w:id="175"/>
      <w:bookmarkEnd w:id="176"/>
    </w:p>
    <w:p w14:paraId="30BEDB85">
      <w:pPr>
        <w:widowControl/>
        <w:numPr>
          <w:ilvl w:val="1"/>
          <w:numId w:val="29"/>
        </w:numPr>
        <w:tabs>
          <w:tab w:val="left" w:pos="709"/>
        </w:tabs>
        <w:spacing w:line="360" w:lineRule="auto"/>
        <w:ind w:left="617" w:hanging="617" w:hangingChars="294"/>
        <w:jc w:val="left"/>
        <w:rPr>
          <w:szCs w:val="21"/>
          <w:highlight w:val="none"/>
        </w:rPr>
      </w:pPr>
      <w:r>
        <w:rPr>
          <w:rFonts w:hint="eastAsia"/>
          <w:szCs w:val="21"/>
          <w:highlight w:val="none"/>
        </w:rPr>
        <w:t>本合同相关词语的定义如下：</w:t>
      </w:r>
    </w:p>
    <w:p w14:paraId="5DC420E8">
      <w:pPr>
        <w:pStyle w:val="31"/>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“法律法规”</w:t>
      </w:r>
      <w:r>
        <w:rPr>
          <w:rFonts w:hint="eastAsia"/>
          <w:sz w:val="21"/>
          <w:szCs w:val="21"/>
          <w:highlight w:val="none"/>
        </w:rPr>
        <w:t>指中华人民共和国各级立法、行政机关不时颁布并生效的法律、法规、规章及其它规范性文件。</w:t>
      </w:r>
    </w:p>
    <w:p w14:paraId="2C975914">
      <w:pPr>
        <w:pStyle w:val="31"/>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“工作日”</w:t>
      </w:r>
      <w:r>
        <w:rPr>
          <w:rFonts w:hint="eastAsia"/>
          <w:sz w:val="21"/>
          <w:szCs w:val="21"/>
          <w:highlight w:val="none"/>
        </w:rPr>
        <w:t>是指除星期六、星期日和中华人民共和国法定节假日外的日历日。</w:t>
      </w:r>
    </w:p>
    <w:p w14:paraId="4ED3C8ED">
      <w:pPr>
        <w:pStyle w:val="31"/>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“关联企业”</w:t>
      </w:r>
      <w:r>
        <w:rPr>
          <w:rFonts w:hint="eastAsia"/>
          <w:sz w:val="21"/>
          <w:szCs w:val="21"/>
          <w:highlight w:val="none"/>
        </w:rPr>
        <w:t>对任何一方而言指，指</w:t>
      </w:r>
      <w:r>
        <w:rPr>
          <w:sz w:val="21"/>
          <w:szCs w:val="21"/>
          <w:highlight w:val="none"/>
        </w:rPr>
        <w:t>(i)</w:t>
      </w:r>
      <w:r>
        <w:rPr>
          <w:rFonts w:hint="eastAsia"/>
          <w:sz w:val="21"/>
          <w:szCs w:val="21"/>
          <w:highlight w:val="none"/>
        </w:rPr>
        <w:t>控制该方的公司、企业或实体；</w:t>
      </w:r>
      <w:r>
        <w:rPr>
          <w:sz w:val="21"/>
          <w:szCs w:val="21"/>
          <w:highlight w:val="none"/>
        </w:rPr>
        <w:t>(ii)</w:t>
      </w:r>
      <w:r>
        <w:rPr>
          <w:rFonts w:hint="eastAsia"/>
          <w:sz w:val="21"/>
          <w:szCs w:val="21"/>
          <w:highlight w:val="none"/>
        </w:rPr>
        <w:t>该方控制的公司、企业或实体；或</w:t>
      </w:r>
      <w:r>
        <w:rPr>
          <w:sz w:val="21"/>
          <w:szCs w:val="21"/>
          <w:highlight w:val="none"/>
        </w:rPr>
        <w:t>(iii)</w:t>
      </w:r>
      <w:r>
        <w:rPr>
          <w:rFonts w:hint="eastAsia"/>
          <w:sz w:val="21"/>
          <w:szCs w:val="21"/>
          <w:highlight w:val="none"/>
        </w:rPr>
        <w:t>与该方共受同一主体控制的公司、企业或实体。控制指直接或间接拥有</w:t>
      </w:r>
      <w:r>
        <w:rPr>
          <w:sz w:val="21"/>
          <w:szCs w:val="21"/>
          <w:highlight w:val="none"/>
        </w:rPr>
        <w:t>50%</w:t>
      </w:r>
      <w:r>
        <w:rPr>
          <w:rFonts w:hint="eastAsia"/>
          <w:sz w:val="21"/>
          <w:szCs w:val="21"/>
          <w:highlight w:val="none"/>
        </w:rPr>
        <w:t>以上股份，或有权直接或间接委派董事会或类似管理机构</w:t>
      </w:r>
      <w:r>
        <w:rPr>
          <w:sz w:val="21"/>
          <w:szCs w:val="21"/>
          <w:highlight w:val="none"/>
        </w:rPr>
        <w:t>1/2</w:t>
      </w:r>
      <w:r>
        <w:rPr>
          <w:rFonts w:hint="eastAsia"/>
          <w:sz w:val="21"/>
          <w:szCs w:val="21"/>
          <w:highlight w:val="none"/>
        </w:rPr>
        <w:t>以上成员，或通过其它方式决定其经营管理和决策。</w:t>
      </w:r>
    </w:p>
    <w:p w14:paraId="0DB269C9">
      <w:pPr>
        <w:pStyle w:val="31"/>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“合同价款”</w:t>
      </w:r>
      <w:r>
        <w:rPr>
          <w:rFonts w:hint="eastAsia"/>
          <w:sz w:val="21"/>
          <w:szCs w:val="21"/>
          <w:highlight w:val="none"/>
        </w:rPr>
        <w:t>是指买方根据本合同的规定应支付给卖方的价款。</w:t>
      </w:r>
    </w:p>
    <w:p w14:paraId="63B497AA">
      <w:pPr>
        <w:pStyle w:val="31"/>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“货物”</w:t>
      </w:r>
      <w:r>
        <w:rPr>
          <w:rFonts w:hint="eastAsia"/>
          <w:sz w:val="21"/>
          <w:szCs w:val="21"/>
          <w:highlight w:val="none"/>
        </w:rPr>
        <w:t>是指卖方根据本合同的规定向买方提供的全部产品。</w:t>
      </w:r>
    </w:p>
    <w:p w14:paraId="4EF3C6BB">
      <w:pPr>
        <w:pStyle w:val="31"/>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“技术资料”</w:t>
      </w:r>
      <w:r>
        <w:rPr>
          <w:rFonts w:hint="eastAsia"/>
          <w:sz w:val="21"/>
          <w:szCs w:val="21"/>
          <w:highlight w:val="none"/>
        </w:rPr>
        <w:t>是指与货物的设计、制造、监造、检验、安装、调试、验收、操作、试运行、运行、检修、维护和技术指导等相关的文件（包括图纸、规格书、数据表、各种文字说明、标准、各种软件）。</w:t>
      </w:r>
    </w:p>
    <w:p w14:paraId="6A534840">
      <w:pPr>
        <w:pStyle w:val="31"/>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“技术服务”</w:t>
      </w:r>
      <w:r>
        <w:rPr>
          <w:rFonts w:hint="eastAsia"/>
          <w:sz w:val="21"/>
          <w:szCs w:val="21"/>
          <w:highlight w:val="none"/>
        </w:rPr>
        <w:t>是指卖方提供的与本货物的设计、监造、检验、安装、调试、验收、试运行、运行、操作、检修、维护等有关的指导、配合、协调、支持、培训等服务。</w:t>
      </w:r>
    </w:p>
    <w:p w14:paraId="64A2785B">
      <w:pPr>
        <w:pStyle w:val="31"/>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“检验机构”</w:t>
      </w:r>
      <w:r>
        <w:rPr>
          <w:rFonts w:hint="eastAsia"/>
          <w:sz w:val="21"/>
          <w:szCs w:val="21"/>
          <w:highlight w:val="none"/>
        </w:rPr>
        <w:t>是指为确认货物符合技术规范的要求，买卖双方共同确定的第三方权威检验机构。</w:t>
      </w:r>
    </w:p>
    <w:p w14:paraId="57AA5148">
      <w:pPr>
        <w:pStyle w:val="31"/>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“良好的行业惯例”</w:t>
      </w:r>
      <w:r>
        <w:rPr>
          <w:rFonts w:hint="eastAsia"/>
          <w:sz w:val="21"/>
          <w:szCs w:val="21"/>
          <w:highlight w:val="none"/>
        </w:rPr>
        <w:t>是指在履行本合同的过程中，卖方应遵守适用法律、法规、标准、商业惯例和诚实信用原则，采取一个经验丰富、合格的卖方在同等或类似条件应当采取的措施，并具备该等卖方应当具备的资质、技术、审慎、判断及其它方面的能力。</w:t>
      </w:r>
    </w:p>
    <w:p w14:paraId="1289378E">
      <w:pPr>
        <w:pStyle w:val="31"/>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“日、周、月”</w:t>
      </w:r>
      <w:r>
        <w:rPr>
          <w:rFonts w:hint="eastAsia"/>
          <w:sz w:val="21"/>
          <w:szCs w:val="21"/>
          <w:highlight w:val="none"/>
        </w:rPr>
        <w:t>是指日历日、日历周、日历月。</w:t>
      </w:r>
    </w:p>
    <w:p w14:paraId="378AC4EA">
      <w:pPr>
        <w:pStyle w:val="31"/>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“现场”</w:t>
      </w:r>
      <w:r>
        <w:rPr>
          <w:rFonts w:hint="eastAsia"/>
          <w:sz w:val="21"/>
          <w:szCs w:val="21"/>
          <w:highlight w:val="none"/>
        </w:rPr>
        <w:t>是指买方指定的货物安装、运行场所。</w:t>
      </w:r>
    </w:p>
    <w:p w14:paraId="3594BC8F">
      <w:pPr>
        <w:pStyle w:val="31"/>
        <w:keepNext w:val="0"/>
        <w:keepLines w:val="0"/>
        <w:pageBreakBefore w:val="0"/>
        <w:widowControl/>
        <w:numPr>
          <w:ilvl w:val="0"/>
          <w:numId w:val="30"/>
        </w:numPr>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bCs/>
          <w:sz w:val="21"/>
          <w:szCs w:val="21"/>
          <w:highlight w:val="none"/>
        </w:rPr>
        <w:t>“有效税务发票”</w:t>
      </w:r>
      <w:r>
        <w:rPr>
          <w:rFonts w:hint="eastAsia"/>
          <w:sz w:val="21"/>
          <w:szCs w:val="21"/>
          <w:highlight w:val="none"/>
        </w:rPr>
        <w:t>是指符合中国法律法规要求的发票。</w:t>
      </w:r>
    </w:p>
    <w:p w14:paraId="1B08C21E">
      <w:pPr>
        <w:pStyle w:val="31"/>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“知识产权”</w:t>
      </w:r>
      <w:r>
        <w:rPr>
          <w:rFonts w:hint="eastAsia"/>
          <w:sz w:val="21"/>
          <w:szCs w:val="21"/>
          <w:highlight w:val="none"/>
        </w:rPr>
        <w:t>指任何著作权、专利权、商标专用权、以及有关设计新型、商业秘密、服务标记、厂商名称、产地标记、原产地名称等其它知识产权。</w:t>
      </w:r>
    </w:p>
    <w:p w14:paraId="184CCB07">
      <w:pPr>
        <w:pStyle w:val="31"/>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“中国”</w:t>
      </w:r>
      <w:r>
        <w:rPr>
          <w:rFonts w:hint="eastAsia"/>
          <w:sz w:val="21"/>
          <w:szCs w:val="21"/>
          <w:highlight w:val="none"/>
        </w:rPr>
        <w:t>指中华人民共和国，为本合同之目的，不包括香港特别行政区、澳门特别行政区和台湾地区。</w:t>
      </w:r>
    </w:p>
    <w:p w14:paraId="0CC391B1">
      <w:pPr>
        <w:pStyle w:val="31"/>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“最终接受证书”</w:t>
      </w:r>
      <w:r>
        <w:rPr>
          <w:rFonts w:hint="eastAsia"/>
          <w:sz w:val="21"/>
          <w:szCs w:val="21"/>
          <w:highlight w:val="none"/>
        </w:rPr>
        <w:t>是指买方在货物质保期结束后向卖方签发的旨在表明货物符合本合同相关要求的文件。</w:t>
      </w:r>
    </w:p>
    <w:p w14:paraId="40910B42">
      <w:pPr>
        <w:numPr>
          <w:ilvl w:val="0"/>
          <w:numId w:val="28"/>
        </w:numPr>
        <w:spacing w:before="360" w:after="360"/>
        <w:jc w:val="center"/>
        <w:rPr>
          <w:b/>
          <w:sz w:val="24"/>
          <w:szCs w:val="24"/>
          <w:highlight w:val="none"/>
        </w:rPr>
      </w:pPr>
      <w:bookmarkStart w:id="178" w:name="_Toc5889377"/>
      <w:bookmarkStart w:id="179" w:name="_Toc17390378"/>
      <w:bookmarkStart w:id="180" w:name="_Toc300671203"/>
      <w:r>
        <w:rPr>
          <w:rFonts w:hint="eastAsia"/>
          <w:b/>
          <w:sz w:val="24"/>
          <w:szCs w:val="24"/>
          <w:highlight w:val="none"/>
        </w:rPr>
        <w:t>合同宗旨</w:t>
      </w:r>
      <w:bookmarkEnd w:id="177"/>
      <w:bookmarkEnd w:id="178"/>
      <w:bookmarkEnd w:id="179"/>
      <w:bookmarkEnd w:id="180"/>
    </w:p>
    <w:p w14:paraId="2FA18550">
      <w:pPr>
        <w:numPr>
          <w:ilvl w:val="1"/>
          <w:numId w:val="31"/>
        </w:numPr>
        <w:tabs>
          <w:tab w:val="left" w:pos="720"/>
          <w:tab w:val="left" w:pos="1620"/>
          <w:tab w:val="clear" w:pos="1468"/>
        </w:tabs>
        <w:spacing w:line="360" w:lineRule="auto"/>
        <w:ind w:left="720" w:hanging="720"/>
        <w:rPr>
          <w:highlight w:val="none"/>
        </w:rPr>
      </w:pPr>
      <w:r>
        <w:rPr>
          <w:rFonts w:hint="eastAsia" w:cs="宋体"/>
          <w:highlight w:val="none"/>
        </w:rPr>
        <w:t>双方之间是单纯的合同买卖关系。卖方不是买方的代理人和</w:t>
      </w:r>
      <w:r>
        <w:rPr>
          <w:highlight w:val="none"/>
        </w:rPr>
        <w:t>/</w:t>
      </w:r>
      <w:r>
        <w:rPr>
          <w:rFonts w:hint="eastAsia" w:cs="宋体"/>
          <w:highlight w:val="none"/>
        </w:rPr>
        <w:t>或买卖代表，也不是买方的雇员或合伙人。</w:t>
      </w:r>
    </w:p>
    <w:p w14:paraId="7287C543">
      <w:pPr>
        <w:numPr>
          <w:ilvl w:val="1"/>
          <w:numId w:val="31"/>
        </w:numPr>
        <w:tabs>
          <w:tab w:val="left" w:pos="720"/>
          <w:tab w:val="left" w:pos="1620"/>
          <w:tab w:val="clear" w:pos="1468"/>
        </w:tabs>
        <w:spacing w:line="360" w:lineRule="auto"/>
        <w:ind w:left="720" w:hanging="720"/>
        <w:rPr>
          <w:highlight w:val="none"/>
        </w:rPr>
      </w:pPr>
      <w:r>
        <w:rPr>
          <w:rFonts w:hint="eastAsia" w:cs="宋体"/>
          <w:highlight w:val="none"/>
        </w:rPr>
        <w:t>卖方无权以买方的名义签订合同及其它法律文件，使买方在任何方面对任何第三人承担任何责任，或由买方负担任何费用、履行任何义务。</w:t>
      </w:r>
    </w:p>
    <w:p w14:paraId="4EB017CD">
      <w:pPr>
        <w:numPr>
          <w:ilvl w:val="1"/>
          <w:numId w:val="31"/>
        </w:numPr>
        <w:tabs>
          <w:tab w:val="left" w:pos="720"/>
          <w:tab w:val="left" w:pos="1620"/>
          <w:tab w:val="clear" w:pos="1468"/>
        </w:tabs>
        <w:spacing w:line="360" w:lineRule="auto"/>
        <w:ind w:left="720" w:hanging="720"/>
        <w:rPr>
          <w:highlight w:val="none"/>
        </w:rPr>
      </w:pPr>
      <w:r>
        <w:rPr>
          <w:rFonts w:hint="eastAsia" w:cs="宋体"/>
          <w:highlight w:val="none"/>
        </w:rPr>
        <w:t>本合同只是双方买卖关系的证明，任何一方不得超出此范围而使用本合同，或将本合同作为任何其它方面的证明。</w:t>
      </w:r>
    </w:p>
    <w:p w14:paraId="2B0A1AEE">
      <w:pPr>
        <w:numPr>
          <w:ilvl w:val="1"/>
          <w:numId w:val="31"/>
        </w:numPr>
        <w:tabs>
          <w:tab w:val="left" w:pos="720"/>
          <w:tab w:val="left" w:pos="1620"/>
          <w:tab w:val="clear" w:pos="1468"/>
        </w:tabs>
        <w:spacing w:line="360" w:lineRule="auto"/>
        <w:ind w:left="720" w:hanging="720"/>
        <w:rPr>
          <w:highlight w:val="none"/>
        </w:rPr>
      </w:pPr>
      <w:r>
        <w:rPr>
          <w:rFonts w:hint="eastAsia" w:cs="宋体"/>
          <w:highlight w:val="none"/>
        </w:rPr>
        <w:t>双方应本着诚实、信用原则解释、履行本合同。双方在履行本合同的过程中，应遵守中国法律法规的相关规定。</w:t>
      </w:r>
    </w:p>
    <w:p w14:paraId="60BEED9A">
      <w:pPr>
        <w:numPr>
          <w:ilvl w:val="0"/>
          <w:numId w:val="28"/>
        </w:numPr>
        <w:spacing w:before="360" w:after="360"/>
        <w:jc w:val="center"/>
        <w:rPr>
          <w:b/>
          <w:sz w:val="24"/>
          <w:szCs w:val="24"/>
          <w:highlight w:val="none"/>
        </w:rPr>
      </w:pPr>
      <w:bookmarkStart w:id="181" w:name="_Toc300671204"/>
      <w:bookmarkStart w:id="182" w:name="_Toc5889378"/>
      <w:bookmarkStart w:id="183" w:name="_Toc17390379"/>
      <w:r>
        <w:rPr>
          <w:rFonts w:hint="eastAsia"/>
          <w:b/>
          <w:sz w:val="24"/>
          <w:szCs w:val="24"/>
          <w:highlight w:val="none"/>
        </w:rPr>
        <w:t>合同标的</w:t>
      </w:r>
      <w:bookmarkEnd w:id="181"/>
      <w:bookmarkEnd w:id="182"/>
      <w:bookmarkEnd w:id="183"/>
    </w:p>
    <w:p w14:paraId="4D7C7A38">
      <w:pPr>
        <w:numPr>
          <w:ilvl w:val="0"/>
          <w:numId w:val="32"/>
        </w:numPr>
        <w:tabs>
          <w:tab w:val="left" w:pos="720"/>
          <w:tab w:val="clear" w:pos="1468"/>
        </w:tabs>
        <w:spacing w:line="360" w:lineRule="auto"/>
        <w:ind w:left="720" w:hanging="720"/>
        <w:rPr>
          <w:highlight w:val="none"/>
        </w:rPr>
      </w:pPr>
      <w:r>
        <w:rPr>
          <w:rFonts w:hint="eastAsia" w:cs="宋体"/>
          <w:highlight w:val="none"/>
        </w:rPr>
        <w:t>买方同意根据需要向卖方购买本合同附件中所列的全部或部分货物。在本合同有效期内，若本合同附件货物清单发生变化，卖方应立即以书面形式通报买方。如本合同附件货物清单所列货物发生断货、停产等影响交易的情况，卖方应当立即书面通知买方并提供相关有效证明，以便买方及时做出安排。</w:t>
      </w:r>
    </w:p>
    <w:p w14:paraId="106F861F">
      <w:pPr>
        <w:numPr>
          <w:ilvl w:val="0"/>
          <w:numId w:val="32"/>
        </w:numPr>
        <w:tabs>
          <w:tab w:val="left" w:pos="720"/>
          <w:tab w:val="clear" w:pos="1468"/>
        </w:tabs>
        <w:spacing w:line="360" w:lineRule="auto"/>
        <w:ind w:left="720" w:hanging="720"/>
        <w:rPr>
          <w:highlight w:val="none"/>
        </w:rPr>
      </w:pPr>
      <w:r>
        <w:rPr>
          <w:rFonts w:hint="eastAsia" w:cs="宋体"/>
          <w:highlight w:val="none"/>
        </w:rPr>
        <w:t>本合同附件的货物清单仅供买方选择购买货物的清单，买方没有义务必须购买货物清单所列的全部或部分货物。买方有权向任何第三方购买与货物清单所列货物相同的货物。买方一旦选购了货物清单所列的货物，卖方必须按本合同约定的交易条件，将买方选购的货物出售给买方。</w:t>
      </w:r>
    </w:p>
    <w:p w14:paraId="3A88BBB9">
      <w:pPr>
        <w:numPr>
          <w:ilvl w:val="0"/>
          <w:numId w:val="32"/>
        </w:numPr>
        <w:tabs>
          <w:tab w:val="left" w:pos="720"/>
          <w:tab w:val="clear" w:pos="1468"/>
        </w:tabs>
        <w:spacing w:line="360" w:lineRule="auto"/>
        <w:ind w:left="720" w:hanging="720"/>
        <w:rPr>
          <w:highlight w:val="none"/>
        </w:rPr>
      </w:pPr>
      <w:r>
        <w:rPr>
          <w:rFonts w:hint="eastAsia" w:cs="宋体"/>
          <w:highlight w:val="none"/>
        </w:rPr>
        <w:t>如果买方需要选购本合同附件的货物清单约定范围之外的卖方生产或者销售的其它产品，卖方同意以不高于卖方向任何第三方销售价的优惠价格提供给买方。</w:t>
      </w:r>
    </w:p>
    <w:p w14:paraId="40F95152">
      <w:pPr>
        <w:numPr>
          <w:ilvl w:val="0"/>
          <w:numId w:val="32"/>
        </w:numPr>
        <w:tabs>
          <w:tab w:val="left" w:pos="720"/>
          <w:tab w:val="clear" w:pos="1468"/>
        </w:tabs>
        <w:spacing w:line="360" w:lineRule="auto"/>
        <w:ind w:left="720" w:hanging="720"/>
        <w:rPr>
          <w:highlight w:val="none"/>
        </w:rPr>
      </w:pPr>
      <w:r>
        <w:rPr>
          <w:rFonts w:hint="eastAsia" w:cs="宋体"/>
          <w:highlight w:val="none"/>
        </w:rPr>
        <w:t>双方可以通过补充协议的方式对本合同项下货物清单的部分或全部内容进行修改：</w:t>
      </w:r>
    </w:p>
    <w:p w14:paraId="56C85247">
      <w:pPr>
        <w:pStyle w:val="32"/>
        <w:numPr>
          <w:ilvl w:val="0"/>
          <w:numId w:val="33"/>
        </w:numPr>
        <w:tabs>
          <w:tab w:val="left" w:pos="709"/>
          <w:tab w:val="left" w:pos="1260"/>
        </w:tabs>
        <w:overflowPunct/>
        <w:autoSpaceDE/>
        <w:autoSpaceDN/>
        <w:adjustRightInd/>
        <w:spacing w:line="360" w:lineRule="auto"/>
        <w:ind w:firstLineChars="0"/>
        <w:textAlignment w:val="auto"/>
        <w:rPr>
          <w:highlight w:val="none"/>
        </w:rPr>
      </w:pPr>
      <w:r>
        <w:rPr>
          <w:rFonts w:hint="eastAsia" w:cs="宋体"/>
          <w:highlight w:val="none"/>
        </w:rPr>
        <w:t>增加或减少货物种类；</w:t>
      </w:r>
    </w:p>
    <w:p w14:paraId="48CB1FA0">
      <w:pPr>
        <w:pStyle w:val="32"/>
        <w:numPr>
          <w:ilvl w:val="0"/>
          <w:numId w:val="33"/>
        </w:numPr>
        <w:tabs>
          <w:tab w:val="left" w:pos="709"/>
          <w:tab w:val="left" w:pos="1260"/>
        </w:tabs>
        <w:overflowPunct/>
        <w:autoSpaceDE/>
        <w:autoSpaceDN/>
        <w:adjustRightInd/>
        <w:spacing w:line="360" w:lineRule="auto"/>
        <w:ind w:firstLineChars="0"/>
        <w:textAlignment w:val="auto"/>
        <w:rPr>
          <w:highlight w:val="none"/>
        </w:rPr>
      </w:pPr>
      <w:r>
        <w:rPr>
          <w:rFonts w:hint="eastAsia" w:cs="宋体"/>
          <w:highlight w:val="none"/>
        </w:rPr>
        <w:t>调整货物价格；</w:t>
      </w:r>
    </w:p>
    <w:p w14:paraId="755BBB03">
      <w:pPr>
        <w:pStyle w:val="32"/>
        <w:numPr>
          <w:ilvl w:val="0"/>
          <w:numId w:val="33"/>
        </w:numPr>
        <w:tabs>
          <w:tab w:val="left" w:pos="720"/>
          <w:tab w:val="left" w:pos="1260"/>
        </w:tabs>
        <w:overflowPunct/>
        <w:autoSpaceDE/>
        <w:autoSpaceDN/>
        <w:adjustRightInd/>
        <w:spacing w:line="360" w:lineRule="auto"/>
        <w:ind w:firstLineChars="0"/>
        <w:textAlignment w:val="auto"/>
        <w:rPr>
          <w:highlight w:val="none"/>
          <w:lang w:eastAsia="zh-CN"/>
        </w:rPr>
      </w:pPr>
      <w:r>
        <w:rPr>
          <w:rFonts w:hint="eastAsia" w:cs="宋体"/>
          <w:highlight w:val="none"/>
          <w:lang w:eastAsia="zh-CN"/>
        </w:rPr>
        <w:t>与货物有关的其它事项。</w:t>
      </w:r>
    </w:p>
    <w:p w14:paraId="0B342FBB">
      <w:pPr>
        <w:numPr>
          <w:ilvl w:val="0"/>
          <w:numId w:val="28"/>
        </w:numPr>
        <w:spacing w:before="360" w:after="360"/>
        <w:jc w:val="center"/>
        <w:rPr>
          <w:b/>
          <w:sz w:val="24"/>
          <w:szCs w:val="24"/>
          <w:highlight w:val="none"/>
        </w:rPr>
      </w:pPr>
      <w:bookmarkStart w:id="184" w:name="_Toc17390380"/>
      <w:bookmarkStart w:id="185" w:name="_Toc5889379"/>
      <w:r>
        <w:rPr>
          <w:rFonts w:hint="eastAsia"/>
          <w:b/>
          <w:sz w:val="24"/>
          <w:szCs w:val="24"/>
          <w:highlight w:val="none"/>
        </w:rPr>
        <w:t>采购订单</w:t>
      </w:r>
      <w:bookmarkEnd w:id="184"/>
      <w:bookmarkEnd w:id="185"/>
    </w:p>
    <w:p w14:paraId="671B925F">
      <w:pPr>
        <w:numPr>
          <w:ilvl w:val="0"/>
          <w:numId w:val="34"/>
        </w:numPr>
        <w:tabs>
          <w:tab w:val="left" w:pos="720"/>
          <w:tab w:val="clear" w:pos="1468"/>
        </w:tabs>
        <w:spacing w:line="360" w:lineRule="auto"/>
        <w:ind w:left="720" w:hanging="720"/>
        <w:rPr>
          <w:highlight w:val="none"/>
        </w:rPr>
      </w:pPr>
      <w:r>
        <w:rPr>
          <w:rFonts w:hint="eastAsia" w:cs="宋体"/>
          <w:highlight w:val="none"/>
        </w:rPr>
        <w:t>采购订单的效力</w:t>
      </w:r>
    </w:p>
    <w:p w14:paraId="24215366">
      <w:pPr>
        <w:numPr>
          <w:ilvl w:val="1"/>
          <w:numId w:val="34"/>
        </w:numPr>
        <w:tabs>
          <w:tab w:val="left" w:pos="1260"/>
        </w:tabs>
        <w:spacing w:line="360" w:lineRule="auto"/>
        <w:ind w:left="1260" w:hanging="540"/>
        <w:rPr>
          <w:highlight w:val="none"/>
        </w:rPr>
      </w:pPr>
      <w:r>
        <w:rPr>
          <w:rFonts w:hint="eastAsia" w:cs="宋体"/>
          <w:highlight w:val="none"/>
        </w:rPr>
        <w:t>采购订单是本合同的有效组成部分，是对本合同及其附件的有效补充、解释，同本合同及其附件具有同等效力。</w:t>
      </w:r>
    </w:p>
    <w:p w14:paraId="700F98C1">
      <w:pPr>
        <w:numPr>
          <w:ilvl w:val="1"/>
          <w:numId w:val="34"/>
        </w:numPr>
        <w:tabs>
          <w:tab w:val="left" w:pos="1260"/>
        </w:tabs>
        <w:spacing w:line="360" w:lineRule="auto"/>
        <w:ind w:left="1260" w:hanging="540"/>
        <w:rPr>
          <w:highlight w:val="none"/>
        </w:rPr>
      </w:pPr>
      <w:r>
        <w:rPr>
          <w:rFonts w:hint="eastAsia" w:cs="宋体"/>
          <w:highlight w:val="none"/>
        </w:rPr>
        <w:t>买方有权分批次就一定数量的货物向卖方发送采购订单。</w:t>
      </w:r>
    </w:p>
    <w:p w14:paraId="7918F405">
      <w:pPr>
        <w:numPr>
          <w:ilvl w:val="0"/>
          <w:numId w:val="34"/>
        </w:numPr>
        <w:tabs>
          <w:tab w:val="left" w:pos="720"/>
          <w:tab w:val="clear" w:pos="1468"/>
        </w:tabs>
        <w:spacing w:line="360" w:lineRule="auto"/>
        <w:ind w:left="720" w:hanging="720"/>
        <w:rPr>
          <w:highlight w:val="none"/>
        </w:rPr>
      </w:pPr>
      <w:r>
        <w:rPr>
          <w:rFonts w:hint="eastAsia" w:cs="宋体"/>
          <w:highlight w:val="none"/>
        </w:rPr>
        <w:t>采购订单的送达</w:t>
      </w:r>
    </w:p>
    <w:p w14:paraId="21036B44">
      <w:pPr>
        <w:numPr>
          <w:ilvl w:val="1"/>
          <w:numId w:val="34"/>
        </w:numPr>
        <w:tabs>
          <w:tab w:val="left" w:pos="1260"/>
        </w:tabs>
        <w:spacing w:line="360" w:lineRule="auto"/>
        <w:ind w:left="1260" w:hanging="540"/>
        <w:rPr>
          <w:highlight w:val="none"/>
        </w:rPr>
      </w:pPr>
      <w:r>
        <w:rPr>
          <w:rFonts w:hint="eastAsia" w:cs="宋体"/>
          <w:highlight w:val="none"/>
        </w:rPr>
        <w:t>买方有权根据需要，通过发送采购订单的方式，定期或不定期分批向卖方选购本合同附件货物清单所列货物。</w:t>
      </w:r>
    </w:p>
    <w:p w14:paraId="68047B78">
      <w:pPr>
        <w:numPr>
          <w:ilvl w:val="1"/>
          <w:numId w:val="34"/>
        </w:numPr>
        <w:tabs>
          <w:tab w:val="left" w:pos="1260"/>
        </w:tabs>
        <w:spacing w:line="360" w:lineRule="auto"/>
        <w:ind w:left="1260" w:hanging="540"/>
        <w:rPr>
          <w:highlight w:val="none"/>
        </w:rPr>
      </w:pPr>
      <w:r>
        <w:rPr>
          <w:rFonts w:hint="eastAsia" w:cs="宋体"/>
          <w:highlight w:val="none"/>
        </w:rPr>
        <w:t>采购订单可以特快专递、传真、电子邮件或者双方另行书面同意的其它方式送达卖方。</w:t>
      </w:r>
    </w:p>
    <w:p w14:paraId="5841D6F8">
      <w:pPr>
        <w:numPr>
          <w:ilvl w:val="0"/>
          <w:numId w:val="34"/>
        </w:numPr>
        <w:tabs>
          <w:tab w:val="left" w:pos="720"/>
          <w:tab w:val="clear" w:pos="1468"/>
        </w:tabs>
        <w:spacing w:line="360" w:lineRule="auto"/>
        <w:ind w:left="720" w:hanging="720"/>
        <w:rPr>
          <w:highlight w:val="none"/>
        </w:rPr>
      </w:pPr>
      <w:r>
        <w:rPr>
          <w:rFonts w:hint="eastAsia" w:cs="宋体"/>
          <w:highlight w:val="none"/>
        </w:rPr>
        <w:t>采购订单的修改</w:t>
      </w:r>
    </w:p>
    <w:p w14:paraId="418BCDB4">
      <w:pPr>
        <w:numPr>
          <w:ilvl w:val="1"/>
          <w:numId w:val="34"/>
        </w:numPr>
        <w:tabs>
          <w:tab w:val="left" w:pos="1260"/>
        </w:tabs>
        <w:spacing w:line="360" w:lineRule="auto"/>
        <w:ind w:left="1260" w:hanging="540"/>
        <w:rPr>
          <w:highlight w:val="none"/>
        </w:rPr>
      </w:pPr>
      <w:r>
        <w:rPr>
          <w:rFonts w:hint="eastAsia" w:cs="宋体"/>
          <w:highlight w:val="none"/>
        </w:rPr>
        <w:t>因买方原因需对采购订单规定的交货时间、数量等内容进行修改的，买方应当在卖方发货前（</w:t>
      </w:r>
      <w:r>
        <w:rPr>
          <w:highlight w:val="none"/>
        </w:rPr>
        <w:t>3</w:t>
      </w:r>
      <w:r>
        <w:rPr>
          <w:rFonts w:hint="eastAsia" w:cs="宋体"/>
          <w:highlight w:val="none"/>
        </w:rPr>
        <w:t>）日将采购订单修改的内容以书面形式通知卖方，以便卖方在合理时间内准备货物。</w:t>
      </w:r>
    </w:p>
    <w:p w14:paraId="01E9DD39">
      <w:pPr>
        <w:tabs>
          <w:tab w:val="left" w:pos="1260"/>
        </w:tabs>
        <w:spacing w:line="360" w:lineRule="auto"/>
        <w:ind w:left="1200"/>
        <w:rPr>
          <w:highlight w:val="none"/>
        </w:rPr>
      </w:pPr>
      <w:r>
        <w:rPr>
          <w:rFonts w:hint="eastAsia" w:cs="宋体"/>
          <w:highlight w:val="none"/>
        </w:rPr>
        <w:t>买方无法在前款规定的时间内将采购订单修改情况书面通知卖方的，卖方在接到买方对采购订单修改的口头通知后应当采取必要措施，保证按照修改后的采购订单交货。</w:t>
      </w:r>
    </w:p>
    <w:p w14:paraId="2869AC6A">
      <w:pPr>
        <w:numPr>
          <w:ilvl w:val="1"/>
          <w:numId w:val="34"/>
        </w:numPr>
        <w:tabs>
          <w:tab w:val="left" w:pos="1260"/>
        </w:tabs>
        <w:spacing w:line="360" w:lineRule="auto"/>
        <w:ind w:left="1260" w:hanging="540"/>
        <w:rPr>
          <w:highlight w:val="none"/>
        </w:rPr>
      </w:pPr>
      <w:r>
        <w:rPr>
          <w:rFonts w:hint="eastAsia" w:cs="宋体"/>
          <w:highlight w:val="none"/>
        </w:rPr>
        <w:t>经双方协商一致，可以对采购订单的相关条款进行修改，修改应当以书面形式进行。</w:t>
      </w:r>
    </w:p>
    <w:p w14:paraId="7A72271F">
      <w:pPr>
        <w:numPr>
          <w:ilvl w:val="0"/>
          <w:numId w:val="34"/>
        </w:numPr>
        <w:tabs>
          <w:tab w:val="left" w:pos="720"/>
          <w:tab w:val="clear" w:pos="1468"/>
        </w:tabs>
        <w:spacing w:line="360" w:lineRule="auto"/>
        <w:ind w:left="720" w:hanging="720"/>
        <w:rPr>
          <w:highlight w:val="none"/>
        </w:rPr>
      </w:pPr>
      <w:r>
        <w:rPr>
          <w:rFonts w:hint="eastAsia" w:cs="宋体"/>
          <w:highlight w:val="none"/>
        </w:rPr>
        <w:t>采购订单的确认</w:t>
      </w:r>
    </w:p>
    <w:p w14:paraId="77AA8FAC">
      <w:pPr>
        <w:numPr>
          <w:ilvl w:val="1"/>
          <w:numId w:val="34"/>
        </w:numPr>
        <w:tabs>
          <w:tab w:val="left" w:pos="1260"/>
        </w:tabs>
        <w:spacing w:line="360" w:lineRule="auto"/>
        <w:ind w:left="1260" w:hanging="540"/>
        <w:rPr>
          <w:highlight w:val="none"/>
        </w:rPr>
      </w:pPr>
      <w:r>
        <w:rPr>
          <w:rFonts w:hint="eastAsia" w:cs="宋体"/>
          <w:highlight w:val="none"/>
        </w:rPr>
        <w:t>除非双方另有约定，卖方在收到采购订单后，如果同意采购订单上的实质性条款（包括但不限于货物的数量、质量、交货日期、交货方式、价款等），须以书面形式向买方表示确认；如卖方在收到采购订单后（</w:t>
      </w:r>
      <w:r>
        <w:rPr>
          <w:highlight w:val="none"/>
        </w:rPr>
        <w:t>2</w:t>
      </w:r>
      <w:r>
        <w:rPr>
          <w:rFonts w:hint="eastAsia" w:cs="宋体"/>
          <w:highlight w:val="none"/>
        </w:rPr>
        <w:t>）个工作日内未以书面形式通知买方，则将视为卖方已确认并接受采购订单的全部条款。</w:t>
      </w:r>
    </w:p>
    <w:p w14:paraId="653D1F37">
      <w:pPr>
        <w:numPr>
          <w:ilvl w:val="1"/>
          <w:numId w:val="34"/>
        </w:numPr>
        <w:tabs>
          <w:tab w:val="left" w:pos="1260"/>
        </w:tabs>
        <w:spacing w:line="360" w:lineRule="auto"/>
        <w:ind w:left="1260" w:hanging="540"/>
        <w:rPr>
          <w:rFonts w:cs="宋体"/>
          <w:highlight w:val="none"/>
        </w:rPr>
      </w:pPr>
      <w:r>
        <w:rPr>
          <w:rFonts w:hint="eastAsia" w:cs="宋体"/>
          <w:highlight w:val="none"/>
        </w:rPr>
        <w:t>除非买卖双方另有约定，卖方对采购订单的确认可以采用单独出具书面确认书的方式，也可以采用在采购订单上直接确认后以特快专递、电子邮件、传真等方式或者双方另行书面同意的其它方式送达买方的方式。</w:t>
      </w:r>
    </w:p>
    <w:p w14:paraId="204CEFEE">
      <w:pPr>
        <w:numPr>
          <w:ilvl w:val="1"/>
          <w:numId w:val="34"/>
        </w:numPr>
        <w:tabs>
          <w:tab w:val="left" w:pos="1260"/>
        </w:tabs>
        <w:spacing w:line="360" w:lineRule="auto"/>
        <w:ind w:left="1260" w:hanging="540"/>
        <w:rPr>
          <w:highlight w:val="none"/>
        </w:rPr>
      </w:pPr>
      <w:r>
        <w:rPr>
          <w:rFonts w:hint="eastAsia" w:cs="宋体"/>
          <w:highlight w:val="none"/>
        </w:rPr>
        <w:t>卖方在确认书中修改了买方采购订单的条款的（包括但不限于货物的数量、质量、交货日期、交货方式、价款等），视为卖方未就买方的采购订单进行确认。</w:t>
      </w:r>
    </w:p>
    <w:p w14:paraId="744202CD">
      <w:pPr>
        <w:numPr>
          <w:ilvl w:val="1"/>
          <w:numId w:val="34"/>
        </w:numPr>
        <w:tabs>
          <w:tab w:val="left" w:pos="1260"/>
        </w:tabs>
        <w:spacing w:line="360" w:lineRule="auto"/>
        <w:ind w:left="1260" w:hanging="540"/>
        <w:rPr>
          <w:highlight w:val="none"/>
        </w:rPr>
      </w:pPr>
      <w:r>
        <w:rPr>
          <w:rFonts w:hint="eastAsia" w:cs="宋体"/>
          <w:highlight w:val="none"/>
        </w:rPr>
        <w:t>除买方按照本条的规定对采购订单进行修改外，采购订单的内容以买方发出时的内容为准。</w:t>
      </w:r>
    </w:p>
    <w:p w14:paraId="36372F07">
      <w:pPr>
        <w:numPr>
          <w:ilvl w:val="0"/>
          <w:numId w:val="28"/>
        </w:numPr>
        <w:spacing w:before="360" w:after="360"/>
        <w:jc w:val="center"/>
        <w:rPr>
          <w:b/>
          <w:sz w:val="24"/>
          <w:szCs w:val="24"/>
          <w:highlight w:val="none"/>
        </w:rPr>
      </w:pPr>
      <w:bookmarkStart w:id="186" w:name="_Toc5889380"/>
      <w:bookmarkStart w:id="187" w:name="_Toc274075972"/>
      <w:bookmarkStart w:id="188" w:name="_Toc300671209"/>
      <w:bookmarkStart w:id="189" w:name="_Toc274344102"/>
      <w:bookmarkStart w:id="190" w:name="_Toc276069961"/>
      <w:bookmarkStart w:id="191" w:name="_Toc17390381"/>
      <w:bookmarkStart w:id="192" w:name="_Toc273388507"/>
      <w:bookmarkStart w:id="193" w:name="_Toc274403501"/>
      <w:bookmarkStart w:id="194" w:name="_Toc274669167"/>
      <w:bookmarkStart w:id="195" w:name="_Toc273458606"/>
      <w:bookmarkStart w:id="196" w:name="_Toc274343570"/>
      <w:bookmarkStart w:id="197" w:name="_Toc273451792"/>
      <w:bookmarkStart w:id="198" w:name="_Toc274668226"/>
      <w:bookmarkStart w:id="199" w:name="_Toc273388606"/>
      <w:bookmarkStart w:id="200" w:name="_Toc288567150"/>
      <w:bookmarkStart w:id="201" w:name="_Toc274754036"/>
      <w:r>
        <w:rPr>
          <w:rFonts w:hint="eastAsia"/>
          <w:b/>
          <w:sz w:val="24"/>
          <w:szCs w:val="24"/>
          <w:highlight w:val="none"/>
        </w:rPr>
        <w:t>质量标准</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01C5628B">
      <w:pPr>
        <w:numPr>
          <w:ilvl w:val="0"/>
          <w:numId w:val="35"/>
        </w:numPr>
        <w:tabs>
          <w:tab w:val="left" w:pos="720"/>
          <w:tab w:val="clear" w:pos="1468"/>
        </w:tabs>
        <w:spacing w:line="360" w:lineRule="auto"/>
        <w:ind w:left="720" w:hanging="720"/>
        <w:rPr>
          <w:highlight w:val="none"/>
        </w:rPr>
      </w:pPr>
      <w:r>
        <w:rPr>
          <w:rFonts w:hint="eastAsia" w:cs="宋体"/>
          <w:highlight w:val="none"/>
        </w:rPr>
        <w:t>卖方按照本合同约定提供的货物应当符合本合同和合同附件中约定的规范、标准。如果本合同或合同附件中没有约定规范、标准的，应当适用货物交货前中国颁布并生效的最新标准作为执行的标准。标准的适用顺序为：</w:t>
      </w:r>
    </w:p>
    <w:p w14:paraId="559105C9">
      <w:pPr>
        <w:numPr>
          <w:ilvl w:val="1"/>
          <w:numId w:val="36"/>
        </w:numPr>
        <w:tabs>
          <w:tab w:val="left" w:pos="1260"/>
        </w:tabs>
        <w:spacing w:line="360" w:lineRule="auto"/>
        <w:ind w:left="1134" w:hanging="414"/>
        <w:rPr>
          <w:highlight w:val="none"/>
        </w:rPr>
      </w:pPr>
      <w:r>
        <w:rPr>
          <w:rFonts w:hint="eastAsia" w:cs="宋体"/>
          <w:highlight w:val="none"/>
        </w:rPr>
        <w:t>本合同规定的标准和规范；</w:t>
      </w:r>
    </w:p>
    <w:p w14:paraId="23E84C3C">
      <w:pPr>
        <w:numPr>
          <w:ilvl w:val="1"/>
          <w:numId w:val="36"/>
        </w:numPr>
        <w:tabs>
          <w:tab w:val="left" w:pos="1260"/>
        </w:tabs>
        <w:spacing w:line="360" w:lineRule="auto"/>
        <w:ind w:left="1134" w:hanging="414"/>
        <w:rPr>
          <w:highlight w:val="none"/>
        </w:rPr>
      </w:pPr>
      <w:r>
        <w:rPr>
          <w:rFonts w:hint="eastAsia" w:cs="宋体"/>
          <w:highlight w:val="none"/>
        </w:rPr>
        <w:t>中国最新颁布的相关标准和规范；</w:t>
      </w:r>
    </w:p>
    <w:p w14:paraId="6C954042">
      <w:pPr>
        <w:numPr>
          <w:ilvl w:val="1"/>
          <w:numId w:val="36"/>
        </w:numPr>
        <w:tabs>
          <w:tab w:val="left" w:pos="1260"/>
        </w:tabs>
        <w:spacing w:line="360" w:lineRule="auto"/>
        <w:ind w:left="1134" w:hanging="414"/>
        <w:rPr>
          <w:highlight w:val="none"/>
        </w:rPr>
      </w:pPr>
      <w:r>
        <w:rPr>
          <w:rFonts w:hint="eastAsia" w:cs="宋体"/>
          <w:highlight w:val="none"/>
        </w:rPr>
        <w:t>如果没有中国国家标准，适用最新的行业标准；</w:t>
      </w:r>
    </w:p>
    <w:p w14:paraId="2132D542">
      <w:pPr>
        <w:numPr>
          <w:ilvl w:val="1"/>
          <w:numId w:val="36"/>
        </w:numPr>
        <w:tabs>
          <w:tab w:val="left" w:pos="1260"/>
        </w:tabs>
        <w:spacing w:line="360" w:lineRule="auto"/>
        <w:ind w:left="1134" w:hanging="414"/>
        <w:rPr>
          <w:highlight w:val="none"/>
        </w:rPr>
      </w:pPr>
      <w:r>
        <w:rPr>
          <w:rFonts w:hint="eastAsia" w:cs="宋体"/>
          <w:highlight w:val="none"/>
        </w:rPr>
        <w:t>如果没有中国国家和行业标准，适用符合合同目的的标准。</w:t>
      </w:r>
    </w:p>
    <w:p w14:paraId="6E82A68C">
      <w:pPr>
        <w:numPr>
          <w:ilvl w:val="0"/>
          <w:numId w:val="28"/>
        </w:numPr>
        <w:spacing w:before="360" w:after="360"/>
        <w:jc w:val="center"/>
        <w:rPr>
          <w:b/>
          <w:sz w:val="24"/>
          <w:szCs w:val="24"/>
          <w:highlight w:val="none"/>
        </w:rPr>
      </w:pPr>
      <w:bookmarkStart w:id="202" w:name="_Toc274403503"/>
      <w:bookmarkStart w:id="203" w:name="_Toc274344104"/>
      <w:bookmarkStart w:id="204" w:name="_Toc274343572"/>
      <w:bookmarkStart w:id="205" w:name="_Toc276069962"/>
      <w:bookmarkStart w:id="206" w:name="_Toc274668228"/>
      <w:bookmarkStart w:id="207" w:name="_Toc300671211"/>
      <w:bookmarkStart w:id="208" w:name="_Toc5889381"/>
      <w:bookmarkStart w:id="209" w:name="_Toc274669169"/>
      <w:bookmarkStart w:id="210" w:name="_Toc274754038"/>
      <w:bookmarkStart w:id="211" w:name="_Toc288567152"/>
      <w:bookmarkStart w:id="212" w:name="_Toc17390382"/>
      <w:r>
        <w:rPr>
          <w:rFonts w:hint="eastAsia"/>
          <w:b/>
          <w:sz w:val="24"/>
          <w:szCs w:val="24"/>
          <w:highlight w:val="none"/>
        </w:rPr>
        <w:t>合同价款</w:t>
      </w:r>
      <w:bookmarkEnd w:id="202"/>
      <w:bookmarkEnd w:id="203"/>
      <w:bookmarkEnd w:id="204"/>
      <w:bookmarkEnd w:id="205"/>
      <w:bookmarkEnd w:id="206"/>
      <w:bookmarkEnd w:id="207"/>
      <w:bookmarkEnd w:id="208"/>
      <w:bookmarkEnd w:id="209"/>
      <w:bookmarkEnd w:id="210"/>
      <w:bookmarkEnd w:id="211"/>
      <w:bookmarkEnd w:id="212"/>
    </w:p>
    <w:p w14:paraId="3BDF55A7">
      <w:pPr>
        <w:numPr>
          <w:ilvl w:val="0"/>
          <w:numId w:val="37"/>
        </w:numPr>
        <w:tabs>
          <w:tab w:val="left" w:pos="720"/>
          <w:tab w:val="clear" w:pos="1468"/>
        </w:tabs>
        <w:spacing w:line="360" w:lineRule="auto"/>
        <w:ind w:left="720" w:hanging="720"/>
        <w:rPr>
          <w:highlight w:val="none"/>
        </w:rPr>
      </w:pPr>
      <w:r>
        <w:rPr>
          <w:rFonts w:hint="eastAsia" w:cs="宋体"/>
          <w:highlight w:val="none"/>
        </w:rPr>
        <w:t>合同价款将根据附件货物清单所列明的货物单价和买方在合同有效期内实际购买的货物数量计算后确定。</w:t>
      </w:r>
    </w:p>
    <w:p w14:paraId="5CC13D63">
      <w:pPr>
        <w:numPr>
          <w:ilvl w:val="0"/>
          <w:numId w:val="37"/>
        </w:numPr>
        <w:tabs>
          <w:tab w:val="left" w:pos="720"/>
          <w:tab w:val="clear" w:pos="1468"/>
        </w:tabs>
        <w:spacing w:line="360" w:lineRule="auto"/>
        <w:ind w:left="720" w:hanging="720"/>
        <w:rPr>
          <w:highlight w:val="none"/>
        </w:rPr>
      </w:pPr>
      <w:r>
        <w:rPr>
          <w:rFonts w:hint="eastAsia" w:cs="宋体"/>
          <w:highlight w:val="none"/>
        </w:rPr>
        <w:t>双方同意，除非本合同另有明确规定，在本合同有效期内，本合同附件中所列的货物单价为</w:t>
      </w:r>
      <w:r>
        <w:rPr>
          <w:rFonts w:hint="eastAsia" w:cs="宋体"/>
          <w:highlight w:val="none"/>
          <w:lang w:val="en-US" w:eastAsia="zh-CN"/>
        </w:rPr>
        <w:t>浮动</w:t>
      </w:r>
      <w:r>
        <w:rPr>
          <w:rFonts w:hint="eastAsia" w:cs="宋体"/>
          <w:highlight w:val="none"/>
        </w:rPr>
        <w:t>价格。</w:t>
      </w:r>
    </w:p>
    <w:p w14:paraId="5D175A48">
      <w:pPr>
        <w:numPr>
          <w:ilvl w:val="0"/>
          <w:numId w:val="37"/>
        </w:numPr>
        <w:tabs>
          <w:tab w:val="left" w:pos="720"/>
          <w:tab w:val="clear" w:pos="1468"/>
        </w:tabs>
        <w:spacing w:line="360" w:lineRule="auto"/>
        <w:ind w:left="720" w:hanging="720"/>
        <w:rPr>
          <w:highlight w:val="none"/>
        </w:rPr>
      </w:pPr>
      <w:bookmarkStart w:id="213" w:name="_Toc274754039"/>
      <w:bookmarkStart w:id="214" w:name="_Toc274403504"/>
      <w:bookmarkStart w:id="215" w:name="_Toc288567154"/>
      <w:bookmarkStart w:id="216" w:name="_Toc274668229"/>
      <w:bookmarkStart w:id="217" w:name="_Toc274669170"/>
      <w:bookmarkStart w:id="218" w:name="_Toc300671212"/>
      <w:bookmarkStart w:id="219" w:name="_Toc274343573"/>
      <w:bookmarkStart w:id="220" w:name="_Toc276069964"/>
      <w:bookmarkStart w:id="221" w:name="_Toc274344105"/>
      <w:r>
        <w:rPr>
          <w:rFonts w:hint="eastAsia"/>
          <w:highlight w:val="none"/>
        </w:rPr>
        <w:t>合同总价是本合同项下买方向卖方支付的全部款项。</w:t>
      </w:r>
      <w:r>
        <w:rPr>
          <w:rFonts w:hint="eastAsia" w:cs="Arial"/>
          <w:highlight w:val="none"/>
        </w:rPr>
        <w:t>除非合同另有规定，卖方应承担其在履行合同义务时所产生的全部费用和税费。卖方确认，其在同意合同价格前已经获得了所有的信息并已考虑了所有可能影响成本和费用的因素。为避免歧义，</w:t>
      </w:r>
      <w:r>
        <w:rPr>
          <w:rFonts w:hint="eastAsia"/>
          <w:highlight w:val="none"/>
        </w:rPr>
        <w:t>合同总价包括物资成本、易耗品和易耗材料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cs="Arial"/>
          <w:highlight w:val="none"/>
        </w:rPr>
        <w:t>卖方所有的风险、义务和责任，以及合同中明确说明由卖方承担的成本与费用</w:t>
      </w:r>
      <w:r>
        <w:rPr>
          <w:rFonts w:hint="eastAsia"/>
          <w:highlight w:val="none"/>
        </w:rPr>
        <w:t>等。除买方同意某项费用属于额外的工作项目需另行支付费用外，买方不向卖方支付任何超出合同总价的款项。</w:t>
      </w:r>
    </w:p>
    <w:p w14:paraId="48C715AB">
      <w:pPr>
        <w:numPr>
          <w:ilvl w:val="0"/>
          <w:numId w:val="28"/>
        </w:numPr>
        <w:spacing w:before="360" w:after="360"/>
        <w:jc w:val="center"/>
        <w:rPr>
          <w:b/>
          <w:sz w:val="24"/>
          <w:szCs w:val="24"/>
          <w:highlight w:val="none"/>
        </w:rPr>
      </w:pPr>
      <w:bookmarkStart w:id="222" w:name="_Toc5889382"/>
      <w:bookmarkStart w:id="223" w:name="_Toc17390383"/>
      <w:r>
        <w:rPr>
          <w:rFonts w:hint="eastAsia"/>
          <w:b/>
          <w:sz w:val="24"/>
          <w:szCs w:val="24"/>
          <w:highlight w:val="none"/>
        </w:rPr>
        <w:t>付款</w:t>
      </w:r>
      <w:bookmarkEnd w:id="213"/>
      <w:bookmarkEnd w:id="214"/>
      <w:bookmarkEnd w:id="215"/>
      <w:bookmarkEnd w:id="216"/>
      <w:bookmarkEnd w:id="217"/>
      <w:bookmarkEnd w:id="218"/>
      <w:bookmarkEnd w:id="219"/>
      <w:bookmarkEnd w:id="220"/>
      <w:bookmarkEnd w:id="221"/>
      <w:bookmarkEnd w:id="222"/>
      <w:bookmarkEnd w:id="223"/>
    </w:p>
    <w:p w14:paraId="7823E4A9">
      <w:pPr>
        <w:numPr>
          <w:ilvl w:val="0"/>
          <w:numId w:val="38"/>
        </w:numPr>
        <w:tabs>
          <w:tab w:val="left" w:pos="720"/>
          <w:tab w:val="clear" w:pos="1468"/>
        </w:tabs>
        <w:spacing w:line="360" w:lineRule="auto"/>
        <w:ind w:left="720" w:hanging="720"/>
        <w:rPr>
          <w:highlight w:val="none"/>
        </w:rPr>
      </w:pPr>
      <w:r>
        <w:rPr>
          <w:rFonts w:hint="eastAsia" w:cs="宋体"/>
          <w:highlight w:val="none"/>
        </w:rPr>
        <w:t>卖方应根据合同规定的付款条件和进度，向买方开具有效税务发票并提供相关支持文件，其发票信息见本合同附件三采购订单。如卖方未开具有效税务发票并提供相关支持文件，买方有权拒付相关合同价款。</w:t>
      </w:r>
    </w:p>
    <w:p w14:paraId="49D0DF99">
      <w:pPr>
        <w:numPr>
          <w:ilvl w:val="0"/>
          <w:numId w:val="38"/>
        </w:numPr>
        <w:tabs>
          <w:tab w:val="left" w:pos="720"/>
          <w:tab w:val="clear" w:pos="1468"/>
        </w:tabs>
        <w:spacing w:line="360" w:lineRule="auto"/>
        <w:ind w:left="720" w:hanging="720"/>
        <w:rPr>
          <w:highlight w:val="none"/>
        </w:rPr>
      </w:pPr>
      <w:r>
        <w:rPr>
          <w:rFonts w:hint="eastAsia"/>
          <w:highlight w:val="none"/>
        </w:rPr>
        <w:t>如果买方对卖方出具的有效税务发票和提供的相关支持文件无异议，应于收到该等发票和相关支持文件之日起四十五日内向卖方付款。</w:t>
      </w:r>
    </w:p>
    <w:p w14:paraId="1D73FB18">
      <w:pPr>
        <w:numPr>
          <w:ilvl w:val="0"/>
          <w:numId w:val="28"/>
        </w:numPr>
        <w:spacing w:before="360" w:after="360"/>
        <w:jc w:val="center"/>
        <w:rPr>
          <w:b/>
          <w:sz w:val="24"/>
          <w:szCs w:val="24"/>
          <w:highlight w:val="none"/>
        </w:rPr>
      </w:pPr>
      <w:bookmarkStart w:id="224" w:name="_Toc5889383"/>
      <w:bookmarkStart w:id="225" w:name="_Toc300671213"/>
      <w:bookmarkStart w:id="226" w:name="_Toc291435921"/>
      <w:bookmarkStart w:id="227" w:name="_Toc296959326"/>
      <w:bookmarkStart w:id="228" w:name="_Toc291435854"/>
      <w:bookmarkStart w:id="229" w:name="_Toc17390384"/>
      <w:bookmarkStart w:id="230" w:name="_Toc278889794"/>
      <w:bookmarkStart w:id="231" w:name="_Toc296955864"/>
      <w:bookmarkStart w:id="232" w:name="_Toc274344106"/>
      <w:bookmarkStart w:id="233" w:name="_Toc274668230"/>
      <w:bookmarkStart w:id="234" w:name="_Toc273388508"/>
      <w:bookmarkStart w:id="235" w:name="_Toc274075973"/>
      <w:bookmarkStart w:id="236" w:name="_Toc274403505"/>
      <w:bookmarkStart w:id="237" w:name="_Toc274754040"/>
      <w:bookmarkStart w:id="238" w:name="_Toc276069965"/>
      <w:bookmarkStart w:id="239" w:name="_Toc273451793"/>
      <w:bookmarkStart w:id="240" w:name="_Toc288567155"/>
      <w:bookmarkStart w:id="241" w:name="_Toc273388607"/>
      <w:bookmarkStart w:id="242" w:name="_Toc274343574"/>
      <w:bookmarkStart w:id="243" w:name="_Toc273458607"/>
      <w:bookmarkStart w:id="244" w:name="_Toc274669171"/>
      <w:r>
        <w:rPr>
          <w:rFonts w:hint="eastAsia"/>
          <w:b/>
          <w:sz w:val="24"/>
          <w:szCs w:val="24"/>
          <w:highlight w:val="none"/>
        </w:rPr>
        <w:t>权利保证</w:t>
      </w:r>
      <w:bookmarkEnd w:id="224"/>
      <w:bookmarkEnd w:id="225"/>
      <w:bookmarkEnd w:id="226"/>
      <w:bookmarkEnd w:id="227"/>
      <w:bookmarkEnd w:id="228"/>
      <w:bookmarkEnd w:id="229"/>
      <w:bookmarkEnd w:id="230"/>
      <w:bookmarkEnd w:id="231"/>
    </w:p>
    <w:p w14:paraId="57B2DAE2">
      <w:pPr>
        <w:widowControl/>
        <w:numPr>
          <w:ilvl w:val="0"/>
          <w:numId w:val="39"/>
        </w:numPr>
        <w:tabs>
          <w:tab w:val="left" w:pos="709"/>
        </w:tabs>
        <w:spacing w:line="360" w:lineRule="auto"/>
        <w:ind w:left="619" w:hanging="619" w:hangingChars="295"/>
        <w:jc w:val="left"/>
        <w:rPr>
          <w:highlight w:val="none"/>
        </w:rPr>
      </w:pPr>
      <w:r>
        <w:rPr>
          <w:rFonts w:hint="eastAsia"/>
          <w:highlight w:val="none"/>
        </w:rPr>
        <w:t>卖方保证，货物未侵犯任何专利权、商标权或其它知识产权；货物包含的或为买方使用及维护货物所需的全部专利、商标及其它知识产权均为卖方合法拥有或已获得第三方的合法有效授权。如卖方违反前述保证，导致买方遭受任何要求、禁令、处罚、索赔或诉讼，卖方应在收到买方通知后代理买方尽快予以妥善处理或应诉，或在买方书面同意的情况下与声称被货物侵权的任何第三方达成和解方案，因此产生的全部责任、义务及费用（包括但不限于律师费用、诉讼费用、鉴定费用、罚款和赔偿金等）均由卖方承担。如卖方拒绝或怠于处理或应诉，买方有权自行处理或应诉，或与声称被货物侵权的任何第三方达成和解方案，卖方应承担买方因此发生的全部责任、义务和费用（包括但不限于律师费用、诉讼费用、鉴定费用、罚款和赔偿金等），买方有权从合同总价余额中直接扣除该等费用及履行上述责任和义务所需承担的费用，不足部分由卖方予以补偿。</w:t>
      </w:r>
    </w:p>
    <w:p w14:paraId="717D03CF">
      <w:pPr>
        <w:widowControl/>
        <w:numPr>
          <w:ilvl w:val="0"/>
          <w:numId w:val="39"/>
        </w:numPr>
        <w:tabs>
          <w:tab w:val="left" w:pos="709"/>
        </w:tabs>
        <w:spacing w:line="360" w:lineRule="auto"/>
        <w:ind w:left="619" w:hanging="619" w:hangingChars="295"/>
        <w:jc w:val="left"/>
        <w:rPr>
          <w:highlight w:val="none"/>
        </w:rPr>
      </w:pPr>
      <w:r>
        <w:rPr>
          <w:rFonts w:hint="eastAsia"/>
          <w:highlight w:val="none"/>
        </w:rPr>
        <w:t>卖方保证，在货物交付前，卖方对其提供的货物享有完整的所有权，且货物上不存在任何形式的担保物权及其它任何权利负担，亦未侵犯任何第三方的权利。如卖方违反前述保证，买方有权解除本合同，并要求卖方赔偿买方因此遭受的全部损失。如卖方违反前述保证，导致买方遭受任何要求、禁令、处罚、索赔或诉讼，卖方应在收到买方通知后代理买方尽快予以妥善处理或应诉，</w:t>
      </w:r>
      <w:bookmarkStart w:id="245" w:name="_DV_C680"/>
      <w:r>
        <w:rPr>
          <w:rFonts w:hint="eastAsia"/>
          <w:highlight w:val="none"/>
        </w:rPr>
        <w:t>或在买方书面同意的情况下与声称被货物侵权的任何第三方达成和解方案，</w:t>
      </w:r>
      <w:bookmarkEnd w:id="245"/>
      <w:r>
        <w:rPr>
          <w:rFonts w:hint="eastAsia"/>
          <w:highlight w:val="none"/>
        </w:rPr>
        <w:t>因此发生的全部责任、义务和费用（包括但不限于律师费用、诉讼费用、鉴定费用、罚款和赔偿金等）均由卖方承担。如卖方拒绝或怠于处理或应诉，买方有权自行处理或应诉，或与声称被货物侵权的任何第三方达成和解方案，卖方应承担买方因此发生的全部责任、义务和费用（包括但不限于律师费用、诉讼费用、鉴定费用、罚款和赔偿金等），买方有权从合同总价余额中直接扣除该等费用及履行上述责任和义务所需承担的费用，不足部分由卖方予以补偿。</w:t>
      </w:r>
    </w:p>
    <w:p w14:paraId="50435905">
      <w:pPr>
        <w:widowControl/>
        <w:numPr>
          <w:ilvl w:val="0"/>
          <w:numId w:val="39"/>
        </w:numPr>
        <w:tabs>
          <w:tab w:val="left" w:pos="709"/>
        </w:tabs>
        <w:spacing w:line="360" w:lineRule="auto"/>
        <w:ind w:left="619" w:hanging="619" w:hangingChars="295"/>
        <w:jc w:val="left"/>
        <w:rPr>
          <w:highlight w:val="none"/>
        </w:rPr>
      </w:pPr>
      <w:r>
        <w:rPr>
          <w:rFonts w:hint="eastAsia"/>
          <w:highlight w:val="none"/>
        </w:rPr>
        <w:t>如根据法院判决或仲裁裁决或按照上述规定与声称被侵权的任何第三方之间达成的和解方案，</w:t>
      </w:r>
      <w:r>
        <w:rPr>
          <w:rFonts w:hint="eastAsia"/>
          <w:spacing w:val="-2"/>
          <w:highlight w:val="none"/>
        </w:rPr>
        <w:t>卖方提供的货物侵犯任何第三方的权益或货物采用的技术、工艺、方法等</w:t>
      </w:r>
      <w:r>
        <w:rPr>
          <w:rFonts w:hint="eastAsia"/>
          <w:highlight w:val="none"/>
        </w:rPr>
        <w:t>侵犯任何知识产权，卖方应根据买方要求采取如下措施</w:t>
      </w:r>
      <w:r>
        <w:rPr>
          <w:rFonts w:hint="eastAsia"/>
          <w:spacing w:val="-2"/>
          <w:highlight w:val="none"/>
        </w:rPr>
        <w:t>：</w:t>
      </w:r>
    </w:p>
    <w:p w14:paraId="5282EE23">
      <w:pPr>
        <w:widowControl/>
        <w:numPr>
          <w:ilvl w:val="0"/>
          <w:numId w:val="40"/>
        </w:numPr>
        <w:tabs>
          <w:tab w:val="left" w:pos="1134"/>
          <w:tab w:val="left" w:pos="3060"/>
          <w:tab w:val="clear" w:pos="900"/>
        </w:tabs>
        <w:spacing w:line="360" w:lineRule="auto"/>
        <w:ind w:left="1044" w:leftChars="295" w:hanging="425"/>
        <w:jc w:val="left"/>
        <w:rPr>
          <w:highlight w:val="none"/>
        </w:rPr>
      </w:pPr>
      <w:r>
        <w:rPr>
          <w:rFonts w:hint="eastAsia"/>
          <w:highlight w:val="none"/>
        </w:rPr>
        <w:t>自行承担费用采取一切措施确保买方获得继续使用货物的权利，包括为买方的利益购买货物的全部权益（包括但不限于知识产权等）；</w:t>
      </w:r>
    </w:p>
    <w:p w14:paraId="527418C1">
      <w:pPr>
        <w:widowControl/>
        <w:numPr>
          <w:ilvl w:val="0"/>
          <w:numId w:val="40"/>
        </w:numPr>
        <w:tabs>
          <w:tab w:val="left" w:pos="1134"/>
          <w:tab w:val="left" w:pos="3060"/>
          <w:tab w:val="clear" w:pos="900"/>
        </w:tabs>
        <w:spacing w:line="360" w:lineRule="auto"/>
        <w:ind w:left="1044" w:leftChars="295" w:hanging="425"/>
        <w:jc w:val="left"/>
        <w:rPr>
          <w:highlight w:val="none"/>
        </w:rPr>
      </w:pPr>
      <w:r>
        <w:rPr>
          <w:rFonts w:hint="eastAsia"/>
          <w:highlight w:val="none"/>
        </w:rPr>
        <w:t>采用不侵权的设备、材料、零部件、设计、技术、工艺、方法对货物进行变更，使得其不再构成任何侵权，且变更后货物的功能、品质和水平应符合本合同的规定，且不低于变更前的货物。</w:t>
      </w:r>
    </w:p>
    <w:p w14:paraId="05900046">
      <w:pPr>
        <w:tabs>
          <w:tab w:val="left" w:pos="1134"/>
          <w:tab w:val="left" w:pos="3060"/>
        </w:tabs>
        <w:spacing w:line="360" w:lineRule="auto"/>
        <w:ind w:left="708"/>
        <w:rPr>
          <w:highlight w:val="none"/>
        </w:rPr>
      </w:pPr>
      <w:r>
        <w:rPr>
          <w:rFonts w:hint="eastAsia"/>
          <w:highlight w:val="none"/>
        </w:rPr>
        <w:t>卖方依据本款采取的措施不影响买方的任何其它权利或补救措施。</w:t>
      </w:r>
    </w:p>
    <w:p w14:paraId="29B18B51">
      <w:pPr>
        <w:widowControl/>
        <w:numPr>
          <w:ilvl w:val="0"/>
          <w:numId w:val="39"/>
        </w:numPr>
        <w:tabs>
          <w:tab w:val="left" w:pos="709"/>
        </w:tabs>
        <w:spacing w:line="360" w:lineRule="auto"/>
        <w:ind w:left="619" w:hanging="619" w:hangingChars="295"/>
        <w:jc w:val="left"/>
        <w:rPr>
          <w:highlight w:val="none"/>
        </w:rPr>
      </w:pPr>
      <w:r>
        <w:rPr>
          <w:rFonts w:hint="eastAsia"/>
          <w:highlight w:val="none"/>
        </w:rPr>
        <w:t>卖方无权因本条的适用而获得额外的履约时间或合同价款。</w:t>
      </w:r>
    </w:p>
    <w:p w14:paraId="2EE88CA4">
      <w:pPr>
        <w:widowControl/>
        <w:numPr>
          <w:ilvl w:val="0"/>
          <w:numId w:val="39"/>
        </w:numPr>
        <w:tabs>
          <w:tab w:val="left" w:pos="709"/>
        </w:tabs>
        <w:spacing w:line="360" w:lineRule="auto"/>
        <w:ind w:left="619" w:hanging="619" w:hangingChars="295"/>
        <w:jc w:val="left"/>
        <w:rPr>
          <w:highlight w:val="none"/>
        </w:rPr>
      </w:pPr>
      <w:r>
        <w:rPr>
          <w:rFonts w:hint="eastAsia"/>
          <w:highlight w:val="none"/>
        </w:rPr>
        <w:t>卖方应无条件向附件五中买方执行用户提供本合同项下，全部或部分货物。</w:t>
      </w:r>
    </w:p>
    <w:p w14:paraId="7B9DF74F">
      <w:pPr>
        <w:numPr>
          <w:ilvl w:val="0"/>
          <w:numId w:val="28"/>
        </w:numPr>
        <w:spacing w:before="360" w:after="360"/>
        <w:jc w:val="center"/>
        <w:rPr>
          <w:b/>
          <w:sz w:val="24"/>
          <w:szCs w:val="24"/>
          <w:highlight w:val="none"/>
        </w:rPr>
      </w:pPr>
      <w:bookmarkStart w:id="246" w:name="_Toc296959327"/>
      <w:bookmarkStart w:id="247" w:name="_Toc5889384"/>
      <w:bookmarkStart w:id="248" w:name="_Toc296955865"/>
      <w:bookmarkStart w:id="249" w:name="_Toc17390385"/>
      <w:bookmarkStart w:id="250" w:name="_Toc300671214"/>
      <w:r>
        <w:rPr>
          <w:rFonts w:hint="eastAsia"/>
          <w:b/>
          <w:sz w:val="24"/>
          <w:szCs w:val="24"/>
          <w:highlight w:val="none"/>
        </w:rPr>
        <w:t>保密</w:t>
      </w:r>
      <w:bookmarkEnd w:id="246"/>
      <w:bookmarkEnd w:id="247"/>
      <w:bookmarkEnd w:id="248"/>
      <w:bookmarkEnd w:id="249"/>
      <w:bookmarkEnd w:id="250"/>
    </w:p>
    <w:p w14:paraId="5CA976D4">
      <w:pPr>
        <w:widowControl/>
        <w:numPr>
          <w:ilvl w:val="0"/>
          <w:numId w:val="41"/>
        </w:numPr>
        <w:tabs>
          <w:tab w:val="left" w:pos="709"/>
          <w:tab w:val="clear" w:pos="0"/>
        </w:tabs>
        <w:spacing w:line="360" w:lineRule="auto"/>
        <w:ind w:left="709" w:hanging="709"/>
        <w:jc w:val="left"/>
        <w:rPr>
          <w:highlight w:val="none"/>
        </w:rPr>
      </w:pPr>
      <w:r>
        <w:rPr>
          <w:rFonts w:hint="eastAsia"/>
          <w:highlight w:val="none"/>
        </w:rPr>
        <w:t>未经买方同意，卖方不得将买方保密信息披露给任何第三方（包括与合同无关的卖方员工和政府部门），亦不得将该等信息用于与本合同无关的用途。买方保密信息包括但不限于：</w:t>
      </w:r>
    </w:p>
    <w:p w14:paraId="701FCB41">
      <w:pPr>
        <w:widowControl/>
        <w:numPr>
          <w:ilvl w:val="0"/>
          <w:numId w:val="42"/>
        </w:numPr>
        <w:tabs>
          <w:tab w:val="left" w:pos="1134"/>
          <w:tab w:val="left" w:pos="3060"/>
          <w:tab w:val="clear" w:pos="900"/>
        </w:tabs>
        <w:spacing w:line="360" w:lineRule="auto"/>
        <w:ind w:left="1134" w:hanging="425"/>
        <w:jc w:val="left"/>
        <w:rPr>
          <w:highlight w:val="none"/>
        </w:rPr>
      </w:pPr>
      <w:r>
        <w:rPr>
          <w:rFonts w:hint="eastAsia"/>
          <w:highlight w:val="none"/>
        </w:rPr>
        <w:t>本合同的内容；</w:t>
      </w:r>
    </w:p>
    <w:p w14:paraId="1090C4E6">
      <w:pPr>
        <w:widowControl/>
        <w:numPr>
          <w:ilvl w:val="0"/>
          <w:numId w:val="42"/>
        </w:numPr>
        <w:tabs>
          <w:tab w:val="left" w:pos="1134"/>
          <w:tab w:val="left" w:pos="3060"/>
          <w:tab w:val="clear" w:pos="900"/>
        </w:tabs>
        <w:spacing w:line="360" w:lineRule="auto"/>
        <w:ind w:left="1134" w:hanging="425"/>
        <w:jc w:val="left"/>
        <w:rPr>
          <w:highlight w:val="none"/>
        </w:rPr>
      </w:pPr>
      <w:r>
        <w:rPr>
          <w:rFonts w:hint="eastAsia"/>
          <w:highlight w:val="none"/>
        </w:rPr>
        <w:t>与本合同相关的谈判内容；</w:t>
      </w:r>
    </w:p>
    <w:p w14:paraId="0A61B6EA">
      <w:pPr>
        <w:widowControl/>
        <w:numPr>
          <w:ilvl w:val="0"/>
          <w:numId w:val="42"/>
        </w:numPr>
        <w:tabs>
          <w:tab w:val="left" w:pos="1134"/>
          <w:tab w:val="left" w:pos="3060"/>
          <w:tab w:val="clear" w:pos="900"/>
        </w:tabs>
        <w:spacing w:line="360" w:lineRule="auto"/>
        <w:ind w:left="1134" w:hanging="425"/>
        <w:jc w:val="left"/>
        <w:rPr>
          <w:highlight w:val="none"/>
        </w:rPr>
      </w:pPr>
      <w:r>
        <w:rPr>
          <w:rFonts w:hint="eastAsia"/>
          <w:highlight w:val="none"/>
        </w:rPr>
        <w:t>买方提供的与本合同有关的任何技术信息、图纸、样本、资料等；</w:t>
      </w:r>
    </w:p>
    <w:p w14:paraId="468E6F12">
      <w:pPr>
        <w:widowControl/>
        <w:numPr>
          <w:ilvl w:val="0"/>
          <w:numId w:val="42"/>
        </w:numPr>
        <w:tabs>
          <w:tab w:val="left" w:pos="1134"/>
          <w:tab w:val="left" w:pos="3060"/>
          <w:tab w:val="clear" w:pos="900"/>
        </w:tabs>
        <w:spacing w:line="360" w:lineRule="auto"/>
        <w:ind w:left="1134" w:hanging="425"/>
        <w:jc w:val="left"/>
        <w:rPr>
          <w:highlight w:val="none"/>
        </w:rPr>
      </w:pPr>
      <w:r>
        <w:rPr>
          <w:rFonts w:hint="eastAsia"/>
          <w:highlight w:val="none"/>
        </w:rPr>
        <w:t>本合同的履行情况；</w:t>
      </w:r>
    </w:p>
    <w:p w14:paraId="6E2A620C">
      <w:pPr>
        <w:widowControl/>
        <w:numPr>
          <w:ilvl w:val="0"/>
          <w:numId w:val="42"/>
        </w:numPr>
        <w:tabs>
          <w:tab w:val="left" w:pos="1134"/>
          <w:tab w:val="left" w:pos="3060"/>
          <w:tab w:val="clear" w:pos="900"/>
        </w:tabs>
        <w:spacing w:line="360" w:lineRule="auto"/>
        <w:ind w:left="1134" w:hanging="425"/>
        <w:jc w:val="left"/>
        <w:rPr>
          <w:highlight w:val="none"/>
        </w:rPr>
      </w:pPr>
      <w:r>
        <w:rPr>
          <w:rFonts w:hint="eastAsia"/>
          <w:highlight w:val="none"/>
        </w:rPr>
        <w:t>买方提供的或履行合同过程中卖方获得的与项目或买方有关的任何技术和商务信息。</w:t>
      </w:r>
    </w:p>
    <w:p w14:paraId="5DCC4732">
      <w:pPr>
        <w:widowControl/>
        <w:numPr>
          <w:ilvl w:val="0"/>
          <w:numId w:val="41"/>
        </w:numPr>
        <w:tabs>
          <w:tab w:val="left" w:pos="709"/>
          <w:tab w:val="clear" w:pos="0"/>
        </w:tabs>
        <w:spacing w:line="360" w:lineRule="auto"/>
        <w:ind w:left="709" w:hanging="709"/>
        <w:jc w:val="left"/>
        <w:rPr>
          <w:highlight w:val="none"/>
        </w:rPr>
      </w:pPr>
      <w:r>
        <w:rPr>
          <w:rFonts w:hint="eastAsia"/>
          <w:highlight w:val="none"/>
        </w:rPr>
        <w:t>除非买方正常生产经营所致，未经卖方同意，买方不得将卖方保密信息披露给任何第三方（包括与合同无关的买方员工和政府部门），亦不得将该等信息用于与本合同无关的用途，卖方保密信息包括：</w:t>
      </w:r>
    </w:p>
    <w:p w14:paraId="01F6B95F">
      <w:pPr>
        <w:widowControl/>
        <w:numPr>
          <w:ilvl w:val="0"/>
          <w:numId w:val="43"/>
        </w:numPr>
        <w:tabs>
          <w:tab w:val="left" w:pos="1134"/>
          <w:tab w:val="left" w:pos="3060"/>
          <w:tab w:val="clear" w:pos="900"/>
        </w:tabs>
        <w:spacing w:line="360" w:lineRule="auto"/>
        <w:ind w:left="1134"/>
        <w:jc w:val="left"/>
        <w:rPr>
          <w:highlight w:val="none"/>
        </w:rPr>
      </w:pPr>
      <w:r>
        <w:rPr>
          <w:rFonts w:hint="eastAsia"/>
          <w:highlight w:val="none"/>
        </w:rPr>
        <w:t>本合同的内容；</w:t>
      </w:r>
    </w:p>
    <w:p w14:paraId="0A0B76B2">
      <w:pPr>
        <w:widowControl/>
        <w:numPr>
          <w:ilvl w:val="0"/>
          <w:numId w:val="43"/>
        </w:numPr>
        <w:tabs>
          <w:tab w:val="left" w:pos="1134"/>
          <w:tab w:val="left" w:pos="3060"/>
          <w:tab w:val="clear" w:pos="900"/>
        </w:tabs>
        <w:spacing w:line="360" w:lineRule="auto"/>
        <w:ind w:left="1134"/>
        <w:jc w:val="left"/>
        <w:rPr>
          <w:highlight w:val="none"/>
        </w:rPr>
      </w:pPr>
      <w:r>
        <w:rPr>
          <w:rFonts w:hint="eastAsia"/>
          <w:highlight w:val="none"/>
        </w:rPr>
        <w:t>卖方提供的与本合同有关的任何技术信息、图纸、样本、资料；</w:t>
      </w:r>
    </w:p>
    <w:p w14:paraId="2153341C">
      <w:pPr>
        <w:widowControl/>
        <w:numPr>
          <w:ilvl w:val="0"/>
          <w:numId w:val="43"/>
        </w:numPr>
        <w:tabs>
          <w:tab w:val="left" w:pos="1134"/>
          <w:tab w:val="left" w:pos="3060"/>
          <w:tab w:val="clear" w:pos="900"/>
        </w:tabs>
        <w:spacing w:line="360" w:lineRule="auto"/>
        <w:ind w:left="1134"/>
        <w:jc w:val="left"/>
        <w:rPr>
          <w:highlight w:val="none"/>
        </w:rPr>
      </w:pPr>
      <w:r>
        <w:rPr>
          <w:rFonts w:hint="eastAsia"/>
          <w:highlight w:val="none"/>
        </w:rPr>
        <w:t>卖方提供的或履行合同过程中买方获得的任何与卖方有关的任何技术和商务信息。</w:t>
      </w:r>
    </w:p>
    <w:p w14:paraId="56DE1081">
      <w:pPr>
        <w:tabs>
          <w:tab w:val="left" w:pos="3060"/>
        </w:tabs>
        <w:spacing w:line="360" w:lineRule="auto"/>
        <w:ind w:left="619" w:leftChars="295"/>
        <w:rPr>
          <w:highlight w:val="none"/>
        </w:rPr>
      </w:pPr>
      <w:r>
        <w:rPr>
          <w:rFonts w:hint="eastAsia"/>
          <w:highlight w:val="none"/>
        </w:rPr>
        <w:t>买方有权将上述卖方保密信息提供给实施相关项目或为买方提供相关服务的第三方，买方向第三方披露卖方保密信息以第三方必须获得相关信息并对信息承担保密义务为前提条件。</w:t>
      </w:r>
    </w:p>
    <w:p w14:paraId="04C48C17">
      <w:pPr>
        <w:widowControl/>
        <w:numPr>
          <w:ilvl w:val="0"/>
          <w:numId w:val="41"/>
        </w:numPr>
        <w:tabs>
          <w:tab w:val="left" w:pos="709"/>
          <w:tab w:val="clear" w:pos="0"/>
        </w:tabs>
        <w:spacing w:line="360" w:lineRule="auto"/>
        <w:ind w:left="709" w:hanging="709"/>
        <w:jc w:val="left"/>
        <w:rPr>
          <w:highlight w:val="none"/>
        </w:rPr>
      </w:pPr>
      <w:r>
        <w:rPr>
          <w:rFonts w:hint="eastAsia"/>
          <w:highlight w:val="none"/>
        </w:rPr>
        <w:t>任何一方可在下列情况及范围内披露本属于保密的信息：</w:t>
      </w:r>
    </w:p>
    <w:p w14:paraId="767396AB">
      <w:pPr>
        <w:widowControl/>
        <w:numPr>
          <w:ilvl w:val="1"/>
          <w:numId w:val="44"/>
        </w:numPr>
        <w:tabs>
          <w:tab w:val="left" w:pos="1134"/>
        </w:tabs>
        <w:spacing w:line="360" w:lineRule="auto"/>
        <w:ind w:left="1134" w:hanging="425"/>
        <w:jc w:val="left"/>
        <w:rPr>
          <w:highlight w:val="none"/>
        </w:rPr>
      </w:pPr>
      <w:r>
        <w:rPr>
          <w:rFonts w:hint="eastAsia"/>
          <w:highlight w:val="none"/>
        </w:rPr>
        <w:t>为履行其在本合同下义务之需要披露给一方员工，但仅限于有合理需要并已作出本条第9.1款或第9.2款承诺的员工；</w:t>
      </w:r>
    </w:p>
    <w:p w14:paraId="06D14AB3">
      <w:pPr>
        <w:widowControl/>
        <w:numPr>
          <w:ilvl w:val="1"/>
          <w:numId w:val="44"/>
        </w:numPr>
        <w:tabs>
          <w:tab w:val="left" w:pos="1134"/>
        </w:tabs>
        <w:spacing w:line="360" w:lineRule="auto"/>
        <w:ind w:hanging="839"/>
        <w:jc w:val="left"/>
        <w:rPr>
          <w:highlight w:val="none"/>
        </w:rPr>
      </w:pPr>
      <w:r>
        <w:rPr>
          <w:rFonts w:hint="eastAsia"/>
          <w:highlight w:val="none"/>
        </w:rPr>
        <w:t>任何对披露信息有管辖权的法律法规或政府机关强制要求的披露；</w:t>
      </w:r>
    </w:p>
    <w:p w14:paraId="5F483B98">
      <w:pPr>
        <w:widowControl/>
        <w:numPr>
          <w:ilvl w:val="1"/>
          <w:numId w:val="44"/>
        </w:numPr>
        <w:tabs>
          <w:tab w:val="left" w:pos="1134"/>
        </w:tabs>
        <w:spacing w:line="360" w:lineRule="auto"/>
        <w:ind w:left="1134" w:hanging="425"/>
        <w:jc w:val="left"/>
        <w:rPr>
          <w:highlight w:val="none"/>
        </w:rPr>
      </w:pPr>
      <w:r>
        <w:rPr>
          <w:rFonts w:hint="eastAsia"/>
          <w:highlight w:val="none"/>
        </w:rPr>
        <w:t>为本合同或与本合同有关的索赔而透露给其专业顾问、或其审计人员、或该方的任何实际或潜在的银行或融资方，或向法院、仲裁庭或其它争议解决机构披露；</w:t>
      </w:r>
    </w:p>
    <w:p w14:paraId="023356F1">
      <w:pPr>
        <w:widowControl/>
        <w:numPr>
          <w:ilvl w:val="1"/>
          <w:numId w:val="44"/>
        </w:numPr>
        <w:tabs>
          <w:tab w:val="left" w:pos="1134"/>
        </w:tabs>
        <w:spacing w:line="360" w:lineRule="auto"/>
        <w:ind w:left="1134" w:hanging="425"/>
        <w:jc w:val="left"/>
        <w:rPr>
          <w:highlight w:val="none"/>
        </w:rPr>
      </w:pPr>
      <w:r>
        <w:rPr>
          <w:rFonts w:hint="eastAsia"/>
          <w:highlight w:val="none"/>
        </w:rPr>
        <w:t>另一方已对此等披露事先给予明确的批准。</w:t>
      </w:r>
    </w:p>
    <w:p w14:paraId="69D5B777">
      <w:pPr>
        <w:widowControl/>
        <w:numPr>
          <w:ilvl w:val="0"/>
          <w:numId w:val="41"/>
        </w:numPr>
        <w:tabs>
          <w:tab w:val="left" w:pos="709"/>
          <w:tab w:val="clear" w:pos="0"/>
        </w:tabs>
        <w:spacing w:line="360" w:lineRule="auto"/>
        <w:ind w:left="709" w:hanging="709"/>
        <w:jc w:val="left"/>
        <w:rPr>
          <w:highlight w:val="none"/>
        </w:rPr>
      </w:pPr>
      <w:r>
        <w:rPr>
          <w:rFonts w:hint="eastAsia"/>
          <w:highlight w:val="none"/>
        </w:rPr>
        <w:t>本条第9.1款和第9.2款不应适用于任何由一方披露的本属于保密的信息，但该信息在被披露时：</w:t>
      </w:r>
    </w:p>
    <w:p w14:paraId="26899B21">
      <w:pPr>
        <w:widowControl/>
        <w:numPr>
          <w:ilvl w:val="1"/>
          <w:numId w:val="45"/>
        </w:numPr>
        <w:tabs>
          <w:tab w:val="left" w:pos="1134"/>
        </w:tabs>
        <w:spacing w:line="360" w:lineRule="auto"/>
        <w:ind w:left="709" w:firstLine="0"/>
        <w:jc w:val="left"/>
        <w:rPr>
          <w:highlight w:val="none"/>
        </w:rPr>
      </w:pPr>
      <w:r>
        <w:rPr>
          <w:rFonts w:hint="eastAsia"/>
          <w:highlight w:val="none"/>
        </w:rPr>
        <w:t>已进入公众领域；</w:t>
      </w:r>
    </w:p>
    <w:p w14:paraId="683A7E13">
      <w:pPr>
        <w:widowControl/>
        <w:numPr>
          <w:ilvl w:val="1"/>
          <w:numId w:val="45"/>
        </w:numPr>
        <w:tabs>
          <w:tab w:val="left" w:pos="1134"/>
        </w:tabs>
        <w:spacing w:line="360" w:lineRule="auto"/>
        <w:ind w:left="990" w:leftChars="295" w:hanging="371" w:hangingChars="177"/>
        <w:jc w:val="left"/>
        <w:rPr>
          <w:highlight w:val="none"/>
        </w:rPr>
      </w:pPr>
      <w:r>
        <w:rPr>
          <w:rFonts w:hint="eastAsia"/>
          <w:highlight w:val="none"/>
        </w:rPr>
        <w:t>披露方事前已从非另一方的合法途径获得，且对其使用及披露无任何限制；</w:t>
      </w:r>
    </w:p>
    <w:p w14:paraId="49472899">
      <w:pPr>
        <w:widowControl/>
        <w:numPr>
          <w:ilvl w:val="1"/>
          <w:numId w:val="45"/>
        </w:numPr>
        <w:tabs>
          <w:tab w:val="left" w:pos="1134"/>
        </w:tabs>
        <w:spacing w:line="360" w:lineRule="auto"/>
        <w:ind w:left="990" w:leftChars="295" w:hanging="371" w:hangingChars="177"/>
        <w:jc w:val="left"/>
        <w:rPr>
          <w:highlight w:val="none"/>
        </w:rPr>
      </w:pPr>
      <w:r>
        <w:rPr>
          <w:rFonts w:hint="eastAsia"/>
          <w:highlight w:val="none"/>
        </w:rPr>
        <w:t>由第三方合法、独立地提供给披露方，且该第三方不受任何对该信息使用或披露的限制。</w:t>
      </w:r>
    </w:p>
    <w:p w14:paraId="46877100">
      <w:pPr>
        <w:numPr>
          <w:ilvl w:val="0"/>
          <w:numId w:val="28"/>
        </w:numPr>
        <w:spacing w:before="360" w:after="360"/>
        <w:jc w:val="center"/>
        <w:rPr>
          <w:b/>
          <w:sz w:val="24"/>
          <w:szCs w:val="24"/>
          <w:highlight w:val="none"/>
        </w:rPr>
      </w:pPr>
      <w:bookmarkStart w:id="251" w:name="_Toc274344109"/>
      <w:bookmarkStart w:id="252" w:name="_Toc274754044"/>
      <w:bookmarkStart w:id="253" w:name="_Toc278889797"/>
      <w:bookmarkStart w:id="254" w:name="_Toc274343577"/>
      <w:bookmarkStart w:id="255" w:name="_Toc274075974"/>
      <w:bookmarkStart w:id="256" w:name="_Toc274668234"/>
      <w:bookmarkStart w:id="257" w:name="_Toc273451794"/>
      <w:bookmarkStart w:id="258" w:name="_Toc273388509"/>
      <w:bookmarkStart w:id="259" w:name="_Toc300670347"/>
      <w:bookmarkStart w:id="260" w:name="_Toc17390386"/>
      <w:bookmarkStart w:id="261" w:name="_Toc300670815"/>
      <w:bookmarkStart w:id="262" w:name="_Toc5889385"/>
      <w:bookmarkStart w:id="263" w:name="_Toc300670419"/>
      <w:bookmarkStart w:id="264" w:name="_Toc274669175"/>
      <w:bookmarkStart w:id="265" w:name="_Toc274403508"/>
      <w:bookmarkStart w:id="266" w:name="_Toc273458608"/>
      <w:bookmarkStart w:id="267" w:name="_Toc291435858"/>
      <w:bookmarkStart w:id="268" w:name="_Toc296955869"/>
      <w:bookmarkStart w:id="269" w:name="_Toc273388608"/>
      <w:bookmarkStart w:id="270" w:name="_Toc291435925"/>
      <w:r>
        <w:rPr>
          <w:rFonts w:hint="eastAsia"/>
          <w:b/>
          <w:sz w:val="24"/>
          <w:szCs w:val="24"/>
          <w:highlight w:val="none"/>
        </w:rPr>
        <w:t>技术资料</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70B573A8">
      <w:pPr>
        <w:widowControl/>
        <w:numPr>
          <w:ilvl w:val="0"/>
          <w:numId w:val="46"/>
        </w:numPr>
        <w:tabs>
          <w:tab w:val="left" w:pos="709"/>
        </w:tabs>
        <w:spacing w:line="360" w:lineRule="auto"/>
        <w:ind w:left="619" w:hanging="619" w:hangingChars="295"/>
        <w:jc w:val="left"/>
        <w:rPr>
          <w:highlight w:val="none"/>
        </w:rPr>
      </w:pPr>
      <w:r>
        <w:rPr>
          <w:rFonts w:hint="eastAsia"/>
          <w:highlight w:val="none"/>
        </w:rPr>
        <w:t>卖方应根据本合同的要求和进度交付技术资料。如技术资料不满足合同的要求或交付不符合合同规定的交付进度，卖方应承担违约责任。</w:t>
      </w:r>
    </w:p>
    <w:p w14:paraId="755721AA">
      <w:pPr>
        <w:widowControl/>
        <w:numPr>
          <w:ilvl w:val="0"/>
          <w:numId w:val="46"/>
        </w:numPr>
        <w:tabs>
          <w:tab w:val="left" w:pos="709"/>
        </w:tabs>
        <w:spacing w:line="360" w:lineRule="auto"/>
        <w:ind w:left="619" w:hanging="619" w:hangingChars="295"/>
        <w:jc w:val="left"/>
        <w:rPr>
          <w:highlight w:val="none"/>
        </w:rPr>
      </w:pPr>
      <w:r>
        <w:rPr>
          <w:rFonts w:hint="eastAsia"/>
          <w:highlight w:val="none"/>
        </w:rPr>
        <w:t>如技术资料缺少、丢失或损坏，卖方应在收到买方通知后七日内补发，因此产生的全部费用由卖方承担。</w:t>
      </w:r>
    </w:p>
    <w:p w14:paraId="39E33AD1">
      <w:pPr>
        <w:widowControl/>
        <w:numPr>
          <w:ilvl w:val="0"/>
          <w:numId w:val="46"/>
        </w:numPr>
        <w:tabs>
          <w:tab w:val="left" w:pos="709"/>
        </w:tabs>
        <w:spacing w:line="360" w:lineRule="auto"/>
        <w:ind w:left="619" w:hanging="619" w:hangingChars="295"/>
        <w:jc w:val="left"/>
        <w:rPr>
          <w:highlight w:val="none"/>
        </w:rPr>
      </w:pPr>
      <w:r>
        <w:rPr>
          <w:rFonts w:hint="eastAsia"/>
          <w:highlight w:val="none"/>
        </w:rPr>
        <w:t>卖方应对技术资料的充分性、完整性和准确性负责，并保证技术资料符合本合同规定。如果技术资料包含有非中文内容，买方有权要求卖方提供中文译本。如果卖方提供技术资料中文译本的，卖方应对翻译文本的准确性负责。</w:t>
      </w:r>
    </w:p>
    <w:p w14:paraId="7BFC9FD1">
      <w:pPr>
        <w:numPr>
          <w:ilvl w:val="0"/>
          <w:numId w:val="28"/>
        </w:numPr>
        <w:spacing w:before="360" w:after="360"/>
        <w:jc w:val="center"/>
        <w:rPr>
          <w:b/>
          <w:sz w:val="24"/>
          <w:szCs w:val="24"/>
          <w:highlight w:val="none"/>
        </w:rPr>
      </w:pPr>
      <w:bookmarkStart w:id="271" w:name="_Toc278889798"/>
      <w:bookmarkStart w:id="272" w:name="_Toc274669177"/>
      <w:bookmarkStart w:id="273" w:name="_Toc291435859"/>
      <w:bookmarkStart w:id="274" w:name="_Toc274343579"/>
      <w:bookmarkStart w:id="275" w:name="_Toc274754046"/>
      <w:bookmarkStart w:id="276" w:name="_Toc273458611"/>
      <w:bookmarkStart w:id="277" w:name="_Toc17390387"/>
      <w:bookmarkStart w:id="278" w:name="_Toc274075978"/>
      <w:bookmarkStart w:id="279" w:name="_Toc273388512"/>
      <w:bookmarkStart w:id="280" w:name="_Toc274668236"/>
      <w:bookmarkStart w:id="281" w:name="_Toc300670348"/>
      <w:bookmarkStart w:id="282" w:name="_Toc300670816"/>
      <w:bookmarkStart w:id="283" w:name="_Toc296955870"/>
      <w:bookmarkStart w:id="284" w:name="_Toc291435926"/>
      <w:bookmarkStart w:id="285" w:name="_Toc274344111"/>
      <w:bookmarkStart w:id="286" w:name="_Toc5889386"/>
      <w:bookmarkStart w:id="287" w:name="_Toc273451797"/>
      <w:bookmarkStart w:id="288" w:name="_Toc273388611"/>
      <w:bookmarkStart w:id="289" w:name="_Toc274403510"/>
      <w:bookmarkStart w:id="290" w:name="_Toc300670420"/>
      <w:r>
        <w:rPr>
          <w:rFonts w:hint="eastAsia"/>
          <w:b/>
          <w:sz w:val="24"/>
          <w:szCs w:val="24"/>
          <w:highlight w:val="none"/>
        </w:rPr>
        <w:t>包装和标识</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616A80B">
      <w:pPr>
        <w:widowControl/>
        <w:numPr>
          <w:ilvl w:val="0"/>
          <w:numId w:val="47"/>
        </w:numPr>
        <w:tabs>
          <w:tab w:val="left" w:pos="709"/>
        </w:tabs>
        <w:spacing w:line="360" w:lineRule="auto"/>
        <w:ind w:left="709" w:hanging="709"/>
        <w:jc w:val="left"/>
        <w:rPr>
          <w:highlight w:val="none"/>
        </w:rPr>
      </w:pPr>
      <w:r>
        <w:rPr>
          <w:rFonts w:hint="eastAsia"/>
          <w:highlight w:val="none"/>
        </w:rPr>
        <w:t>卖方应提供货物运至交货地点所需要的包装，防止货物在运输过程中损坏。货物的包装应采用防潮、防晒、防锈、防腐蚀、防震动、防野蛮装卸及防止其它损坏的必要保护措施，保护货物能够经受多次搬运、装卸和远距离运输</w:t>
      </w:r>
      <w:bookmarkStart w:id="291" w:name="_DV_M380"/>
      <w:bookmarkEnd w:id="291"/>
      <w:r>
        <w:rPr>
          <w:rFonts w:hint="eastAsia"/>
          <w:highlight w:val="none"/>
        </w:rPr>
        <w:t>。</w:t>
      </w:r>
    </w:p>
    <w:p w14:paraId="0DFDEDC5">
      <w:pPr>
        <w:widowControl/>
        <w:numPr>
          <w:ilvl w:val="0"/>
          <w:numId w:val="47"/>
        </w:numPr>
        <w:tabs>
          <w:tab w:val="left" w:pos="709"/>
        </w:tabs>
        <w:spacing w:line="360" w:lineRule="auto"/>
        <w:ind w:left="709" w:hanging="709"/>
        <w:jc w:val="left"/>
        <w:rPr>
          <w:highlight w:val="none"/>
        </w:rPr>
      </w:pPr>
      <w:r>
        <w:rPr>
          <w:rFonts w:hint="eastAsia"/>
          <w:highlight w:val="none"/>
        </w:rPr>
        <w:t>各种货物的备品备件和散装零部件应采用与其形状和性质相适应的包装方式，装入尺寸适当的包装箱。发送货物时，应将该等备品备件和散装零部件一并发送。</w:t>
      </w:r>
    </w:p>
    <w:p w14:paraId="5441DB80">
      <w:pPr>
        <w:widowControl/>
        <w:numPr>
          <w:ilvl w:val="0"/>
          <w:numId w:val="47"/>
        </w:numPr>
        <w:tabs>
          <w:tab w:val="left" w:pos="709"/>
        </w:tabs>
        <w:spacing w:line="360" w:lineRule="auto"/>
        <w:ind w:left="709" w:hanging="709"/>
        <w:jc w:val="left"/>
        <w:rPr>
          <w:highlight w:val="none"/>
        </w:rPr>
      </w:pPr>
      <w:r>
        <w:rPr>
          <w:rFonts w:hint="eastAsia"/>
          <w:highlight w:val="none"/>
        </w:rPr>
        <w:t>卖方对包装箱内或包装捆内的各散装部件应在装配图中将部件号、零件号相应标记清楚。</w:t>
      </w:r>
      <w:bookmarkStart w:id="292" w:name="_DV_C668"/>
      <w:r>
        <w:rPr>
          <w:rFonts w:hint="eastAsia"/>
          <w:highlight w:val="none"/>
        </w:rPr>
        <w:t>备件和工具除注明上述内容外，应注明“备件”和“工具”字样。</w:t>
      </w:r>
      <w:bookmarkEnd w:id="292"/>
    </w:p>
    <w:p w14:paraId="7CAB725B">
      <w:pPr>
        <w:widowControl/>
        <w:numPr>
          <w:ilvl w:val="0"/>
          <w:numId w:val="47"/>
        </w:numPr>
        <w:tabs>
          <w:tab w:val="left" w:pos="709"/>
        </w:tabs>
        <w:spacing w:line="360" w:lineRule="auto"/>
        <w:ind w:left="709" w:hanging="709"/>
        <w:jc w:val="left"/>
        <w:rPr>
          <w:highlight w:val="none"/>
        </w:rPr>
      </w:pPr>
      <w:r>
        <w:rPr>
          <w:rFonts w:hint="eastAsia"/>
          <w:highlight w:val="none"/>
        </w:rPr>
        <w:t>除铁路专用包装箱外，其它包装物不再返还卖方。如果卖方要求返还铁路专用包装箱，相关费用由卖方承担。</w:t>
      </w:r>
    </w:p>
    <w:p w14:paraId="48D3B1EF">
      <w:pPr>
        <w:widowControl/>
        <w:numPr>
          <w:ilvl w:val="0"/>
          <w:numId w:val="47"/>
        </w:numPr>
        <w:tabs>
          <w:tab w:val="left" w:pos="709"/>
        </w:tabs>
        <w:spacing w:line="360" w:lineRule="auto"/>
        <w:ind w:left="709" w:hanging="709"/>
        <w:jc w:val="left"/>
        <w:rPr>
          <w:highlight w:val="none"/>
        </w:rPr>
      </w:pPr>
      <w:r>
        <w:rPr>
          <w:rFonts w:hint="eastAsia"/>
          <w:highlight w:val="none"/>
        </w:rPr>
        <w:t>对于无包装的裸装货物，卖方应配备充足的货物支架或垫木，并应采取必要的防潮、防晒、防锈、防腐蚀、防震动、防野蛮装卸及其它损坏的必要保护措施，确保货物能够经受多次搬运、装卸及远洋和内陆长途运输。</w:t>
      </w:r>
    </w:p>
    <w:p w14:paraId="08F95C68">
      <w:pPr>
        <w:numPr>
          <w:ilvl w:val="0"/>
          <w:numId w:val="28"/>
        </w:numPr>
        <w:spacing w:before="360" w:after="360"/>
        <w:jc w:val="center"/>
        <w:rPr>
          <w:b/>
          <w:sz w:val="24"/>
          <w:szCs w:val="24"/>
          <w:highlight w:val="none"/>
        </w:rPr>
      </w:pPr>
      <w:bookmarkStart w:id="293" w:name="_Toc291435860"/>
      <w:bookmarkEnd w:id="293"/>
      <w:bookmarkStart w:id="294" w:name="_Toc291436283"/>
      <w:bookmarkEnd w:id="294"/>
      <w:bookmarkStart w:id="295" w:name="_Toc291436344"/>
      <w:bookmarkEnd w:id="295"/>
      <w:bookmarkStart w:id="296" w:name="_Toc291435927"/>
      <w:bookmarkEnd w:id="296"/>
      <w:bookmarkStart w:id="297" w:name="_Toc278889799"/>
      <w:bookmarkStart w:id="298" w:name="_Toc5889387"/>
      <w:bookmarkStart w:id="299" w:name="_Toc291435928"/>
      <w:bookmarkStart w:id="300" w:name="_Toc300670349"/>
      <w:bookmarkStart w:id="301" w:name="_Toc274344112"/>
      <w:bookmarkStart w:id="302" w:name="_Toc291435861"/>
      <w:bookmarkStart w:id="303" w:name="_Toc296955871"/>
      <w:bookmarkStart w:id="304" w:name="_Toc274403511"/>
      <w:bookmarkStart w:id="305" w:name="_Toc274668237"/>
      <w:bookmarkStart w:id="306" w:name="_Toc300670817"/>
      <w:bookmarkStart w:id="307" w:name="_Toc17390388"/>
      <w:bookmarkStart w:id="308" w:name="_Toc274754047"/>
      <w:bookmarkStart w:id="309" w:name="_Toc274343580"/>
      <w:bookmarkStart w:id="310" w:name="_Toc274669178"/>
      <w:bookmarkStart w:id="311" w:name="_Toc300670421"/>
      <w:r>
        <w:rPr>
          <w:rFonts w:hint="eastAsia"/>
          <w:b/>
          <w:sz w:val="24"/>
          <w:szCs w:val="24"/>
          <w:highlight w:val="none"/>
        </w:rPr>
        <w:t>技术服务</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72168356">
      <w:pPr>
        <w:widowControl/>
        <w:numPr>
          <w:ilvl w:val="0"/>
          <w:numId w:val="48"/>
        </w:numPr>
        <w:tabs>
          <w:tab w:val="left" w:pos="709"/>
        </w:tabs>
        <w:spacing w:line="360" w:lineRule="auto"/>
        <w:ind w:left="709" w:hanging="709"/>
        <w:jc w:val="left"/>
        <w:rPr>
          <w:highlight w:val="none"/>
        </w:rPr>
      </w:pPr>
      <w:r>
        <w:rPr>
          <w:rFonts w:hint="eastAsia"/>
          <w:highlight w:val="none"/>
        </w:rPr>
        <w:t>卖方应及时、有效、准确提供技术服务，及时回复、解决买方提出的与货物有关的技术问题。卖方应承担因提供技术服务发生的全部费用。</w:t>
      </w:r>
    </w:p>
    <w:p w14:paraId="05D4B7FD">
      <w:pPr>
        <w:widowControl/>
        <w:numPr>
          <w:ilvl w:val="0"/>
          <w:numId w:val="48"/>
        </w:numPr>
        <w:tabs>
          <w:tab w:val="left" w:pos="709"/>
        </w:tabs>
        <w:spacing w:line="360" w:lineRule="auto"/>
        <w:ind w:left="709" w:hanging="709"/>
        <w:jc w:val="left"/>
        <w:rPr>
          <w:highlight w:val="none"/>
        </w:rPr>
      </w:pPr>
      <w:r>
        <w:rPr>
          <w:rFonts w:hint="eastAsia"/>
          <w:highlight w:val="none"/>
        </w:rPr>
        <w:t>卖方应根据买方要求，指派服务人员到现场或买方指定的其它地点提供技术服务，包括货物的安装、试运行、调试和启动，解决货物在安装、调试、试运行中发现的质量、性能等问题。卖方指派服务人员的差旅费、食宿费、通信费、报酬等由卖方自行承担。</w:t>
      </w:r>
    </w:p>
    <w:p w14:paraId="34E880EB">
      <w:pPr>
        <w:widowControl/>
        <w:numPr>
          <w:ilvl w:val="0"/>
          <w:numId w:val="48"/>
        </w:numPr>
        <w:tabs>
          <w:tab w:val="left" w:pos="709"/>
        </w:tabs>
        <w:spacing w:line="360" w:lineRule="auto"/>
        <w:ind w:left="709" w:hanging="709"/>
        <w:jc w:val="left"/>
        <w:rPr>
          <w:highlight w:val="none"/>
        </w:rPr>
      </w:pPr>
      <w:r>
        <w:rPr>
          <w:rFonts w:hint="eastAsia"/>
          <w:highlight w:val="none"/>
        </w:rPr>
        <w:t>卖方应对与本合同有关的供货、设备及技术接口、技术资料、技术服务等全部问题负责。</w:t>
      </w:r>
    </w:p>
    <w:p w14:paraId="465DE590">
      <w:pPr>
        <w:numPr>
          <w:ilvl w:val="0"/>
          <w:numId w:val="48"/>
        </w:numPr>
        <w:tabs>
          <w:tab w:val="left" w:pos="709"/>
        </w:tabs>
        <w:autoSpaceDE w:val="0"/>
        <w:autoSpaceDN w:val="0"/>
        <w:adjustRightInd w:val="0"/>
        <w:spacing w:line="360" w:lineRule="auto"/>
        <w:ind w:left="709" w:hanging="709"/>
        <w:rPr>
          <w:highlight w:val="none"/>
        </w:rPr>
      </w:pPr>
      <w:bookmarkStart w:id="312" w:name="_DV_C687"/>
      <w:r>
        <w:rPr>
          <w:rFonts w:hint="eastAsia"/>
          <w:highlight w:val="none"/>
        </w:rPr>
        <w:t>如果买方认为卖方指派的服务人员提供的技术服务无法满足本合同的要求，卖方应无条件立即更换服务人员，由此产生的额外费用由卖方承担。</w:t>
      </w:r>
      <w:bookmarkEnd w:id="312"/>
      <w:r>
        <w:rPr>
          <w:rFonts w:hint="eastAsia"/>
          <w:highlight w:val="none"/>
        </w:rPr>
        <w:t>如果卖方未在买方要求的期限内更换服务人员，买方有权立即解除本合同并无须承担任何责任。</w:t>
      </w:r>
    </w:p>
    <w:p w14:paraId="04C24788">
      <w:pPr>
        <w:numPr>
          <w:ilvl w:val="0"/>
          <w:numId w:val="28"/>
        </w:numPr>
        <w:spacing w:before="360" w:after="360"/>
        <w:jc w:val="center"/>
        <w:rPr>
          <w:b/>
          <w:sz w:val="24"/>
          <w:szCs w:val="24"/>
          <w:highlight w:val="none"/>
        </w:rPr>
      </w:pPr>
      <w:bookmarkStart w:id="313" w:name="_Toc296804725"/>
      <w:bookmarkEnd w:id="313"/>
      <w:bookmarkStart w:id="314" w:name="_Toc17390389"/>
      <w:bookmarkStart w:id="315" w:name="_Toc288567151"/>
      <w:bookmarkStart w:id="316" w:name="_Toc5889388"/>
      <w:bookmarkStart w:id="317" w:name="_Toc300671210"/>
      <w:r>
        <w:rPr>
          <w:rFonts w:hint="eastAsia"/>
          <w:b/>
          <w:sz w:val="24"/>
          <w:szCs w:val="24"/>
          <w:highlight w:val="none"/>
        </w:rPr>
        <w:t>调试和测试</w:t>
      </w:r>
      <w:bookmarkEnd w:id="314"/>
      <w:bookmarkEnd w:id="315"/>
      <w:bookmarkEnd w:id="316"/>
      <w:bookmarkEnd w:id="317"/>
    </w:p>
    <w:p w14:paraId="4095509B">
      <w:pPr>
        <w:numPr>
          <w:ilvl w:val="0"/>
          <w:numId w:val="49"/>
        </w:numPr>
        <w:tabs>
          <w:tab w:val="left" w:pos="720"/>
          <w:tab w:val="clear" w:pos="1468"/>
        </w:tabs>
        <w:spacing w:line="360" w:lineRule="auto"/>
        <w:ind w:left="720" w:hanging="720"/>
        <w:rPr>
          <w:highlight w:val="none"/>
        </w:rPr>
      </w:pPr>
      <w:r>
        <w:rPr>
          <w:rFonts w:hint="eastAsia" w:cs="宋体"/>
          <w:highlight w:val="none"/>
        </w:rPr>
        <w:t>买方有权根据具体情况要求卖方为本合同项下货物提供一定期限的调试和测试期。调试和测试期自买方对货物进行验收后开始，具体的调试和测试期由双方根据货物情况协商确定。</w:t>
      </w:r>
    </w:p>
    <w:p w14:paraId="54AD11D0">
      <w:pPr>
        <w:numPr>
          <w:ilvl w:val="0"/>
          <w:numId w:val="49"/>
        </w:numPr>
        <w:tabs>
          <w:tab w:val="left" w:pos="720"/>
          <w:tab w:val="clear" w:pos="1468"/>
        </w:tabs>
        <w:spacing w:line="360" w:lineRule="auto"/>
        <w:ind w:left="720" w:hanging="720"/>
        <w:rPr>
          <w:highlight w:val="none"/>
        </w:rPr>
      </w:pPr>
      <w:r>
        <w:rPr>
          <w:rFonts w:hint="eastAsia" w:cs="宋体"/>
          <w:highlight w:val="none"/>
        </w:rPr>
        <w:t>根据买方要求，卖方应当自行承担费用派出合格的专业技术人员到买方指定的设备调试和测试现场，配合买方人员对货物进行调试和测试。卖方专业技术人员在调试和测试过程中所发生的一切费用（包括但不限于办理“健康证”、“油气田准入证”等买方要求办理的证照的费用）和风险由卖方承担，但是，买方书面表示同意分担费用的除外。</w:t>
      </w:r>
    </w:p>
    <w:p w14:paraId="688B6CC0">
      <w:pPr>
        <w:numPr>
          <w:ilvl w:val="0"/>
          <w:numId w:val="49"/>
        </w:numPr>
        <w:tabs>
          <w:tab w:val="left" w:pos="720"/>
          <w:tab w:val="clear" w:pos="1468"/>
        </w:tabs>
        <w:spacing w:line="360" w:lineRule="auto"/>
        <w:ind w:left="720" w:hanging="720"/>
        <w:rPr>
          <w:highlight w:val="none"/>
        </w:rPr>
      </w:pPr>
      <w:r>
        <w:rPr>
          <w:rFonts w:hint="eastAsia" w:cs="宋体"/>
          <w:highlight w:val="none"/>
        </w:rPr>
        <w:t>调试和测试过程中，如发现卖方提供的货物有质量问题或不符合买方对该货物的特殊要求的，买方有权要求卖方负责更换、修理不合格的货物或其部件，直至退还全部合同价款。</w:t>
      </w:r>
    </w:p>
    <w:bookmarkEnd w:id="232"/>
    <w:bookmarkEnd w:id="233"/>
    <w:bookmarkEnd w:id="234"/>
    <w:bookmarkEnd w:id="235"/>
    <w:bookmarkEnd w:id="236"/>
    <w:bookmarkEnd w:id="237"/>
    <w:bookmarkEnd w:id="238"/>
    <w:bookmarkEnd w:id="239"/>
    <w:bookmarkEnd w:id="240"/>
    <w:bookmarkEnd w:id="241"/>
    <w:bookmarkEnd w:id="242"/>
    <w:bookmarkEnd w:id="243"/>
    <w:bookmarkEnd w:id="244"/>
    <w:p w14:paraId="7F4FE7DF">
      <w:pPr>
        <w:numPr>
          <w:ilvl w:val="0"/>
          <w:numId w:val="28"/>
        </w:numPr>
        <w:spacing w:before="360" w:after="360"/>
        <w:jc w:val="center"/>
        <w:rPr>
          <w:b/>
          <w:sz w:val="24"/>
          <w:szCs w:val="24"/>
          <w:highlight w:val="none"/>
        </w:rPr>
      </w:pPr>
      <w:bookmarkStart w:id="318" w:name="_Toc274075980"/>
      <w:bookmarkStart w:id="319" w:name="_Toc273451799"/>
      <w:bookmarkStart w:id="320" w:name="_Toc273458613"/>
      <w:bookmarkStart w:id="321" w:name="_Toc273388514"/>
      <w:bookmarkStart w:id="322" w:name="_Toc17390390"/>
      <w:bookmarkStart w:id="323" w:name="_Toc274344115"/>
      <w:bookmarkStart w:id="324" w:name="_Toc276160326"/>
      <w:bookmarkStart w:id="325" w:name="_Toc273388613"/>
      <w:bookmarkStart w:id="326" w:name="_Toc274403515"/>
      <w:bookmarkStart w:id="327" w:name="_Toc5889389"/>
      <w:bookmarkStart w:id="328" w:name="_Toc274343583"/>
      <w:bookmarkStart w:id="329" w:name="_Toc300671216"/>
      <w:bookmarkStart w:id="330" w:name="_Toc288567157"/>
      <w:r>
        <w:rPr>
          <w:rFonts w:hint="eastAsia"/>
          <w:b/>
          <w:sz w:val="24"/>
          <w:szCs w:val="24"/>
          <w:highlight w:val="none"/>
        </w:rPr>
        <w:t>风险和所有权的转移</w:t>
      </w:r>
      <w:bookmarkEnd w:id="318"/>
      <w:bookmarkEnd w:id="319"/>
      <w:bookmarkEnd w:id="320"/>
      <w:bookmarkEnd w:id="321"/>
      <w:bookmarkEnd w:id="322"/>
      <w:bookmarkEnd w:id="323"/>
      <w:bookmarkEnd w:id="324"/>
      <w:bookmarkEnd w:id="325"/>
      <w:bookmarkEnd w:id="326"/>
      <w:bookmarkEnd w:id="327"/>
      <w:bookmarkEnd w:id="328"/>
      <w:bookmarkEnd w:id="329"/>
      <w:bookmarkEnd w:id="330"/>
    </w:p>
    <w:p w14:paraId="2C20283B">
      <w:pPr>
        <w:widowControl/>
        <w:numPr>
          <w:ilvl w:val="0"/>
          <w:numId w:val="50"/>
        </w:numPr>
        <w:tabs>
          <w:tab w:val="left" w:pos="709"/>
        </w:tabs>
        <w:spacing w:line="360" w:lineRule="auto"/>
        <w:ind w:left="619" w:hanging="619" w:hangingChars="295"/>
        <w:jc w:val="left"/>
        <w:rPr>
          <w:highlight w:val="none"/>
        </w:rPr>
      </w:pPr>
      <w:r>
        <w:rPr>
          <w:rFonts w:hint="eastAsia"/>
          <w:highlight w:val="none"/>
        </w:rPr>
        <w:t>除非本合同另有明确规定，卖方在指定交货地点将货物交付给买方前，货物的一切风险（包括但不限于货物在制造、储存和自发货地点至指定交货地点运输及装卸货过程中毁损、灭失的风险）由卖方承担。卖方在指定交货地点将货物交付买方后，货物的毁损及灭失的风险由买方承担。未经买方同意，卖方将货物留置或自行处置，不得视为货物合法、有效地交付买方。未经合法、有效交付，货物的一切风险仍由卖方承担。</w:t>
      </w:r>
    </w:p>
    <w:p w14:paraId="31BC358D">
      <w:pPr>
        <w:widowControl/>
        <w:numPr>
          <w:ilvl w:val="0"/>
          <w:numId w:val="50"/>
        </w:numPr>
        <w:tabs>
          <w:tab w:val="left" w:pos="709"/>
        </w:tabs>
        <w:spacing w:line="360" w:lineRule="auto"/>
        <w:ind w:left="619" w:hanging="619" w:hangingChars="295"/>
        <w:jc w:val="left"/>
        <w:rPr>
          <w:highlight w:val="none"/>
        </w:rPr>
      </w:pPr>
      <w:r>
        <w:rPr>
          <w:rFonts w:hint="eastAsia"/>
          <w:highlight w:val="none"/>
        </w:rPr>
        <w:t>卖方在约定交货地点交货后，货物的所有权转移至买方。如果货物的风险系因卖方违反合同规定、卖方的过错或者其它可归咎于卖方的原因造成的，货物的风险由卖方承担。</w:t>
      </w:r>
    </w:p>
    <w:p w14:paraId="31BBD799">
      <w:pPr>
        <w:numPr>
          <w:ilvl w:val="0"/>
          <w:numId w:val="28"/>
        </w:numPr>
        <w:spacing w:before="360" w:after="360"/>
        <w:jc w:val="center"/>
        <w:rPr>
          <w:b/>
          <w:sz w:val="24"/>
          <w:szCs w:val="24"/>
          <w:highlight w:val="none"/>
        </w:rPr>
      </w:pPr>
      <w:bookmarkStart w:id="331" w:name="_Toc17390391"/>
      <w:bookmarkStart w:id="332" w:name="_Toc5889390"/>
      <w:bookmarkStart w:id="333" w:name="_Toc276160327"/>
      <w:bookmarkStart w:id="334" w:name="_Toc300671217"/>
      <w:bookmarkStart w:id="335" w:name="_Toc288567158"/>
      <w:r>
        <w:rPr>
          <w:rFonts w:hint="eastAsia"/>
          <w:b/>
          <w:sz w:val="24"/>
          <w:szCs w:val="24"/>
          <w:highlight w:val="none"/>
        </w:rPr>
        <w:t>质量保证</w:t>
      </w:r>
      <w:bookmarkEnd w:id="331"/>
      <w:bookmarkEnd w:id="332"/>
      <w:bookmarkEnd w:id="333"/>
      <w:bookmarkEnd w:id="334"/>
      <w:bookmarkEnd w:id="335"/>
    </w:p>
    <w:p w14:paraId="1E4FD51F">
      <w:pPr>
        <w:numPr>
          <w:ilvl w:val="0"/>
          <w:numId w:val="51"/>
        </w:numPr>
        <w:tabs>
          <w:tab w:val="left" w:pos="720"/>
          <w:tab w:val="clear" w:pos="1468"/>
        </w:tabs>
        <w:spacing w:line="360" w:lineRule="auto"/>
        <w:ind w:left="720" w:hanging="720"/>
        <w:rPr>
          <w:highlight w:val="none"/>
        </w:rPr>
      </w:pPr>
      <w:r>
        <w:rPr>
          <w:rFonts w:hint="eastAsia" w:cs="宋体"/>
          <w:highlight w:val="none"/>
        </w:rPr>
        <w:t>卖方特此保证：</w:t>
      </w:r>
    </w:p>
    <w:p w14:paraId="6A304EB6">
      <w:pPr>
        <w:widowControl/>
        <w:numPr>
          <w:ilvl w:val="1"/>
          <w:numId w:val="51"/>
        </w:numPr>
        <w:tabs>
          <w:tab w:val="left" w:pos="960"/>
          <w:tab w:val="clear" w:pos="840"/>
        </w:tabs>
        <w:autoSpaceDE w:val="0"/>
        <w:autoSpaceDN w:val="0"/>
        <w:adjustRightInd w:val="0"/>
        <w:spacing w:line="360" w:lineRule="auto"/>
        <w:ind w:left="1050" w:leftChars="300" w:hangingChars="200"/>
        <w:jc w:val="left"/>
        <w:rPr>
          <w:highlight w:val="none"/>
        </w:rPr>
      </w:pPr>
      <w:r>
        <w:rPr>
          <w:rFonts w:hint="eastAsia" w:cs="宋体"/>
          <w:highlight w:val="none"/>
        </w:rPr>
        <w:t>货物符合本合同规定的技术、规范、质量、设计、标准、规格、材料、计算、参数、性能值、数据等要求，性能稳定、可靠，达到承诺的性能保证值，不存在任何缺陷；</w:t>
      </w:r>
    </w:p>
    <w:p w14:paraId="1C6CAE19">
      <w:pPr>
        <w:widowControl/>
        <w:numPr>
          <w:ilvl w:val="1"/>
          <w:numId w:val="51"/>
        </w:numPr>
        <w:tabs>
          <w:tab w:val="left" w:pos="960"/>
          <w:tab w:val="clear" w:pos="840"/>
        </w:tabs>
        <w:autoSpaceDE w:val="0"/>
        <w:autoSpaceDN w:val="0"/>
        <w:adjustRightInd w:val="0"/>
        <w:spacing w:line="360" w:lineRule="auto"/>
        <w:ind w:left="1050" w:leftChars="300" w:hangingChars="200"/>
        <w:jc w:val="left"/>
        <w:rPr>
          <w:highlight w:val="none"/>
        </w:rPr>
      </w:pPr>
      <w:r>
        <w:rPr>
          <w:rFonts w:hint="eastAsia" w:cs="宋体"/>
          <w:highlight w:val="none"/>
        </w:rPr>
        <w:t>货物采用先进技术制造，具备优良的制造工艺和水平，其设计、制造不存在任何缺陷；</w:t>
      </w:r>
    </w:p>
    <w:p w14:paraId="679771CC">
      <w:pPr>
        <w:widowControl/>
        <w:numPr>
          <w:ilvl w:val="1"/>
          <w:numId w:val="51"/>
        </w:numPr>
        <w:tabs>
          <w:tab w:val="left" w:pos="960"/>
          <w:tab w:val="clear" w:pos="840"/>
        </w:tabs>
        <w:autoSpaceDE w:val="0"/>
        <w:autoSpaceDN w:val="0"/>
        <w:adjustRightInd w:val="0"/>
        <w:spacing w:line="360" w:lineRule="auto"/>
        <w:ind w:left="1050" w:leftChars="300" w:hangingChars="200"/>
        <w:jc w:val="left"/>
        <w:rPr>
          <w:highlight w:val="none"/>
        </w:rPr>
      </w:pPr>
      <w:r>
        <w:rPr>
          <w:rFonts w:hint="eastAsia" w:cs="宋体"/>
          <w:highlight w:val="none"/>
        </w:rPr>
        <w:t>货物是崭新、从未使用过的货物，其材质不存在任何缺陷。</w:t>
      </w:r>
    </w:p>
    <w:p w14:paraId="516BA885">
      <w:pPr>
        <w:numPr>
          <w:ilvl w:val="0"/>
          <w:numId w:val="51"/>
        </w:numPr>
        <w:tabs>
          <w:tab w:val="left" w:pos="720"/>
          <w:tab w:val="clear" w:pos="1468"/>
        </w:tabs>
        <w:spacing w:line="360" w:lineRule="auto"/>
        <w:ind w:left="720" w:hanging="720"/>
        <w:rPr>
          <w:highlight w:val="none"/>
        </w:rPr>
      </w:pPr>
      <w:r>
        <w:rPr>
          <w:rFonts w:hint="eastAsia" w:cs="宋体"/>
          <w:highlight w:val="none"/>
        </w:rPr>
        <w:t>卖方对货物的质保责任</w:t>
      </w:r>
    </w:p>
    <w:p w14:paraId="1DCF1847">
      <w:pPr>
        <w:widowControl/>
        <w:numPr>
          <w:ilvl w:val="1"/>
          <w:numId w:val="52"/>
        </w:numPr>
        <w:spacing w:line="360" w:lineRule="auto"/>
        <w:ind w:left="1200" w:hanging="425"/>
        <w:jc w:val="left"/>
        <w:rPr>
          <w:highlight w:val="none"/>
        </w:rPr>
      </w:pPr>
      <w:r>
        <w:rPr>
          <w:rFonts w:hint="eastAsia" w:cs="宋体"/>
          <w:highlight w:val="none"/>
        </w:rPr>
        <w:t>质保期内，如发现货物违反本条项下任何保证或存在任何缺陷，买方应及时书面通知卖方，卖方应：</w:t>
      </w:r>
    </w:p>
    <w:p w14:paraId="45AEA1FA">
      <w:pPr>
        <w:widowControl/>
        <w:numPr>
          <w:ilvl w:val="0"/>
          <w:numId w:val="53"/>
        </w:numPr>
        <w:tabs>
          <w:tab w:val="clear" w:pos="780"/>
        </w:tabs>
        <w:autoSpaceDE w:val="0"/>
        <w:autoSpaceDN w:val="0"/>
        <w:adjustRightInd w:val="0"/>
        <w:spacing w:line="360" w:lineRule="auto"/>
        <w:ind w:left="1701" w:hanging="501"/>
        <w:jc w:val="left"/>
        <w:textAlignment w:val="bottom"/>
        <w:rPr>
          <w:highlight w:val="none"/>
        </w:rPr>
      </w:pPr>
      <w:r>
        <w:rPr>
          <w:rFonts w:hint="eastAsia" w:cs="宋体"/>
          <w:highlight w:val="none"/>
        </w:rPr>
        <w:t>在一日内提出合理的紧急处理建议；</w:t>
      </w:r>
    </w:p>
    <w:p w14:paraId="128CB889">
      <w:pPr>
        <w:widowControl/>
        <w:numPr>
          <w:ilvl w:val="0"/>
          <w:numId w:val="53"/>
        </w:numPr>
        <w:tabs>
          <w:tab w:val="clear" w:pos="780"/>
        </w:tabs>
        <w:autoSpaceDE w:val="0"/>
        <w:autoSpaceDN w:val="0"/>
        <w:adjustRightInd w:val="0"/>
        <w:spacing w:line="360" w:lineRule="auto"/>
        <w:ind w:left="1701" w:hanging="501"/>
        <w:jc w:val="left"/>
        <w:textAlignment w:val="bottom"/>
        <w:rPr>
          <w:highlight w:val="none"/>
        </w:rPr>
      </w:pPr>
      <w:r>
        <w:rPr>
          <w:rFonts w:hint="eastAsia" w:cs="宋体"/>
          <w:highlight w:val="none"/>
        </w:rPr>
        <w:t>在二日内派遣合格的技术人员到现场进行免费检查；</w:t>
      </w:r>
    </w:p>
    <w:p w14:paraId="5C616751">
      <w:pPr>
        <w:widowControl/>
        <w:numPr>
          <w:ilvl w:val="0"/>
          <w:numId w:val="53"/>
        </w:numPr>
        <w:tabs>
          <w:tab w:val="clear" w:pos="780"/>
        </w:tabs>
        <w:autoSpaceDE w:val="0"/>
        <w:autoSpaceDN w:val="0"/>
        <w:adjustRightInd w:val="0"/>
        <w:spacing w:line="360" w:lineRule="auto"/>
        <w:ind w:left="1701" w:hanging="501"/>
        <w:jc w:val="left"/>
        <w:textAlignment w:val="bottom"/>
        <w:rPr>
          <w:highlight w:val="none"/>
        </w:rPr>
      </w:pPr>
      <w:r>
        <w:rPr>
          <w:rFonts w:hint="eastAsia" w:cs="宋体"/>
          <w:highlight w:val="none"/>
        </w:rPr>
        <w:t>在三日内采取合理的临时紧急措施防止缺陷或损害扩大；</w:t>
      </w:r>
    </w:p>
    <w:p w14:paraId="79285080">
      <w:pPr>
        <w:widowControl/>
        <w:numPr>
          <w:ilvl w:val="0"/>
          <w:numId w:val="53"/>
        </w:numPr>
        <w:tabs>
          <w:tab w:val="clear" w:pos="780"/>
        </w:tabs>
        <w:autoSpaceDE w:val="0"/>
        <w:autoSpaceDN w:val="0"/>
        <w:adjustRightInd w:val="0"/>
        <w:spacing w:line="360" w:lineRule="auto"/>
        <w:ind w:left="1701" w:hanging="501"/>
        <w:jc w:val="left"/>
        <w:textAlignment w:val="bottom"/>
        <w:rPr>
          <w:highlight w:val="none"/>
        </w:rPr>
      </w:pPr>
      <w:r>
        <w:rPr>
          <w:rFonts w:hint="eastAsia" w:cs="宋体"/>
          <w:highlight w:val="none"/>
        </w:rPr>
        <w:t>对有缺陷的部分或全部货物，根据买方要求，采用符合本合同规定的规格、质量、性能要求的新设备、材料、零部件等无偿进行修复、更换。</w:t>
      </w:r>
    </w:p>
    <w:p w14:paraId="138B1B33">
      <w:pPr>
        <w:widowControl/>
        <w:numPr>
          <w:ilvl w:val="1"/>
          <w:numId w:val="52"/>
        </w:numPr>
        <w:spacing w:line="360" w:lineRule="auto"/>
        <w:ind w:left="1200" w:hanging="425"/>
        <w:jc w:val="left"/>
        <w:rPr>
          <w:highlight w:val="none"/>
        </w:rPr>
      </w:pPr>
      <w:r>
        <w:rPr>
          <w:rFonts w:hint="eastAsia" w:cs="宋体"/>
          <w:highlight w:val="none"/>
        </w:rPr>
        <w:t>对于任何在现场进行的修复或更换，卖方应在收到货物缺陷通知后十五日内完成。如货物缺陷无法在现场修复，经买方同意后，卖方应自行承担费用将相关货物或者货物部件运输到现场以外的地点修复，卖方应承担该等货物或者货物部件在运输和修理过程中的风险</w:t>
      </w:r>
      <w:bookmarkStart w:id="336" w:name="_DV_M436"/>
      <w:bookmarkEnd w:id="336"/>
      <w:r>
        <w:rPr>
          <w:rFonts w:hint="eastAsia" w:cs="宋体"/>
          <w:highlight w:val="none"/>
        </w:rPr>
        <w:t>。如相关货物或者货物部件的制造或修复周期较长，买卖双方应协商确定修复或更换期限；如双方无法就期限达成一致，买方有权自行决定合理的修复或更换期限。</w:t>
      </w:r>
    </w:p>
    <w:p w14:paraId="50D7CC08">
      <w:pPr>
        <w:widowControl/>
        <w:numPr>
          <w:ilvl w:val="1"/>
          <w:numId w:val="52"/>
        </w:numPr>
        <w:spacing w:line="360" w:lineRule="auto"/>
        <w:ind w:left="1200" w:hanging="425"/>
        <w:jc w:val="left"/>
        <w:rPr>
          <w:highlight w:val="none"/>
        </w:rPr>
      </w:pPr>
      <w:r>
        <w:rPr>
          <w:rFonts w:hint="eastAsia" w:cs="宋体"/>
          <w:highlight w:val="none"/>
        </w:rPr>
        <w:t>如</w:t>
      </w:r>
      <w:r>
        <w:rPr>
          <w:highlight w:val="none"/>
        </w:rPr>
        <w:t>(i)</w:t>
      </w:r>
      <w:r>
        <w:rPr>
          <w:rFonts w:hint="eastAsia" w:cs="宋体"/>
          <w:highlight w:val="none"/>
        </w:rPr>
        <w:t>卖方收到货物缺陷通知后三日内未进行任何回复；</w:t>
      </w:r>
      <w:r>
        <w:rPr>
          <w:highlight w:val="none"/>
        </w:rPr>
        <w:t>(ii)</w:t>
      </w:r>
      <w:r>
        <w:rPr>
          <w:rFonts w:hint="eastAsia" w:cs="宋体"/>
          <w:highlight w:val="none"/>
        </w:rPr>
        <w:t>卖方未在上述规定的时间内完成修复或更换；或</w:t>
      </w:r>
      <w:r>
        <w:rPr>
          <w:highlight w:val="none"/>
        </w:rPr>
        <w:t>(iii)</w:t>
      </w:r>
      <w:r>
        <w:rPr>
          <w:rFonts w:hint="eastAsia" w:cs="宋体"/>
          <w:highlight w:val="none"/>
        </w:rPr>
        <w:t>经修复或更换的货物仍存在缺陷或不符合合同规定，买方有权自行决定采取以下措施：</w:t>
      </w:r>
    </w:p>
    <w:p w14:paraId="2197A011">
      <w:pPr>
        <w:widowControl/>
        <w:numPr>
          <w:ilvl w:val="0"/>
          <w:numId w:val="54"/>
        </w:numPr>
        <w:tabs>
          <w:tab w:val="left" w:pos="1680"/>
          <w:tab w:val="clear" w:pos="780"/>
        </w:tabs>
        <w:autoSpaceDE w:val="0"/>
        <w:autoSpaceDN w:val="0"/>
        <w:adjustRightInd w:val="0"/>
        <w:spacing w:line="360" w:lineRule="auto"/>
        <w:ind w:left="1680" w:hanging="480"/>
        <w:jc w:val="left"/>
        <w:textAlignment w:val="bottom"/>
        <w:rPr>
          <w:highlight w:val="none"/>
        </w:rPr>
      </w:pPr>
      <w:r>
        <w:rPr>
          <w:rFonts w:hint="eastAsia" w:cs="宋体"/>
          <w:highlight w:val="none"/>
        </w:rPr>
        <w:t>自行（包括聘请第三方）消除货物缺陷，但买方对此不承担任何责任。卖方应承担因此发生的全部费用，包括但不限于向任何第三方支付的费用、设备费用、材料费用、零部件费用等。</w:t>
      </w:r>
    </w:p>
    <w:p w14:paraId="60A1BDAA">
      <w:pPr>
        <w:widowControl/>
        <w:numPr>
          <w:ilvl w:val="0"/>
          <w:numId w:val="54"/>
        </w:numPr>
        <w:tabs>
          <w:tab w:val="left" w:pos="1680"/>
          <w:tab w:val="clear" w:pos="780"/>
        </w:tabs>
        <w:autoSpaceDE w:val="0"/>
        <w:autoSpaceDN w:val="0"/>
        <w:adjustRightInd w:val="0"/>
        <w:spacing w:line="360" w:lineRule="auto"/>
        <w:ind w:left="1680" w:hanging="480"/>
        <w:jc w:val="left"/>
        <w:textAlignment w:val="bottom"/>
        <w:rPr>
          <w:highlight w:val="none"/>
        </w:rPr>
      </w:pPr>
      <w:bookmarkStart w:id="337" w:name="_DV_C746"/>
      <w:r>
        <w:rPr>
          <w:rFonts w:hint="eastAsia" w:cs="宋体"/>
          <w:highlight w:val="none"/>
        </w:rPr>
        <w:t>直接扣减合同价款或要求卖方退还部分合同价款。</w:t>
      </w:r>
      <w:bookmarkEnd w:id="337"/>
    </w:p>
    <w:p w14:paraId="2D41C5F7">
      <w:pPr>
        <w:widowControl/>
        <w:numPr>
          <w:ilvl w:val="0"/>
          <w:numId w:val="54"/>
        </w:numPr>
        <w:tabs>
          <w:tab w:val="left" w:pos="1680"/>
          <w:tab w:val="clear" w:pos="780"/>
        </w:tabs>
        <w:autoSpaceDE w:val="0"/>
        <w:autoSpaceDN w:val="0"/>
        <w:adjustRightInd w:val="0"/>
        <w:spacing w:line="360" w:lineRule="auto"/>
        <w:ind w:left="1680" w:hanging="480"/>
        <w:jc w:val="left"/>
        <w:textAlignment w:val="bottom"/>
        <w:rPr>
          <w:highlight w:val="none"/>
        </w:rPr>
      </w:pPr>
      <w:r>
        <w:rPr>
          <w:rFonts w:hint="eastAsia" w:cs="宋体"/>
          <w:highlight w:val="none"/>
        </w:rPr>
        <w:t>要求退货，卖方应退还买方已经支付的全部合同价款，并赔偿买方因此遭受的全部损失。</w:t>
      </w:r>
    </w:p>
    <w:p w14:paraId="3ABCA636">
      <w:pPr>
        <w:widowControl/>
        <w:numPr>
          <w:ilvl w:val="1"/>
          <w:numId w:val="52"/>
        </w:numPr>
        <w:spacing w:line="360" w:lineRule="auto"/>
        <w:ind w:left="1200" w:hanging="425"/>
        <w:jc w:val="left"/>
        <w:rPr>
          <w:highlight w:val="none"/>
        </w:rPr>
      </w:pPr>
      <w:r>
        <w:rPr>
          <w:rFonts w:hint="eastAsia" w:cs="宋体"/>
          <w:highlight w:val="none"/>
        </w:rPr>
        <w:t>修复、更换后的货物应根据本合同的标准进行检测，并符合本合同规定的规范、技术、质量和性能等要求。</w:t>
      </w:r>
    </w:p>
    <w:p w14:paraId="3822A66F">
      <w:pPr>
        <w:widowControl/>
        <w:numPr>
          <w:ilvl w:val="1"/>
          <w:numId w:val="52"/>
        </w:numPr>
        <w:spacing w:line="360" w:lineRule="auto"/>
        <w:ind w:left="1200" w:hanging="425"/>
        <w:jc w:val="left"/>
        <w:rPr>
          <w:highlight w:val="none"/>
        </w:rPr>
      </w:pPr>
      <w:r>
        <w:rPr>
          <w:rFonts w:hint="eastAsia" w:cs="宋体"/>
          <w:highlight w:val="none"/>
        </w:rPr>
        <w:t>经修复或更换的货物的设备、零部件或材料的质保期应从修复或更换完成之日起重新计算。质保期内，如因货物缺陷造成任何设备停机，该等设备的质保期期应相应延长。</w:t>
      </w:r>
    </w:p>
    <w:p w14:paraId="59FD0041">
      <w:pPr>
        <w:widowControl/>
        <w:numPr>
          <w:ilvl w:val="1"/>
          <w:numId w:val="52"/>
        </w:numPr>
        <w:spacing w:line="360" w:lineRule="auto"/>
        <w:ind w:left="1200" w:hanging="425"/>
        <w:jc w:val="left"/>
        <w:rPr>
          <w:highlight w:val="none"/>
        </w:rPr>
      </w:pPr>
      <w:r>
        <w:rPr>
          <w:rFonts w:hint="eastAsia" w:cs="宋体"/>
          <w:highlight w:val="none"/>
        </w:rPr>
        <w:t>如买方在质保期届满后三十日内发出货物缺陷通知，应视为在质保期内发出的有效通知。</w:t>
      </w:r>
    </w:p>
    <w:p w14:paraId="131DB6BA">
      <w:pPr>
        <w:widowControl/>
        <w:numPr>
          <w:ilvl w:val="1"/>
          <w:numId w:val="52"/>
        </w:numPr>
        <w:spacing w:line="360" w:lineRule="auto"/>
        <w:ind w:left="1200" w:hanging="425"/>
        <w:jc w:val="left"/>
        <w:rPr>
          <w:highlight w:val="none"/>
        </w:rPr>
      </w:pPr>
      <w:r>
        <w:rPr>
          <w:rFonts w:hint="eastAsia" w:cs="宋体"/>
          <w:highlight w:val="none"/>
        </w:rPr>
        <w:t>卖方应承担买方因货物缺陷进行修复、更换发生的一切费用和损失，包括但不限于人员、设备、材料、零部件费用、运输费、保险费、检测费、仓储费、装卸费、修理费、税费等。</w:t>
      </w:r>
    </w:p>
    <w:p w14:paraId="30FA2216">
      <w:pPr>
        <w:numPr>
          <w:ilvl w:val="0"/>
          <w:numId w:val="51"/>
        </w:numPr>
        <w:tabs>
          <w:tab w:val="left" w:pos="720"/>
          <w:tab w:val="clear" w:pos="1468"/>
        </w:tabs>
        <w:spacing w:line="360" w:lineRule="auto"/>
        <w:ind w:left="720" w:hanging="720"/>
        <w:rPr>
          <w:highlight w:val="none"/>
        </w:rPr>
      </w:pPr>
      <w:r>
        <w:rPr>
          <w:rFonts w:hint="eastAsia" w:cs="宋体"/>
          <w:highlight w:val="none"/>
        </w:rPr>
        <w:t>卖方保证，全部货物资料和技术资料清晰、完整、准确，能够满足货物的设计、检验、安装、现场调试、性能测试、运行和维修的要求，符合本合同的规定。如货物资料和技术资料欠完整、正确、清晰，或不能满足货物的设计、安装、现场调试、性能测试、运行和维修的要求，或不符合本合同规定，或存在其它缺陷，卖方应当立即纠正该等缺陷，提供符合要求的货物资料和技术资料，并赔偿买方因此遭受的任何损失。</w:t>
      </w:r>
    </w:p>
    <w:p w14:paraId="6FAFC948">
      <w:pPr>
        <w:numPr>
          <w:ilvl w:val="0"/>
          <w:numId w:val="51"/>
        </w:numPr>
        <w:tabs>
          <w:tab w:val="left" w:pos="720"/>
          <w:tab w:val="clear" w:pos="1468"/>
        </w:tabs>
        <w:spacing w:line="360" w:lineRule="auto"/>
        <w:ind w:left="720" w:hanging="720"/>
        <w:rPr>
          <w:highlight w:val="none"/>
        </w:rPr>
      </w:pPr>
      <w:r>
        <w:rPr>
          <w:rFonts w:hint="eastAsia" w:cs="宋体"/>
          <w:highlight w:val="none"/>
        </w:rPr>
        <w:t>质保期结束后三十日内，买方应向卖方签发该批货物的最终接受证书。</w:t>
      </w:r>
    </w:p>
    <w:p w14:paraId="7CEDE457">
      <w:pPr>
        <w:numPr>
          <w:ilvl w:val="0"/>
          <w:numId w:val="28"/>
        </w:numPr>
        <w:spacing w:before="360" w:after="360"/>
        <w:jc w:val="center"/>
        <w:rPr>
          <w:b/>
          <w:sz w:val="24"/>
          <w:szCs w:val="24"/>
          <w:highlight w:val="none"/>
        </w:rPr>
      </w:pPr>
      <w:bookmarkStart w:id="338" w:name="_Toc5889391"/>
      <w:bookmarkStart w:id="339" w:name="_Toc300671219"/>
      <w:bookmarkStart w:id="340" w:name="_Toc296959338"/>
      <w:bookmarkStart w:id="341" w:name="_Toc278889804"/>
      <w:bookmarkStart w:id="342" w:name="_Toc296955876"/>
      <w:bookmarkStart w:id="343" w:name="_Toc291435935"/>
      <w:bookmarkStart w:id="344" w:name="_Toc17390392"/>
      <w:bookmarkStart w:id="345" w:name="_Toc291435868"/>
      <w:r>
        <w:rPr>
          <w:rFonts w:hint="eastAsia"/>
          <w:b/>
          <w:sz w:val="24"/>
          <w:szCs w:val="24"/>
          <w:highlight w:val="none"/>
        </w:rPr>
        <w:t>违约责任</w:t>
      </w:r>
      <w:bookmarkEnd w:id="338"/>
      <w:bookmarkEnd w:id="339"/>
      <w:bookmarkEnd w:id="340"/>
      <w:bookmarkEnd w:id="341"/>
      <w:bookmarkEnd w:id="342"/>
      <w:bookmarkEnd w:id="343"/>
      <w:bookmarkEnd w:id="344"/>
      <w:bookmarkEnd w:id="345"/>
    </w:p>
    <w:p w14:paraId="527AF59F">
      <w:pPr>
        <w:widowControl/>
        <w:numPr>
          <w:ilvl w:val="0"/>
          <w:numId w:val="55"/>
        </w:numPr>
        <w:tabs>
          <w:tab w:val="left" w:pos="709"/>
        </w:tabs>
        <w:spacing w:line="360" w:lineRule="auto"/>
        <w:ind w:left="619" w:hanging="619" w:hangingChars="295"/>
        <w:jc w:val="left"/>
        <w:rPr>
          <w:highlight w:val="none"/>
        </w:rPr>
      </w:pPr>
      <w:r>
        <w:rPr>
          <w:rFonts w:hint="eastAsia" w:cs="宋体"/>
          <w:highlight w:val="none"/>
        </w:rPr>
        <w:t>因卖方违约而解除本合同时，如卖方支付的违约金无法补偿买方因此遭受的全部损失，卖方应向买方另行支付赔偿金。本合同项下的损失包括生产延期的损失、生产暂停的损失、工期延误的损失、买方可获得的商业利润、因为卖方违约导致买方向第三方支付的违约金和赔偿金、买方因第三方索赔而发生的全部费用（包括但不限于律师费用、诉讼费用、鉴定费用和赔偿金等）。</w:t>
      </w:r>
    </w:p>
    <w:p w14:paraId="75EBA5B1">
      <w:pPr>
        <w:widowControl/>
        <w:numPr>
          <w:ilvl w:val="0"/>
          <w:numId w:val="55"/>
        </w:numPr>
        <w:tabs>
          <w:tab w:val="left" w:pos="709"/>
        </w:tabs>
        <w:spacing w:line="360" w:lineRule="auto"/>
        <w:ind w:left="619" w:hanging="619" w:hangingChars="295"/>
        <w:jc w:val="left"/>
        <w:rPr>
          <w:highlight w:val="none"/>
        </w:rPr>
      </w:pPr>
      <w:r>
        <w:rPr>
          <w:rFonts w:hint="eastAsia" w:cs="宋体"/>
          <w:highlight w:val="none"/>
        </w:rPr>
        <w:t>卖方根据本合同规定应承担违约金或赔偿责任的，买方有权从合同价款余额中直接扣除或凭履约保函要求银行支付该等违约金或赔偿款项。</w:t>
      </w:r>
    </w:p>
    <w:p w14:paraId="452BC034">
      <w:pPr>
        <w:numPr>
          <w:ilvl w:val="0"/>
          <w:numId w:val="28"/>
        </w:numPr>
        <w:spacing w:before="360" w:after="360"/>
        <w:jc w:val="center"/>
        <w:rPr>
          <w:b/>
          <w:sz w:val="24"/>
          <w:szCs w:val="24"/>
          <w:highlight w:val="none"/>
        </w:rPr>
      </w:pPr>
      <w:bookmarkStart w:id="346" w:name="_Toc296959339"/>
      <w:bookmarkStart w:id="347" w:name="_Toc5889392"/>
      <w:bookmarkStart w:id="348" w:name="_Toc291435869"/>
      <w:bookmarkStart w:id="349" w:name="_Toc278889805"/>
      <w:bookmarkStart w:id="350" w:name="_Toc296955877"/>
      <w:bookmarkStart w:id="351" w:name="_Toc300671220"/>
      <w:bookmarkStart w:id="352" w:name="_Toc17390393"/>
      <w:bookmarkStart w:id="353" w:name="_Toc291435936"/>
      <w:r>
        <w:rPr>
          <w:rFonts w:hint="eastAsia"/>
          <w:b/>
          <w:sz w:val="24"/>
          <w:szCs w:val="24"/>
          <w:highlight w:val="none"/>
        </w:rPr>
        <w:t>质量、健康、安全和环保</w:t>
      </w:r>
      <w:bookmarkEnd w:id="346"/>
      <w:bookmarkEnd w:id="347"/>
      <w:bookmarkEnd w:id="348"/>
      <w:bookmarkEnd w:id="349"/>
      <w:bookmarkEnd w:id="350"/>
      <w:bookmarkEnd w:id="351"/>
      <w:bookmarkEnd w:id="352"/>
      <w:bookmarkEnd w:id="353"/>
    </w:p>
    <w:p w14:paraId="3401AD09">
      <w:pPr>
        <w:widowControl/>
        <w:numPr>
          <w:ilvl w:val="0"/>
          <w:numId w:val="56"/>
        </w:numPr>
        <w:tabs>
          <w:tab w:val="left" w:pos="709"/>
        </w:tabs>
        <w:spacing w:line="360" w:lineRule="auto"/>
        <w:ind w:left="619" w:hanging="619" w:hangingChars="295"/>
        <w:jc w:val="left"/>
        <w:rPr>
          <w:highlight w:val="none"/>
        </w:rPr>
      </w:pPr>
      <w:r>
        <w:rPr>
          <w:rFonts w:hint="eastAsia" w:cs="宋体"/>
          <w:highlight w:val="none"/>
        </w:rPr>
        <w:t>卖方应确保货物制造使用的材料和制作工艺符合国家标准，保证货物制造现场符合法律法规的要求。</w:t>
      </w:r>
    </w:p>
    <w:p w14:paraId="70079C2F">
      <w:pPr>
        <w:widowControl/>
        <w:numPr>
          <w:ilvl w:val="0"/>
          <w:numId w:val="56"/>
        </w:numPr>
        <w:tabs>
          <w:tab w:val="left" w:pos="709"/>
        </w:tabs>
        <w:spacing w:line="360" w:lineRule="auto"/>
        <w:ind w:left="619" w:hanging="619" w:hangingChars="295"/>
        <w:jc w:val="left"/>
        <w:rPr>
          <w:highlight w:val="none"/>
        </w:rPr>
      </w:pPr>
      <w:r>
        <w:rPr>
          <w:rFonts w:hint="eastAsia" w:cs="宋体"/>
          <w:highlight w:val="none"/>
        </w:rPr>
        <w:t>卖方向买方提供的货物必须符合中国有关质量、健康、安全和环保法律法规的规定。对于根据有关法律法规必须持证生产或经营的物资，卖方在生产或经营时应持有全套有效的生产许可证或经营许可证。</w:t>
      </w:r>
    </w:p>
    <w:p w14:paraId="541A3269">
      <w:pPr>
        <w:widowControl/>
        <w:numPr>
          <w:ilvl w:val="0"/>
          <w:numId w:val="56"/>
        </w:numPr>
        <w:tabs>
          <w:tab w:val="left" w:pos="709"/>
        </w:tabs>
        <w:spacing w:line="360" w:lineRule="auto"/>
        <w:ind w:left="619" w:hanging="619" w:hangingChars="295"/>
        <w:jc w:val="left"/>
        <w:rPr>
          <w:highlight w:val="none"/>
        </w:rPr>
      </w:pPr>
      <w:r>
        <w:rPr>
          <w:rFonts w:hint="eastAsia" w:cs="宋体"/>
          <w:highlight w:val="none"/>
        </w:rPr>
        <w:t>卖方</w:t>
      </w:r>
      <w:bookmarkStart w:id="354" w:name="_DV_C793"/>
      <w:r>
        <w:rPr>
          <w:rFonts w:hint="eastAsia" w:cs="宋体"/>
          <w:highlight w:val="none"/>
        </w:rPr>
        <w:t>指派的服务人员不得以现场环境为由拒绝到现场提供技术服务，卖方指派的服务</w:t>
      </w:r>
      <w:bookmarkEnd w:id="354"/>
      <w:r>
        <w:rPr>
          <w:rFonts w:hint="eastAsia" w:cs="宋体"/>
          <w:highlight w:val="none"/>
        </w:rPr>
        <w:t>人员在买方现场提供技术服务时，应遵守买方现场的健康、安全、环境管理规定，服从买方现场管理人员的指挥。</w:t>
      </w:r>
    </w:p>
    <w:p w14:paraId="70ACA313">
      <w:pPr>
        <w:widowControl/>
        <w:numPr>
          <w:ilvl w:val="0"/>
          <w:numId w:val="56"/>
        </w:numPr>
        <w:tabs>
          <w:tab w:val="left" w:pos="709"/>
          <w:tab w:val="left" w:pos="900"/>
          <w:tab w:val="left" w:pos="1080"/>
        </w:tabs>
        <w:spacing w:line="360" w:lineRule="auto"/>
        <w:ind w:left="619" w:hanging="619" w:hangingChars="295"/>
        <w:jc w:val="left"/>
        <w:rPr>
          <w:highlight w:val="none"/>
        </w:rPr>
      </w:pPr>
      <w:r>
        <w:rPr>
          <w:rFonts w:hint="eastAsia" w:cs="宋体"/>
          <w:highlight w:val="none"/>
        </w:rPr>
        <w:t>卖方用于货物的包装材料应是符合环保要求的包装材料。</w:t>
      </w:r>
    </w:p>
    <w:p w14:paraId="009CE0F5">
      <w:pPr>
        <w:widowControl/>
        <w:numPr>
          <w:ilvl w:val="0"/>
          <w:numId w:val="56"/>
        </w:numPr>
        <w:tabs>
          <w:tab w:val="left" w:pos="360"/>
          <w:tab w:val="left" w:pos="709"/>
        </w:tabs>
        <w:spacing w:line="360" w:lineRule="auto"/>
        <w:ind w:left="619" w:hanging="619" w:hangingChars="295"/>
        <w:jc w:val="left"/>
        <w:rPr>
          <w:highlight w:val="none"/>
        </w:rPr>
      </w:pPr>
      <w:r>
        <w:rPr>
          <w:rFonts w:hint="eastAsia" w:cs="宋体"/>
          <w:highlight w:val="none"/>
        </w:rPr>
        <w:t>卖方负责货物运输时应采取有效措施，确保不对沿途环境和买方的厂区、现场或其它场所造成不良影响。因货物运输对沿途环境和买方厂区、现场或其它场所造成不良影响而导致的经济损失和法律责任，由卖方承担。</w:t>
      </w:r>
    </w:p>
    <w:p w14:paraId="28F33C98">
      <w:pPr>
        <w:numPr>
          <w:ilvl w:val="0"/>
          <w:numId w:val="28"/>
        </w:numPr>
        <w:spacing w:before="360" w:after="360"/>
        <w:jc w:val="center"/>
        <w:rPr>
          <w:b/>
          <w:sz w:val="24"/>
          <w:szCs w:val="24"/>
          <w:highlight w:val="none"/>
        </w:rPr>
      </w:pPr>
      <w:bookmarkStart w:id="355" w:name="_Toc296804734"/>
      <w:bookmarkEnd w:id="355"/>
      <w:bookmarkStart w:id="356" w:name="_DV_M472"/>
      <w:bookmarkEnd w:id="356"/>
      <w:bookmarkStart w:id="357" w:name="_Toc274344120"/>
      <w:bookmarkStart w:id="358" w:name="_Toc291435937"/>
      <w:bookmarkStart w:id="359" w:name="_Toc274343588"/>
      <w:bookmarkStart w:id="360" w:name="_Toc273388625"/>
      <w:bookmarkStart w:id="361" w:name="_Toc274754054"/>
      <w:bookmarkStart w:id="362" w:name="_Toc296955879"/>
      <w:bookmarkStart w:id="363" w:name="_Toc291435870"/>
      <w:bookmarkStart w:id="364" w:name="_Toc274075991"/>
      <w:bookmarkStart w:id="365" w:name="_Toc296959341"/>
      <w:bookmarkStart w:id="366" w:name="_Toc273451810"/>
      <w:bookmarkStart w:id="367" w:name="_Toc274669185"/>
      <w:bookmarkStart w:id="368" w:name="_Toc274403519"/>
      <w:bookmarkStart w:id="369" w:name="_Toc273458624"/>
      <w:bookmarkStart w:id="370" w:name="_Toc5889393"/>
      <w:bookmarkStart w:id="371" w:name="_Toc300671221"/>
      <w:bookmarkStart w:id="372" w:name="_Toc274668244"/>
      <w:bookmarkStart w:id="373" w:name="_Toc17390394"/>
      <w:bookmarkStart w:id="374" w:name="_Toc278889807"/>
      <w:bookmarkStart w:id="375" w:name="_Toc273388526"/>
      <w:r>
        <w:rPr>
          <w:rFonts w:hint="eastAsia"/>
          <w:b/>
          <w:sz w:val="24"/>
          <w:szCs w:val="24"/>
          <w:highlight w:val="none"/>
        </w:rPr>
        <w:t>转让</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1764A12F">
      <w:pPr>
        <w:widowControl/>
        <w:numPr>
          <w:ilvl w:val="0"/>
          <w:numId w:val="57"/>
        </w:numPr>
        <w:tabs>
          <w:tab w:val="left" w:pos="709"/>
        </w:tabs>
        <w:spacing w:line="360" w:lineRule="auto"/>
        <w:ind w:left="619" w:hanging="619" w:hangingChars="295"/>
        <w:jc w:val="left"/>
        <w:rPr>
          <w:highlight w:val="none"/>
        </w:rPr>
      </w:pPr>
      <w:r>
        <w:rPr>
          <w:rFonts w:hint="eastAsia" w:cs="宋体"/>
          <w:highlight w:val="none"/>
        </w:rPr>
        <w:t>未经买方事先书面同意，卖方不得将其在本合同项下的任何权利和义务全部或部分转让给任何第三方，包括卖方的关联企业。</w:t>
      </w:r>
    </w:p>
    <w:p w14:paraId="413DFC7C">
      <w:pPr>
        <w:widowControl/>
        <w:numPr>
          <w:ilvl w:val="0"/>
          <w:numId w:val="57"/>
        </w:numPr>
        <w:tabs>
          <w:tab w:val="left" w:pos="709"/>
        </w:tabs>
        <w:spacing w:line="360" w:lineRule="auto"/>
        <w:ind w:left="619" w:hanging="619" w:hangingChars="295"/>
        <w:jc w:val="left"/>
        <w:rPr>
          <w:highlight w:val="none"/>
        </w:rPr>
      </w:pPr>
      <w:r>
        <w:rPr>
          <w:rFonts w:hint="eastAsia" w:cs="宋体"/>
          <w:highlight w:val="none"/>
        </w:rPr>
        <w:t>买方可以将其在本合同项下的权利和义务全部或部分转让给其关联企业，且无需事先征得卖方的同意，但应书面通知卖方。买方应保证所转让的那部分义务将得到履行，并且该转让不得使本合同的履行受到妨碍。</w:t>
      </w:r>
    </w:p>
    <w:p w14:paraId="321C636E">
      <w:pPr>
        <w:numPr>
          <w:ilvl w:val="0"/>
          <w:numId w:val="28"/>
        </w:numPr>
        <w:spacing w:before="360" w:after="360"/>
        <w:jc w:val="center"/>
        <w:rPr>
          <w:b/>
          <w:sz w:val="24"/>
          <w:szCs w:val="24"/>
          <w:highlight w:val="none"/>
        </w:rPr>
      </w:pPr>
      <w:bookmarkStart w:id="376" w:name="_Toc291435938"/>
      <w:bookmarkStart w:id="377" w:name="_Toc300671222"/>
      <w:bookmarkStart w:id="378" w:name="_Toc291435871"/>
      <w:bookmarkStart w:id="379" w:name="_Toc273458625"/>
      <w:bookmarkStart w:id="380" w:name="_Toc273388626"/>
      <w:bookmarkStart w:id="381" w:name="_Toc274343589"/>
      <w:bookmarkStart w:id="382" w:name="_Toc278889808"/>
      <w:bookmarkStart w:id="383" w:name="_Toc5889394"/>
      <w:bookmarkStart w:id="384" w:name="_Toc274403520"/>
      <w:bookmarkStart w:id="385" w:name="_Toc274754055"/>
      <w:bookmarkStart w:id="386" w:name="_Toc17390395"/>
      <w:bookmarkStart w:id="387" w:name="_Toc274668245"/>
      <w:bookmarkStart w:id="388" w:name="_Toc273388527"/>
      <w:bookmarkStart w:id="389" w:name="_Toc274075992"/>
      <w:bookmarkStart w:id="390" w:name="_Toc274669186"/>
      <w:bookmarkStart w:id="391" w:name="_Toc274344121"/>
      <w:bookmarkStart w:id="392" w:name="_Toc296955880"/>
      <w:bookmarkStart w:id="393" w:name="_Toc273451811"/>
      <w:bookmarkStart w:id="394" w:name="_Toc296959342"/>
      <w:r>
        <w:rPr>
          <w:rFonts w:hint="eastAsia"/>
          <w:b/>
          <w:sz w:val="24"/>
          <w:szCs w:val="24"/>
          <w:highlight w:val="none"/>
        </w:rPr>
        <w:t>分包</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DDAF00A">
      <w:pPr>
        <w:widowControl/>
        <w:numPr>
          <w:ilvl w:val="0"/>
          <w:numId w:val="58"/>
        </w:numPr>
        <w:tabs>
          <w:tab w:val="left" w:pos="709"/>
          <w:tab w:val="left" w:pos="3060"/>
          <w:tab w:val="clear" w:pos="420"/>
        </w:tabs>
        <w:spacing w:line="360" w:lineRule="auto"/>
        <w:ind w:left="720" w:hanging="720"/>
        <w:jc w:val="left"/>
        <w:rPr>
          <w:highlight w:val="none"/>
        </w:rPr>
      </w:pPr>
      <w:r>
        <w:rPr>
          <w:rFonts w:hint="eastAsia" w:cs="宋体"/>
          <w:highlight w:val="none"/>
        </w:rPr>
        <w:t>卖方应利用自身的人力资源、设备、技术履行本合同，未经买方事先书面同意，卖方不得将其在本合同项下的任何义务分包给任何第三方，包括卖方的关联企业。</w:t>
      </w:r>
    </w:p>
    <w:p w14:paraId="31D10590">
      <w:pPr>
        <w:widowControl/>
        <w:numPr>
          <w:ilvl w:val="0"/>
          <w:numId w:val="58"/>
        </w:numPr>
        <w:tabs>
          <w:tab w:val="left" w:pos="709"/>
          <w:tab w:val="left" w:pos="3060"/>
          <w:tab w:val="clear" w:pos="420"/>
        </w:tabs>
        <w:spacing w:line="360" w:lineRule="auto"/>
        <w:ind w:left="720" w:hanging="720"/>
        <w:jc w:val="left"/>
        <w:rPr>
          <w:highlight w:val="none"/>
        </w:rPr>
      </w:pPr>
      <w:r>
        <w:rPr>
          <w:rFonts w:hint="eastAsia" w:cs="宋体"/>
          <w:highlight w:val="none"/>
        </w:rPr>
        <w:t>即使买方批准卖方将其在本合同项下的任何部分义务分包给第三方，卖方应对分包商工作负责，并承担本合同项下的全部责任和义务，其合同项下责任和义务不因分包而减轻或免除。</w:t>
      </w:r>
    </w:p>
    <w:p w14:paraId="3745BE54">
      <w:pPr>
        <w:widowControl/>
        <w:numPr>
          <w:ilvl w:val="0"/>
          <w:numId w:val="58"/>
        </w:numPr>
        <w:tabs>
          <w:tab w:val="left" w:pos="709"/>
          <w:tab w:val="left" w:pos="3060"/>
          <w:tab w:val="clear" w:pos="420"/>
        </w:tabs>
        <w:spacing w:line="360" w:lineRule="auto"/>
        <w:ind w:left="720" w:hanging="720"/>
        <w:jc w:val="left"/>
        <w:rPr>
          <w:highlight w:val="none"/>
        </w:rPr>
      </w:pPr>
      <w:r>
        <w:rPr>
          <w:rFonts w:hint="eastAsia" w:cs="宋体"/>
          <w:highlight w:val="none"/>
        </w:rPr>
        <w:t>买方有权对分包商进行资格审查，审查内容包括但不限于资质、能力、经验、设备、设施、业绩、管理、人力等。买方有权拒绝其认为不合格的分包商。</w:t>
      </w:r>
    </w:p>
    <w:p w14:paraId="3A714BD9">
      <w:pPr>
        <w:widowControl/>
        <w:numPr>
          <w:ilvl w:val="0"/>
          <w:numId w:val="58"/>
        </w:numPr>
        <w:tabs>
          <w:tab w:val="left" w:pos="709"/>
          <w:tab w:val="left" w:pos="3060"/>
          <w:tab w:val="clear" w:pos="420"/>
        </w:tabs>
        <w:spacing w:line="360" w:lineRule="auto"/>
        <w:ind w:left="720" w:hanging="720"/>
        <w:jc w:val="left"/>
        <w:rPr>
          <w:rFonts w:cs="宋体"/>
          <w:highlight w:val="none"/>
        </w:rPr>
      </w:pPr>
      <w:r>
        <w:rPr>
          <w:rFonts w:hint="eastAsia" w:cs="宋体"/>
          <w:highlight w:val="none"/>
        </w:rPr>
        <w:t>卖方分包部分工作时，应要向买方提供分包商清单以及资质等相关证明文件；买方有权随时查阅卖方与分包商签订的合同文件（不包括价格部分）。买方有权推荐分包商。如果卖方不能继续履行本合同或本合同终止时，经买方要求，卖方应向买方转让所有分包合同，保证工作的继续执行。</w:t>
      </w:r>
    </w:p>
    <w:p w14:paraId="5AD17E87">
      <w:pPr>
        <w:widowControl/>
        <w:numPr>
          <w:ilvl w:val="0"/>
          <w:numId w:val="58"/>
        </w:numPr>
        <w:tabs>
          <w:tab w:val="left" w:pos="709"/>
          <w:tab w:val="left" w:pos="3060"/>
          <w:tab w:val="clear" w:pos="420"/>
        </w:tabs>
        <w:spacing w:line="360" w:lineRule="auto"/>
        <w:ind w:left="720" w:hanging="720"/>
        <w:jc w:val="left"/>
        <w:rPr>
          <w:highlight w:val="none"/>
        </w:rPr>
      </w:pPr>
      <w:bookmarkStart w:id="395" w:name="_DV_C858"/>
      <w:r>
        <w:rPr>
          <w:rFonts w:hint="eastAsia" w:cs="宋体"/>
          <w:highlight w:val="none"/>
        </w:rPr>
        <w:t>如果分包商的工作不符合本合同的规定，买方有权要求卖方终止分包合同，因分包合同终止产生的纠纷或责任，卖方承担全部责任，买方不承担任何责任。</w:t>
      </w:r>
      <w:bookmarkEnd w:id="395"/>
    </w:p>
    <w:p w14:paraId="0D8B49C5">
      <w:pPr>
        <w:widowControl/>
        <w:numPr>
          <w:ilvl w:val="0"/>
          <w:numId w:val="58"/>
        </w:numPr>
        <w:tabs>
          <w:tab w:val="left" w:pos="709"/>
          <w:tab w:val="left" w:pos="3060"/>
          <w:tab w:val="clear" w:pos="420"/>
        </w:tabs>
        <w:spacing w:line="360" w:lineRule="auto"/>
        <w:ind w:left="720" w:hanging="720"/>
        <w:jc w:val="left"/>
        <w:rPr>
          <w:highlight w:val="none"/>
        </w:rPr>
      </w:pPr>
      <w:r>
        <w:rPr>
          <w:rFonts w:hint="eastAsia" w:cs="宋体"/>
          <w:highlight w:val="none"/>
        </w:rPr>
        <w:t>买方有权选择直接向分包方付款，并从合同价款余额中直接扣除该等款项。但是，买方的上述行为不得视为买方取代卖方成为分包合同的当事人，分包合同的权利与义务仍由卖方和相应的第三方承担。</w:t>
      </w:r>
    </w:p>
    <w:p w14:paraId="74958F54">
      <w:pPr>
        <w:widowControl/>
        <w:numPr>
          <w:ilvl w:val="0"/>
          <w:numId w:val="58"/>
        </w:numPr>
        <w:tabs>
          <w:tab w:val="left" w:pos="709"/>
          <w:tab w:val="left" w:pos="3060"/>
          <w:tab w:val="clear" w:pos="420"/>
        </w:tabs>
        <w:spacing w:line="360" w:lineRule="auto"/>
        <w:ind w:left="720" w:hanging="720"/>
        <w:jc w:val="left"/>
        <w:rPr>
          <w:highlight w:val="none"/>
        </w:rPr>
      </w:pPr>
      <w:bookmarkStart w:id="396" w:name="_DV_C867"/>
      <w:r>
        <w:rPr>
          <w:rFonts w:hint="eastAsia" w:cs="宋体"/>
          <w:highlight w:val="none"/>
        </w:rPr>
        <w:t>卖方不得将本合同转包给任何第三方，包括其关联企业。</w:t>
      </w:r>
      <w:bookmarkEnd w:id="396"/>
    </w:p>
    <w:p w14:paraId="0EA2B90B">
      <w:pPr>
        <w:numPr>
          <w:ilvl w:val="0"/>
          <w:numId w:val="28"/>
        </w:numPr>
        <w:spacing w:before="360" w:after="360"/>
        <w:jc w:val="center"/>
        <w:rPr>
          <w:b/>
          <w:sz w:val="24"/>
          <w:szCs w:val="24"/>
          <w:highlight w:val="none"/>
        </w:rPr>
      </w:pPr>
      <w:bookmarkStart w:id="397" w:name="_Toc296804737"/>
      <w:bookmarkEnd w:id="397"/>
      <w:bookmarkStart w:id="398" w:name="_Toc274669187"/>
      <w:bookmarkStart w:id="399" w:name="_Toc274343590"/>
      <w:bookmarkStart w:id="400" w:name="_Toc278889809"/>
      <w:bookmarkStart w:id="401" w:name="_Toc274668246"/>
      <w:bookmarkStart w:id="402" w:name="_Toc274403521"/>
      <w:bookmarkStart w:id="403" w:name="_Toc274754056"/>
      <w:bookmarkStart w:id="404" w:name="_Toc274344122"/>
      <w:bookmarkStart w:id="405" w:name="_Toc291435872"/>
      <w:bookmarkStart w:id="406" w:name="_Toc296955882"/>
      <w:bookmarkStart w:id="407" w:name="_Toc291435939"/>
      <w:bookmarkStart w:id="408" w:name="_Toc296959344"/>
      <w:bookmarkStart w:id="409" w:name="_Toc300671223"/>
      <w:bookmarkStart w:id="410" w:name="_Toc17390396"/>
      <w:bookmarkStart w:id="411" w:name="_Toc5889395"/>
      <w:r>
        <w:rPr>
          <w:rFonts w:hint="eastAsia"/>
          <w:b/>
          <w:sz w:val="24"/>
          <w:szCs w:val="24"/>
          <w:highlight w:val="none"/>
        </w:rPr>
        <w:t>合同的解除</w:t>
      </w:r>
      <w:bookmarkEnd w:id="398"/>
      <w:bookmarkEnd w:id="399"/>
      <w:bookmarkEnd w:id="400"/>
      <w:bookmarkEnd w:id="401"/>
      <w:bookmarkEnd w:id="402"/>
      <w:bookmarkEnd w:id="403"/>
      <w:bookmarkEnd w:id="404"/>
      <w:bookmarkEnd w:id="405"/>
      <w:bookmarkEnd w:id="406"/>
      <w:bookmarkEnd w:id="407"/>
      <w:r>
        <w:rPr>
          <w:rFonts w:hint="eastAsia"/>
          <w:b/>
          <w:sz w:val="24"/>
          <w:szCs w:val="24"/>
          <w:highlight w:val="none"/>
        </w:rPr>
        <w:t>和终止</w:t>
      </w:r>
      <w:bookmarkEnd w:id="408"/>
      <w:bookmarkEnd w:id="409"/>
      <w:bookmarkEnd w:id="410"/>
      <w:bookmarkEnd w:id="411"/>
    </w:p>
    <w:p w14:paraId="4A944E8C">
      <w:pPr>
        <w:widowControl/>
        <w:numPr>
          <w:ilvl w:val="0"/>
          <w:numId w:val="59"/>
        </w:numPr>
        <w:tabs>
          <w:tab w:val="left" w:pos="709"/>
        </w:tabs>
        <w:spacing w:line="360" w:lineRule="auto"/>
        <w:jc w:val="left"/>
        <w:rPr>
          <w:highlight w:val="none"/>
        </w:rPr>
      </w:pPr>
      <w:r>
        <w:rPr>
          <w:rFonts w:hint="eastAsia" w:cs="宋体"/>
          <w:highlight w:val="none"/>
        </w:rPr>
        <w:t>如发生以下任一情形，经书面通知卖方，买方有权解除本合同：</w:t>
      </w:r>
    </w:p>
    <w:p w14:paraId="540C44F6">
      <w:pPr>
        <w:widowControl/>
        <w:numPr>
          <w:ilvl w:val="0"/>
          <w:numId w:val="60"/>
        </w:numPr>
        <w:tabs>
          <w:tab w:val="left" w:pos="1260"/>
          <w:tab w:val="clear" w:pos="840"/>
        </w:tabs>
        <w:spacing w:line="360" w:lineRule="auto"/>
        <w:ind w:left="1113" w:leftChars="299" w:hanging="485" w:hangingChars="231"/>
        <w:jc w:val="left"/>
        <w:rPr>
          <w:rFonts w:cs="宋体"/>
          <w:highlight w:val="none"/>
        </w:rPr>
      </w:pPr>
      <w:r>
        <w:rPr>
          <w:rFonts w:hint="eastAsia" w:cs="宋体"/>
          <w:highlight w:val="none"/>
        </w:rPr>
        <w:t>本合同明确规定买方有权解除合同的情形；</w:t>
      </w:r>
    </w:p>
    <w:p w14:paraId="0940D227">
      <w:pPr>
        <w:widowControl/>
        <w:numPr>
          <w:ilvl w:val="0"/>
          <w:numId w:val="60"/>
        </w:numPr>
        <w:tabs>
          <w:tab w:val="left" w:pos="1260"/>
          <w:tab w:val="clear" w:pos="840"/>
        </w:tabs>
        <w:spacing w:line="360" w:lineRule="auto"/>
        <w:ind w:left="1113" w:leftChars="299" w:hanging="485" w:hangingChars="231"/>
        <w:jc w:val="left"/>
        <w:rPr>
          <w:rFonts w:cs="宋体"/>
          <w:highlight w:val="none"/>
        </w:rPr>
      </w:pPr>
      <w:r>
        <w:rPr>
          <w:rFonts w:hint="eastAsia" w:cs="宋体"/>
          <w:highlight w:val="none"/>
        </w:rPr>
        <w:t>卖方未按合同规定提供预付款保函或履约保函；</w:t>
      </w:r>
    </w:p>
    <w:p w14:paraId="18A69209">
      <w:pPr>
        <w:widowControl/>
        <w:numPr>
          <w:ilvl w:val="0"/>
          <w:numId w:val="60"/>
        </w:numPr>
        <w:tabs>
          <w:tab w:val="left" w:pos="1276"/>
          <w:tab w:val="clear" w:pos="840"/>
        </w:tabs>
        <w:spacing w:line="360" w:lineRule="auto"/>
        <w:ind w:left="1113" w:leftChars="299" w:hanging="485" w:hangingChars="231"/>
        <w:jc w:val="left"/>
        <w:rPr>
          <w:rFonts w:cs="宋体"/>
          <w:highlight w:val="none"/>
        </w:rPr>
      </w:pPr>
      <w:r>
        <w:rPr>
          <w:rFonts w:hint="eastAsia" w:cs="宋体"/>
          <w:highlight w:val="none"/>
        </w:rPr>
        <w:t>卖方破产、资不抵债、停业、清算、解散、被兼并、被查封；</w:t>
      </w:r>
    </w:p>
    <w:p w14:paraId="16A4BACB">
      <w:pPr>
        <w:widowControl/>
        <w:numPr>
          <w:ilvl w:val="0"/>
          <w:numId w:val="60"/>
        </w:numPr>
        <w:tabs>
          <w:tab w:val="left" w:pos="1260"/>
          <w:tab w:val="clear" w:pos="840"/>
        </w:tabs>
        <w:spacing w:line="360" w:lineRule="auto"/>
        <w:ind w:left="1113" w:leftChars="299" w:hanging="485" w:hangingChars="231"/>
        <w:jc w:val="left"/>
        <w:rPr>
          <w:rFonts w:cs="宋体"/>
          <w:highlight w:val="none"/>
        </w:rPr>
      </w:pPr>
      <w:r>
        <w:rPr>
          <w:rFonts w:hint="eastAsia" w:cs="宋体"/>
          <w:highlight w:val="none"/>
        </w:rPr>
        <w:t>卖方发生其它严重违约，且未在买方要求的合同期限内纠正；</w:t>
      </w:r>
    </w:p>
    <w:p w14:paraId="1C8A7B5A">
      <w:pPr>
        <w:widowControl/>
        <w:numPr>
          <w:ilvl w:val="0"/>
          <w:numId w:val="60"/>
        </w:numPr>
        <w:tabs>
          <w:tab w:val="left" w:pos="1260"/>
          <w:tab w:val="clear" w:pos="840"/>
        </w:tabs>
        <w:spacing w:line="360" w:lineRule="auto"/>
        <w:ind w:left="1113" w:leftChars="299" w:hanging="485" w:hangingChars="231"/>
        <w:jc w:val="left"/>
        <w:rPr>
          <w:rFonts w:cs="宋体"/>
          <w:highlight w:val="none"/>
        </w:rPr>
      </w:pPr>
      <w:r>
        <w:rPr>
          <w:rFonts w:hint="eastAsia" w:cs="宋体"/>
          <w:highlight w:val="none"/>
        </w:rPr>
        <w:t>不可抗力持续超过六十日。</w:t>
      </w:r>
    </w:p>
    <w:p w14:paraId="331CEB77">
      <w:pPr>
        <w:widowControl/>
        <w:numPr>
          <w:ilvl w:val="0"/>
          <w:numId w:val="59"/>
        </w:numPr>
        <w:tabs>
          <w:tab w:val="left" w:pos="709"/>
          <w:tab w:val="clear" w:pos="0"/>
        </w:tabs>
        <w:spacing w:line="360" w:lineRule="auto"/>
        <w:ind w:left="619" w:hanging="619" w:hangingChars="295"/>
        <w:jc w:val="left"/>
        <w:rPr>
          <w:highlight w:val="none"/>
        </w:rPr>
      </w:pPr>
      <w:r>
        <w:rPr>
          <w:rFonts w:hint="eastAsia" w:cs="宋体"/>
          <w:highlight w:val="none"/>
        </w:rPr>
        <w:t>如因卖方违约买方解除本合同，卖方应退回买方已经支付的全部款项，并根据本合同规定支付违约金，并且买方有权要求卖方赔偿其因此遭受的全部损失。买方有权以适当的条件和方式购买同等货物，卖方应承担买方购买同等货物的差额费用。</w:t>
      </w:r>
    </w:p>
    <w:p w14:paraId="78054ECD">
      <w:pPr>
        <w:widowControl/>
        <w:numPr>
          <w:ilvl w:val="0"/>
          <w:numId w:val="59"/>
        </w:numPr>
        <w:tabs>
          <w:tab w:val="left" w:pos="709"/>
          <w:tab w:val="clear" w:pos="0"/>
        </w:tabs>
        <w:spacing w:line="360" w:lineRule="auto"/>
        <w:ind w:left="619" w:hanging="619" w:hangingChars="295"/>
        <w:jc w:val="left"/>
        <w:rPr>
          <w:highlight w:val="none"/>
        </w:rPr>
      </w:pPr>
      <w:r>
        <w:rPr>
          <w:rFonts w:hint="eastAsia" w:cs="宋体"/>
          <w:highlight w:val="none"/>
        </w:rPr>
        <w:t>无论基于何种原因，经提前三十日书面通知卖方，买方有权随时终止合同。卖方收到买方终止合同的书面通知后，应立即停止实施与本合同有关的工作，并对已履行的部分进行结算。买方收到卖方的结算要求后，应与卖方协商结算数额、因买方终止合同需向卖方支付的补偿款等事项。买方因终止合同向卖方支付的补偿款以卖方为履行合同已实际发生的直接、合理费用为限。如买方已支付的合同价款不足以涵盖该等费用，经卖方提供证明文件后，买方应向卖方支付差额部分。但是，如买方已支付的合同价款超过该等费用，卖方应向买方返还超额部分。买方向卖方支付的该等补偿款系买方根据本款规定终止合同时，卖方可获得的全部赔偿。任何时候卖方均无权要求买方赔偿因合同终止而引起的预期利润的损失或损害。</w:t>
      </w:r>
    </w:p>
    <w:p w14:paraId="101D3939">
      <w:pPr>
        <w:widowControl/>
        <w:numPr>
          <w:ilvl w:val="0"/>
          <w:numId w:val="59"/>
        </w:numPr>
        <w:tabs>
          <w:tab w:val="left" w:pos="709"/>
          <w:tab w:val="clear" w:pos="0"/>
        </w:tabs>
        <w:spacing w:line="360" w:lineRule="auto"/>
        <w:ind w:left="619" w:hanging="619" w:hangingChars="295"/>
        <w:jc w:val="left"/>
        <w:rPr>
          <w:rFonts w:cs="宋体"/>
          <w:highlight w:val="none"/>
        </w:rPr>
      </w:pPr>
      <w:bookmarkStart w:id="412" w:name="_DV_C932"/>
      <w:r>
        <w:rPr>
          <w:rFonts w:hint="eastAsia"/>
          <w:highlight w:val="none"/>
        </w:rPr>
        <w:t>如果本合同根据本条</w:t>
      </w:r>
      <w:r>
        <w:rPr>
          <w:rFonts w:cs="宋体"/>
          <w:highlight w:val="none"/>
        </w:rPr>
        <w:t>第21.3款</w:t>
      </w:r>
      <w:r>
        <w:rPr>
          <w:rFonts w:hint="eastAsia"/>
          <w:highlight w:val="none"/>
        </w:rPr>
        <w:t>终止，对于合同终止前买方已经支付合同价款或提供补偿费用的货物，卖方应立即移交给买方，买方拥有相关货物的全部权益。</w:t>
      </w:r>
      <w:bookmarkEnd w:id="412"/>
    </w:p>
    <w:p w14:paraId="2438E8F9">
      <w:pPr>
        <w:widowControl/>
        <w:numPr>
          <w:ilvl w:val="0"/>
          <w:numId w:val="59"/>
        </w:numPr>
        <w:tabs>
          <w:tab w:val="left" w:pos="709"/>
          <w:tab w:val="clear" w:pos="0"/>
        </w:tabs>
        <w:spacing w:line="360" w:lineRule="auto"/>
        <w:ind w:left="619" w:hanging="619" w:hangingChars="295"/>
        <w:jc w:val="left"/>
        <w:rPr>
          <w:rFonts w:cs="宋体"/>
          <w:highlight w:val="none"/>
        </w:rPr>
      </w:pPr>
      <w:r>
        <w:rPr>
          <w:rFonts w:hint="eastAsia"/>
          <w:highlight w:val="none"/>
        </w:rPr>
        <w:t>卖方应确保分包合同（如有）包含与本条项下规定相对应的终止条款。</w:t>
      </w:r>
    </w:p>
    <w:p w14:paraId="2C7433B2">
      <w:pPr>
        <w:numPr>
          <w:ilvl w:val="0"/>
          <w:numId w:val="28"/>
        </w:numPr>
        <w:spacing w:before="360" w:after="360"/>
        <w:jc w:val="center"/>
        <w:rPr>
          <w:b/>
          <w:sz w:val="24"/>
          <w:szCs w:val="24"/>
          <w:highlight w:val="none"/>
        </w:rPr>
      </w:pPr>
      <w:bookmarkStart w:id="413" w:name="_Toc274075994"/>
      <w:bookmarkStart w:id="414" w:name="_Toc273451813"/>
      <w:bookmarkStart w:id="415" w:name="_Toc278889810"/>
      <w:bookmarkStart w:id="416" w:name="_Toc274344123"/>
      <w:bookmarkStart w:id="417" w:name="_Toc296955883"/>
      <w:bookmarkStart w:id="418" w:name="_Toc274668247"/>
      <w:bookmarkStart w:id="419" w:name="_Toc273388628"/>
      <w:bookmarkStart w:id="420" w:name="_Toc17390397"/>
      <w:bookmarkStart w:id="421" w:name="_Toc291435873"/>
      <w:bookmarkStart w:id="422" w:name="_Toc273388529"/>
      <w:bookmarkStart w:id="423" w:name="_Toc274343591"/>
      <w:bookmarkStart w:id="424" w:name="_Toc291435940"/>
      <w:bookmarkStart w:id="425" w:name="_Toc296959345"/>
      <w:bookmarkStart w:id="426" w:name="_Toc273458627"/>
      <w:bookmarkStart w:id="427" w:name="_Toc5889396"/>
      <w:bookmarkStart w:id="428" w:name="_Toc274669188"/>
      <w:bookmarkStart w:id="429" w:name="_Toc300671224"/>
      <w:bookmarkStart w:id="430" w:name="_Toc274754057"/>
      <w:bookmarkStart w:id="431" w:name="_Toc274403522"/>
      <w:r>
        <w:rPr>
          <w:rFonts w:hint="eastAsia"/>
          <w:b/>
          <w:sz w:val="24"/>
          <w:szCs w:val="24"/>
          <w:highlight w:val="none"/>
        </w:rPr>
        <w:t>不可抗力</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722E52FD">
      <w:pPr>
        <w:widowControl/>
        <w:numPr>
          <w:ilvl w:val="0"/>
          <w:numId w:val="59"/>
        </w:numPr>
        <w:tabs>
          <w:tab w:val="left" w:pos="709"/>
          <w:tab w:val="clear" w:pos="0"/>
        </w:tabs>
        <w:spacing w:line="360" w:lineRule="auto"/>
        <w:ind w:left="619" w:hanging="619" w:hangingChars="295"/>
        <w:jc w:val="left"/>
        <w:rPr>
          <w:highlight w:val="none"/>
        </w:rPr>
      </w:pPr>
      <w:bookmarkStart w:id="432" w:name="_Toc300671225"/>
      <w:bookmarkStart w:id="433" w:name="_DV_C952"/>
      <w:bookmarkStart w:id="434" w:name="_Toc296959346"/>
      <w:bookmarkStart w:id="435" w:name="_Toc287945666"/>
      <w:bookmarkStart w:id="436" w:name="_Toc287977557"/>
      <w:bookmarkStart w:id="437" w:name="_Toc287945410"/>
      <w:bookmarkStart w:id="438" w:name="_Toc288479435"/>
      <w:bookmarkStart w:id="439" w:name="_Toc296955884"/>
      <w:r>
        <w:rPr>
          <w:rFonts w:hint="eastAsia"/>
          <w:highlight w:val="none"/>
        </w:rPr>
        <w:t>不可抗力系指本合同的履行过程中，任何一方经合理努力仍不可预见、不可避免并不能克服的客观情况。</w:t>
      </w:r>
    </w:p>
    <w:p w14:paraId="0D16F6AE">
      <w:pPr>
        <w:widowControl/>
        <w:numPr>
          <w:ilvl w:val="0"/>
          <w:numId w:val="59"/>
        </w:numPr>
        <w:tabs>
          <w:tab w:val="left" w:pos="709"/>
          <w:tab w:val="clear" w:pos="0"/>
        </w:tabs>
        <w:spacing w:line="360" w:lineRule="auto"/>
        <w:ind w:left="619" w:hanging="619" w:hangingChars="295"/>
        <w:jc w:val="left"/>
        <w:rPr>
          <w:highlight w:val="none"/>
        </w:rPr>
      </w:pPr>
      <w:r>
        <w:rPr>
          <w:highlight w:val="none"/>
        </w:rPr>
        <w:t>任何一方因不可抗力不能或延迟履行本合同，不承担违约责任。</w:t>
      </w:r>
    </w:p>
    <w:p w14:paraId="7E92CB64">
      <w:pPr>
        <w:widowControl/>
        <w:numPr>
          <w:ilvl w:val="0"/>
          <w:numId w:val="59"/>
        </w:numPr>
        <w:tabs>
          <w:tab w:val="left" w:pos="709"/>
          <w:tab w:val="clear" w:pos="0"/>
        </w:tabs>
        <w:spacing w:line="360" w:lineRule="auto"/>
        <w:ind w:left="619" w:hanging="619" w:hangingChars="295"/>
        <w:jc w:val="left"/>
        <w:rPr>
          <w:highlight w:val="none"/>
        </w:rPr>
      </w:pPr>
      <w:r>
        <w:rPr>
          <w:highlight w:val="none"/>
        </w:rPr>
        <w:t>如果一方遭受不可抗力，应立即（不迟于24小时内）通知另一方，并采取一切合理、必要的措施减少损失及不可抗力的影响，恢复合同的履行。</w:t>
      </w:r>
      <w:r>
        <w:rPr>
          <w:rFonts w:hint="eastAsia"/>
          <w:highlight w:val="none"/>
        </w:rPr>
        <w:t>不可抗力结束后</w:t>
      </w:r>
      <w:r>
        <w:rPr>
          <w:highlight w:val="none"/>
        </w:rPr>
        <w:t>48</w:t>
      </w:r>
      <w:r>
        <w:rPr>
          <w:rFonts w:hint="eastAsia"/>
          <w:highlight w:val="none"/>
        </w:rPr>
        <w:t>小时内，遭受不可抗力的一方应向另一方通报不可抗力的情况，包括不可抗力造成的损害、延续时间、货物受影响的范围、补救措施等，如不可抗力持续发生，遭受不可抗力的一方应及时更新该等信息。</w:t>
      </w:r>
    </w:p>
    <w:p w14:paraId="4E02CCA6">
      <w:pPr>
        <w:widowControl/>
        <w:numPr>
          <w:ilvl w:val="0"/>
          <w:numId w:val="59"/>
        </w:numPr>
        <w:tabs>
          <w:tab w:val="left" w:pos="709"/>
          <w:tab w:val="clear" w:pos="0"/>
        </w:tabs>
        <w:spacing w:line="360" w:lineRule="auto"/>
        <w:ind w:left="619" w:hanging="619" w:hangingChars="295"/>
        <w:jc w:val="left"/>
        <w:rPr>
          <w:highlight w:val="none"/>
        </w:rPr>
      </w:pPr>
      <w:r>
        <w:rPr>
          <w:rFonts w:hint="eastAsia"/>
          <w:highlight w:val="none"/>
        </w:rPr>
        <w:t>如发生不可抗力，双方各自承担其人员和财产损失。一旦不可抗力停止或者影响消除，双方应立即履行其义务，合同的期限应该相应顺延。如果不可抗力的影响持续超过1</w:t>
      </w:r>
      <w:r>
        <w:rPr>
          <w:highlight w:val="none"/>
        </w:rPr>
        <w:t>5</w:t>
      </w:r>
      <w:r>
        <w:rPr>
          <w:rFonts w:hint="eastAsia"/>
          <w:highlight w:val="none"/>
        </w:rPr>
        <w:t>日，双方应该共同商议应对措施。</w:t>
      </w:r>
    </w:p>
    <w:p w14:paraId="206D16D7">
      <w:pPr>
        <w:widowControl/>
        <w:numPr>
          <w:ilvl w:val="0"/>
          <w:numId w:val="59"/>
        </w:numPr>
        <w:tabs>
          <w:tab w:val="left" w:pos="709"/>
          <w:tab w:val="clear" w:pos="0"/>
        </w:tabs>
        <w:spacing w:line="360" w:lineRule="auto"/>
        <w:ind w:left="619" w:hanging="619" w:hangingChars="295"/>
        <w:jc w:val="left"/>
        <w:rPr>
          <w:highlight w:val="none"/>
        </w:rPr>
      </w:pPr>
      <w:r>
        <w:rPr>
          <w:rFonts w:hint="eastAsia"/>
          <w:highlight w:val="none"/>
        </w:rPr>
        <w:t>任何一方迟延履行合同后遭受不可抗力的，不得减少、免除该方在本合同项下的任何义务和责任。</w:t>
      </w:r>
    </w:p>
    <w:p w14:paraId="13A2E5A4">
      <w:pPr>
        <w:widowControl/>
        <w:numPr>
          <w:ilvl w:val="0"/>
          <w:numId w:val="59"/>
        </w:numPr>
        <w:tabs>
          <w:tab w:val="left" w:pos="709"/>
          <w:tab w:val="clear" w:pos="0"/>
        </w:tabs>
        <w:spacing w:line="360" w:lineRule="auto"/>
        <w:ind w:left="619" w:hanging="619" w:hangingChars="295"/>
        <w:jc w:val="left"/>
        <w:rPr>
          <w:highlight w:val="none"/>
        </w:rPr>
      </w:pPr>
      <w:r>
        <w:rPr>
          <w:rFonts w:hint="eastAsia"/>
          <w:highlight w:val="none"/>
        </w:rPr>
        <w:t>不可抗力的发生不能造成任何一方支付额外款项、赔偿或其它救济方式，双方放弃对任何此类事项进行索赔的权利。</w:t>
      </w:r>
    </w:p>
    <w:p w14:paraId="450C3D54">
      <w:pPr>
        <w:numPr>
          <w:ilvl w:val="0"/>
          <w:numId w:val="28"/>
        </w:numPr>
        <w:spacing w:before="360" w:after="360"/>
        <w:jc w:val="center"/>
        <w:rPr>
          <w:b/>
          <w:sz w:val="24"/>
          <w:szCs w:val="24"/>
          <w:highlight w:val="none"/>
        </w:rPr>
      </w:pPr>
      <w:bookmarkStart w:id="440" w:name="_Toc5889397"/>
      <w:bookmarkStart w:id="441" w:name="_Toc17390398"/>
      <w:r>
        <w:rPr>
          <w:rFonts w:hint="eastAsia"/>
          <w:b/>
          <w:sz w:val="24"/>
          <w:szCs w:val="24"/>
          <w:highlight w:val="none"/>
        </w:rPr>
        <w:t>责任</w:t>
      </w:r>
      <w:bookmarkEnd w:id="432"/>
      <w:bookmarkEnd w:id="433"/>
      <w:bookmarkEnd w:id="434"/>
      <w:bookmarkEnd w:id="435"/>
      <w:bookmarkEnd w:id="436"/>
      <w:bookmarkEnd w:id="437"/>
      <w:bookmarkEnd w:id="438"/>
      <w:bookmarkEnd w:id="439"/>
      <w:bookmarkEnd w:id="440"/>
      <w:bookmarkEnd w:id="441"/>
    </w:p>
    <w:p w14:paraId="46A19BE2">
      <w:pPr>
        <w:widowControl/>
        <w:numPr>
          <w:ilvl w:val="0"/>
          <w:numId w:val="61"/>
        </w:numPr>
        <w:tabs>
          <w:tab w:val="left" w:pos="720"/>
          <w:tab w:val="clear" w:pos="420"/>
        </w:tabs>
        <w:spacing w:line="360" w:lineRule="auto"/>
        <w:ind w:left="720" w:hanging="720"/>
        <w:jc w:val="left"/>
        <w:rPr>
          <w:rFonts w:cs="Arial"/>
          <w:highlight w:val="none"/>
        </w:rPr>
      </w:pPr>
      <w:bookmarkStart w:id="442" w:name="_DV_C956"/>
      <w:r>
        <w:rPr>
          <w:rFonts w:hint="eastAsia" w:cs="Arial"/>
          <w:highlight w:val="none"/>
        </w:rPr>
        <w:t>无论时间、地点、方式和原因，卖方、卖方代理或分包商（如有）因履行本合同或因货物存在缺陷造成任何第三方财产损失、损坏、人身伤亡或疾病，卖方应承担全部责任，并应确保买方免于所有相关的索赔、损失、损害、费用和责任，包括但不限于在买方因此需向第三方支付任何赔偿时，卖方均应全额予以补偿。</w:t>
      </w:r>
      <w:bookmarkEnd w:id="442"/>
      <w:bookmarkStart w:id="443" w:name="_DV_C957"/>
    </w:p>
    <w:bookmarkEnd w:id="443"/>
    <w:p w14:paraId="24780672">
      <w:pPr>
        <w:widowControl/>
        <w:numPr>
          <w:ilvl w:val="0"/>
          <w:numId w:val="61"/>
        </w:numPr>
        <w:tabs>
          <w:tab w:val="left" w:pos="720"/>
          <w:tab w:val="clear" w:pos="420"/>
        </w:tabs>
        <w:spacing w:line="360" w:lineRule="auto"/>
        <w:ind w:left="720" w:hanging="720"/>
        <w:jc w:val="left"/>
        <w:rPr>
          <w:rFonts w:cs="Arial"/>
          <w:highlight w:val="none"/>
        </w:rPr>
      </w:pPr>
      <w:bookmarkStart w:id="444" w:name="_DV_C958"/>
      <w:r>
        <w:rPr>
          <w:rFonts w:hint="eastAsia" w:cs="Arial"/>
          <w:highlight w:val="none"/>
        </w:rPr>
        <w:t>无论时间、地点、方式和原因，如因履行本合同，卖方及其人员、卖方代理、分包商及其人员（如有）的任何财产（包括但不限于设备、装置、器材等，且无论该等财产属于自有、租用、租赁或以其它方式提供）发生毁损、灭失或其它损失，除非该等损失系因买方故意或重大过失所致，卖方应自行承担全部损失，并应确保买方免于所有相关的索赔、损失、损害、费用和责任</w:t>
      </w:r>
      <w:bookmarkEnd w:id="444"/>
      <w:bookmarkStart w:id="445" w:name="_DV_C959"/>
      <w:r>
        <w:rPr>
          <w:rFonts w:hint="eastAsia" w:cs="Arial"/>
          <w:highlight w:val="none"/>
        </w:rPr>
        <w:t>。</w:t>
      </w:r>
    </w:p>
    <w:bookmarkEnd w:id="445"/>
    <w:p w14:paraId="17174681">
      <w:pPr>
        <w:widowControl/>
        <w:numPr>
          <w:ilvl w:val="0"/>
          <w:numId w:val="61"/>
        </w:numPr>
        <w:tabs>
          <w:tab w:val="left" w:pos="720"/>
          <w:tab w:val="clear" w:pos="420"/>
        </w:tabs>
        <w:spacing w:line="360" w:lineRule="auto"/>
        <w:ind w:left="720" w:hanging="720"/>
        <w:jc w:val="left"/>
        <w:rPr>
          <w:rFonts w:cs="Arial"/>
          <w:highlight w:val="none"/>
        </w:rPr>
      </w:pPr>
      <w:bookmarkStart w:id="446" w:name="_DV_C960"/>
      <w:r>
        <w:rPr>
          <w:rFonts w:hint="eastAsia" w:cs="Arial"/>
          <w:highlight w:val="none"/>
        </w:rPr>
        <w:t>无论时间、地点、方式和原因，如因履行本合同而发生的或与履行本合同有关的卖方、卖方代理及分包商（如有）的人员发生人身伤亡或疾病，除非该等人身伤亡或疾病系因买方故意或重大过失所致，卖方应对上述人员的人身伤亡或疾病负责，并应确保买方免于所有相关的索赔、损失、损害、费用和责任，包括但不限于在买方因此需要支付任何赔偿时，卖方均应全额予以补偿。</w:t>
      </w:r>
      <w:bookmarkEnd w:id="446"/>
      <w:bookmarkStart w:id="447" w:name="_DV_C961"/>
    </w:p>
    <w:bookmarkEnd w:id="447"/>
    <w:p w14:paraId="406814DB">
      <w:pPr>
        <w:widowControl/>
        <w:numPr>
          <w:ilvl w:val="0"/>
          <w:numId w:val="61"/>
        </w:numPr>
        <w:tabs>
          <w:tab w:val="left" w:pos="720"/>
          <w:tab w:val="clear" w:pos="420"/>
        </w:tabs>
        <w:spacing w:line="360" w:lineRule="auto"/>
        <w:ind w:left="720" w:hanging="720"/>
        <w:jc w:val="left"/>
        <w:rPr>
          <w:rFonts w:cs="Arial"/>
          <w:highlight w:val="none"/>
        </w:rPr>
      </w:pPr>
      <w:bookmarkStart w:id="448" w:name="_DV_C962"/>
      <w:r>
        <w:rPr>
          <w:rFonts w:hint="eastAsia" w:cs="Arial"/>
          <w:highlight w:val="none"/>
        </w:rPr>
        <w:t>无论时间、地点、方式和原因，如因履行本合同或货物存在缺陷，卖方造成任何江、河、湖、海、陆地、大气及其它环境污染，卖方应单独承担全部责任，包括消除污染源、赔偿污染造成的损失、承担污染产生的法律责任和污染造成的停工损失等，并应确保买方免于所有相关的索赔、损失、损害、费用和责任，包括但不限于在买方因此需要支付任何赔偿时，卖方均应全额予以补偿。</w:t>
      </w:r>
      <w:bookmarkEnd w:id="448"/>
    </w:p>
    <w:p w14:paraId="577B8935">
      <w:pPr>
        <w:numPr>
          <w:ilvl w:val="0"/>
          <w:numId w:val="28"/>
        </w:numPr>
        <w:spacing w:before="360" w:after="360"/>
        <w:jc w:val="center"/>
        <w:rPr>
          <w:b/>
          <w:sz w:val="24"/>
          <w:szCs w:val="24"/>
          <w:highlight w:val="none"/>
        </w:rPr>
      </w:pPr>
      <w:bookmarkStart w:id="449" w:name="_Toc296804743"/>
      <w:bookmarkEnd w:id="449"/>
      <w:bookmarkStart w:id="450" w:name="_Toc291435941"/>
      <w:bookmarkStart w:id="451" w:name="_Toc273388631"/>
      <w:bookmarkStart w:id="452" w:name="_Toc273388532"/>
      <w:bookmarkStart w:id="453" w:name="_Toc296959347"/>
      <w:bookmarkStart w:id="454" w:name="_Toc291435874"/>
      <w:bookmarkStart w:id="455" w:name="_Toc274343593"/>
      <w:bookmarkStart w:id="456" w:name="_Toc274668248"/>
      <w:bookmarkStart w:id="457" w:name="_Toc5889398"/>
      <w:bookmarkStart w:id="458" w:name="_Toc274754058"/>
      <w:bookmarkStart w:id="459" w:name="_Toc274669189"/>
      <w:bookmarkStart w:id="460" w:name="_Toc274075997"/>
      <w:bookmarkStart w:id="461" w:name="_Toc273458630"/>
      <w:bookmarkStart w:id="462" w:name="_Toc274403524"/>
      <w:bookmarkStart w:id="463" w:name="_Toc17390399"/>
      <w:bookmarkStart w:id="464" w:name="_Toc296955885"/>
      <w:bookmarkStart w:id="465" w:name="_Toc274344125"/>
      <w:bookmarkStart w:id="466" w:name="_Toc300671226"/>
      <w:bookmarkStart w:id="467" w:name="_Toc278889811"/>
      <w:bookmarkStart w:id="468" w:name="_Toc273451816"/>
      <w:r>
        <w:rPr>
          <w:rFonts w:hint="eastAsia"/>
          <w:b/>
          <w:sz w:val="24"/>
          <w:szCs w:val="24"/>
          <w:highlight w:val="none"/>
        </w:rPr>
        <w:t>税费</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8D207B7">
      <w:pPr>
        <w:widowControl/>
        <w:numPr>
          <w:ilvl w:val="0"/>
          <w:numId w:val="62"/>
        </w:numPr>
        <w:tabs>
          <w:tab w:val="left" w:pos="709"/>
        </w:tabs>
        <w:spacing w:line="360" w:lineRule="auto"/>
        <w:ind w:left="720" w:hanging="720"/>
        <w:jc w:val="left"/>
        <w:rPr>
          <w:highlight w:val="none"/>
        </w:rPr>
      </w:pPr>
      <w:r>
        <w:rPr>
          <w:rFonts w:hint="eastAsia" w:cs="宋体"/>
          <w:highlight w:val="none"/>
        </w:rPr>
        <w:t>对于在中华人民共和国境内发生的税费，买卖双方应根据法律法规各自承担。</w:t>
      </w:r>
    </w:p>
    <w:p w14:paraId="6AF5814E">
      <w:pPr>
        <w:widowControl/>
        <w:numPr>
          <w:ilvl w:val="0"/>
          <w:numId w:val="62"/>
        </w:numPr>
        <w:tabs>
          <w:tab w:val="left" w:pos="709"/>
        </w:tabs>
        <w:spacing w:line="360" w:lineRule="auto"/>
        <w:ind w:left="720" w:hanging="720"/>
        <w:jc w:val="left"/>
        <w:rPr>
          <w:highlight w:val="none"/>
        </w:rPr>
      </w:pPr>
      <w:r>
        <w:rPr>
          <w:rFonts w:hint="eastAsia" w:cs="宋体"/>
          <w:highlight w:val="none"/>
        </w:rPr>
        <w:t>对于在中华人民共和国境内发生的税费，买方有权根据法律法规和本合同的相关规定从应支付给卖方的合同价款中扣除由买方代扣、代缴的卖方应付税费，但应当向卖方提交完税证明。</w:t>
      </w:r>
    </w:p>
    <w:p w14:paraId="128CD7C6">
      <w:pPr>
        <w:widowControl/>
        <w:numPr>
          <w:ilvl w:val="0"/>
          <w:numId w:val="62"/>
        </w:numPr>
        <w:tabs>
          <w:tab w:val="left" w:pos="709"/>
        </w:tabs>
        <w:spacing w:line="360" w:lineRule="auto"/>
        <w:ind w:left="720" w:hanging="720"/>
        <w:jc w:val="left"/>
        <w:rPr>
          <w:highlight w:val="none"/>
        </w:rPr>
      </w:pPr>
      <w:r>
        <w:rPr>
          <w:rFonts w:hint="eastAsia" w:cs="宋体"/>
          <w:highlight w:val="none"/>
        </w:rPr>
        <w:t>对于在中华人民共和国境外发生的税费，由卖方承担。</w:t>
      </w:r>
    </w:p>
    <w:p w14:paraId="1F16C7C9">
      <w:pPr>
        <w:widowControl/>
        <w:numPr>
          <w:ilvl w:val="0"/>
          <w:numId w:val="62"/>
        </w:numPr>
        <w:tabs>
          <w:tab w:val="left" w:pos="709"/>
        </w:tabs>
        <w:spacing w:line="360" w:lineRule="auto"/>
        <w:ind w:left="720" w:hanging="720"/>
        <w:jc w:val="left"/>
        <w:rPr>
          <w:highlight w:val="none"/>
        </w:rPr>
      </w:pPr>
      <w:bookmarkStart w:id="469" w:name="_DV_C973"/>
      <w:r>
        <w:rPr>
          <w:rFonts w:hint="eastAsia" w:cs="宋体"/>
          <w:highlight w:val="none"/>
        </w:rPr>
        <w:t>为本条之目的，</w:t>
      </w:r>
      <w:bookmarkEnd w:id="469"/>
      <w:bookmarkStart w:id="470" w:name="_DV_C974"/>
      <w:bookmarkStart w:id="471" w:name="_DV_X970"/>
      <w:r>
        <w:rPr>
          <w:rFonts w:hint="eastAsia" w:cs="宋体"/>
          <w:highlight w:val="none"/>
        </w:rPr>
        <w:t>“中华人民共和国境外”包括香港特别行政区、澳门特别行政区和台湾地区</w:t>
      </w:r>
      <w:bookmarkEnd w:id="470"/>
      <w:bookmarkEnd w:id="471"/>
      <w:r>
        <w:rPr>
          <w:rFonts w:hint="eastAsia" w:cs="宋体"/>
          <w:highlight w:val="none"/>
        </w:rPr>
        <w:t>。</w:t>
      </w:r>
    </w:p>
    <w:p w14:paraId="5A19D4F4">
      <w:pPr>
        <w:numPr>
          <w:ilvl w:val="0"/>
          <w:numId w:val="28"/>
        </w:numPr>
        <w:spacing w:before="360" w:after="360"/>
        <w:jc w:val="center"/>
        <w:rPr>
          <w:b/>
          <w:sz w:val="24"/>
          <w:szCs w:val="24"/>
          <w:highlight w:val="none"/>
        </w:rPr>
      </w:pPr>
      <w:bookmarkStart w:id="472" w:name="_Toc287977559"/>
      <w:bookmarkStart w:id="473" w:name="_Toc296959348"/>
      <w:bookmarkStart w:id="474" w:name="_Toc17390400"/>
      <w:bookmarkStart w:id="475" w:name="_Toc288479437"/>
      <w:bookmarkStart w:id="476" w:name="_Toc5889399"/>
      <w:bookmarkStart w:id="477" w:name="_Toc296955886"/>
      <w:bookmarkStart w:id="478" w:name="_Toc300671227"/>
      <w:r>
        <w:rPr>
          <w:rFonts w:hint="eastAsia"/>
          <w:b/>
          <w:sz w:val="24"/>
          <w:szCs w:val="24"/>
          <w:highlight w:val="none"/>
        </w:rPr>
        <w:t>审计</w:t>
      </w:r>
      <w:bookmarkEnd w:id="472"/>
      <w:r>
        <w:rPr>
          <w:rFonts w:hint="eastAsia"/>
          <w:b/>
          <w:sz w:val="24"/>
          <w:szCs w:val="24"/>
          <w:highlight w:val="none"/>
        </w:rPr>
        <w:t>和记录</w:t>
      </w:r>
      <w:bookmarkEnd w:id="473"/>
      <w:bookmarkEnd w:id="474"/>
      <w:bookmarkEnd w:id="475"/>
      <w:bookmarkEnd w:id="476"/>
      <w:bookmarkEnd w:id="477"/>
      <w:bookmarkEnd w:id="478"/>
    </w:p>
    <w:p w14:paraId="6A3648FE">
      <w:pPr>
        <w:numPr>
          <w:ilvl w:val="0"/>
          <w:numId w:val="63"/>
        </w:numPr>
        <w:tabs>
          <w:tab w:val="left" w:pos="720"/>
          <w:tab w:val="left" w:pos="3060"/>
        </w:tabs>
        <w:spacing w:line="360" w:lineRule="auto"/>
        <w:ind w:left="720" w:hanging="720"/>
        <w:rPr>
          <w:rFonts w:cs="宋体"/>
          <w:highlight w:val="none"/>
        </w:rPr>
      </w:pPr>
      <w:r>
        <w:rPr>
          <w:rFonts w:hint="eastAsia" w:cs="宋体"/>
          <w:highlight w:val="none"/>
        </w:rPr>
        <w:t>卖方应根据买方要求，无条件接受和配合买方或买方委托的会计师事务所进行的与本合同相关的审计，并应在分包合同（如有）中要求其分包商接受相同的审计要求。</w:t>
      </w:r>
    </w:p>
    <w:p w14:paraId="581E9E1E">
      <w:pPr>
        <w:numPr>
          <w:ilvl w:val="0"/>
          <w:numId w:val="63"/>
        </w:numPr>
        <w:tabs>
          <w:tab w:val="left" w:pos="720"/>
          <w:tab w:val="left" w:pos="3060"/>
        </w:tabs>
        <w:spacing w:line="360" w:lineRule="auto"/>
        <w:ind w:left="720" w:hanging="720"/>
        <w:rPr>
          <w:highlight w:val="none"/>
        </w:rPr>
      </w:pPr>
      <w:r>
        <w:rPr>
          <w:rFonts w:hint="eastAsia" w:cs="宋体"/>
          <w:highlight w:val="none"/>
        </w:rPr>
        <w:t>卖方及其分包商（如有）应保存与本合同相关的记录和账目，保存期限为货物质保期结束后十五年。该等记录和账目应详细记载因履行本合同发生的任何直接或间接费用（包括分包商发生的费用）。经提前通知，买方或其委托的会计师事务所有权检查并复制该等记录和账目。</w:t>
      </w:r>
    </w:p>
    <w:p w14:paraId="52699ADF">
      <w:pPr>
        <w:numPr>
          <w:ilvl w:val="0"/>
          <w:numId w:val="28"/>
        </w:numPr>
        <w:spacing w:before="360" w:after="360"/>
        <w:jc w:val="center"/>
        <w:rPr>
          <w:b/>
          <w:sz w:val="24"/>
          <w:szCs w:val="24"/>
          <w:highlight w:val="none"/>
        </w:rPr>
      </w:pPr>
      <w:bookmarkStart w:id="479" w:name="_Toc274754059"/>
      <w:bookmarkStart w:id="480" w:name="_Toc296955887"/>
      <w:bookmarkStart w:id="481" w:name="_Toc274668249"/>
      <w:bookmarkStart w:id="482" w:name="_Toc274344126"/>
      <w:bookmarkStart w:id="483" w:name="_Toc17390401"/>
      <w:bookmarkStart w:id="484" w:name="_Toc300671228"/>
      <w:bookmarkStart w:id="485" w:name="_Toc278889812"/>
      <w:bookmarkStart w:id="486" w:name="_Toc5889400"/>
      <w:bookmarkStart w:id="487" w:name="_Toc291435942"/>
      <w:bookmarkStart w:id="488" w:name="_Toc274403525"/>
      <w:bookmarkStart w:id="489" w:name="_Toc296959349"/>
      <w:bookmarkStart w:id="490" w:name="_Toc291435875"/>
      <w:bookmarkStart w:id="491" w:name="_Toc274343594"/>
      <w:bookmarkStart w:id="492" w:name="_Toc274669190"/>
      <w:r>
        <w:rPr>
          <w:rFonts w:hint="eastAsia"/>
          <w:b/>
          <w:sz w:val="24"/>
          <w:szCs w:val="24"/>
          <w:highlight w:val="none"/>
        </w:rPr>
        <w:t>通知</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16390516">
      <w:pPr>
        <w:widowControl/>
        <w:numPr>
          <w:ilvl w:val="0"/>
          <w:numId w:val="64"/>
        </w:numPr>
        <w:tabs>
          <w:tab w:val="left" w:pos="720"/>
        </w:tabs>
        <w:spacing w:line="360" w:lineRule="auto"/>
        <w:ind w:left="720" w:hanging="720"/>
        <w:jc w:val="left"/>
        <w:rPr>
          <w:highlight w:val="none"/>
        </w:rPr>
      </w:pPr>
      <w:r>
        <w:rPr>
          <w:rFonts w:hint="eastAsia" w:cs="宋体"/>
          <w:highlight w:val="none"/>
        </w:rPr>
        <w:t>通知应根据本合同规定以亲自递送、特快专递、传真等方式送达。买方、卖方或相关第三方的地址、邮政编码、联系人、联系电话、传真号码等如有变更，应及时书面通知对方。</w:t>
      </w:r>
    </w:p>
    <w:p w14:paraId="628F35FF">
      <w:pPr>
        <w:widowControl/>
        <w:numPr>
          <w:ilvl w:val="0"/>
          <w:numId w:val="64"/>
        </w:numPr>
        <w:tabs>
          <w:tab w:val="left" w:pos="720"/>
        </w:tabs>
        <w:spacing w:line="360" w:lineRule="auto"/>
        <w:ind w:left="720" w:hanging="720"/>
        <w:jc w:val="left"/>
        <w:rPr>
          <w:highlight w:val="none"/>
        </w:rPr>
      </w:pPr>
      <w:r>
        <w:rPr>
          <w:rFonts w:hint="eastAsia" w:cs="宋体"/>
          <w:highlight w:val="none"/>
        </w:rPr>
        <w:t>通知在下列情况视为送达：</w:t>
      </w:r>
    </w:p>
    <w:p w14:paraId="1990DA93">
      <w:pPr>
        <w:widowControl/>
        <w:numPr>
          <w:ilvl w:val="1"/>
          <w:numId w:val="65"/>
        </w:numPr>
        <w:tabs>
          <w:tab w:val="left" w:pos="1260"/>
        </w:tabs>
        <w:spacing w:line="360" w:lineRule="auto"/>
        <w:ind w:left="1134"/>
        <w:jc w:val="left"/>
        <w:rPr>
          <w:highlight w:val="none"/>
        </w:rPr>
      </w:pPr>
      <w:r>
        <w:rPr>
          <w:rFonts w:hint="eastAsia" w:cs="宋体"/>
          <w:highlight w:val="none"/>
        </w:rPr>
        <w:t>如采用亲自递送方式，于签收确认之时；</w:t>
      </w:r>
    </w:p>
    <w:p w14:paraId="2874545A">
      <w:pPr>
        <w:widowControl/>
        <w:numPr>
          <w:ilvl w:val="1"/>
          <w:numId w:val="65"/>
        </w:numPr>
        <w:tabs>
          <w:tab w:val="left" w:pos="1260"/>
        </w:tabs>
        <w:spacing w:line="360" w:lineRule="auto"/>
        <w:ind w:left="1134"/>
        <w:jc w:val="left"/>
        <w:rPr>
          <w:highlight w:val="none"/>
        </w:rPr>
      </w:pPr>
      <w:r>
        <w:rPr>
          <w:rFonts w:hint="eastAsia" w:cs="宋体"/>
          <w:highlight w:val="none"/>
        </w:rPr>
        <w:t>如采用特快专递方式，于收件人签收之时；</w:t>
      </w:r>
    </w:p>
    <w:p w14:paraId="60E51096">
      <w:pPr>
        <w:widowControl/>
        <w:numPr>
          <w:ilvl w:val="1"/>
          <w:numId w:val="65"/>
        </w:numPr>
        <w:tabs>
          <w:tab w:val="left" w:pos="1260"/>
        </w:tabs>
        <w:spacing w:line="360" w:lineRule="auto"/>
        <w:ind w:left="1134"/>
        <w:jc w:val="left"/>
        <w:rPr>
          <w:highlight w:val="none"/>
        </w:rPr>
      </w:pPr>
      <w:r>
        <w:rPr>
          <w:rFonts w:hint="eastAsia" w:cs="宋体"/>
          <w:highlight w:val="none"/>
        </w:rPr>
        <w:t>如采用传真方式，于确认传输之时。</w:t>
      </w:r>
    </w:p>
    <w:p w14:paraId="23C69CA9">
      <w:pPr>
        <w:widowControl/>
        <w:numPr>
          <w:ilvl w:val="0"/>
          <w:numId w:val="64"/>
        </w:numPr>
        <w:tabs>
          <w:tab w:val="left" w:pos="720"/>
        </w:tabs>
        <w:spacing w:line="360" w:lineRule="auto"/>
        <w:ind w:left="720" w:hanging="720"/>
        <w:jc w:val="left"/>
        <w:rPr>
          <w:highlight w:val="none"/>
        </w:rPr>
      </w:pPr>
      <w:r>
        <w:rPr>
          <w:rFonts w:hint="eastAsia" w:cs="宋体"/>
          <w:highlight w:val="none"/>
        </w:rPr>
        <w:t>通知在接收方正常工作期间送达视为生效。如果不在正常的工作期间，则视为于随后的第一个工作日上午十点送达。</w:t>
      </w:r>
    </w:p>
    <w:p w14:paraId="04996EFE">
      <w:pPr>
        <w:numPr>
          <w:ilvl w:val="0"/>
          <w:numId w:val="28"/>
        </w:numPr>
        <w:spacing w:before="360" w:after="360"/>
        <w:jc w:val="center"/>
        <w:rPr>
          <w:b/>
          <w:sz w:val="24"/>
          <w:szCs w:val="24"/>
          <w:highlight w:val="none"/>
        </w:rPr>
      </w:pPr>
      <w:bookmarkStart w:id="493" w:name="_Toc273388632"/>
      <w:bookmarkStart w:id="494" w:name="_Toc291435943"/>
      <w:bookmarkStart w:id="495" w:name="_Toc273458631"/>
      <w:bookmarkStart w:id="496" w:name="_Toc291435876"/>
      <w:bookmarkStart w:id="497" w:name="_Toc274669191"/>
      <w:bookmarkStart w:id="498" w:name="_Toc5889401"/>
      <w:bookmarkStart w:id="499" w:name="_Toc274343595"/>
      <w:bookmarkStart w:id="500" w:name="_Toc274754060"/>
      <w:bookmarkStart w:id="501" w:name="_Toc17390402"/>
      <w:bookmarkStart w:id="502" w:name="_Toc278889813"/>
      <w:bookmarkStart w:id="503" w:name="_Toc296955888"/>
      <w:bookmarkStart w:id="504" w:name="_Toc296959350"/>
      <w:bookmarkStart w:id="505" w:name="_Toc273451817"/>
      <w:bookmarkStart w:id="506" w:name="_Toc274075998"/>
      <w:bookmarkStart w:id="507" w:name="_Toc274344127"/>
      <w:bookmarkStart w:id="508" w:name="_Toc274668250"/>
      <w:bookmarkStart w:id="509" w:name="_Toc273388533"/>
      <w:bookmarkStart w:id="510" w:name="_Toc274403526"/>
      <w:bookmarkStart w:id="511" w:name="_Toc300671229"/>
      <w:r>
        <w:rPr>
          <w:rFonts w:hint="eastAsia"/>
          <w:b/>
          <w:sz w:val="24"/>
          <w:szCs w:val="24"/>
          <w:highlight w:val="none"/>
        </w:rPr>
        <w:t>适用法律</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63B860AD">
      <w:pPr>
        <w:widowControl/>
        <w:numPr>
          <w:ilvl w:val="0"/>
          <w:numId w:val="66"/>
        </w:numPr>
        <w:tabs>
          <w:tab w:val="left" w:pos="720"/>
          <w:tab w:val="clear" w:pos="0"/>
        </w:tabs>
        <w:spacing w:line="360" w:lineRule="auto"/>
        <w:ind w:left="720" w:hanging="720"/>
        <w:jc w:val="left"/>
        <w:rPr>
          <w:highlight w:val="none"/>
        </w:rPr>
      </w:pPr>
      <w:r>
        <w:rPr>
          <w:rFonts w:hint="eastAsia" w:cs="宋体"/>
          <w:highlight w:val="none"/>
        </w:rPr>
        <w:t>本合同适用中国法律。</w:t>
      </w:r>
    </w:p>
    <w:p w14:paraId="60D05622">
      <w:pPr>
        <w:numPr>
          <w:ilvl w:val="0"/>
          <w:numId w:val="28"/>
        </w:numPr>
        <w:spacing w:before="360" w:after="360"/>
        <w:jc w:val="center"/>
        <w:rPr>
          <w:b/>
          <w:sz w:val="24"/>
          <w:szCs w:val="24"/>
          <w:highlight w:val="none"/>
        </w:rPr>
      </w:pPr>
      <w:bookmarkStart w:id="512" w:name="_Toc300671230"/>
      <w:bookmarkStart w:id="513" w:name="_Toc274343596"/>
      <w:bookmarkStart w:id="514" w:name="_Toc291435944"/>
      <w:bookmarkStart w:id="515" w:name="_Toc274403527"/>
      <w:bookmarkStart w:id="516" w:name="_Toc296959351"/>
      <w:bookmarkStart w:id="517" w:name="_Toc273388534"/>
      <w:bookmarkStart w:id="518" w:name="_Toc274075999"/>
      <w:bookmarkStart w:id="519" w:name="_Toc274669192"/>
      <w:bookmarkStart w:id="520" w:name="_Toc278889814"/>
      <w:bookmarkStart w:id="521" w:name="_Toc273458632"/>
      <w:bookmarkStart w:id="522" w:name="_Toc274754061"/>
      <w:bookmarkStart w:id="523" w:name="_Toc17390403"/>
      <w:bookmarkStart w:id="524" w:name="_Toc5889402"/>
      <w:bookmarkStart w:id="525" w:name="_Toc273388633"/>
      <w:bookmarkStart w:id="526" w:name="_Toc296955889"/>
      <w:bookmarkStart w:id="527" w:name="_Toc274344128"/>
      <w:bookmarkStart w:id="528" w:name="_Toc274668251"/>
      <w:bookmarkStart w:id="529" w:name="_Toc273451818"/>
      <w:bookmarkStart w:id="530" w:name="_Toc291435877"/>
      <w:r>
        <w:rPr>
          <w:rFonts w:hint="eastAsia"/>
          <w:b/>
          <w:sz w:val="24"/>
          <w:szCs w:val="24"/>
          <w:highlight w:val="none"/>
        </w:rPr>
        <w:t>合同语言</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4ECB1CBD">
      <w:pPr>
        <w:widowControl/>
        <w:numPr>
          <w:ilvl w:val="2"/>
          <w:numId w:val="67"/>
        </w:numPr>
        <w:tabs>
          <w:tab w:val="left" w:pos="720"/>
        </w:tabs>
        <w:spacing w:line="360" w:lineRule="auto"/>
        <w:ind w:left="720" w:hanging="720"/>
        <w:jc w:val="left"/>
        <w:rPr>
          <w:highlight w:val="none"/>
        </w:rPr>
      </w:pPr>
      <w:r>
        <w:rPr>
          <w:rFonts w:hint="eastAsia" w:cs="宋体"/>
          <w:highlight w:val="none"/>
        </w:rPr>
        <w:t>除本合同另有明确规定或双方另行同意外，本合同及本合同项下的任何文件及往来函电均采用中文书写。</w:t>
      </w:r>
    </w:p>
    <w:p w14:paraId="4016CC03">
      <w:pPr>
        <w:numPr>
          <w:ilvl w:val="0"/>
          <w:numId w:val="28"/>
        </w:numPr>
        <w:spacing w:before="360" w:after="360"/>
        <w:jc w:val="center"/>
        <w:rPr>
          <w:b/>
          <w:sz w:val="24"/>
          <w:szCs w:val="24"/>
          <w:highlight w:val="none"/>
        </w:rPr>
      </w:pPr>
      <w:bookmarkStart w:id="531" w:name="_Toc17390404"/>
      <w:bookmarkStart w:id="532" w:name="_Toc5889403"/>
      <w:bookmarkStart w:id="533" w:name="_Toc300671231"/>
      <w:r>
        <w:rPr>
          <w:rFonts w:hint="eastAsia"/>
          <w:b/>
          <w:sz w:val="24"/>
          <w:szCs w:val="24"/>
          <w:highlight w:val="none"/>
        </w:rPr>
        <w:t>标题</w:t>
      </w:r>
      <w:bookmarkEnd w:id="531"/>
      <w:bookmarkEnd w:id="532"/>
      <w:bookmarkEnd w:id="533"/>
    </w:p>
    <w:p w14:paraId="1ADE07D4">
      <w:pPr>
        <w:widowControl/>
        <w:numPr>
          <w:ilvl w:val="0"/>
          <w:numId w:val="68"/>
        </w:numPr>
        <w:tabs>
          <w:tab w:val="left" w:pos="720"/>
        </w:tabs>
        <w:spacing w:line="360" w:lineRule="auto"/>
        <w:ind w:left="720" w:hanging="720"/>
        <w:jc w:val="left"/>
        <w:rPr>
          <w:highlight w:val="none"/>
        </w:rPr>
      </w:pPr>
      <w:r>
        <w:rPr>
          <w:rFonts w:hint="eastAsia" w:cs="宋"/>
          <w:highlight w:val="none"/>
        </w:rPr>
        <w:t>本合同各部分及各条款的标题仅为方便阅读而设</w:t>
      </w:r>
      <w:r>
        <w:rPr>
          <w:rFonts w:hint="eastAsia"/>
          <w:highlight w:val="none"/>
        </w:rPr>
        <w:t>，</w:t>
      </w:r>
      <w:r>
        <w:rPr>
          <w:rFonts w:hint="eastAsia" w:cs="宋"/>
          <w:highlight w:val="none"/>
        </w:rPr>
        <w:t>不影响对条款实质内容的解释。</w:t>
      </w:r>
    </w:p>
    <w:p w14:paraId="19A3CCBF">
      <w:pPr>
        <w:numPr>
          <w:ilvl w:val="0"/>
          <w:numId w:val="28"/>
        </w:numPr>
        <w:spacing w:before="360" w:after="360"/>
        <w:jc w:val="center"/>
        <w:rPr>
          <w:b/>
          <w:sz w:val="24"/>
          <w:szCs w:val="24"/>
          <w:highlight w:val="none"/>
        </w:rPr>
      </w:pPr>
      <w:bookmarkStart w:id="534" w:name="_Toc17390405"/>
      <w:bookmarkStart w:id="535" w:name="_Toc5889404"/>
      <w:r>
        <w:rPr>
          <w:rFonts w:hint="eastAsia"/>
          <w:b/>
          <w:sz w:val="24"/>
          <w:szCs w:val="24"/>
          <w:highlight w:val="none"/>
        </w:rPr>
        <w:t>其它</w:t>
      </w:r>
      <w:bookmarkEnd w:id="534"/>
      <w:bookmarkEnd w:id="535"/>
    </w:p>
    <w:p w14:paraId="107606DB">
      <w:pPr>
        <w:numPr>
          <w:ilvl w:val="0"/>
          <w:numId w:val="69"/>
        </w:numPr>
        <w:tabs>
          <w:tab w:val="left" w:pos="709"/>
        </w:tabs>
        <w:spacing w:line="360" w:lineRule="auto"/>
        <w:ind w:left="709" w:hanging="709"/>
        <w:rPr>
          <w:rFonts w:ascii="宋体" w:hAnsi="宋体"/>
        </w:rPr>
      </w:pPr>
      <w:r>
        <w:rPr>
          <w:rFonts w:hint="eastAsia" w:ascii="Times New Roman" w:hAnsi="Times New Roman"/>
          <w:color w:val="auto"/>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14:paraId="71739595">
      <w:pPr>
        <w:widowControl/>
        <w:numPr>
          <w:ilvl w:val="0"/>
          <w:numId w:val="69"/>
        </w:numPr>
        <w:tabs>
          <w:tab w:val="left" w:pos="709"/>
        </w:tabs>
        <w:spacing w:line="360" w:lineRule="auto"/>
        <w:ind w:left="709" w:hanging="709"/>
        <w:jc w:val="left"/>
        <w:rPr>
          <w:highlight w:val="none"/>
        </w:rPr>
      </w:pPr>
      <w:r>
        <w:rPr>
          <w:rFonts w:hint="eastAsia"/>
          <w:highlight w:val="none"/>
        </w:rPr>
        <w:t>本合同的任何变更、修改或增减，须经双方协商一致、法定代表人或授权代表签署书面文件并盖章后生效。</w:t>
      </w:r>
    </w:p>
    <w:p w14:paraId="6B3840E2">
      <w:pPr>
        <w:widowControl/>
        <w:numPr>
          <w:ilvl w:val="0"/>
          <w:numId w:val="69"/>
        </w:numPr>
        <w:tabs>
          <w:tab w:val="left" w:pos="709"/>
        </w:tabs>
        <w:spacing w:line="360" w:lineRule="auto"/>
        <w:ind w:left="709" w:hanging="709"/>
        <w:jc w:val="left"/>
        <w:rPr>
          <w:highlight w:val="none"/>
        </w:rPr>
      </w:pPr>
      <w:r>
        <w:rPr>
          <w:rFonts w:hint="eastAsia"/>
          <w:highlight w:val="none"/>
        </w:rPr>
        <w:t>本合同系买卖双方反复协商、讨论的结果，合同内容非一方当事人事先拟定。本合同不属于格式合同，条款内容不属于格式条款。</w:t>
      </w:r>
    </w:p>
    <w:p w14:paraId="5FDE2D22">
      <w:pPr>
        <w:widowControl/>
        <w:numPr>
          <w:ilvl w:val="0"/>
          <w:numId w:val="69"/>
        </w:numPr>
        <w:tabs>
          <w:tab w:val="left" w:pos="709"/>
        </w:tabs>
        <w:spacing w:line="360" w:lineRule="auto"/>
        <w:ind w:left="709" w:hanging="709"/>
        <w:jc w:val="left"/>
        <w:rPr>
          <w:highlight w:val="none"/>
        </w:rPr>
      </w:pPr>
      <w:r>
        <w:rPr>
          <w:rFonts w:hint="eastAsia"/>
          <w:highlight w:val="none"/>
        </w:rPr>
        <w:t>未经另一方事先书面同意，任何一方不得以任何方式在其机构外使用另一方的名称、商品商标、服务商标、企业标志、商号或品牌。</w:t>
      </w:r>
    </w:p>
    <w:p w14:paraId="3924C205">
      <w:pPr>
        <w:widowControl/>
        <w:numPr>
          <w:ilvl w:val="0"/>
          <w:numId w:val="69"/>
        </w:numPr>
        <w:tabs>
          <w:tab w:val="left" w:pos="709"/>
        </w:tabs>
        <w:spacing w:line="360" w:lineRule="auto"/>
        <w:ind w:left="709" w:hanging="709"/>
        <w:jc w:val="left"/>
        <w:rPr>
          <w:highlight w:val="none"/>
        </w:rPr>
      </w:pPr>
      <w:r>
        <w:rPr>
          <w:rFonts w:hint="eastAsia"/>
          <w:highlight w:val="none"/>
        </w:rPr>
        <w:t>如果本合同的任何条款或规定被裁定为无效、不合法或不可强制执行，该条款或规定应视为被删除，本合同其它条款不受影响，仍继续有效。</w:t>
      </w:r>
    </w:p>
    <w:p w14:paraId="54654B4E">
      <w:pPr>
        <w:widowControl/>
        <w:numPr>
          <w:ilvl w:val="0"/>
          <w:numId w:val="69"/>
        </w:numPr>
        <w:tabs>
          <w:tab w:val="left" w:pos="709"/>
        </w:tabs>
        <w:spacing w:line="360" w:lineRule="auto"/>
        <w:ind w:left="709" w:hanging="709"/>
        <w:jc w:val="left"/>
        <w:rPr>
          <w:highlight w:val="none"/>
        </w:rPr>
      </w:pPr>
      <w:r>
        <w:rPr>
          <w:rFonts w:hint="eastAsia"/>
          <w:highlight w:val="none"/>
        </w:rPr>
        <w:t>本合同履行过程中，如卖方发生重组、合并、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14:paraId="365C6C8C">
      <w:pPr>
        <w:pStyle w:val="26"/>
        <w:widowControl/>
        <w:tabs>
          <w:tab w:val="left" w:pos="709"/>
        </w:tabs>
        <w:spacing w:line="360" w:lineRule="auto"/>
        <w:ind w:right="11"/>
        <w:rPr>
          <w:highlight w:val="none"/>
        </w:rPr>
      </w:pPr>
      <w:r>
        <w:rPr>
          <w:rFonts w:hint="eastAsia"/>
          <w:highlight w:val="none"/>
        </w:rPr>
        <w:t>本合同解除或终止后，本合同项下关于知识产权、保密、保证、责任、适用法律、争议解决和其它具有持续性效力的条款继续有效。</w:t>
      </w:r>
    </w:p>
    <w:p w14:paraId="6953D72A">
      <w:pPr>
        <w:pStyle w:val="26"/>
        <w:widowControl/>
        <w:tabs>
          <w:tab w:val="left" w:pos="709"/>
        </w:tabs>
        <w:spacing w:line="360" w:lineRule="auto"/>
        <w:ind w:right="11"/>
        <w:rPr>
          <w:highlight w:val="none"/>
        </w:rPr>
      </w:pPr>
    </w:p>
    <w:p w14:paraId="10776015">
      <w:pPr>
        <w:pStyle w:val="26"/>
        <w:widowControl/>
        <w:tabs>
          <w:tab w:val="left" w:pos="709"/>
        </w:tabs>
        <w:spacing w:line="360" w:lineRule="auto"/>
        <w:ind w:right="11"/>
        <w:jc w:val="center"/>
        <w:rPr>
          <w:b/>
          <w:bCs/>
          <w:highlight w:val="none"/>
        </w:rPr>
      </w:pPr>
      <w:r>
        <w:rPr>
          <w:color w:val="000000"/>
          <w:highlight w:val="none"/>
        </w:rPr>
        <w:br w:type="page"/>
      </w:r>
      <w:bookmarkEnd w:id="63"/>
      <w:bookmarkStart w:id="536" w:name="_Toc296804740"/>
      <w:bookmarkEnd w:id="536"/>
      <w:bookmarkStart w:id="537" w:name="_Toc297106712"/>
      <w:bookmarkStart w:id="538" w:name="_Toc300671233"/>
      <w:bookmarkStart w:id="539" w:name="_Toc306354381"/>
      <w:r>
        <w:rPr>
          <w:rFonts w:hint="eastAsia" w:hAnsi="宋体" w:cs="宋体"/>
          <w:color w:val="000000"/>
          <w:sz w:val="36"/>
          <w:szCs w:val="36"/>
          <w:highlight w:val="none"/>
        </w:rPr>
        <w:t>第四部分合同附件</w:t>
      </w:r>
      <w:bookmarkEnd w:id="537"/>
      <w:bookmarkEnd w:id="538"/>
      <w:bookmarkEnd w:id="539"/>
    </w:p>
    <w:p w14:paraId="349B2109">
      <w:pPr>
        <w:rPr>
          <w:highlight w:val="none"/>
        </w:rPr>
      </w:pPr>
      <w:bookmarkStart w:id="540" w:name="_Toc306354382"/>
      <w:bookmarkStart w:id="541" w:name="_Toc300671234"/>
      <w:r>
        <w:rPr>
          <w:rFonts w:hint="eastAsia"/>
          <w:highlight w:val="none"/>
        </w:rPr>
        <w:t>合同附件一：货物清单及价格明细（格式）</w:t>
      </w:r>
      <w:bookmarkEnd w:id="540"/>
      <w:bookmarkEnd w:id="541"/>
    </w:p>
    <w:p w14:paraId="6F7C8279">
      <w:pPr>
        <w:rPr>
          <w:rFonts w:hint="eastAsia" w:eastAsiaTheme="minorEastAsia"/>
          <w:highlight w:val="none"/>
          <w:lang w:eastAsia="zh-CN"/>
        </w:rPr>
      </w:pPr>
      <w:bookmarkStart w:id="542" w:name="_Toc300671235"/>
      <w:bookmarkStart w:id="543" w:name="_Toc306354383"/>
    </w:p>
    <w:p w14:paraId="516C5834">
      <w:pPr>
        <w:rPr>
          <w:rFonts w:ascii="宋体" w:hAnsi="宋体" w:cs="宋体"/>
          <w:iCs/>
          <w:sz w:val="24"/>
          <w:szCs w:val="24"/>
          <w:highlight w:val="none"/>
        </w:rPr>
      </w:pPr>
      <w:r>
        <w:rPr>
          <w:rFonts w:hint="eastAsia"/>
          <w:highlight w:val="none"/>
        </w:rPr>
        <w:t>合同附件二：技术</w:t>
      </w:r>
      <w:bookmarkEnd w:id="542"/>
      <w:bookmarkEnd w:id="543"/>
      <w:r>
        <w:rPr>
          <w:rFonts w:hint="eastAsia"/>
          <w:highlight w:val="none"/>
        </w:rPr>
        <w:t>要求书</w:t>
      </w:r>
    </w:p>
    <w:p w14:paraId="7E1C0DC8">
      <w:pPr>
        <w:pStyle w:val="26"/>
        <w:ind w:right="10"/>
        <w:rPr>
          <w:highlight w:val="none"/>
        </w:rPr>
      </w:pPr>
    </w:p>
    <w:p w14:paraId="11CFFF28">
      <w:pPr>
        <w:outlineLvl w:val="0"/>
        <w:rPr>
          <w:highlight w:val="none"/>
        </w:rPr>
      </w:pPr>
      <w:bookmarkStart w:id="544" w:name="_Toc306354384"/>
      <w:bookmarkStart w:id="545" w:name="_Toc300671236"/>
      <w:r>
        <w:rPr>
          <w:rFonts w:hint="eastAsia"/>
          <w:highlight w:val="none"/>
        </w:rPr>
        <w:t>合同附件三：采购订单及发货清单（格式）</w:t>
      </w:r>
      <w:bookmarkEnd w:id="544"/>
      <w:bookmarkEnd w:id="545"/>
    </w:p>
    <w:p w14:paraId="6DEF1567">
      <w:pPr>
        <w:pStyle w:val="26"/>
        <w:tabs>
          <w:tab w:val="left" w:pos="360"/>
          <w:tab w:val="left" w:pos="720"/>
          <w:tab w:val="left" w:pos="1080"/>
          <w:tab w:val="left" w:pos="1440"/>
          <w:tab w:val="left" w:pos="1800"/>
          <w:tab w:val="left" w:pos="2160"/>
        </w:tabs>
        <w:autoSpaceDE w:val="0"/>
        <w:autoSpaceDN w:val="0"/>
        <w:adjustRightInd w:val="0"/>
        <w:spacing w:line="360" w:lineRule="auto"/>
        <w:ind w:right="10"/>
        <w:jc w:val="center"/>
        <w:rPr>
          <w:b/>
          <w:bCs/>
          <w:highlight w:val="none"/>
        </w:rPr>
      </w:pPr>
      <w:r>
        <w:rPr>
          <w:rFonts w:hint="eastAsia" w:cs="宋体"/>
          <w:b/>
          <w:bCs/>
          <w:color w:val="000000"/>
          <w:highlight w:val="none"/>
        </w:rPr>
        <w:t>采购订单（格式）</w:t>
      </w:r>
    </w:p>
    <w:tbl>
      <w:tblPr>
        <w:tblStyle w:val="14"/>
        <w:tblW w:w="9180" w:type="dxa"/>
        <w:tblInd w:w="-106" w:type="dxa"/>
        <w:tblLayout w:type="autofit"/>
        <w:tblCellMar>
          <w:top w:w="0" w:type="dxa"/>
          <w:left w:w="108" w:type="dxa"/>
          <w:bottom w:w="0" w:type="dxa"/>
          <w:right w:w="108" w:type="dxa"/>
        </w:tblCellMar>
      </w:tblPr>
      <w:tblGrid>
        <w:gridCol w:w="4561"/>
        <w:gridCol w:w="4619"/>
      </w:tblGrid>
      <w:tr w14:paraId="7624E025">
        <w:tblPrEx>
          <w:tblCellMar>
            <w:top w:w="0" w:type="dxa"/>
            <w:left w:w="108" w:type="dxa"/>
            <w:bottom w:w="0" w:type="dxa"/>
            <w:right w:w="108" w:type="dxa"/>
          </w:tblCellMar>
        </w:tblPrEx>
        <w:trPr>
          <w:trHeight w:val="306" w:hRule="atLeast"/>
        </w:trPr>
        <w:tc>
          <w:tcPr>
            <w:tcW w:w="4561" w:type="dxa"/>
          </w:tcPr>
          <w:p w14:paraId="2D823AA8">
            <w:pPr>
              <w:pStyle w:val="26"/>
              <w:ind w:right="10" w:firstLine="499"/>
              <w:rPr>
                <w:highlight w:val="none"/>
              </w:rPr>
            </w:pPr>
          </w:p>
        </w:tc>
        <w:tc>
          <w:tcPr>
            <w:tcW w:w="4619" w:type="dxa"/>
          </w:tcPr>
          <w:p w14:paraId="0388C7F8">
            <w:pPr>
              <w:pStyle w:val="26"/>
              <w:ind w:right="10"/>
              <w:jc w:val="center"/>
              <w:rPr>
                <w:highlight w:val="none"/>
              </w:rPr>
            </w:pPr>
            <w:r>
              <w:rPr>
                <w:color w:val="000000"/>
                <w:highlight w:val="none"/>
              </w:rPr>
              <w:t>合同编号</w:t>
            </w:r>
            <w:r>
              <w:rPr>
                <w:rFonts w:hint="eastAsia"/>
                <w:color w:val="000000"/>
                <w:highlight w:val="none"/>
              </w:rPr>
              <w:t>：</w:t>
            </w:r>
          </w:p>
          <w:p w14:paraId="5F8AE445">
            <w:pPr>
              <w:pStyle w:val="26"/>
              <w:ind w:right="10"/>
              <w:jc w:val="center"/>
              <w:rPr>
                <w:rFonts w:cs="Calibri"/>
                <w:highlight w:val="none"/>
              </w:rPr>
            </w:pPr>
            <w:r>
              <w:rPr>
                <w:rFonts w:hint="eastAsia"/>
                <w:color w:val="000000"/>
                <w:highlight w:val="none"/>
              </w:rPr>
              <w:t>订</w:t>
            </w:r>
            <w:r>
              <w:rPr>
                <w:rFonts w:hint="eastAsia" w:cs="Calibri"/>
                <w:color w:val="000000"/>
                <w:highlight w:val="none"/>
              </w:rPr>
              <w:t>单号：</w:t>
            </w:r>
          </w:p>
        </w:tc>
      </w:tr>
      <w:tr w14:paraId="6DB9C138">
        <w:tblPrEx>
          <w:tblCellMar>
            <w:top w:w="0" w:type="dxa"/>
            <w:left w:w="108" w:type="dxa"/>
            <w:bottom w:w="0" w:type="dxa"/>
            <w:right w:w="108" w:type="dxa"/>
          </w:tblCellMar>
        </w:tblPrEx>
        <w:trPr>
          <w:trHeight w:val="306" w:hRule="atLeast"/>
        </w:trPr>
        <w:tc>
          <w:tcPr>
            <w:tcW w:w="4561" w:type="dxa"/>
          </w:tcPr>
          <w:p w14:paraId="0D4F1770">
            <w:pPr>
              <w:pStyle w:val="26"/>
              <w:ind w:right="10"/>
              <w:rPr>
                <w:highlight w:val="none"/>
              </w:rPr>
            </w:pPr>
          </w:p>
        </w:tc>
        <w:tc>
          <w:tcPr>
            <w:tcW w:w="4619" w:type="dxa"/>
          </w:tcPr>
          <w:p w14:paraId="3C3432FF">
            <w:pPr>
              <w:pStyle w:val="26"/>
              <w:ind w:right="10" w:firstLine="1785" w:firstLineChars="850"/>
              <w:rPr>
                <w:highlight w:val="none"/>
              </w:rPr>
            </w:pPr>
            <w:r>
              <w:rPr>
                <w:rFonts w:hint="eastAsia" w:cs="宋体"/>
                <w:color w:val="000000"/>
                <w:highlight w:val="none"/>
              </w:rPr>
              <w:t>日期：</w:t>
            </w:r>
          </w:p>
        </w:tc>
      </w:tr>
      <w:tr w14:paraId="5798D470">
        <w:tblPrEx>
          <w:tblCellMar>
            <w:top w:w="0" w:type="dxa"/>
            <w:left w:w="108" w:type="dxa"/>
            <w:bottom w:w="0" w:type="dxa"/>
            <w:right w:w="108" w:type="dxa"/>
          </w:tblCellMar>
        </w:tblPrEx>
        <w:tc>
          <w:tcPr>
            <w:tcW w:w="4561" w:type="dxa"/>
          </w:tcPr>
          <w:p w14:paraId="1B6B7C0F">
            <w:pPr>
              <w:pStyle w:val="26"/>
              <w:ind w:right="10"/>
              <w:rPr>
                <w:highlight w:val="none"/>
              </w:rPr>
            </w:pPr>
            <w:r>
              <w:rPr>
                <w:rFonts w:hint="eastAsia" w:cs="宋体"/>
                <w:color w:val="000000"/>
                <w:highlight w:val="none"/>
              </w:rPr>
              <w:t>买方：</w:t>
            </w:r>
          </w:p>
        </w:tc>
        <w:tc>
          <w:tcPr>
            <w:tcW w:w="4619" w:type="dxa"/>
          </w:tcPr>
          <w:p w14:paraId="1D95CB4E">
            <w:pPr>
              <w:pStyle w:val="26"/>
              <w:ind w:right="10"/>
              <w:rPr>
                <w:highlight w:val="none"/>
              </w:rPr>
            </w:pPr>
            <w:r>
              <w:rPr>
                <w:rFonts w:hint="eastAsia" w:cs="宋体"/>
                <w:color w:val="000000"/>
                <w:highlight w:val="none"/>
              </w:rPr>
              <w:t>卖方：</w:t>
            </w:r>
          </w:p>
        </w:tc>
      </w:tr>
      <w:tr w14:paraId="1489E44E">
        <w:tblPrEx>
          <w:tblCellMar>
            <w:top w:w="0" w:type="dxa"/>
            <w:left w:w="108" w:type="dxa"/>
            <w:bottom w:w="0" w:type="dxa"/>
            <w:right w:w="108" w:type="dxa"/>
          </w:tblCellMar>
        </w:tblPrEx>
        <w:tc>
          <w:tcPr>
            <w:tcW w:w="4561" w:type="dxa"/>
          </w:tcPr>
          <w:p w14:paraId="70C37D31">
            <w:pPr>
              <w:pStyle w:val="26"/>
              <w:ind w:right="10"/>
              <w:rPr>
                <w:highlight w:val="none"/>
              </w:rPr>
            </w:pPr>
            <w:r>
              <w:rPr>
                <w:rFonts w:hint="eastAsia" w:cs="宋体"/>
                <w:color w:val="000000"/>
                <w:highlight w:val="none"/>
              </w:rPr>
              <w:t>地址：</w:t>
            </w:r>
          </w:p>
        </w:tc>
        <w:tc>
          <w:tcPr>
            <w:tcW w:w="4619" w:type="dxa"/>
          </w:tcPr>
          <w:p w14:paraId="1F3761C8">
            <w:pPr>
              <w:pStyle w:val="26"/>
              <w:ind w:right="10"/>
              <w:rPr>
                <w:highlight w:val="none"/>
              </w:rPr>
            </w:pPr>
            <w:r>
              <w:rPr>
                <w:rFonts w:hint="eastAsia" w:cs="宋体"/>
                <w:color w:val="000000"/>
                <w:highlight w:val="none"/>
              </w:rPr>
              <w:t>地址：</w:t>
            </w:r>
          </w:p>
        </w:tc>
      </w:tr>
      <w:tr w14:paraId="7458F74A">
        <w:tblPrEx>
          <w:tblCellMar>
            <w:top w:w="0" w:type="dxa"/>
            <w:left w:w="108" w:type="dxa"/>
            <w:bottom w:w="0" w:type="dxa"/>
            <w:right w:w="108" w:type="dxa"/>
          </w:tblCellMar>
        </w:tblPrEx>
        <w:tc>
          <w:tcPr>
            <w:tcW w:w="4561" w:type="dxa"/>
          </w:tcPr>
          <w:p w14:paraId="76BCEC83">
            <w:pPr>
              <w:pStyle w:val="26"/>
              <w:ind w:right="10"/>
              <w:rPr>
                <w:highlight w:val="none"/>
              </w:rPr>
            </w:pPr>
            <w:r>
              <w:rPr>
                <w:rFonts w:hint="eastAsia" w:cs="宋体"/>
                <w:color w:val="000000"/>
                <w:highlight w:val="none"/>
              </w:rPr>
              <w:t>邮编：</w:t>
            </w:r>
          </w:p>
        </w:tc>
        <w:tc>
          <w:tcPr>
            <w:tcW w:w="4619" w:type="dxa"/>
          </w:tcPr>
          <w:p w14:paraId="2519515D">
            <w:pPr>
              <w:pStyle w:val="26"/>
              <w:ind w:right="10"/>
              <w:rPr>
                <w:highlight w:val="none"/>
              </w:rPr>
            </w:pPr>
            <w:r>
              <w:rPr>
                <w:rFonts w:hint="eastAsia" w:cs="宋体"/>
                <w:color w:val="000000"/>
                <w:highlight w:val="none"/>
              </w:rPr>
              <w:t>邮编：</w:t>
            </w:r>
          </w:p>
        </w:tc>
      </w:tr>
      <w:tr w14:paraId="65E5DB18">
        <w:tblPrEx>
          <w:tblCellMar>
            <w:top w:w="0" w:type="dxa"/>
            <w:left w:w="108" w:type="dxa"/>
            <w:bottom w:w="0" w:type="dxa"/>
            <w:right w:w="108" w:type="dxa"/>
          </w:tblCellMar>
        </w:tblPrEx>
        <w:tc>
          <w:tcPr>
            <w:tcW w:w="4561" w:type="dxa"/>
          </w:tcPr>
          <w:p w14:paraId="7D511AC6">
            <w:pPr>
              <w:pStyle w:val="26"/>
              <w:ind w:right="10"/>
              <w:rPr>
                <w:highlight w:val="none"/>
              </w:rPr>
            </w:pPr>
            <w:r>
              <w:rPr>
                <w:rFonts w:hint="eastAsia" w:cs="宋体"/>
                <w:color w:val="000000"/>
                <w:highlight w:val="none"/>
              </w:rPr>
              <w:t>联系人：</w:t>
            </w:r>
          </w:p>
        </w:tc>
        <w:tc>
          <w:tcPr>
            <w:tcW w:w="4619" w:type="dxa"/>
          </w:tcPr>
          <w:p w14:paraId="0FD1839A">
            <w:pPr>
              <w:pStyle w:val="26"/>
              <w:ind w:right="10"/>
              <w:rPr>
                <w:highlight w:val="none"/>
              </w:rPr>
            </w:pPr>
            <w:r>
              <w:rPr>
                <w:rFonts w:hint="eastAsia" w:cs="宋体"/>
                <w:color w:val="000000"/>
                <w:highlight w:val="none"/>
              </w:rPr>
              <w:t>联系人：</w:t>
            </w:r>
          </w:p>
        </w:tc>
      </w:tr>
      <w:tr w14:paraId="0F2AD01D">
        <w:tblPrEx>
          <w:tblCellMar>
            <w:top w:w="0" w:type="dxa"/>
            <w:left w:w="108" w:type="dxa"/>
            <w:bottom w:w="0" w:type="dxa"/>
            <w:right w:w="108" w:type="dxa"/>
          </w:tblCellMar>
        </w:tblPrEx>
        <w:tc>
          <w:tcPr>
            <w:tcW w:w="4561" w:type="dxa"/>
          </w:tcPr>
          <w:p w14:paraId="3E836804">
            <w:pPr>
              <w:pStyle w:val="26"/>
              <w:ind w:right="10"/>
              <w:rPr>
                <w:highlight w:val="none"/>
              </w:rPr>
            </w:pPr>
            <w:r>
              <w:rPr>
                <w:rFonts w:hint="eastAsia" w:cs="宋体"/>
                <w:color w:val="000000"/>
                <w:highlight w:val="none"/>
              </w:rPr>
              <w:t>电话：</w:t>
            </w:r>
          </w:p>
        </w:tc>
        <w:tc>
          <w:tcPr>
            <w:tcW w:w="4619" w:type="dxa"/>
          </w:tcPr>
          <w:p w14:paraId="06E67678">
            <w:pPr>
              <w:pStyle w:val="26"/>
              <w:ind w:right="10"/>
              <w:rPr>
                <w:highlight w:val="none"/>
              </w:rPr>
            </w:pPr>
            <w:r>
              <w:rPr>
                <w:rFonts w:hint="eastAsia" w:cs="宋体"/>
                <w:color w:val="000000"/>
                <w:highlight w:val="none"/>
              </w:rPr>
              <w:t>电话：</w:t>
            </w:r>
          </w:p>
        </w:tc>
      </w:tr>
      <w:tr w14:paraId="50F2FFA7">
        <w:tblPrEx>
          <w:tblCellMar>
            <w:top w:w="0" w:type="dxa"/>
            <w:left w:w="108" w:type="dxa"/>
            <w:bottom w:w="0" w:type="dxa"/>
            <w:right w:w="108" w:type="dxa"/>
          </w:tblCellMar>
        </w:tblPrEx>
        <w:trPr>
          <w:trHeight w:val="80" w:hRule="atLeast"/>
        </w:trPr>
        <w:tc>
          <w:tcPr>
            <w:tcW w:w="4561" w:type="dxa"/>
          </w:tcPr>
          <w:p w14:paraId="038F2BD9">
            <w:pPr>
              <w:pStyle w:val="26"/>
              <w:ind w:right="10"/>
              <w:rPr>
                <w:highlight w:val="none"/>
              </w:rPr>
            </w:pPr>
            <w:r>
              <w:rPr>
                <w:rFonts w:hint="eastAsia" w:cs="宋体"/>
                <w:color w:val="000000"/>
                <w:highlight w:val="none"/>
              </w:rPr>
              <w:t>传真：</w:t>
            </w:r>
          </w:p>
        </w:tc>
        <w:tc>
          <w:tcPr>
            <w:tcW w:w="4619" w:type="dxa"/>
          </w:tcPr>
          <w:p w14:paraId="609555D2">
            <w:pPr>
              <w:pStyle w:val="26"/>
              <w:ind w:right="10"/>
              <w:rPr>
                <w:highlight w:val="none"/>
              </w:rPr>
            </w:pPr>
            <w:r>
              <w:rPr>
                <w:rFonts w:hint="eastAsia" w:cs="宋体"/>
                <w:color w:val="000000"/>
                <w:highlight w:val="none"/>
              </w:rPr>
              <w:t>传真：</w:t>
            </w:r>
          </w:p>
        </w:tc>
      </w:tr>
      <w:tr w14:paraId="4B9B703C">
        <w:tblPrEx>
          <w:tblCellMar>
            <w:top w:w="0" w:type="dxa"/>
            <w:left w:w="108" w:type="dxa"/>
            <w:bottom w:w="0" w:type="dxa"/>
            <w:right w:w="108" w:type="dxa"/>
          </w:tblCellMar>
        </w:tblPrEx>
        <w:tc>
          <w:tcPr>
            <w:tcW w:w="4561" w:type="dxa"/>
          </w:tcPr>
          <w:p w14:paraId="051D6645">
            <w:pPr>
              <w:pStyle w:val="26"/>
              <w:ind w:right="10"/>
              <w:rPr>
                <w:highlight w:val="none"/>
              </w:rPr>
            </w:pPr>
            <w:r>
              <w:rPr>
                <w:rFonts w:hint="eastAsia" w:cs="宋体"/>
                <w:color w:val="000000"/>
                <w:highlight w:val="none"/>
              </w:rPr>
              <w:t>电邮：</w:t>
            </w:r>
          </w:p>
        </w:tc>
        <w:tc>
          <w:tcPr>
            <w:tcW w:w="4619" w:type="dxa"/>
          </w:tcPr>
          <w:p w14:paraId="660AFD69">
            <w:pPr>
              <w:pStyle w:val="26"/>
              <w:ind w:right="10"/>
              <w:rPr>
                <w:highlight w:val="none"/>
              </w:rPr>
            </w:pPr>
            <w:r>
              <w:rPr>
                <w:rFonts w:hint="eastAsia" w:cs="宋体"/>
                <w:color w:val="000000"/>
                <w:highlight w:val="none"/>
              </w:rPr>
              <w:t>电邮：</w:t>
            </w:r>
          </w:p>
        </w:tc>
      </w:tr>
    </w:tbl>
    <w:p w14:paraId="32A198B8">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highlight w:val="none"/>
        </w:rPr>
        <mc:AlternateContent>
          <mc:Choice Requires="wps">
            <w:drawing>
              <wp:anchor distT="0" distB="0" distL="114300" distR="114300" simplePos="0" relativeHeight="251660288" behindDoc="0" locked="1" layoutInCell="1" allowOverlap="1">
                <wp:simplePos x="0" y="0"/>
                <wp:positionH relativeFrom="column">
                  <wp:posOffset>-342900</wp:posOffset>
                </wp:positionH>
                <wp:positionV relativeFrom="paragraph">
                  <wp:posOffset>12700</wp:posOffset>
                </wp:positionV>
                <wp:extent cx="605790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7pt;margin-top:1pt;height:0pt;width:477pt;z-index:251660288;mso-width-relative:page;mso-height-relative:page;" filled="f" stroked="t" coordsize="21600,21600" o:gfxdata="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qX82NQAAAAHAQAA&#10;DwAAAAAAAAABACAAAAAiAAAAZHJzL2Rvd25yZXYueG1sUEsBAhQAFAAAAAgAh07iQE1rqXrkAQAA&#10;qgMAAA4AAAAAAAAAAQAgAAAAIwEAAGRycy9lMm9Eb2MueG1sUEsFBgAAAAAGAAYAWQEAAHkFAAAA&#10;AA==&#10;">
                <v:fill on="f" focussize="0,0"/>
                <v:stroke color="#000000" joinstyle="round"/>
                <v:imagedata o:title=""/>
                <o:lock v:ext="edit" aspectratio="f"/>
                <w10:anchorlock/>
              </v:line>
            </w:pict>
          </mc:Fallback>
        </mc:AlternateContent>
      </w:r>
      <w:r>
        <w:rPr>
          <w:rFonts w:hint="eastAsia" w:cs="宋体"/>
          <w:color w:val="000000"/>
          <w:highlight w:val="none"/>
        </w:rPr>
        <w:t>根据买卖双方签订的（合同编号：），买方通知卖方按照以下要求发货：</w:t>
      </w:r>
    </w:p>
    <w:p w14:paraId="6FC77A9A">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rFonts w:cs="宋体"/>
          <w:highlight w:val="none"/>
        </w:rPr>
      </w:pPr>
      <w:r>
        <w:rPr>
          <w:b/>
          <w:bCs/>
          <w:color w:val="000000"/>
          <w:highlight w:val="none"/>
        </w:rPr>
        <w:t>1</w:t>
      </w:r>
      <w:r>
        <w:rPr>
          <w:rFonts w:hint="eastAsia" w:cs="宋体"/>
          <w:b/>
          <w:bCs/>
          <w:color w:val="000000"/>
          <w:highlight w:val="none"/>
        </w:rPr>
        <w:t>、发货内容：</w:t>
      </w:r>
      <w:r>
        <w:rPr>
          <w:rFonts w:hint="eastAsia" w:cs="宋体"/>
          <w:color w:val="000000"/>
          <w:highlight w:val="none"/>
        </w:rPr>
        <w:t>，货物明细见附页发货清单。</w:t>
      </w:r>
    </w:p>
    <w:p w14:paraId="11912298">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u w:val="single"/>
        </w:rPr>
      </w:pPr>
      <w:r>
        <w:rPr>
          <w:rFonts w:hint="eastAsia" w:cs="宋体"/>
          <w:color w:val="000000"/>
          <w:highlight w:val="none"/>
        </w:rPr>
        <w:t>发货总金额：。</w:t>
      </w:r>
    </w:p>
    <w:p w14:paraId="6D696248">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highlight w:val="none"/>
        </w:rPr>
      </w:pPr>
      <w:r>
        <w:rPr>
          <w:b/>
          <w:bCs/>
          <w:color w:val="000000"/>
          <w:highlight w:val="none"/>
        </w:rPr>
        <w:t>2</w:t>
      </w:r>
      <w:r>
        <w:rPr>
          <w:rFonts w:hint="eastAsia" w:cs="宋体"/>
          <w:b/>
          <w:bCs/>
          <w:color w:val="000000"/>
          <w:highlight w:val="none"/>
        </w:rPr>
        <w:t>、运输唛头标记：</w:t>
      </w:r>
    </w:p>
    <w:p w14:paraId="4AAFBAC4">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149" w:leftChars="-71" w:right="10" w:firstLine="3150" w:firstLineChars="1500"/>
        <w:rPr>
          <w:rFonts w:cs="宋体"/>
          <w:highlight w:val="none"/>
          <w:u w:val="single"/>
        </w:rPr>
      </w:pPr>
      <w:r>
        <w:rPr>
          <w:rFonts w:cs="宋体"/>
          <w:color w:val="000000"/>
          <w:highlight w:val="none"/>
        </w:rPr>
        <w:t>合同编号</w:t>
      </w:r>
    </w:p>
    <w:p w14:paraId="1822CA37">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149" w:leftChars="-71" w:right="10" w:firstLine="2940" w:firstLineChars="1400"/>
        <w:rPr>
          <w:highlight w:val="none"/>
          <w:u w:val="single"/>
        </w:rPr>
      </w:pPr>
      <w:r>
        <w:rPr>
          <w:rFonts w:hint="eastAsia" w:cs="宋体"/>
          <w:color w:val="000000"/>
          <w:highlight w:val="none"/>
        </w:rPr>
        <w:t>采购订单号</w:t>
      </w:r>
    </w:p>
    <w:p w14:paraId="26C4510A">
      <w:pPr>
        <w:pStyle w:val="26"/>
        <w:tabs>
          <w:tab w:val="left" w:pos="360"/>
          <w:tab w:val="left" w:pos="720"/>
          <w:tab w:val="left" w:pos="1080"/>
          <w:tab w:val="left" w:pos="1440"/>
          <w:tab w:val="left" w:pos="2640"/>
          <w:tab w:val="left" w:pos="309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color w:val="000000"/>
          <w:highlight w:val="none"/>
        </w:rPr>
        <w:tab/>
      </w:r>
      <w:r>
        <w:rPr>
          <w:color w:val="000000"/>
          <w:highlight w:val="none"/>
        </w:rPr>
        <w:tab/>
      </w:r>
      <w:r>
        <w:rPr>
          <w:color w:val="000000"/>
          <w:highlight w:val="none"/>
        </w:rPr>
        <w:tab/>
      </w:r>
      <w:r>
        <w:rPr>
          <w:color w:val="000000"/>
          <w:highlight w:val="none"/>
        </w:rPr>
        <w:tab/>
      </w:r>
      <w:r>
        <w:rPr>
          <w:color w:val="000000"/>
          <w:highlight w:val="none"/>
        </w:rPr>
        <w:tab/>
      </w:r>
      <w:r>
        <w:rPr>
          <w:color w:val="000000"/>
          <w:highlight w:val="none"/>
        </w:rPr>
        <w:tab/>
      </w:r>
      <w:r>
        <w:rPr>
          <w:color w:val="000000"/>
          <w:highlight w:val="none"/>
        </w:rPr>
        <w:tab/>
      </w:r>
      <w:r>
        <w:rPr>
          <w:rFonts w:hint="eastAsia" w:cs="宋体"/>
          <w:color w:val="000000"/>
          <w:highlight w:val="none"/>
        </w:rPr>
        <w:t>中海油</w:t>
      </w:r>
      <w:r>
        <w:rPr>
          <w:color w:val="000000"/>
          <w:highlight w:val="none"/>
        </w:rPr>
        <w:t>-XX</w:t>
      </w:r>
    </w:p>
    <w:p w14:paraId="70010BD8">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rFonts w:cs="宋体"/>
          <w:highlight w:val="none"/>
        </w:rPr>
      </w:pPr>
      <w:r>
        <w:rPr>
          <w:b/>
          <w:bCs/>
          <w:color w:val="000000"/>
          <w:highlight w:val="none"/>
        </w:rPr>
        <w:t>3</w:t>
      </w:r>
      <w:r>
        <w:rPr>
          <w:rFonts w:hint="eastAsia" w:cs="宋体"/>
          <w:b/>
          <w:bCs/>
          <w:color w:val="000000"/>
          <w:highlight w:val="none"/>
        </w:rPr>
        <w:t>、交货时间：</w:t>
      </w:r>
      <w:r>
        <w:rPr>
          <w:rFonts w:hint="eastAsia" w:cs="宋体"/>
          <w:color w:val="000000"/>
          <w:highlight w:val="none"/>
        </w:rPr>
        <w:t>年月日前一次交清。或</w:t>
      </w:r>
    </w:p>
    <w:p w14:paraId="28EEDC59">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149" w:leftChars="-71" w:right="10" w:firstLine="1050" w:firstLineChars="500"/>
        <w:rPr>
          <w:highlight w:val="none"/>
        </w:rPr>
      </w:pPr>
      <w:r>
        <w:rPr>
          <w:rFonts w:hint="eastAsia" w:cs="宋体"/>
          <w:color w:val="000000"/>
          <w:highlight w:val="none"/>
        </w:rPr>
        <w:t>双方签字盖章后个日历日内交货。</w:t>
      </w:r>
    </w:p>
    <w:p w14:paraId="0B1B74D0">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highlight w:val="none"/>
        </w:rPr>
      </w:pPr>
      <w:r>
        <w:rPr>
          <w:b/>
          <w:bCs/>
          <w:color w:val="000000"/>
          <w:highlight w:val="none"/>
        </w:rPr>
        <w:t>4</w:t>
      </w:r>
      <w:r>
        <w:rPr>
          <w:rFonts w:hint="eastAsia" w:cs="宋体"/>
          <w:b/>
          <w:bCs/>
          <w:color w:val="000000"/>
          <w:highlight w:val="none"/>
        </w:rPr>
        <w:t>、交货地点：</w:t>
      </w:r>
    </w:p>
    <w:p w14:paraId="044BDB58">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color w:val="000000"/>
          <w:highlight w:val="none"/>
        </w:rPr>
      </w:pPr>
      <w:r>
        <w:rPr>
          <w:b/>
          <w:bCs/>
          <w:color w:val="000000"/>
          <w:highlight w:val="none"/>
        </w:rPr>
        <w:t>5</w:t>
      </w:r>
      <w:r>
        <w:rPr>
          <w:rFonts w:hint="eastAsia" w:cs="宋体"/>
          <w:b/>
          <w:bCs/>
          <w:color w:val="000000"/>
          <w:highlight w:val="none"/>
        </w:rPr>
        <w:t>、收货单位：收货联系人：</w:t>
      </w:r>
    </w:p>
    <w:p w14:paraId="09C75AB0">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u w:val="single"/>
        </w:rPr>
      </w:pPr>
      <w:r>
        <w:rPr>
          <w:rFonts w:hint="eastAsia" w:cs="宋体"/>
          <w:color w:val="000000"/>
          <w:highlight w:val="none"/>
        </w:rPr>
        <w:t>地址：；电话：；传真；电邮：</w:t>
      </w:r>
    </w:p>
    <w:p w14:paraId="0EE7E253">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b/>
          <w:bCs/>
          <w:highlight w:val="none"/>
        </w:rPr>
      </w:pPr>
      <w:r>
        <w:rPr>
          <w:b/>
          <w:bCs/>
          <w:color w:val="000000"/>
          <w:highlight w:val="none"/>
        </w:rPr>
        <w:t>6</w:t>
      </w:r>
      <w:r>
        <w:rPr>
          <w:rFonts w:hint="eastAsia" w:cs="宋体"/>
          <w:b/>
          <w:bCs/>
          <w:color w:val="000000"/>
          <w:highlight w:val="none"/>
        </w:rPr>
        <w:t>、交货通知：</w:t>
      </w:r>
    </w:p>
    <w:p w14:paraId="13531A85">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right="10" w:firstLine="1"/>
        <w:rPr>
          <w:highlight w:val="none"/>
        </w:rPr>
      </w:pPr>
      <w:r>
        <w:rPr>
          <w:rFonts w:hint="eastAsia" w:cs="宋体"/>
          <w:color w:val="000000"/>
          <w:highlight w:val="none"/>
        </w:rPr>
        <w:t>卖方应在发货后【一】日内，将发货信息以传真或电邮方式通知收货单位联系人。卖方无法按期交货的，在交货日期前应及时通知买方。</w:t>
      </w:r>
    </w:p>
    <w:p w14:paraId="59A6E55A">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b/>
          <w:bCs/>
          <w:highlight w:val="none"/>
        </w:rPr>
      </w:pPr>
      <w:r>
        <w:rPr>
          <w:b/>
          <w:bCs/>
          <w:color w:val="000000"/>
          <w:highlight w:val="none"/>
        </w:rPr>
        <w:t>7</w:t>
      </w:r>
      <w:r>
        <w:rPr>
          <w:rFonts w:hint="eastAsia" w:cs="宋体"/>
          <w:b/>
          <w:bCs/>
          <w:color w:val="000000"/>
          <w:highlight w:val="none"/>
        </w:rPr>
        <w:t>、交货文件：</w:t>
      </w:r>
    </w:p>
    <w:p w14:paraId="4D5575BD">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right="10" w:firstLine="1"/>
        <w:rPr>
          <w:rFonts w:cs="宋体"/>
          <w:highlight w:val="none"/>
        </w:rPr>
      </w:pPr>
      <w:r>
        <w:rPr>
          <w:rFonts w:hint="eastAsia" w:cs="宋体"/>
          <w:color w:val="000000"/>
          <w:highlight w:val="none"/>
        </w:rPr>
        <w:t>卖方交货时应当按照合同约定提供所交货物的发货清单、出厂合格证书、领货凭证、技术资料等文件，并文件上注明所属采购订单号后及时寄送收货联系人。</w:t>
      </w:r>
    </w:p>
    <w:p w14:paraId="057C02E5">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highlight w:val="none"/>
          <w:u w:val="single"/>
        </w:rPr>
      </w:pPr>
      <w:r>
        <w:rPr>
          <w:rFonts w:hint="eastAsia"/>
          <w:b/>
          <w:bCs/>
          <w:color w:val="000000"/>
          <w:highlight w:val="none"/>
        </w:rPr>
        <w:t>8</w:t>
      </w:r>
      <w:r>
        <w:rPr>
          <w:rFonts w:hint="eastAsia" w:cs="宋体"/>
          <w:b/>
          <w:bCs/>
          <w:color w:val="000000"/>
          <w:highlight w:val="none"/>
        </w:rPr>
        <w:t>、其它要求：</w:t>
      </w:r>
      <w:r>
        <w:rPr>
          <w:rFonts w:hint="eastAsia"/>
          <w:color w:val="000000"/>
          <w:highlight w:val="none"/>
        </w:rPr>
        <w:t>（可根据各单位实际情况添加付款方式、主合同规定的付款时间要求、开票信息、付款资料的要求、HSE要求等，若内容较多可以附件形式添加）</w:t>
      </w:r>
    </w:p>
    <w:p w14:paraId="6E68B30C">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7" w:leftChars="-171" w:right="10" w:hanging="312" w:hangingChars="149"/>
        <w:rPr>
          <w:highlight w:val="none"/>
          <w:u w:val="single"/>
        </w:rPr>
      </w:pPr>
    </w:p>
    <w:p w14:paraId="38AC2BED">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rFonts w:cs="宋体"/>
          <w:b/>
          <w:bCs/>
          <w:highlight w:val="none"/>
        </w:rPr>
      </w:pPr>
      <w:r>
        <w:rPr>
          <w:rFonts w:cs="宋体"/>
          <w:b/>
          <w:bCs/>
          <w:color w:val="000000"/>
          <w:highlight w:val="none"/>
        </w:rPr>
        <w:t>9</w:t>
      </w:r>
      <w:r>
        <w:rPr>
          <w:rFonts w:hint="eastAsia" w:cs="宋体"/>
          <w:b/>
          <w:bCs/>
          <w:color w:val="000000"/>
          <w:highlight w:val="none"/>
        </w:rPr>
        <w:t>、本订单未尽事宜适用于</w:t>
      </w:r>
      <w:r>
        <w:rPr>
          <w:rFonts w:hint="eastAsia" w:cs="宋体"/>
          <w:color w:val="000000"/>
          <w:highlight w:val="none"/>
        </w:rPr>
        <w:t>（合同编号：）年度合同名称</w:t>
      </w:r>
      <w:r>
        <w:rPr>
          <w:rFonts w:hint="eastAsia" w:cs="宋体"/>
          <w:b/>
          <w:bCs/>
          <w:color w:val="000000"/>
          <w:highlight w:val="none"/>
        </w:rPr>
        <w:t>相关条款；</w:t>
      </w:r>
    </w:p>
    <w:p w14:paraId="754AB939">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7" w:leftChars="-171" w:right="10" w:hanging="312" w:hangingChars="149"/>
        <w:rPr>
          <w:rFonts w:cs="Calibri"/>
          <w:highlight w:val="none"/>
          <w:u w:val="single"/>
        </w:rPr>
      </w:pPr>
    </w:p>
    <w:p w14:paraId="3018973A">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3885" w:right="10" w:hanging="3885" w:hangingChars="1850"/>
        <w:rPr>
          <w:highlight w:val="none"/>
        </w:rPr>
      </w:pPr>
      <w:r>
        <w:rPr>
          <w:rFonts w:hint="eastAsia" w:cs="宋体"/>
          <w:color w:val="000000"/>
          <w:highlight w:val="none"/>
        </w:rPr>
        <w:t>买方执行方（签章）：                                 卖方（签章）：</w:t>
      </w:r>
    </w:p>
    <w:p w14:paraId="646D6271">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s="宋体"/>
          <w:color w:val="000000"/>
          <w:highlight w:val="none"/>
        </w:rPr>
        <w:t>日期：                                               日期：</w:t>
      </w:r>
    </w:p>
    <w:p w14:paraId="26297063">
      <w:pPr>
        <w:pStyle w:val="26"/>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p w14:paraId="1FE983B4">
      <w:pPr>
        <w:pStyle w:val="26"/>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olor w:val="000000"/>
          <w:highlight w:val="none"/>
        </w:rPr>
        <w:t>（买方执行方签字人为各所属单位法定代表人或其授权人，加盖的章为各所属单位的</w:t>
      </w:r>
      <w:r>
        <w:rPr>
          <w:rFonts w:hint="eastAsia"/>
          <w:b/>
          <w:color w:val="000000"/>
          <w:highlight w:val="none"/>
        </w:rPr>
        <w:t>合同章</w:t>
      </w:r>
      <w:r>
        <w:rPr>
          <w:rFonts w:hint="eastAsia"/>
          <w:color w:val="000000"/>
          <w:highlight w:val="none"/>
        </w:rPr>
        <w:t>）</w:t>
      </w:r>
    </w:p>
    <w:p w14:paraId="41DD2244">
      <w:pPr>
        <w:pStyle w:val="26"/>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520" w:right="10" w:hanging="1200"/>
        <w:jc w:val="center"/>
        <w:rPr>
          <w:highlight w:val="none"/>
        </w:rPr>
      </w:pPr>
    </w:p>
    <w:p w14:paraId="17103B93">
      <w:pPr>
        <w:pStyle w:val="26"/>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520" w:right="10" w:hanging="1200"/>
        <w:jc w:val="center"/>
        <w:rPr>
          <w:highlight w:val="none"/>
        </w:rPr>
      </w:pPr>
    </w:p>
    <w:p w14:paraId="28BF76B2">
      <w:pPr>
        <w:pStyle w:val="26"/>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b/>
          <w:bCs/>
          <w:highlight w:val="none"/>
        </w:rPr>
      </w:pPr>
      <w:r>
        <w:rPr>
          <w:rFonts w:cs="宋体"/>
          <w:b/>
          <w:bCs/>
          <w:color w:val="000000"/>
          <w:highlight w:val="none"/>
        </w:rPr>
        <w:br w:type="page"/>
      </w:r>
      <w:r>
        <w:rPr>
          <w:rFonts w:hint="eastAsia" w:cs="宋体"/>
          <w:b/>
          <w:bCs/>
          <w:color w:val="000000"/>
          <w:highlight w:val="none"/>
        </w:rPr>
        <w:t>发货清单（格式）</w:t>
      </w:r>
    </w:p>
    <w:p w14:paraId="3B281820">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p w14:paraId="180DF167">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u w:val="single"/>
        </w:rPr>
      </w:pPr>
      <w:r>
        <w:rPr>
          <w:rFonts w:cs="宋体"/>
          <w:color w:val="000000"/>
          <w:highlight w:val="none"/>
        </w:rPr>
        <w:t>合同编号</w:t>
      </w:r>
      <w:r>
        <w:rPr>
          <w:rFonts w:hint="eastAsia" w:cs="宋体"/>
          <w:color w:val="000000"/>
          <w:highlight w:val="none"/>
        </w:rPr>
        <w:t>：</w:t>
      </w:r>
    </w:p>
    <w:p w14:paraId="2C67A7AB">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r>
        <w:rPr>
          <w:rFonts w:hint="eastAsia" w:cs="宋体"/>
          <w:color w:val="000000"/>
          <w:highlight w:val="none"/>
        </w:rPr>
        <w:t>采购订单号：</w:t>
      </w:r>
    </w:p>
    <w:p w14:paraId="39EF1623">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s="宋体"/>
          <w:color w:val="000000"/>
          <w:highlight w:val="none"/>
        </w:rPr>
        <w:t>发货单位：</w:t>
      </w:r>
    </w:p>
    <w:p w14:paraId="5CBA9251">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r>
        <w:rPr>
          <w:rFonts w:hint="eastAsia" w:cs="宋体"/>
          <w:color w:val="000000"/>
          <w:highlight w:val="none"/>
        </w:rPr>
        <w:t>收货单位：</w:t>
      </w:r>
    </w:p>
    <w:p w14:paraId="13022C4E">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s="宋体"/>
          <w:color w:val="000000"/>
          <w:highlight w:val="none"/>
        </w:rPr>
        <w:t>交货地点：</w:t>
      </w:r>
    </w:p>
    <w:p w14:paraId="5E494E36">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bl>
      <w:tblPr>
        <w:tblStyle w:val="1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220"/>
        <w:gridCol w:w="807"/>
        <w:gridCol w:w="948"/>
        <w:gridCol w:w="948"/>
        <w:gridCol w:w="948"/>
        <w:gridCol w:w="970"/>
      </w:tblGrid>
      <w:tr w14:paraId="526F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87" w:type="dxa"/>
            <w:vAlign w:val="center"/>
          </w:tcPr>
          <w:p w14:paraId="140AFEAD">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序号</w:t>
            </w:r>
          </w:p>
        </w:tc>
        <w:tc>
          <w:tcPr>
            <w:tcW w:w="3223" w:type="dxa"/>
            <w:vAlign w:val="center"/>
          </w:tcPr>
          <w:p w14:paraId="55F89D57">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货物名称</w:t>
            </w:r>
          </w:p>
        </w:tc>
        <w:tc>
          <w:tcPr>
            <w:tcW w:w="807" w:type="dxa"/>
            <w:vAlign w:val="center"/>
          </w:tcPr>
          <w:p w14:paraId="3EE80873">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单位</w:t>
            </w:r>
          </w:p>
        </w:tc>
        <w:tc>
          <w:tcPr>
            <w:tcW w:w="949" w:type="dxa"/>
            <w:vAlign w:val="center"/>
          </w:tcPr>
          <w:p w14:paraId="33EB9FEE">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数量</w:t>
            </w:r>
          </w:p>
        </w:tc>
        <w:tc>
          <w:tcPr>
            <w:tcW w:w="949" w:type="dxa"/>
            <w:vAlign w:val="center"/>
          </w:tcPr>
          <w:p w14:paraId="7FE7D344">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单价</w:t>
            </w:r>
          </w:p>
        </w:tc>
        <w:tc>
          <w:tcPr>
            <w:tcW w:w="949" w:type="dxa"/>
            <w:vAlign w:val="center"/>
          </w:tcPr>
          <w:p w14:paraId="1F299B4D">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金额</w:t>
            </w:r>
          </w:p>
        </w:tc>
        <w:tc>
          <w:tcPr>
            <w:tcW w:w="970" w:type="dxa"/>
            <w:vAlign w:val="center"/>
          </w:tcPr>
          <w:p w14:paraId="31C2CAD2">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10" w:right="10" w:hanging="210" w:hangingChars="100"/>
              <w:jc w:val="center"/>
              <w:rPr>
                <w:highlight w:val="none"/>
              </w:rPr>
            </w:pPr>
            <w:r>
              <w:rPr>
                <w:rFonts w:hint="eastAsia" w:cs="宋体"/>
                <w:color w:val="000000"/>
                <w:highlight w:val="none"/>
              </w:rPr>
              <w:t>备注</w:t>
            </w:r>
          </w:p>
        </w:tc>
      </w:tr>
      <w:tr w14:paraId="16F9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7" w:type="dxa"/>
          </w:tcPr>
          <w:p w14:paraId="348C3BEA">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3223" w:type="dxa"/>
          </w:tcPr>
          <w:p w14:paraId="7A2E5E1D">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14:paraId="0C2ECEE8">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14:paraId="298F6976">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14:paraId="3EF512D5">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14:paraId="256CE44F">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14:paraId="50AE5E6C">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14:paraId="5551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tcPr>
          <w:p w14:paraId="2FE692CC">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p>
        </w:tc>
        <w:tc>
          <w:tcPr>
            <w:tcW w:w="3223" w:type="dxa"/>
          </w:tcPr>
          <w:p w14:paraId="68943274">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14:paraId="02B5B1C3">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14:paraId="61A77FED">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14:paraId="40ABB3EE">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14:paraId="53B30493">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14:paraId="0B5AA261">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14:paraId="7746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7" w:type="dxa"/>
          </w:tcPr>
          <w:p w14:paraId="7E47C61A">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3223" w:type="dxa"/>
          </w:tcPr>
          <w:p w14:paraId="687B3AB2">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14:paraId="2F61DE3A">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14:paraId="6381926C">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14:paraId="117C93C3">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14:paraId="5E92054E">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14:paraId="64A63CBF">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14:paraId="15CE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tcPr>
          <w:p w14:paraId="452D29C8">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p>
        </w:tc>
        <w:tc>
          <w:tcPr>
            <w:tcW w:w="3223" w:type="dxa"/>
          </w:tcPr>
          <w:p w14:paraId="2CC2E4F7">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14:paraId="1EA98F57">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14:paraId="77CBFDA4">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14:paraId="494E13F1">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14:paraId="1C461FAA">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14:paraId="1EBC4173">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14:paraId="07E7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7" w:type="dxa"/>
          </w:tcPr>
          <w:p w14:paraId="7101AD37">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3223" w:type="dxa"/>
          </w:tcPr>
          <w:p w14:paraId="6D263615">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14:paraId="35F40AD5">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14:paraId="6AC4A820">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14:paraId="3F12EF70">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14:paraId="583E9B1C">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14:paraId="2CDCA539">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14:paraId="3C69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tcPr>
          <w:p w14:paraId="1FFB65FC">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r>
              <w:rPr>
                <w:rFonts w:hint="eastAsia" w:cs="宋体"/>
                <w:color w:val="000000"/>
                <w:highlight w:val="none"/>
              </w:rPr>
              <w:t>总计</w:t>
            </w:r>
          </w:p>
        </w:tc>
        <w:tc>
          <w:tcPr>
            <w:tcW w:w="3223" w:type="dxa"/>
          </w:tcPr>
          <w:p w14:paraId="7514AAAD">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14:paraId="1818CE24">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14:paraId="0D31E73A">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14:paraId="49BC8DCC">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14:paraId="3F3FF61B">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14:paraId="428D68B8">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bl>
    <w:p w14:paraId="3A4B5074">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p w14:paraId="0D9A91CB">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s="宋体"/>
          <w:color w:val="000000"/>
          <w:highlight w:val="none"/>
        </w:rPr>
        <w:t>其它说明：</w:t>
      </w:r>
    </w:p>
    <w:p w14:paraId="381B8445">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color w:val="000000"/>
          <w:highlight w:val="none"/>
        </w:rPr>
        <w:t>1</w:t>
      </w:r>
      <w:r>
        <w:rPr>
          <w:rFonts w:hint="eastAsia" w:cs="宋体"/>
          <w:color w:val="000000"/>
          <w:highlight w:val="none"/>
        </w:rPr>
        <w:t>、</w:t>
      </w:r>
    </w:p>
    <w:p w14:paraId="1C42B728">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color w:val="000000"/>
          <w:highlight w:val="none"/>
        </w:rPr>
        <w:t>2</w:t>
      </w:r>
      <w:r>
        <w:rPr>
          <w:rFonts w:hint="eastAsia" w:cs="宋体"/>
          <w:color w:val="000000"/>
          <w:highlight w:val="none"/>
        </w:rPr>
        <w:t>、</w:t>
      </w:r>
    </w:p>
    <w:p w14:paraId="66CEA722">
      <w:pPr>
        <w:pStyle w:val="26"/>
        <w:tabs>
          <w:tab w:val="left" w:pos="420"/>
          <w:tab w:val="left" w:pos="840"/>
          <w:tab w:val="left" w:pos="1260"/>
          <w:tab w:val="left" w:pos="1680"/>
          <w:tab w:val="left" w:pos="2100"/>
          <w:tab w:val="right" w:pos="9638"/>
        </w:tabs>
        <w:spacing w:line="360" w:lineRule="auto"/>
        <w:ind w:right="10" w:firstLine="2205" w:firstLineChars="1050"/>
        <w:rPr>
          <w:highlight w:val="none"/>
        </w:rPr>
      </w:pPr>
      <w:r>
        <w:rPr>
          <w:rFonts w:hint="eastAsia" w:cs="宋体"/>
          <w:color w:val="000000"/>
          <w:highlight w:val="none"/>
        </w:rPr>
        <w:t>卖方（签章）：</w:t>
      </w:r>
      <w:r>
        <w:rPr>
          <w:color w:val="000000"/>
          <w:highlight w:val="none"/>
        </w:rPr>
        <w:t>_____________</w:t>
      </w:r>
    </w:p>
    <w:p w14:paraId="13C43B09">
      <w:pPr>
        <w:rPr>
          <w:highlight w:val="none"/>
        </w:rPr>
      </w:pPr>
      <w:r>
        <w:rPr>
          <w:highlight w:val="none"/>
        </w:rPr>
        <w:br w:type="page"/>
      </w:r>
      <w:bookmarkStart w:id="546" w:name="_Toc300671237"/>
      <w:bookmarkStart w:id="547" w:name="_Toc306354385"/>
      <w:r>
        <w:rPr>
          <w:rFonts w:hint="eastAsia"/>
          <w:highlight w:val="none"/>
        </w:rPr>
        <w:t>合同附件四：送货单（格式）</w:t>
      </w:r>
      <w:bookmarkEnd w:id="546"/>
      <w:bookmarkEnd w:id="547"/>
    </w:p>
    <w:p w14:paraId="40F6096D">
      <w:pPr>
        <w:pStyle w:val="26"/>
        <w:spacing w:line="360" w:lineRule="auto"/>
        <w:ind w:right="-519" w:rightChars="-247" w:firstLine="210" w:firstLineChars="100"/>
        <w:rPr>
          <w:highlight w:val="none"/>
        </w:rPr>
      </w:pPr>
    </w:p>
    <w:p w14:paraId="19E82724">
      <w:pPr>
        <w:pStyle w:val="26"/>
        <w:spacing w:line="360" w:lineRule="auto"/>
        <w:ind w:right="-519" w:rightChars="-247"/>
        <w:rPr>
          <w:highlight w:val="none"/>
        </w:rPr>
      </w:pPr>
      <w:r>
        <w:rPr>
          <w:rFonts w:hint="eastAsia" w:cs="宋体"/>
          <w:color w:val="000000"/>
          <w:highlight w:val="none"/>
        </w:rPr>
        <w:t>收货单位</w:t>
      </w:r>
      <w:r>
        <w:rPr>
          <w:color w:val="000000"/>
          <w:highlight w:val="none"/>
        </w:rPr>
        <w:t>:</w:t>
      </w:r>
      <w:r>
        <w:rPr>
          <w:rFonts w:hint="eastAsia" w:cs="宋体"/>
          <w:color w:val="000000"/>
          <w:highlight w:val="none"/>
        </w:rPr>
        <w:t>合同编号</w:t>
      </w:r>
      <w:r>
        <w:rPr>
          <w:color w:val="000000"/>
          <w:highlight w:val="none"/>
        </w:rPr>
        <w:t>:</w:t>
      </w:r>
    </w:p>
    <w:p w14:paraId="71BF5A3A">
      <w:pPr>
        <w:pStyle w:val="26"/>
        <w:spacing w:line="360" w:lineRule="auto"/>
        <w:ind w:right="-519" w:rightChars="-247"/>
        <w:rPr>
          <w:highlight w:val="none"/>
        </w:rPr>
      </w:pPr>
      <w:r>
        <w:rPr>
          <w:rFonts w:hint="eastAsia" w:cs="宋体"/>
          <w:color w:val="000000"/>
          <w:highlight w:val="none"/>
        </w:rPr>
        <w:t>交货地点</w:t>
      </w:r>
      <w:r>
        <w:rPr>
          <w:color w:val="000000"/>
          <w:highlight w:val="none"/>
        </w:rPr>
        <w:t>:</w:t>
      </w:r>
      <w:r>
        <w:rPr>
          <w:rFonts w:hint="eastAsia" w:cs="宋体"/>
          <w:color w:val="000000"/>
          <w:highlight w:val="none"/>
        </w:rPr>
        <w:t>采购订单号：</w:t>
      </w:r>
    </w:p>
    <w:tbl>
      <w:tblPr>
        <w:tblStyle w:val="1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509"/>
        <w:gridCol w:w="2539"/>
        <w:gridCol w:w="1025"/>
        <w:gridCol w:w="688"/>
        <w:gridCol w:w="688"/>
        <w:gridCol w:w="857"/>
        <w:gridCol w:w="1701"/>
      </w:tblGrid>
      <w:tr w14:paraId="1E71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3C71A51A">
            <w:pPr>
              <w:pStyle w:val="26"/>
              <w:spacing w:line="360" w:lineRule="auto"/>
              <w:ind w:right="-519" w:rightChars="-247"/>
              <w:rPr>
                <w:highlight w:val="none"/>
              </w:rPr>
            </w:pPr>
            <w:r>
              <w:rPr>
                <w:rFonts w:hint="eastAsia" w:cs="宋体"/>
                <w:color w:val="000000"/>
                <w:highlight w:val="none"/>
              </w:rPr>
              <w:t>序号</w:t>
            </w:r>
          </w:p>
        </w:tc>
        <w:tc>
          <w:tcPr>
            <w:tcW w:w="3240" w:type="dxa"/>
            <w:gridSpan w:val="2"/>
          </w:tcPr>
          <w:p w14:paraId="67D36A01">
            <w:pPr>
              <w:pStyle w:val="26"/>
              <w:spacing w:line="360" w:lineRule="auto"/>
              <w:ind w:right="-519" w:rightChars="-247"/>
              <w:rPr>
                <w:highlight w:val="none"/>
              </w:rPr>
            </w:pPr>
            <w:r>
              <w:rPr>
                <w:rFonts w:hint="eastAsia" w:cs="宋体"/>
                <w:color w:val="000000"/>
                <w:highlight w:val="none"/>
              </w:rPr>
              <w:t>货物品牌、名称、规格</w:t>
            </w:r>
          </w:p>
          <w:p w14:paraId="3A471A9E">
            <w:pPr>
              <w:pStyle w:val="26"/>
              <w:spacing w:line="360" w:lineRule="auto"/>
              <w:ind w:right="-519" w:rightChars="-247"/>
              <w:rPr>
                <w:highlight w:val="none"/>
              </w:rPr>
            </w:pPr>
            <w:r>
              <w:rPr>
                <w:rFonts w:hint="eastAsia" w:cs="宋体"/>
                <w:color w:val="000000"/>
                <w:highlight w:val="none"/>
              </w:rPr>
              <w:t>及包装单位</w:t>
            </w:r>
          </w:p>
        </w:tc>
        <w:tc>
          <w:tcPr>
            <w:tcW w:w="1080" w:type="dxa"/>
          </w:tcPr>
          <w:p w14:paraId="7AAA5E49">
            <w:pPr>
              <w:pStyle w:val="26"/>
              <w:spacing w:line="360" w:lineRule="auto"/>
              <w:ind w:right="-519" w:rightChars="-247"/>
              <w:rPr>
                <w:highlight w:val="none"/>
              </w:rPr>
            </w:pPr>
            <w:r>
              <w:rPr>
                <w:rFonts w:hint="eastAsia" w:cs="宋体"/>
                <w:color w:val="000000"/>
                <w:highlight w:val="none"/>
              </w:rPr>
              <w:t>单位</w:t>
            </w:r>
          </w:p>
        </w:tc>
        <w:tc>
          <w:tcPr>
            <w:tcW w:w="720" w:type="dxa"/>
          </w:tcPr>
          <w:p w14:paraId="2AC91DEE">
            <w:pPr>
              <w:pStyle w:val="26"/>
              <w:spacing w:line="360" w:lineRule="auto"/>
              <w:ind w:right="-519" w:rightChars="-247"/>
              <w:rPr>
                <w:highlight w:val="none"/>
              </w:rPr>
            </w:pPr>
            <w:r>
              <w:rPr>
                <w:rFonts w:hint="eastAsia" w:cs="宋体"/>
                <w:color w:val="000000"/>
                <w:highlight w:val="none"/>
              </w:rPr>
              <w:t>数量</w:t>
            </w:r>
          </w:p>
        </w:tc>
        <w:tc>
          <w:tcPr>
            <w:tcW w:w="720" w:type="dxa"/>
          </w:tcPr>
          <w:p w14:paraId="19C8C1F2">
            <w:pPr>
              <w:pStyle w:val="26"/>
              <w:spacing w:line="360" w:lineRule="auto"/>
              <w:ind w:right="-519" w:rightChars="-247"/>
              <w:rPr>
                <w:highlight w:val="none"/>
              </w:rPr>
            </w:pPr>
            <w:r>
              <w:rPr>
                <w:rFonts w:hint="eastAsia" w:cs="宋体"/>
                <w:color w:val="000000"/>
                <w:highlight w:val="none"/>
              </w:rPr>
              <w:t>单价</w:t>
            </w:r>
          </w:p>
        </w:tc>
        <w:tc>
          <w:tcPr>
            <w:tcW w:w="900" w:type="dxa"/>
          </w:tcPr>
          <w:p w14:paraId="0FB3754C">
            <w:pPr>
              <w:pStyle w:val="26"/>
              <w:spacing w:line="360" w:lineRule="auto"/>
              <w:ind w:right="-519" w:rightChars="-247"/>
              <w:rPr>
                <w:highlight w:val="none"/>
              </w:rPr>
            </w:pPr>
            <w:r>
              <w:rPr>
                <w:rFonts w:hint="eastAsia" w:cs="宋体"/>
                <w:color w:val="000000"/>
                <w:highlight w:val="none"/>
              </w:rPr>
              <w:t>金额</w:t>
            </w:r>
          </w:p>
        </w:tc>
        <w:tc>
          <w:tcPr>
            <w:tcW w:w="1800" w:type="dxa"/>
          </w:tcPr>
          <w:p w14:paraId="61C1B4DD">
            <w:pPr>
              <w:pStyle w:val="26"/>
              <w:spacing w:line="360" w:lineRule="auto"/>
              <w:ind w:right="-519" w:rightChars="-247"/>
              <w:rPr>
                <w:highlight w:val="none"/>
              </w:rPr>
            </w:pPr>
            <w:r>
              <w:rPr>
                <w:rFonts w:hint="eastAsia" w:cs="宋体"/>
                <w:color w:val="000000"/>
                <w:highlight w:val="none"/>
              </w:rPr>
              <w:t>合同清单序号</w:t>
            </w:r>
          </w:p>
        </w:tc>
      </w:tr>
      <w:tr w14:paraId="75AE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22A82C22">
            <w:pPr>
              <w:pStyle w:val="26"/>
              <w:spacing w:line="360" w:lineRule="auto"/>
              <w:ind w:right="-519" w:rightChars="-247"/>
              <w:rPr>
                <w:highlight w:val="none"/>
              </w:rPr>
            </w:pPr>
          </w:p>
        </w:tc>
        <w:tc>
          <w:tcPr>
            <w:tcW w:w="3240" w:type="dxa"/>
            <w:gridSpan w:val="2"/>
          </w:tcPr>
          <w:p w14:paraId="359A11A3">
            <w:pPr>
              <w:pStyle w:val="26"/>
              <w:spacing w:line="360" w:lineRule="auto"/>
              <w:ind w:right="-519" w:rightChars="-247"/>
              <w:rPr>
                <w:highlight w:val="none"/>
              </w:rPr>
            </w:pPr>
          </w:p>
        </w:tc>
        <w:tc>
          <w:tcPr>
            <w:tcW w:w="1080" w:type="dxa"/>
          </w:tcPr>
          <w:p w14:paraId="06EBE458">
            <w:pPr>
              <w:pStyle w:val="26"/>
              <w:spacing w:line="360" w:lineRule="auto"/>
              <w:ind w:right="-519" w:rightChars="-247"/>
              <w:rPr>
                <w:highlight w:val="none"/>
              </w:rPr>
            </w:pPr>
          </w:p>
        </w:tc>
        <w:tc>
          <w:tcPr>
            <w:tcW w:w="720" w:type="dxa"/>
          </w:tcPr>
          <w:p w14:paraId="4DA5E05E">
            <w:pPr>
              <w:pStyle w:val="26"/>
              <w:spacing w:line="360" w:lineRule="auto"/>
              <w:ind w:right="-519" w:rightChars="-247"/>
              <w:rPr>
                <w:highlight w:val="none"/>
              </w:rPr>
            </w:pPr>
          </w:p>
        </w:tc>
        <w:tc>
          <w:tcPr>
            <w:tcW w:w="720" w:type="dxa"/>
          </w:tcPr>
          <w:p w14:paraId="4F88D279">
            <w:pPr>
              <w:pStyle w:val="26"/>
              <w:spacing w:line="360" w:lineRule="auto"/>
              <w:ind w:right="-519" w:rightChars="-247"/>
              <w:rPr>
                <w:highlight w:val="none"/>
              </w:rPr>
            </w:pPr>
          </w:p>
        </w:tc>
        <w:tc>
          <w:tcPr>
            <w:tcW w:w="900" w:type="dxa"/>
          </w:tcPr>
          <w:p w14:paraId="6D408424">
            <w:pPr>
              <w:pStyle w:val="26"/>
              <w:spacing w:line="360" w:lineRule="auto"/>
              <w:ind w:right="-519" w:rightChars="-247"/>
              <w:rPr>
                <w:highlight w:val="none"/>
              </w:rPr>
            </w:pPr>
          </w:p>
        </w:tc>
        <w:tc>
          <w:tcPr>
            <w:tcW w:w="1800" w:type="dxa"/>
          </w:tcPr>
          <w:p w14:paraId="6D7C02AF">
            <w:pPr>
              <w:pStyle w:val="26"/>
              <w:spacing w:line="360" w:lineRule="auto"/>
              <w:ind w:right="-519" w:rightChars="-247"/>
              <w:rPr>
                <w:highlight w:val="none"/>
              </w:rPr>
            </w:pPr>
          </w:p>
        </w:tc>
      </w:tr>
      <w:tr w14:paraId="7243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14:paraId="29C836F2">
            <w:pPr>
              <w:pStyle w:val="26"/>
              <w:spacing w:line="360" w:lineRule="auto"/>
              <w:ind w:right="-519" w:rightChars="-247"/>
              <w:rPr>
                <w:highlight w:val="none"/>
              </w:rPr>
            </w:pPr>
          </w:p>
        </w:tc>
        <w:tc>
          <w:tcPr>
            <w:tcW w:w="3240" w:type="dxa"/>
            <w:gridSpan w:val="2"/>
          </w:tcPr>
          <w:p w14:paraId="159F38AB">
            <w:pPr>
              <w:pStyle w:val="26"/>
              <w:spacing w:line="360" w:lineRule="auto"/>
              <w:ind w:right="-519" w:rightChars="-247"/>
              <w:rPr>
                <w:highlight w:val="none"/>
              </w:rPr>
            </w:pPr>
          </w:p>
        </w:tc>
        <w:tc>
          <w:tcPr>
            <w:tcW w:w="1080" w:type="dxa"/>
          </w:tcPr>
          <w:p w14:paraId="08AEDA58">
            <w:pPr>
              <w:pStyle w:val="26"/>
              <w:spacing w:line="360" w:lineRule="auto"/>
              <w:ind w:right="-519" w:rightChars="-247"/>
              <w:rPr>
                <w:highlight w:val="none"/>
              </w:rPr>
            </w:pPr>
          </w:p>
        </w:tc>
        <w:tc>
          <w:tcPr>
            <w:tcW w:w="720" w:type="dxa"/>
          </w:tcPr>
          <w:p w14:paraId="7ADFBD03">
            <w:pPr>
              <w:pStyle w:val="26"/>
              <w:spacing w:line="360" w:lineRule="auto"/>
              <w:ind w:right="-519" w:rightChars="-247"/>
              <w:rPr>
                <w:highlight w:val="none"/>
              </w:rPr>
            </w:pPr>
          </w:p>
        </w:tc>
        <w:tc>
          <w:tcPr>
            <w:tcW w:w="720" w:type="dxa"/>
          </w:tcPr>
          <w:p w14:paraId="74EB5F39">
            <w:pPr>
              <w:pStyle w:val="26"/>
              <w:spacing w:line="360" w:lineRule="auto"/>
              <w:ind w:right="-519" w:rightChars="-247"/>
              <w:rPr>
                <w:highlight w:val="none"/>
              </w:rPr>
            </w:pPr>
          </w:p>
        </w:tc>
        <w:tc>
          <w:tcPr>
            <w:tcW w:w="900" w:type="dxa"/>
          </w:tcPr>
          <w:p w14:paraId="21CDF7AF">
            <w:pPr>
              <w:pStyle w:val="26"/>
              <w:spacing w:line="360" w:lineRule="auto"/>
              <w:ind w:right="-519" w:rightChars="-247"/>
              <w:rPr>
                <w:highlight w:val="none"/>
              </w:rPr>
            </w:pPr>
          </w:p>
        </w:tc>
        <w:tc>
          <w:tcPr>
            <w:tcW w:w="1800" w:type="dxa"/>
          </w:tcPr>
          <w:p w14:paraId="601B5BFD">
            <w:pPr>
              <w:pStyle w:val="26"/>
              <w:spacing w:line="360" w:lineRule="auto"/>
              <w:ind w:right="-519" w:rightChars="-247"/>
              <w:rPr>
                <w:highlight w:val="none"/>
              </w:rPr>
            </w:pPr>
          </w:p>
        </w:tc>
      </w:tr>
      <w:tr w14:paraId="0CEF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5B0CF17A">
            <w:pPr>
              <w:pStyle w:val="26"/>
              <w:spacing w:line="360" w:lineRule="auto"/>
              <w:ind w:right="-519" w:rightChars="-247"/>
              <w:rPr>
                <w:highlight w:val="none"/>
              </w:rPr>
            </w:pPr>
          </w:p>
        </w:tc>
        <w:tc>
          <w:tcPr>
            <w:tcW w:w="3240" w:type="dxa"/>
            <w:gridSpan w:val="2"/>
          </w:tcPr>
          <w:p w14:paraId="7B6E8DA9">
            <w:pPr>
              <w:pStyle w:val="26"/>
              <w:spacing w:line="360" w:lineRule="auto"/>
              <w:ind w:right="-519" w:rightChars="-247"/>
              <w:rPr>
                <w:highlight w:val="none"/>
              </w:rPr>
            </w:pPr>
          </w:p>
        </w:tc>
        <w:tc>
          <w:tcPr>
            <w:tcW w:w="1080" w:type="dxa"/>
          </w:tcPr>
          <w:p w14:paraId="31031799">
            <w:pPr>
              <w:pStyle w:val="26"/>
              <w:spacing w:line="360" w:lineRule="auto"/>
              <w:ind w:right="-519" w:rightChars="-247"/>
              <w:rPr>
                <w:highlight w:val="none"/>
              </w:rPr>
            </w:pPr>
          </w:p>
        </w:tc>
        <w:tc>
          <w:tcPr>
            <w:tcW w:w="720" w:type="dxa"/>
          </w:tcPr>
          <w:p w14:paraId="1CBD7D44">
            <w:pPr>
              <w:pStyle w:val="26"/>
              <w:spacing w:line="360" w:lineRule="auto"/>
              <w:ind w:right="-519" w:rightChars="-247"/>
              <w:rPr>
                <w:highlight w:val="none"/>
              </w:rPr>
            </w:pPr>
          </w:p>
        </w:tc>
        <w:tc>
          <w:tcPr>
            <w:tcW w:w="720" w:type="dxa"/>
          </w:tcPr>
          <w:p w14:paraId="70D2B3F6">
            <w:pPr>
              <w:pStyle w:val="26"/>
              <w:spacing w:line="360" w:lineRule="auto"/>
              <w:ind w:right="-519" w:rightChars="-247"/>
              <w:rPr>
                <w:highlight w:val="none"/>
              </w:rPr>
            </w:pPr>
          </w:p>
        </w:tc>
        <w:tc>
          <w:tcPr>
            <w:tcW w:w="900" w:type="dxa"/>
          </w:tcPr>
          <w:p w14:paraId="781AB127">
            <w:pPr>
              <w:pStyle w:val="26"/>
              <w:spacing w:line="360" w:lineRule="auto"/>
              <w:ind w:right="-519" w:rightChars="-247"/>
              <w:rPr>
                <w:highlight w:val="none"/>
              </w:rPr>
            </w:pPr>
          </w:p>
        </w:tc>
        <w:tc>
          <w:tcPr>
            <w:tcW w:w="1800" w:type="dxa"/>
          </w:tcPr>
          <w:p w14:paraId="57F000D1">
            <w:pPr>
              <w:pStyle w:val="26"/>
              <w:spacing w:line="360" w:lineRule="auto"/>
              <w:ind w:right="-519" w:rightChars="-247"/>
              <w:rPr>
                <w:highlight w:val="none"/>
              </w:rPr>
            </w:pPr>
          </w:p>
        </w:tc>
      </w:tr>
      <w:tr w14:paraId="0DEF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1CA4D8B1">
            <w:pPr>
              <w:pStyle w:val="26"/>
              <w:spacing w:line="360" w:lineRule="auto"/>
              <w:ind w:right="-519" w:rightChars="-247"/>
              <w:rPr>
                <w:highlight w:val="none"/>
              </w:rPr>
            </w:pPr>
          </w:p>
        </w:tc>
        <w:tc>
          <w:tcPr>
            <w:tcW w:w="3240" w:type="dxa"/>
            <w:gridSpan w:val="2"/>
          </w:tcPr>
          <w:p w14:paraId="66B7DBDE">
            <w:pPr>
              <w:pStyle w:val="26"/>
              <w:spacing w:line="360" w:lineRule="auto"/>
              <w:ind w:right="-519" w:rightChars="-247"/>
              <w:rPr>
                <w:highlight w:val="none"/>
              </w:rPr>
            </w:pPr>
          </w:p>
        </w:tc>
        <w:tc>
          <w:tcPr>
            <w:tcW w:w="1080" w:type="dxa"/>
          </w:tcPr>
          <w:p w14:paraId="6187D9D9">
            <w:pPr>
              <w:pStyle w:val="26"/>
              <w:spacing w:line="360" w:lineRule="auto"/>
              <w:ind w:right="-519" w:rightChars="-247"/>
              <w:rPr>
                <w:highlight w:val="none"/>
              </w:rPr>
            </w:pPr>
          </w:p>
        </w:tc>
        <w:tc>
          <w:tcPr>
            <w:tcW w:w="720" w:type="dxa"/>
          </w:tcPr>
          <w:p w14:paraId="3ACEB560">
            <w:pPr>
              <w:pStyle w:val="26"/>
              <w:spacing w:line="360" w:lineRule="auto"/>
              <w:ind w:right="-519" w:rightChars="-247"/>
              <w:rPr>
                <w:highlight w:val="none"/>
              </w:rPr>
            </w:pPr>
          </w:p>
        </w:tc>
        <w:tc>
          <w:tcPr>
            <w:tcW w:w="720" w:type="dxa"/>
          </w:tcPr>
          <w:p w14:paraId="61802464">
            <w:pPr>
              <w:pStyle w:val="26"/>
              <w:spacing w:line="360" w:lineRule="auto"/>
              <w:ind w:right="-519" w:rightChars="-247"/>
              <w:rPr>
                <w:highlight w:val="none"/>
              </w:rPr>
            </w:pPr>
          </w:p>
        </w:tc>
        <w:tc>
          <w:tcPr>
            <w:tcW w:w="900" w:type="dxa"/>
          </w:tcPr>
          <w:p w14:paraId="55C36AFD">
            <w:pPr>
              <w:pStyle w:val="26"/>
              <w:spacing w:line="360" w:lineRule="auto"/>
              <w:ind w:right="-519" w:rightChars="-247"/>
              <w:rPr>
                <w:highlight w:val="none"/>
              </w:rPr>
            </w:pPr>
          </w:p>
        </w:tc>
        <w:tc>
          <w:tcPr>
            <w:tcW w:w="1800" w:type="dxa"/>
          </w:tcPr>
          <w:p w14:paraId="6918B9FB">
            <w:pPr>
              <w:pStyle w:val="26"/>
              <w:spacing w:line="360" w:lineRule="auto"/>
              <w:ind w:right="-519" w:rightChars="-247"/>
              <w:rPr>
                <w:highlight w:val="none"/>
              </w:rPr>
            </w:pPr>
          </w:p>
        </w:tc>
      </w:tr>
      <w:tr w14:paraId="137E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14B207DC">
            <w:pPr>
              <w:pStyle w:val="26"/>
              <w:spacing w:line="360" w:lineRule="auto"/>
              <w:ind w:right="-519" w:rightChars="-247"/>
              <w:rPr>
                <w:highlight w:val="none"/>
              </w:rPr>
            </w:pPr>
          </w:p>
        </w:tc>
        <w:tc>
          <w:tcPr>
            <w:tcW w:w="3240" w:type="dxa"/>
            <w:gridSpan w:val="2"/>
          </w:tcPr>
          <w:p w14:paraId="4B5B92EF">
            <w:pPr>
              <w:pStyle w:val="26"/>
              <w:spacing w:line="360" w:lineRule="auto"/>
              <w:ind w:right="-519" w:rightChars="-247"/>
              <w:rPr>
                <w:highlight w:val="none"/>
              </w:rPr>
            </w:pPr>
          </w:p>
        </w:tc>
        <w:tc>
          <w:tcPr>
            <w:tcW w:w="1080" w:type="dxa"/>
          </w:tcPr>
          <w:p w14:paraId="69740E05">
            <w:pPr>
              <w:pStyle w:val="26"/>
              <w:spacing w:line="360" w:lineRule="auto"/>
              <w:ind w:right="-519" w:rightChars="-247"/>
              <w:rPr>
                <w:highlight w:val="none"/>
              </w:rPr>
            </w:pPr>
          </w:p>
        </w:tc>
        <w:tc>
          <w:tcPr>
            <w:tcW w:w="720" w:type="dxa"/>
          </w:tcPr>
          <w:p w14:paraId="0D6F0A6E">
            <w:pPr>
              <w:pStyle w:val="26"/>
              <w:spacing w:line="360" w:lineRule="auto"/>
              <w:ind w:right="-519" w:rightChars="-247"/>
              <w:rPr>
                <w:highlight w:val="none"/>
              </w:rPr>
            </w:pPr>
          </w:p>
        </w:tc>
        <w:tc>
          <w:tcPr>
            <w:tcW w:w="720" w:type="dxa"/>
          </w:tcPr>
          <w:p w14:paraId="5848849D">
            <w:pPr>
              <w:pStyle w:val="26"/>
              <w:spacing w:line="360" w:lineRule="auto"/>
              <w:ind w:right="-519" w:rightChars="-247"/>
              <w:rPr>
                <w:highlight w:val="none"/>
              </w:rPr>
            </w:pPr>
          </w:p>
        </w:tc>
        <w:tc>
          <w:tcPr>
            <w:tcW w:w="900" w:type="dxa"/>
          </w:tcPr>
          <w:p w14:paraId="7EE9AE74">
            <w:pPr>
              <w:pStyle w:val="26"/>
              <w:spacing w:line="360" w:lineRule="auto"/>
              <w:ind w:right="-519" w:rightChars="-247"/>
              <w:rPr>
                <w:highlight w:val="none"/>
              </w:rPr>
            </w:pPr>
          </w:p>
        </w:tc>
        <w:tc>
          <w:tcPr>
            <w:tcW w:w="1800" w:type="dxa"/>
          </w:tcPr>
          <w:p w14:paraId="7B1E8411">
            <w:pPr>
              <w:pStyle w:val="26"/>
              <w:spacing w:line="360" w:lineRule="auto"/>
              <w:ind w:right="-519" w:rightChars="-247"/>
              <w:rPr>
                <w:highlight w:val="none"/>
              </w:rPr>
            </w:pPr>
          </w:p>
        </w:tc>
      </w:tr>
      <w:tr w14:paraId="3661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14:paraId="451F74B7">
            <w:pPr>
              <w:pStyle w:val="26"/>
              <w:spacing w:line="360" w:lineRule="auto"/>
              <w:ind w:right="-519" w:rightChars="-247"/>
              <w:rPr>
                <w:highlight w:val="none"/>
              </w:rPr>
            </w:pPr>
          </w:p>
        </w:tc>
        <w:tc>
          <w:tcPr>
            <w:tcW w:w="3240" w:type="dxa"/>
            <w:gridSpan w:val="2"/>
          </w:tcPr>
          <w:p w14:paraId="62AA4223">
            <w:pPr>
              <w:pStyle w:val="26"/>
              <w:spacing w:line="360" w:lineRule="auto"/>
              <w:ind w:right="-519" w:rightChars="-247"/>
              <w:rPr>
                <w:highlight w:val="none"/>
              </w:rPr>
            </w:pPr>
          </w:p>
        </w:tc>
        <w:tc>
          <w:tcPr>
            <w:tcW w:w="1080" w:type="dxa"/>
          </w:tcPr>
          <w:p w14:paraId="672407CC">
            <w:pPr>
              <w:pStyle w:val="26"/>
              <w:spacing w:line="360" w:lineRule="auto"/>
              <w:ind w:right="-519" w:rightChars="-247"/>
              <w:rPr>
                <w:highlight w:val="none"/>
              </w:rPr>
            </w:pPr>
          </w:p>
        </w:tc>
        <w:tc>
          <w:tcPr>
            <w:tcW w:w="720" w:type="dxa"/>
          </w:tcPr>
          <w:p w14:paraId="3C86CE42">
            <w:pPr>
              <w:pStyle w:val="26"/>
              <w:spacing w:line="360" w:lineRule="auto"/>
              <w:ind w:right="-519" w:rightChars="-247"/>
              <w:rPr>
                <w:highlight w:val="none"/>
              </w:rPr>
            </w:pPr>
          </w:p>
        </w:tc>
        <w:tc>
          <w:tcPr>
            <w:tcW w:w="720" w:type="dxa"/>
          </w:tcPr>
          <w:p w14:paraId="4202AA2B">
            <w:pPr>
              <w:pStyle w:val="26"/>
              <w:spacing w:line="360" w:lineRule="auto"/>
              <w:ind w:right="-519" w:rightChars="-247"/>
              <w:rPr>
                <w:highlight w:val="none"/>
              </w:rPr>
            </w:pPr>
          </w:p>
        </w:tc>
        <w:tc>
          <w:tcPr>
            <w:tcW w:w="900" w:type="dxa"/>
          </w:tcPr>
          <w:p w14:paraId="42F64F4D">
            <w:pPr>
              <w:pStyle w:val="26"/>
              <w:spacing w:line="360" w:lineRule="auto"/>
              <w:ind w:right="-519" w:rightChars="-247"/>
              <w:rPr>
                <w:highlight w:val="none"/>
              </w:rPr>
            </w:pPr>
          </w:p>
        </w:tc>
        <w:tc>
          <w:tcPr>
            <w:tcW w:w="1800" w:type="dxa"/>
          </w:tcPr>
          <w:p w14:paraId="6E8AD1E9">
            <w:pPr>
              <w:pStyle w:val="26"/>
              <w:spacing w:line="360" w:lineRule="auto"/>
              <w:ind w:right="-519" w:rightChars="-247"/>
              <w:rPr>
                <w:highlight w:val="none"/>
              </w:rPr>
            </w:pPr>
          </w:p>
        </w:tc>
      </w:tr>
      <w:tr w14:paraId="4E5D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14:paraId="4E4E183F">
            <w:pPr>
              <w:pStyle w:val="26"/>
              <w:spacing w:line="360" w:lineRule="auto"/>
              <w:ind w:right="-519" w:rightChars="-247"/>
              <w:rPr>
                <w:highlight w:val="none"/>
              </w:rPr>
            </w:pPr>
          </w:p>
        </w:tc>
        <w:tc>
          <w:tcPr>
            <w:tcW w:w="3240" w:type="dxa"/>
            <w:gridSpan w:val="2"/>
          </w:tcPr>
          <w:p w14:paraId="4DD482E4">
            <w:pPr>
              <w:pStyle w:val="26"/>
              <w:spacing w:line="360" w:lineRule="auto"/>
              <w:ind w:right="-519" w:rightChars="-247"/>
              <w:rPr>
                <w:highlight w:val="none"/>
              </w:rPr>
            </w:pPr>
          </w:p>
        </w:tc>
        <w:tc>
          <w:tcPr>
            <w:tcW w:w="1080" w:type="dxa"/>
          </w:tcPr>
          <w:p w14:paraId="54F39EEB">
            <w:pPr>
              <w:pStyle w:val="26"/>
              <w:spacing w:line="360" w:lineRule="auto"/>
              <w:ind w:right="-519" w:rightChars="-247"/>
              <w:rPr>
                <w:highlight w:val="none"/>
              </w:rPr>
            </w:pPr>
          </w:p>
        </w:tc>
        <w:tc>
          <w:tcPr>
            <w:tcW w:w="720" w:type="dxa"/>
          </w:tcPr>
          <w:p w14:paraId="5B2428ED">
            <w:pPr>
              <w:pStyle w:val="26"/>
              <w:spacing w:line="360" w:lineRule="auto"/>
              <w:ind w:right="-519" w:rightChars="-247"/>
              <w:rPr>
                <w:highlight w:val="none"/>
              </w:rPr>
            </w:pPr>
          </w:p>
        </w:tc>
        <w:tc>
          <w:tcPr>
            <w:tcW w:w="720" w:type="dxa"/>
          </w:tcPr>
          <w:p w14:paraId="2E10A8F9">
            <w:pPr>
              <w:pStyle w:val="26"/>
              <w:spacing w:line="360" w:lineRule="auto"/>
              <w:ind w:right="-519" w:rightChars="-247"/>
              <w:rPr>
                <w:highlight w:val="none"/>
              </w:rPr>
            </w:pPr>
          </w:p>
        </w:tc>
        <w:tc>
          <w:tcPr>
            <w:tcW w:w="900" w:type="dxa"/>
          </w:tcPr>
          <w:p w14:paraId="6780C3E0">
            <w:pPr>
              <w:pStyle w:val="26"/>
              <w:spacing w:line="360" w:lineRule="auto"/>
              <w:ind w:right="-519" w:rightChars="-247"/>
              <w:rPr>
                <w:highlight w:val="none"/>
              </w:rPr>
            </w:pPr>
          </w:p>
        </w:tc>
        <w:tc>
          <w:tcPr>
            <w:tcW w:w="1800" w:type="dxa"/>
          </w:tcPr>
          <w:p w14:paraId="54940030">
            <w:pPr>
              <w:pStyle w:val="26"/>
              <w:spacing w:line="360" w:lineRule="auto"/>
              <w:ind w:right="-519" w:rightChars="-247"/>
              <w:rPr>
                <w:highlight w:val="none"/>
              </w:rPr>
            </w:pPr>
          </w:p>
        </w:tc>
      </w:tr>
      <w:tr w14:paraId="2320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0039F44D">
            <w:pPr>
              <w:pStyle w:val="26"/>
              <w:spacing w:line="360" w:lineRule="auto"/>
              <w:ind w:right="-519" w:rightChars="-247"/>
              <w:rPr>
                <w:highlight w:val="none"/>
              </w:rPr>
            </w:pPr>
          </w:p>
        </w:tc>
        <w:tc>
          <w:tcPr>
            <w:tcW w:w="3240" w:type="dxa"/>
            <w:gridSpan w:val="2"/>
          </w:tcPr>
          <w:p w14:paraId="328071D3">
            <w:pPr>
              <w:pStyle w:val="26"/>
              <w:spacing w:line="360" w:lineRule="auto"/>
              <w:ind w:right="-519" w:rightChars="-247"/>
              <w:rPr>
                <w:highlight w:val="none"/>
              </w:rPr>
            </w:pPr>
          </w:p>
        </w:tc>
        <w:tc>
          <w:tcPr>
            <w:tcW w:w="1080" w:type="dxa"/>
          </w:tcPr>
          <w:p w14:paraId="48314681">
            <w:pPr>
              <w:pStyle w:val="26"/>
              <w:spacing w:line="360" w:lineRule="auto"/>
              <w:ind w:right="-519" w:rightChars="-247"/>
              <w:rPr>
                <w:highlight w:val="none"/>
              </w:rPr>
            </w:pPr>
          </w:p>
        </w:tc>
        <w:tc>
          <w:tcPr>
            <w:tcW w:w="720" w:type="dxa"/>
          </w:tcPr>
          <w:p w14:paraId="47EF3014">
            <w:pPr>
              <w:pStyle w:val="26"/>
              <w:spacing w:line="360" w:lineRule="auto"/>
              <w:ind w:right="-519" w:rightChars="-247"/>
              <w:rPr>
                <w:highlight w:val="none"/>
              </w:rPr>
            </w:pPr>
          </w:p>
        </w:tc>
        <w:tc>
          <w:tcPr>
            <w:tcW w:w="720" w:type="dxa"/>
          </w:tcPr>
          <w:p w14:paraId="2D36E4FA">
            <w:pPr>
              <w:pStyle w:val="26"/>
              <w:spacing w:line="360" w:lineRule="auto"/>
              <w:ind w:right="-519" w:rightChars="-247"/>
              <w:rPr>
                <w:highlight w:val="none"/>
              </w:rPr>
            </w:pPr>
          </w:p>
        </w:tc>
        <w:tc>
          <w:tcPr>
            <w:tcW w:w="900" w:type="dxa"/>
          </w:tcPr>
          <w:p w14:paraId="0B0B6BCA">
            <w:pPr>
              <w:pStyle w:val="26"/>
              <w:spacing w:line="360" w:lineRule="auto"/>
              <w:ind w:right="-519" w:rightChars="-247"/>
              <w:rPr>
                <w:highlight w:val="none"/>
              </w:rPr>
            </w:pPr>
          </w:p>
        </w:tc>
        <w:tc>
          <w:tcPr>
            <w:tcW w:w="1800" w:type="dxa"/>
          </w:tcPr>
          <w:p w14:paraId="139E9ACB">
            <w:pPr>
              <w:pStyle w:val="26"/>
              <w:spacing w:line="360" w:lineRule="auto"/>
              <w:ind w:right="-519" w:rightChars="-247"/>
              <w:rPr>
                <w:highlight w:val="none"/>
              </w:rPr>
            </w:pPr>
          </w:p>
        </w:tc>
      </w:tr>
      <w:tr w14:paraId="0915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3C74E99B">
            <w:pPr>
              <w:pStyle w:val="26"/>
              <w:spacing w:line="360" w:lineRule="auto"/>
              <w:ind w:right="-519" w:rightChars="-247"/>
              <w:rPr>
                <w:highlight w:val="none"/>
              </w:rPr>
            </w:pPr>
          </w:p>
        </w:tc>
        <w:tc>
          <w:tcPr>
            <w:tcW w:w="3240" w:type="dxa"/>
            <w:gridSpan w:val="2"/>
          </w:tcPr>
          <w:p w14:paraId="062962DB">
            <w:pPr>
              <w:pStyle w:val="26"/>
              <w:spacing w:line="360" w:lineRule="auto"/>
              <w:ind w:right="-519" w:rightChars="-247"/>
              <w:rPr>
                <w:highlight w:val="none"/>
              </w:rPr>
            </w:pPr>
          </w:p>
        </w:tc>
        <w:tc>
          <w:tcPr>
            <w:tcW w:w="1080" w:type="dxa"/>
          </w:tcPr>
          <w:p w14:paraId="7D5AFBCD">
            <w:pPr>
              <w:pStyle w:val="26"/>
              <w:spacing w:line="360" w:lineRule="auto"/>
              <w:ind w:right="-519" w:rightChars="-247"/>
              <w:rPr>
                <w:highlight w:val="none"/>
              </w:rPr>
            </w:pPr>
          </w:p>
        </w:tc>
        <w:tc>
          <w:tcPr>
            <w:tcW w:w="720" w:type="dxa"/>
          </w:tcPr>
          <w:p w14:paraId="54C46E49">
            <w:pPr>
              <w:pStyle w:val="26"/>
              <w:spacing w:line="360" w:lineRule="auto"/>
              <w:ind w:right="-519" w:rightChars="-247"/>
              <w:rPr>
                <w:highlight w:val="none"/>
              </w:rPr>
            </w:pPr>
          </w:p>
        </w:tc>
        <w:tc>
          <w:tcPr>
            <w:tcW w:w="720" w:type="dxa"/>
          </w:tcPr>
          <w:p w14:paraId="4BFF2161">
            <w:pPr>
              <w:pStyle w:val="26"/>
              <w:spacing w:line="360" w:lineRule="auto"/>
              <w:ind w:right="-519" w:rightChars="-247"/>
              <w:rPr>
                <w:highlight w:val="none"/>
              </w:rPr>
            </w:pPr>
          </w:p>
        </w:tc>
        <w:tc>
          <w:tcPr>
            <w:tcW w:w="900" w:type="dxa"/>
          </w:tcPr>
          <w:p w14:paraId="42A3C02E">
            <w:pPr>
              <w:pStyle w:val="26"/>
              <w:spacing w:line="360" w:lineRule="auto"/>
              <w:ind w:right="-519" w:rightChars="-247"/>
              <w:rPr>
                <w:highlight w:val="none"/>
              </w:rPr>
            </w:pPr>
          </w:p>
        </w:tc>
        <w:tc>
          <w:tcPr>
            <w:tcW w:w="1800" w:type="dxa"/>
          </w:tcPr>
          <w:p w14:paraId="24089412">
            <w:pPr>
              <w:pStyle w:val="26"/>
              <w:spacing w:line="360" w:lineRule="auto"/>
              <w:ind w:right="-519" w:rightChars="-247"/>
              <w:rPr>
                <w:highlight w:val="none"/>
              </w:rPr>
            </w:pPr>
          </w:p>
        </w:tc>
      </w:tr>
      <w:tr w14:paraId="02B6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1DA8F62E">
            <w:pPr>
              <w:pStyle w:val="26"/>
              <w:spacing w:line="360" w:lineRule="auto"/>
              <w:ind w:right="-519" w:rightChars="-247"/>
              <w:rPr>
                <w:highlight w:val="none"/>
              </w:rPr>
            </w:pPr>
          </w:p>
        </w:tc>
        <w:tc>
          <w:tcPr>
            <w:tcW w:w="3240" w:type="dxa"/>
            <w:gridSpan w:val="2"/>
          </w:tcPr>
          <w:p w14:paraId="66BAC74F">
            <w:pPr>
              <w:pStyle w:val="26"/>
              <w:spacing w:line="360" w:lineRule="auto"/>
              <w:ind w:right="-519" w:rightChars="-247"/>
              <w:rPr>
                <w:highlight w:val="none"/>
              </w:rPr>
            </w:pPr>
          </w:p>
        </w:tc>
        <w:tc>
          <w:tcPr>
            <w:tcW w:w="1080" w:type="dxa"/>
          </w:tcPr>
          <w:p w14:paraId="59A72875">
            <w:pPr>
              <w:pStyle w:val="26"/>
              <w:spacing w:line="360" w:lineRule="auto"/>
              <w:ind w:right="-519" w:rightChars="-247"/>
              <w:rPr>
                <w:highlight w:val="none"/>
              </w:rPr>
            </w:pPr>
          </w:p>
        </w:tc>
        <w:tc>
          <w:tcPr>
            <w:tcW w:w="720" w:type="dxa"/>
          </w:tcPr>
          <w:p w14:paraId="77CACECA">
            <w:pPr>
              <w:pStyle w:val="26"/>
              <w:spacing w:line="360" w:lineRule="auto"/>
              <w:ind w:right="-519" w:rightChars="-247"/>
              <w:rPr>
                <w:highlight w:val="none"/>
              </w:rPr>
            </w:pPr>
          </w:p>
        </w:tc>
        <w:tc>
          <w:tcPr>
            <w:tcW w:w="720" w:type="dxa"/>
          </w:tcPr>
          <w:p w14:paraId="7CF37C39">
            <w:pPr>
              <w:pStyle w:val="26"/>
              <w:spacing w:line="360" w:lineRule="auto"/>
              <w:ind w:right="-519" w:rightChars="-247"/>
              <w:rPr>
                <w:highlight w:val="none"/>
              </w:rPr>
            </w:pPr>
          </w:p>
        </w:tc>
        <w:tc>
          <w:tcPr>
            <w:tcW w:w="900" w:type="dxa"/>
          </w:tcPr>
          <w:p w14:paraId="13DE68A4">
            <w:pPr>
              <w:pStyle w:val="26"/>
              <w:spacing w:line="360" w:lineRule="auto"/>
              <w:ind w:right="-519" w:rightChars="-247"/>
              <w:rPr>
                <w:highlight w:val="none"/>
              </w:rPr>
            </w:pPr>
          </w:p>
        </w:tc>
        <w:tc>
          <w:tcPr>
            <w:tcW w:w="1800" w:type="dxa"/>
          </w:tcPr>
          <w:p w14:paraId="334B5ADA">
            <w:pPr>
              <w:pStyle w:val="26"/>
              <w:spacing w:line="360" w:lineRule="auto"/>
              <w:ind w:right="-519" w:rightChars="-247"/>
              <w:rPr>
                <w:highlight w:val="none"/>
              </w:rPr>
            </w:pPr>
          </w:p>
        </w:tc>
      </w:tr>
      <w:tr w14:paraId="6815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14:paraId="0DD0C145">
            <w:pPr>
              <w:pStyle w:val="26"/>
              <w:spacing w:line="360" w:lineRule="auto"/>
              <w:ind w:right="-519" w:rightChars="-247"/>
              <w:rPr>
                <w:highlight w:val="none"/>
              </w:rPr>
            </w:pPr>
          </w:p>
        </w:tc>
        <w:tc>
          <w:tcPr>
            <w:tcW w:w="3240" w:type="dxa"/>
            <w:gridSpan w:val="2"/>
          </w:tcPr>
          <w:p w14:paraId="1212229A">
            <w:pPr>
              <w:pStyle w:val="26"/>
              <w:spacing w:line="360" w:lineRule="auto"/>
              <w:ind w:right="-519" w:rightChars="-247"/>
              <w:rPr>
                <w:highlight w:val="none"/>
              </w:rPr>
            </w:pPr>
          </w:p>
        </w:tc>
        <w:tc>
          <w:tcPr>
            <w:tcW w:w="1080" w:type="dxa"/>
          </w:tcPr>
          <w:p w14:paraId="17D7A7D1">
            <w:pPr>
              <w:pStyle w:val="26"/>
              <w:spacing w:line="360" w:lineRule="auto"/>
              <w:ind w:right="-519" w:rightChars="-247"/>
              <w:rPr>
                <w:highlight w:val="none"/>
              </w:rPr>
            </w:pPr>
          </w:p>
        </w:tc>
        <w:tc>
          <w:tcPr>
            <w:tcW w:w="720" w:type="dxa"/>
          </w:tcPr>
          <w:p w14:paraId="3D7B2F4D">
            <w:pPr>
              <w:pStyle w:val="26"/>
              <w:spacing w:line="360" w:lineRule="auto"/>
              <w:ind w:right="-519" w:rightChars="-247"/>
              <w:rPr>
                <w:highlight w:val="none"/>
              </w:rPr>
            </w:pPr>
          </w:p>
        </w:tc>
        <w:tc>
          <w:tcPr>
            <w:tcW w:w="720" w:type="dxa"/>
          </w:tcPr>
          <w:p w14:paraId="1D8B9A97">
            <w:pPr>
              <w:pStyle w:val="26"/>
              <w:spacing w:line="360" w:lineRule="auto"/>
              <w:ind w:right="-519" w:rightChars="-247"/>
              <w:rPr>
                <w:highlight w:val="none"/>
              </w:rPr>
            </w:pPr>
          </w:p>
        </w:tc>
        <w:tc>
          <w:tcPr>
            <w:tcW w:w="900" w:type="dxa"/>
          </w:tcPr>
          <w:p w14:paraId="385FAF35">
            <w:pPr>
              <w:pStyle w:val="26"/>
              <w:spacing w:line="360" w:lineRule="auto"/>
              <w:ind w:right="-519" w:rightChars="-247"/>
              <w:rPr>
                <w:highlight w:val="none"/>
              </w:rPr>
            </w:pPr>
          </w:p>
        </w:tc>
        <w:tc>
          <w:tcPr>
            <w:tcW w:w="1800" w:type="dxa"/>
          </w:tcPr>
          <w:p w14:paraId="140CE9B9">
            <w:pPr>
              <w:pStyle w:val="26"/>
              <w:spacing w:line="360" w:lineRule="auto"/>
              <w:ind w:right="-519" w:rightChars="-247"/>
              <w:rPr>
                <w:highlight w:val="none"/>
              </w:rPr>
            </w:pPr>
          </w:p>
        </w:tc>
      </w:tr>
      <w:tr w14:paraId="75CD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58B152D4">
            <w:pPr>
              <w:pStyle w:val="26"/>
              <w:spacing w:line="360" w:lineRule="auto"/>
              <w:ind w:right="-519" w:rightChars="-247"/>
              <w:rPr>
                <w:highlight w:val="none"/>
              </w:rPr>
            </w:pPr>
          </w:p>
        </w:tc>
        <w:tc>
          <w:tcPr>
            <w:tcW w:w="3240" w:type="dxa"/>
            <w:gridSpan w:val="2"/>
          </w:tcPr>
          <w:p w14:paraId="4BC28BF1">
            <w:pPr>
              <w:pStyle w:val="26"/>
              <w:spacing w:line="360" w:lineRule="auto"/>
              <w:ind w:right="-519" w:rightChars="-247"/>
              <w:rPr>
                <w:highlight w:val="none"/>
              </w:rPr>
            </w:pPr>
          </w:p>
        </w:tc>
        <w:tc>
          <w:tcPr>
            <w:tcW w:w="1080" w:type="dxa"/>
          </w:tcPr>
          <w:p w14:paraId="7393BD18">
            <w:pPr>
              <w:pStyle w:val="26"/>
              <w:spacing w:line="360" w:lineRule="auto"/>
              <w:ind w:right="-519" w:rightChars="-247"/>
              <w:rPr>
                <w:highlight w:val="none"/>
              </w:rPr>
            </w:pPr>
          </w:p>
        </w:tc>
        <w:tc>
          <w:tcPr>
            <w:tcW w:w="720" w:type="dxa"/>
          </w:tcPr>
          <w:p w14:paraId="04D07FE0">
            <w:pPr>
              <w:pStyle w:val="26"/>
              <w:spacing w:line="360" w:lineRule="auto"/>
              <w:ind w:right="-519" w:rightChars="-247"/>
              <w:rPr>
                <w:highlight w:val="none"/>
              </w:rPr>
            </w:pPr>
          </w:p>
        </w:tc>
        <w:tc>
          <w:tcPr>
            <w:tcW w:w="720" w:type="dxa"/>
          </w:tcPr>
          <w:p w14:paraId="504C6A31">
            <w:pPr>
              <w:pStyle w:val="26"/>
              <w:spacing w:line="360" w:lineRule="auto"/>
              <w:ind w:right="-519" w:rightChars="-247"/>
              <w:rPr>
                <w:highlight w:val="none"/>
              </w:rPr>
            </w:pPr>
          </w:p>
        </w:tc>
        <w:tc>
          <w:tcPr>
            <w:tcW w:w="900" w:type="dxa"/>
          </w:tcPr>
          <w:p w14:paraId="3783E4D9">
            <w:pPr>
              <w:pStyle w:val="26"/>
              <w:spacing w:line="360" w:lineRule="auto"/>
              <w:ind w:right="-519" w:rightChars="-247"/>
              <w:rPr>
                <w:highlight w:val="none"/>
              </w:rPr>
            </w:pPr>
          </w:p>
        </w:tc>
        <w:tc>
          <w:tcPr>
            <w:tcW w:w="1800" w:type="dxa"/>
          </w:tcPr>
          <w:p w14:paraId="2B6EF322">
            <w:pPr>
              <w:pStyle w:val="26"/>
              <w:spacing w:line="360" w:lineRule="auto"/>
              <w:ind w:right="-519" w:rightChars="-247"/>
              <w:rPr>
                <w:highlight w:val="none"/>
              </w:rPr>
            </w:pPr>
          </w:p>
        </w:tc>
      </w:tr>
      <w:tr w14:paraId="47A1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0415C158">
            <w:pPr>
              <w:pStyle w:val="26"/>
              <w:spacing w:line="360" w:lineRule="auto"/>
              <w:ind w:right="-519" w:rightChars="-247"/>
              <w:rPr>
                <w:highlight w:val="none"/>
              </w:rPr>
            </w:pPr>
          </w:p>
        </w:tc>
        <w:tc>
          <w:tcPr>
            <w:tcW w:w="3240" w:type="dxa"/>
            <w:gridSpan w:val="2"/>
          </w:tcPr>
          <w:p w14:paraId="6DE6A6BF">
            <w:pPr>
              <w:pStyle w:val="26"/>
              <w:spacing w:line="360" w:lineRule="auto"/>
              <w:ind w:right="-519" w:rightChars="-247"/>
              <w:rPr>
                <w:highlight w:val="none"/>
              </w:rPr>
            </w:pPr>
          </w:p>
        </w:tc>
        <w:tc>
          <w:tcPr>
            <w:tcW w:w="1080" w:type="dxa"/>
          </w:tcPr>
          <w:p w14:paraId="410E8C2B">
            <w:pPr>
              <w:pStyle w:val="26"/>
              <w:spacing w:line="360" w:lineRule="auto"/>
              <w:ind w:right="-519" w:rightChars="-247"/>
              <w:rPr>
                <w:highlight w:val="none"/>
              </w:rPr>
            </w:pPr>
          </w:p>
        </w:tc>
        <w:tc>
          <w:tcPr>
            <w:tcW w:w="720" w:type="dxa"/>
          </w:tcPr>
          <w:p w14:paraId="6E1814A1">
            <w:pPr>
              <w:pStyle w:val="26"/>
              <w:spacing w:line="360" w:lineRule="auto"/>
              <w:ind w:right="-519" w:rightChars="-247"/>
              <w:rPr>
                <w:highlight w:val="none"/>
              </w:rPr>
            </w:pPr>
          </w:p>
        </w:tc>
        <w:tc>
          <w:tcPr>
            <w:tcW w:w="720" w:type="dxa"/>
          </w:tcPr>
          <w:p w14:paraId="5C8DEF02">
            <w:pPr>
              <w:pStyle w:val="26"/>
              <w:spacing w:line="360" w:lineRule="auto"/>
              <w:ind w:right="-519" w:rightChars="-247"/>
              <w:rPr>
                <w:highlight w:val="none"/>
              </w:rPr>
            </w:pPr>
          </w:p>
        </w:tc>
        <w:tc>
          <w:tcPr>
            <w:tcW w:w="900" w:type="dxa"/>
          </w:tcPr>
          <w:p w14:paraId="48C60253">
            <w:pPr>
              <w:pStyle w:val="26"/>
              <w:spacing w:line="360" w:lineRule="auto"/>
              <w:ind w:right="-519" w:rightChars="-247"/>
              <w:rPr>
                <w:highlight w:val="none"/>
              </w:rPr>
            </w:pPr>
          </w:p>
        </w:tc>
        <w:tc>
          <w:tcPr>
            <w:tcW w:w="1800" w:type="dxa"/>
          </w:tcPr>
          <w:p w14:paraId="6F7D0A38">
            <w:pPr>
              <w:pStyle w:val="26"/>
              <w:spacing w:line="360" w:lineRule="auto"/>
              <w:ind w:right="-519" w:rightChars="-247"/>
              <w:rPr>
                <w:highlight w:val="none"/>
              </w:rPr>
            </w:pPr>
          </w:p>
        </w:tc>
      </w:tr>
      <w:tr w14:paraId="5914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gridSpan w:val="2"/>
          </w:tcPr>
          <w:p w14:paraId="767349ED">
            <w:pPr>
              <w:pStyle w:val="26"/>
              <w:spacing w:line="360" w:lineRule="auto"/>
              <w:ind w:right="-519" w:rightChars="-247"/>
              <w:rPr>
                <w:highlight w:val="none"/>
              </w:rPr>
            </w:pPr>
            <w:r>
              <w:rPr>
                <w:rFonts w:hint="eastAsia" w:cs="宋体"/>
                <w:color w:val="000000"/>
                <w:highlight w:val="none"/>
              </w:rPr>
              <w:t>合计金额</w:t>
            </w:r>
          </w:p>
        </w:tc>
        <w:tc>
          <w:tcPr>
            <w:tcW w:w="5220" w:type="dxa"/>
            <w:gridSpan w:val="4"/>
          </w:tcPr>
          <w:p w14:paraId="26DBCD4F">
            <w:pPr>
              <w:pStyle w:val="26"/>
              <w:spacing w:line="360" w:lineRule="auto"/>
              <w:ind w:right="-519" w:rightChars="-247"/>
              <w:rPr>
                <w:highlight w:val="none"/>
              </w:rPr>
            </w:pPr>
            <w:r>
              <w:rPr>
                <w:rFonts w:hint="eastAsia" w:cs="宋体"/>
                <w:color w:val="000000"/>
                <w:highlight w:val="none"/>
              </w:rPr>
              <w:t>（大写）</w:t>
            </w:r>
          </w:p>
        </w:tc>
        <w:tc>
          <w:tcPr>
            <w:tcW w:w="900" w:type="dxa"/>
          </w:tcPr>
          <w:p w14:paraId="0C1D4027">
            <w:pPr>
              <w:pStyle w:val="26"/>
              <w:spacing w:line="360" w:lineRule="auto"/>
              <w:ind w:right="-519" w:rightChars="-247"/>
              <w:rPr>
                <w:highlight w:val="none"/>
              </w:rPr>
            </w:pPr>
            <w:r>
              <w:rPr>
                <w:rFonts w:hint="eastAsia" w:cs="宋体"/>
                <w:color w:val="000000"/>
                <w:highlight w:val="none"/>
              </w:rPr>
              <w:t>￥</w:t>
            </w:r>
          </w:p>
        </w:tc>
        <w:tc>
          <w:tcPr>
            <w:tcW w:w="1800" w:type="dxa"/>
          </w:tcPr>
          <w:p w14:paraId="26C0B406">
            <w:pPr>
              <w:pStyle w:val="26"/>
              <w:spacing w:line="360" w:lineRule="auto"/>
              <w:ind w:right="-519" w:rightChars="-247"/>
              <w:rPr>
                <w:highlight w:val="none"/>
              </w:rPr>
            </w:pPr>
          </w:p>
        </w:tc>
      </w:tr>
    </w:tbl>
    <w:p w14:paraId="33A2A6EB">
      <w:pPr>
        <w:pStyle w:val="26"/>
        <w:spacing w:line="360" w:lineRule="auto"/>
        <w:ind w:right="-519" w:rightChars="-247"/>
        <w:rPr>
          <w:highlight w:val="none"/>
        </w:rPr>
      </w:pPr>
    </w:p>
    <w:p w14:paraId="4A6C9330">
      <w:pPr>
        <w:pStyle w:val="26"/>
        <w:spacing w:line="360" w:lineRule="auto"/>
        <w:ind w:right="-519" w:rightChars="-247"/>
        <w:rPr>
          <w:highlight w:val="none"/>
        </w:rPr>
      </w:pPr>
      <w:r>
        <w:rPr>
          <w:rFonts w:hint="eastAsia" w:cs="宋体"/>
          <w:color w:val="000000"/>
          <w:highlight w:val="none"/>
        </w:rPr>
        <w:t>收货人（签名）：送货人（签名）：</w:t>
      </w:r>
    </w:p>
    <w:p w14:paraId="6C9EF846">
      <w:pPr>
        <w:pStyle w:val="26"/>
        <w:spacing w:line="360" w:lineRule="auto"/>
        <w:ind w:right="-519" w:rightChars="-247"/>
        <w:rPr>
          <w:highlight w:val="none"/>
        </w:rPr>
      </w:pPr>
      <w:r>
        <w:rPr>
          <w:rFonts w:hint="eastAsia" w:cs="宋体"/>
          <w:color w:val="000000"/>
          <w:highlight w:val="none"/>
        </w:rPr>
        <w:t>日期：日期：</w:t>
      </w:r>
    </w:p>
    <w:p w14:paraId="7D2ED990">
      <w:pPr>
        <w:pStyle w:val="26"/>
        <w:spacing w:line="360" w:lineRule="auto"/>
        <w:ind w:right="-519" w:rightChars="-247"/>
        <w:rPr>
          <w:highlight w:val="none"/>
        </w:rPr>
      </w:pPr>
    </w:p>
    <w:p w14:paraId="44E74270">
      <w:pPr>
        <w:pStyle w:val="26"/>
        <w:spacing w:line="360" w:lineRule="auto"/>
        <w:ind w:right="-519" w:rightChars="-247"/>
        <w:rPr>
          <w:highlight w:val="none"/>
        </w:rPr>
      </w:pPr>
      <w:r>
        <w:rPr>
          <w:rFonts w:hint="eastAsia" w:cs="宋体"/>
          <w:color w:val="000000"/>
          <w:highlight w:val="none"/>
        </w:rPr>
        <w:t>买方验收审核人：</w:t>
      </w:r>
    </w:p>
    <w:p w14:paraId="112C3A41">
      <w:pPr>
        <w:pStyle w:val="26"/>
        <w:spacing w:line="360" w:lineRule="auto"/>
        <w:ind w:right="-519" w:rightChars="-247"/>
        <w:rPr>
          <w:rFonts w:cs="宋体"/>
          <w:color w:val="000000"/>
          <w:highlight w:val="none"/>
        </w:rPr>
      </w:pPr>
    </w:p>
    <w:p w14:paraId="38566B1E"/>
    <w:p w14:paraId="0526CF4A">
      <w:pPr>
        <w:rPr>
          <w:lang w:val="en-US" w:eastAsia="zh-CN"/>
        </w:rPr>
      </w:pPr>
    </w:p>
    <w:p w14:paraId="1A2E8221">
      <w:pPr>
        <w:pStyle w:val="6"/>
        <w:rPr>
          <w:lang w:val="en-US" w:eastAsia="zh-CN"/>
        </w:rPr>
      </w:pPr>
    </w:p>
    <w:p w14:paraId="31FE0D57">
      <w:pPr>
        <w:rPr>
          <w:lang w:val="en-US" w:eastAsia="zh-CN"/>
        </w:rPr>
      </w:pPr>
    </w:p>
    <w:p w14:paraId="2A1F519C">
      <w:pPr>
        <w:pStyle w:val="6"/>
        <w:rPr>
          <w:lang w:val="en-US" w:eastAsia="zh-CN"/>
        </w:rPr>
      </w:pPr>
    </w:p>
    <w:p w14:paraId="69104090">
      <w:pPr>
        <w:pStyle w:val="19"/>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14:paraId="3557B3A1">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14"/>
        <w:tblW w:w="10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834"/>
        <w:gridCol w:w="5361"/>
        <w:gridCol w:w="2588"/>
      </w:tblGrid>
      <w:tr w14:paraId="3B93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662" w:type="dxa"/>
            <w:shd w:val="clear" w:color="auto" w:fill="auto"/>
            <w:vAlign w:val="center"/>
          </w:tcPr>
          <w:p w14:paraId="236FBBCF">
            <w:pPr>
              <w:jc w:val="center"/>
              <w:textAlignment w:val="center"/>
              <w:rPr>
                <w:b/>
                <w:bCs/>
                <w:color w:val="000000"/>
                <w:sz w:val="22"/>
                <w:szCs w:val="22"/>
              </w:rPr>
            </w:pPr>
            <w:r>
              <w:rPr>
                <w:rFonts w:hint="eastAsia"/>
                <w:b/>
                <w:bCs/>
                <w:color w:val="000000"/>
                <w:sz w:val="22"/>
                <w:szCs w:val="22"/>
                <w:lang w:bidi="ar"/>
              </w:rPr>
              <w:t>序号</w:t>
            </w:r>
          </w:p>
        </w:tc>
        <w:tc>
          <w:tcPr>
            <w:tcW w:w="1834" w:type="dxa"/>
            <w:shd w:val="clear" w:color="auto" w:fill="auto"/>
            <w:vAlign w:val="center"/>
          </w:tcPr>
          <w:p w14:paraId="01B7CBD4">
            <w:pPr>
              <w:jc w:val="center"/>
              <w:textAlignment w:val="center"/>
              <w:rPr>
                <w:b/>
                <w:bCs/>
                <w:color w:val="000000"/>
                <w:sz w:val="22"/>
                <w:szCs w:val="22"/>
              </w:rPr>
            </w:pPr>
            <w:r>
              <w:rPr>
                <w:rFonts w:hint="eastAsia"/>
                <w:b/>
                <w:bCs/>
                <w:color w:val="000000"/>
                <w:sz w:val="22"/>
                <w:szCs w:val="22"/>
                <w:lang w:bidi="ar"/>
              </w:rPr>
              <w:t>违规类型</w:t>
            </w:r>
          </w:p>
        </w:tc>
        <w:tc>
          <w:tcPr>
            <w:tcW w:w="5361" w:type="dxa"/>
            <w:shd w:val="clear" w:color="auto" w:fill="auto"/>
            <w:vAlign w:val="center"/>
          </w:tcPr>
          <w:p w14:paraId="004DB742">
            <w:pPr>
              <w:jc w:val="center"/>
              <w:textAlignment w:val="center"/>
              <w:rPr>
                <w:b/>
                <w:bCs/>
                <w:color w:val="000000"/>
                <w:sz w:val="22"/>
                <w:szCs w:val="22"/>
              </w:rPr>
            </w:pPr>
            <w:r>
              <w:rPr>
                <w:rFonts w:hint="eastAsia"/>
                <w:b/>
                <w:bCs/>
                <w:color w:val="000000"/>
                <w:sz w:val="22"/>
                <w:szCs w:val="22"/>
                <w:lang w:bidi="ar"/>
              </w:rPr>
              <w:t>违规情形说明</w:t>
            </w:r>
          </w:p>
        </w:tc>
        <w:tc>
          <w:tcPr>
            <w:tcW w:w="2588" w:type="dxa"/>
            <w:shd w:val="clear" w:color="auto" w:fill="auto"/>
            <w:vAlign w:val="center"/>
          </w:tcPr>
          <w:p w14:paraId="7B20B5EA">
            <w:pPr>
              <w:textAlignment w:val="center"/>
              <w:rPr>
                <w:b/>
                <w:bCs/>
                <w:color w:val="000000"/>
                <w:sz w:val="22"/>
                <w:szCs w:val="22"/>
              </w:rPr>
            </w:pPr>
            <w:r>
              <w:rPr>
                <w:rFonts w:hint="eastAsia"/>
                <w:b/>
                <w:bCs/>
                <w:color w:val="000000"/>
                <w:sz w:val="22"/>
                <w:szCs w:val="22"/>
                <w:lang w:bidi="ar"/>
              </w:rPr>
              <w:t>处理方式</w:t>
            </w:r>
          </w:p>
        </w:tc>
      </w:tr>
      <w:tr w14:paraId="02ED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62" w:type="dxa"/>
            <w:shd w:val="clear" w:color="auto" w:fill="auto"/>
            <w:vAlign w:val="center"/>
          </w:tcPr>
          <w:p w14:paraId="12456240">
            <w:pPr>
              <w:jc w:val="center"/>
              <w:textAlignment w:val="center"/>
              <w:rPr>
                <w:color w:val="000000"/>
                <w:sz w:val="20"/>
                <w:szCs w:val="20"/>
              </w:rPr>
            </w:pPr>
            <w:r>
              <w:rPr>
                <w:rFonts w:hint="eastAsia"/>
                <w:color w:val="000000"/>
                <w:sz w:val="20"/>
                <w:szCs w:val="20"/>
                <w:lang w:bidi="ar"/>
              </w:rPr>
              <w:t>1</w:t>
            </w:r>
          </w:p>
        </w:tc>
        <w:tc>
          <w:tcPr>
            <w:tcW w:w="1834" w:type="dxa"/>
            <w:vMerge w:val="restart"/>
            <w:shd w:val="clear" w:color="auto" w:fill="auto"/>
            <w:vAlign w:val="center"/>
          </w:tcPr>
          <w:p w14:paraId="1F6EFE55">
            <w:pPr>
              <w:jc w:val="center"/>
              <w:textAlignment w:val="center"/>
              <w:rPr>
                <w:color w:val="000000"/>
                <w:sz w:val="20"/>
                <w:szCs w:val="20"/>
              </w:rPr>
            </w:pPr>
            <w:r>
              <w:rPr>
                <w:rFonts w:hint="eastAsia"/>
                <w:color w:val="000000"/>
                <w:sz w:val="20"/>
                <w:szCs w:val="20"/>
                <w:lang w:bidi="ar"/>
              </w:rPr>
              <w:t>提供虚假资料</w:t>
            </w:r>
          </w:p>
        </w:tc>
        <w:tc>
          <w:tcPr>
            <w:tcW w:w="5361" w:type="dxa"/>
            <w:shd w:val="clear" w:color="auto" w:fill="auto"/>
            <w:vAlign w:val="center"/>
          </w:tcPr>
          <w:p w14:paraId="0834A09C">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2588" w:type="dxa"/>
            <w:shd w:val="clear" w:color="auto" w:fill="auto"/>
            <w:vAlign w:val="center"/>
          </w:tcPr>
          <w:p w14:paraId="534D12A5">
            <w:pPr>
              <w:textAlignment w:val="center"/>
              <w:rPr>
                <w:color w:val="000000"/>
                <w:sz w:val="20"/>
                <w:szCs w:val="20"/>
              </w:rPr>
            </w:pPr>
            <w:r>
              <w:rPr>
                <w:rFonts w:hint="eastAsia"/>
                <w:color w:val="000000"/>
                <w:sz w:val="20"/>
                <w:szCs w:val="20"/>
                <w:lang w:bidi="ar"/>
              </w:rPr>
              <w:t>禁用一年</w:t>
            </w:r>
          </w:p>
        </w:tc>
      </w:tr>
      <w:tr w14:paraId="617C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62" w:type="dxa"/>
            <w:shd w:val="clear" w:color="auto" w:fill="auto"/>
            <w:vAlign w:val="center"/>
          </w:tcPr>
          <w:p w14:paraId="7DBAD306">
            <w:pPr>
              <w:jc w:val="center"/>
              <w:textAlignment w:val="center"/>
              <w:rPr>
                <w:color w:val="000000"/>
                <w:sz w:val="20"/>
                <w:szCs w:val="20"/>
              </w:rPr>
            </w:pPr>
            <w:r>
              <w:rPr>
                <w:rFonts w:hint="eastAsia"/>
                <w:color w:val="000000"/>
                <w:sz w:val="20"/>
                <w:szCs w:val="20"/>
                <w:lang w:bidi="ar"/>
              </w:rPr>
              <w:t>2</w:t>
            </w:r>
          </w:p>
        </w:tc>
        <w:tc>
          <w:tcPr>
            <w:tcW w:w="1834" w:type="dxa"/>
            <w:vMerge w:val="continue"/>
            <w:shd w:val="clear" w:color="auto" w:fill="auto"/>
            <w:vAlign w:val="center"/>
          </w:tcPr>
          <w:p w14:paraId="04C7E9E2">
            <w:pPr>
              <w:jc w:val="center"/>
              <w:rPr>
                <w:color w:val="000000"/>
                <w:sz w:val="20"/>
                <w:szCs w:val="20"/>
              </w:rPr>
            </w:pPr>
          </w:p>
        </w:tc>
        <w:tc>
          <w:tcPr>
            <w:tcW w:w="5361" w:type="dxa"/>
            <w:shd w:val="clear" w:color="auto" w:fill="auto"/>
            <w:vAlign w:val="center"/>
          </w:tcPr>
          <w:p w14:paraId="757B5FF5">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2588" w:type="dxa"/>
            <w:shd w:val="clear" w:color="auto" w:fill="auto"/>
            <w:vAlign w:val="center"/>
          </w:tcPr>
          <w:p w14:paraId="7272D7B6">
            <w:pPr>
              <w:textAlignment w:val="center"/>
              <w:rPr>
                <w:color w:val="000000"/>
                <w:sz w:val="20"/>
                <w:szCs w:val="20"/>
              </w:rPr>
            </w:pPr>
            <w:r>
              <w:rPr>
                <w:rFonts w:hint="eastAsia"/>
                <w:b/>
                <w:bCs/>
                <w:color w:val="000000"/>
                <w:sz w:val="20"/>
                <w:szCs w:val="20"/>
                <w:lang w:bidi="ar"/>
              </w:rPr>
              <w:t>禁用两年</w:t>
            </w:r>
          </w:p>
        </w:tc>
      </w:tr>
      <w:tr w14:paraId="1626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62" w:type="dxa"/>
            <w:shd w:val="clear" w:color="auto" w:fill="auto"/>
            <w:vAlign w:val="center"/>
          </w:tcPr>
          <w:p w14:paraId="671AB77F">
            <w:pPr>
              <w:jc w:val="center"/>
              <w:textAlignment w:val="center"/>
              <w:rPr>
                <w:color w:val="000000"/>
                <w:sz w:val="20"/>
                <w:szCs w:val="20"/>
              </w:rPr>
            </w:pPr>
            <w:r>
              <w:rPr>
                <w:rFonts w:hint="eastAsia"/>
                <w:color w:val="000000"/>
                <w:sz w:val="20"/>
                <w:szCs w:val="20"/>
                <w:lang w:bidi="ar"/>
              </w:rPr>
              <w:t>3</w:t>
            </w:r>
          </w:p>
        </w:tc>
        <w:tc>
          <w:tcPr>
            <w:tcW w:w="1834" w:type="dxa"/>
            <w:vMerge w:val="restart"/>
            <w:shd w:val="clear" w:color="auto" w:fill="auto"/>
            <w:vAlign w:val="center"/>
          </w:tcPr>
          <w:p w14:paraId="015EB4BE">
            <w:pPr>
              <w:jc w:val="center"/>
              <w:textAlignment w:val="center"/>
              <w:rPr>
                <w:color w:val="000000"/>
                <w:sz w:val="20"/>
                <w:szCs w:val="20"/>
              </w:rPr>
            </w:pPr>
            <w:r>
              <w:rPr>
                <w:rFonts w:hint="eastAsia"/>
                <w:color w:val="000000"/>
                <w:sz w:val="20"/>
                <w:szCs w:val="20"/>
                <w:lang w:bidi="ar"/>
              </w:rPr>
              <w:t>恶意串通</w:t>
            </w:r>
          </w:p>
        </w:tc>
        <w:tc>
          <w:tcPr>
            <w:tcW w:w="5361" w:type="dxa"/>
            <w:shd w:val="clear" w:color="auto" w:fill="auto"/>
            <w:vAlign w:val="center"/>
          </w:tcPr>
          <w:p w14:paraId="63993025">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w:t>
            </w:r>
            <w:r>
              <w:rPr>
                <w:rFonts w:hint="eastAsia"/>
                <w:color w:val="000000"/>
                <w:sz w:val="20"/>
                <w:szCs w:val="20"/>
                <w:lang w:eastAsia="zh-CN" w:bidi="ar"/>
              </w:rPr>
              <w:t>其它</w:t>
            </w:r>
            <w:r>
              <w:rPr>
                <w:rFonts w:hint="eastAsia"/>
                <w:color w:val="000000"/>
                <w:sz w:val="20"/>
                <w:szCs w:val="20"/>
                <w:lang w:bidi="ar"/>
              </w:rPr>
              <w:t>供应商串通陪标的；③供应商之间相互串通，以不正当的手段排挤</w:t>
            </w:r>
            <w:r>
              <w:rPr>
                <w:rFonts w:hint="eastAsia"/>
                <w:color w:val="000000"/>
                <w:sz w:val="20"/>
                <w:szCs w:val="20"/>
                <w:lang w:eastAsia="zh-CN" w:bidi="ar"/>
              </w:rPr>
              <w:t>其它</w:t>
            </w:r>
            <w:r>
              <w:rPr>
                <w:rFonts w:hint="eastAsia"/>
                <w:color w:val="000000"/>
                <w:sz w:val="20"/>
                <w:szCs w:val="20"/>
                <w:lang w:bidi="ar"/>
              </w:rPr>
              <w:t>供应商（采取公开招标采办方式的，以招标代理公司判定结果为准）</w:t>
            </w:r>
          </w:p>
        </w:tc>
        <w:tc>
          <w:tcPr>
            <w:tcW w:w="2588" w:type="dxa"/>
            <w:shd w:val="clear" w:color="auto" w:fill="auto"/>
            <w:vAlign w:val="center"/>
          </w:tcPr>
          <w:p w14:paraId="18648CF0">
            <w:pPr>
              <w:textAlignment w:val="center"/>
              <w:rPr>
                <w:color w:val="000000"/>
                <w:sz w:val="20"/>
                <w:szCs w:val="20"/>
              </w:rPr>
            </w:pPr>
            <w:r>
              <w:rPr>
                <w:rFonts w:hint="eastAsia"/>
                <w:b/>
                <w:bCs/>
                <w:color w:val="000000"/>
                <w:sz w:val="20"/>
                <w:szCs w:val="20"/>
                <w:lang w:bidi="ar"/>
              </w:rPr>
              <w:t>禁用两年</w:t>
            </w:r>
          </w:p>
        </w:tc>
      </w:tr>
      <w:tr w14:paraId="13DE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62" w:type="dxa"/>
            <w:shd w:val="clear" w:color="auto" w:fill="auto"/>
            <w:vAlign w:val="center"/>
          </w:tcPr>
          <w:p w14:paraId="17776EBC">
            <w:pPr>
              <w:jc w:val="center"/>
              <w:textAlignment w:val="center"/>
              <w:rPr>
                <w:color w:val="000000"/>
                <w:sz w:val="20"/>
                <w:szCs w:val="20"/>
              </w:rPr>
            </w:pPr>
            <w:r>
              <w:rPr>
                <w:rFonts w:hint="eastAsia"/>
                <w:color w:val="000000"/>
                <w:sz w:val="20"/>
                <w:szCs w:val="20"/>
                <w:lang w:bidi="ar"/>
              </w:rPr>
              <w:t>4</w:t>
            </w:r>
          </w:p>
        </w:tc>
        <w:tc>
          <w:tcPr>
            <w:tcW w:w="1834" w:type="dxa"/>
            <w:vMerge w:val="continue"/>
            <w:shd w:val="clear" w:color="auto" w:fill="auto"/>
            <w:vAlign w:val="center"/>
          </w:tcPr>
          <w:p w14:paraId="27F4F699">
            <w:pPr>
              <w:jc w:val="center"/>
              <w:rPr>
                <w:color w:val="000000"/>
                <w:sz w:val="20"/>
                <w:szCs w:val="20"/>
              </w:rPr>
            </w:pPr>
          </w:p>
        </w:tc>
        <w:tc>
          <w:tcPr>
            <w:tcW w:w="5361" w:type="dxa"/>
            <w:shd w:val="clear" w:color="auto" w:fill="auto"/>
            <w:vAlign w:val="center"/>
          </w:tcPr>
          <w:p w14:paraId="2D0A8CF8">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w:t>
            </w:r>
            <w:r>
              <w:rPr>
                <w:rFonts w:hint="eastAsia"/>
                <w:color w:val="000000"/>
                <w:sz w:val="20"/>
                <w:szCs w:val="20"/>
                <w:lang w:eastAsia="zh-CN" w:bidi="ar"/>
              </w:rPr>
              <w:t>其它</w:t>
            </w:r>
            <w:r>
              <w:rPr>
                <w:rFonts w:hint="eastAsia"/>
                <w:color w:val="000000"/>
                <w:sz w:val="20"/>
                <w:szCs w:val="20"/>
                <w:lang w:bidi="ar"/>
              </w:rPr>
              <w:t>供应商串通陪标的；③供应商之间相互串通，以不正当的手段排挤</w:t>
            </w:r>
            <w:r>
              <w:rPr>
                <w:rFonts w:hint="eastAsia"/>
                <w:color w:val="000000"/>
                <w:sz w:val="20"/>
                <w:szCs w:val="20"/>
                <w:lang w:eastAsia="zh-CN" w:bidi="ar"/>
              </w:rPr>
              <w:t>其它</w:t>
            </w:r>
            <w:r>
              <w:rPr>
                <w:rFonts w:hint="eastAsia"/>
                <w:color w:val="000000"/>
                <w:sz w:val="20"/>
                <w:szCs w:val="20"/>
                <w:lang w:bidi="ar"/>
              </w:rPr>
              <w:t>供应商（采取公开招标采办方式的，以招标代理公司判定结果为准）</w:t>
            </w:r>
          </w:p>
        </w:tc>
        <w:tc>
          <w:tcPr>
            <w:tcW w:w="2588" w:type="dxa"/>
            <w:shd w:val="clear" w:color="auto" w:fill="auto"/>
            <w:vAlign w:val="center"/>
          </w:tcPr>
          <w:p w14:paraId="52BA0496">
            <w:pPr>
              <w:textAlignment w:val="center"/>
              <w:rPr>
                <w:color w:val="000000"/>
                <w:sz w:val="20"/>
                <w:szCs w:val="20"/>
              </w:rPr>
            </w:pPr>
            <w:r>
              <w:rPr>
                <w:rFonts w:hint="eastAsia"/>
                <w:color w:val="000000"/>
                <w:sz w:val="20"/>
                <w:szCs w:val="20"/>
                <w:lang w:bidi="ar"/>
              </w:rPr>
              <w:t>长期禁用</w:t>
            </w:r>
          </w:p>
        </w:tc>
      </w:tr>
      <w:tr w14:paraId="5DC6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62" w:type="dxa"/>
            <w:shd w:val="clear" w:color="auto" w:fill="auto"/>
            <w:vAlign w:val="center"/>
          </w:tcPr>
          <w:p w14:paraId="53A109AD">
            <w:pPr>
              <w:jc w:val="center"/>
              <w:textAlignment w:val="center"/>
              <w:rPr>
                <w:color w:val="000000"/>
                <w:sz w:val="20"/>
                <w:szCs w:val="20"/>
              </w:rPr>
            </w:pPr>
            <w:r>
              <w:rPr>
                <w:rFonts w:hint="eastAsia"/>
                <w:color w:val="000000"/>
                <w:sz w:val="20"/>
                <w:szCs w:val="20"/>
                <w:lang w:bidi="ar"/>
              </w:rPr>
              <w:t>5</w:t>
            </w:r>
          </w:p>
        </w:tc>
        <w:tc>
          <w:tcPr>
            <w:tcW w:w="1834" w:type="dxa"/>
            <w:vMerge w:val="restart"/>
            <w:shd w:val="clear" w:color="auto" w:fill="auto"/>
            <w:vAlign w:val="center"/>
          </w:tcPr>
          <w:p w14:paraId="76A82F1B">
            <w:pPr>
              <w:jc w:val="center"/>
              <w:textAlignment w:val="center"/>
              <w:rPr>
                <w:color w:val="000000"/>
                <w:sz w:val="20"/>
                <w:szCs w:val="20"/>
              </w:rPr>
            </w:pPr>
            <w:r>
              <w:rPr>
                <w:rFonts w:hint="eastAsia"/>
                <w:color w:val="000000"/>
                <w:sz w:val="20"/>
                <w:szCs w:val="20"/>
                <w:lang w:bidi="ar"/>
              </w:rPr>
              <w:t>中途撤销投标</w:t>
            </w:r>
          </w:p>
        </w:tc>
        <w:tc>
          <w:tcPr>
            <w:tcW w:w="5361" w:type="dxa"/>
            <w:shd w:val="clear" w:color="auto" w:fill="auto"/>
            <w:vAlign w:val="center"/>
          </w:tcPr>
          <w:p w14:paraId="330550E1">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2588" w:type="dxa"/>
            <w:shd w:val="clear" w:color="auto" w:fill="auto"/>
            <w:vAlign w:val="center"/>
          </w:tcPr>
          <w:p w14:paraId="0D018127">
            <w:pPr>
              <w:textAlignment w:val="center"/>
              <w:rPr>
                <w:color w:val="000000"/>
                <w:sz w:val="20"/>
                <w:szCs w:val="20"/>
              </w:rPr>
            </w:pPr>
            <w:r>
              <w:rPr>
                <w:rFonts w:hint="eastAsia"/>
                <w:color w:val="000000"/>
                <w:sz w:val="20"/>
                <w:szCs w:val="20"/>
                <w:lang w:bidi="ar"/>
              </w:rPr>
              <w:t>约谈</w:t>
            </w:r>
          </w:p>
        </w:tc>
      </w:tr>
      <w:tr w14:paraId="0333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62" w:type="dxa"/>
            <w:shd w:val="clear" w:color="auto" w:fill="auto"/>
            <w:vAlign w:val="center"/>
          </w:tcPr>
          <w:p w14:paraId="62A69170">
            <w:pPr>
              <w:jc w:val="center"/>
              <w:textAlignment w:val="center"/>
              <w:rPr>
                <w:color w:val="000000"/>
                <w:sz w:val="20"/>
                <w:szCs w:val="20"/>
              </w:rPr>
            </w:pPr>
            <w:r>
              <w:rPr>
                <w:rFonts w:hint="eastAsia"/>
                <w:color w:val="000000"/>
                <w:sz w:val="20"/>
                <w:szCs w:val="20"/>
                <w:lang w:bidi="ar"/>
              </w:rPr>
              <w:t>6</w:t>
            </w:r>
          </w:p>
        </w:tc>
        <w:tc>
          <w:tcPr>
            <w:tcW w:w="1834" w:type="dxa"/>
            <w:vMerge w:val="continue"/>
            <w:shd w:val="clear" w:color="auto" w:fill="auto"/>
            <w:vAlign w:val="center"/>
          </w:tcPr>
          <w:p w14:paraId="54C63920">
            <w:pPr>
              <w:jc w:val="center"/>
              <w:rPr>
                <w:color w:val="000000"/>
                <w:sz w:val="20"/>
                <w:szCs w:val="20"/>
              </w:rPr>
            </w:pPr>
          </w:p>
        </w:tc>
        <w:tc>
          <w:tcPr>
            <w:tcW w:w="5361" w:type="dxa"/>
            <w:shd w:val="clear" w:color="auto" w:fill="auto"/>
            <w:vAlign w:val="center"/>
          </w:tcPr>
          <w:p w14:paraId="38415A6F">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2588" w:type="dxa"/>
            <w:shd w:val="clear" w:color="auto" w:fill="auto"/>
            <w:vAlign w:val="center"/>
          </w:tcPr>
          <w:p w14:paraId="39FA90C9">
            <w:pPr>
              <w:textAlignment w:val="center"/>
              <w:rPr>
                <w:color w:val="000000"/>
                <w:sz w:val="20"/>
                <w:szCs w:val="20"/>
              </w:rPr>
            </w:pPr>
            <w:r>
              <w:rPr>
                <w:rFonts w:hint="eastAsia"/>
                <w:color w:val="000000"/>
                <w:sz w:val="20"/>
                <w:szCs w:val="20"/>
                <w:lang w:bidi="ar"/>
              </w:rPr>
              <w:t>警告</w:t>
            </w:r>
          </w:p>
        </w:tc>
      </w:tr>
      <w:tr w14:paraId="3177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2" w:type="dxa"/>
            <w:shd w:val="clear" w:color="auto" w:fill="auto"/>
            <w:vAlign w:val="center"/>
          </w:tcPr>
          <w:p w14:paraId="3CC55FF7">
            <w:pPr>
              <w:jc w:val="center"/>
              <w:textAlignment w:val="center"/>
              <w:rPr>
                <w:color w:val="000000"/>
                <w:sz w:val="20"/>
                <w:szCs w:val="20"/>
              </w:rPr>
            </w:pPr>
            <w:r>
              <w:rPr>
                <w:rFonts w:hint="eastAsia"/>
                <w:color w:val="000000"/>
                <w:sz w:val="20"/>
                <w:szCs w:val="20"/>
                <w:lang w:bidi="ar"/>
              </w:rPr>
              <w:t>7</w:t>
            </w:r>
          </w:p>
        </w:tc>
        <w:tc>
          <w:tcPr>
            <w:tcW w:w="1834" w:type="dxa"/>
            <w:vMerge w:val="continue"/>
            <w:shd w:val="clear" w:color="auto" w:fill="auto"/>
            <w:vAlign w:val="center"/>
          </w:tcPr>
          <w:p w14:paraId="255AF3BE">
            <w:pPr>
              <w:jc w:val="center"/>
              <w:rPr>
                <w:color w:val="000000"/>
                <w:sz w:val="20"/>
                <w:szCs w:val="20"/>
              </w:rPr>
            </w:pPr>
          </w:p>
        </w:tc>
        <w:tc>
          <w:tcPr>
            <w:tcW w:w="5361" w:type="dxa"/>
            <w:shd w:val="clear" w:color="auto" w:fill="auto"/>
            <w:vAlign w:val="center"/>
          </w:tcPr>
          <w:p w14:paraId="5833595A">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2588" w:type="dxa"/>
            <w:shd w:val="clear" w:color="auto" w:fill="auto"/>
            <w:vAlign w:val="center"/>
          </w:tcPr>
          <w:p w14:paraId="09E51DF4">
            <w:pPr>
              <w:textAlignment w:val="center"/>
              <w:rPr>
                <w:color w:val="000000"/>
                <w:sz w:val="20"/>
                <w:szCs w:val="20"/>
              </w:rPr>
            </w:pPr>
            <w:r>
              <w:rPr>
                <w:rFonts w:hint="eastAsia"/>
                <w:color w:val="000000"/>
                <w:sz w:val="20"/>
                <w:szCs w:val="20"/>
                <w:lang w:bidi="ar"/>
              </w:rPr>
              <w:t>警告</w:t>
            </w:r>
          </w:p>
        </w:tc>
      </w:tr>
      <w:tr w14:paraId="197C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62" w:type="dxa"/>
            <w:shd w:val="clear" w:color="auto" w:fill="auto"/>
            <w:vAlign w:val="center"/>
          </w:tcPr>
          <w:p w14:paraId="23D267AD">
            <w:pPr>
              <w:jc w:val="center"/>
              <w:textAlignment w:val="center"/>
              <w:rPr>
                <w:color w:val="000000"/>
                <w:sz w:val="20"/>
                <w:szCs w:val="20"/>
              </w:rPr>
            </w:pPr>
            <w:r>
              <w:rPr>
                <w:rFonts w:hint="eastAsia"/>
                <w:color w:val="000000"/>
                <w:sz w:val="20"/>
                <w:szCs w:val="20"/>
                <w:lang w:bidi="ar"/>
              </w:rPr>
              <w:t>8</w:t>
            </w:r>
          </w:p>
        </w:tc>
        <w:tc>
          <w:tcPr>
            <w:tcW w:w="1834" w:type="dxa"/>
            <w:vMerge w:val="continue"/>
            <w:shd w:val="clear" w:color="auto" w:fill="auto"/>
            <w:vAlign w:val="center"/>
          </w:tcPr>
          <w:p w14:paraId="76904EDC">
            <w:pPr>
              <w:jc w:val="center"/>
              <w:rPr>
                <w:color w:val="000000"/>
                <w:sz w:val="20"/>
                <w:szCs w:val="20"/>
              </w:rPr>
            </w:pPr>
          </w:p>
        </w:tc>
        <w:tc>
          <w:tcPr>
            <w:tcW w:w="5361" w:type="dxa"/>
            <w:shd w:val="clear" w:color="auto" w:fill="auto"/>
            <w:vAlign w:val="center"/>
          </w:tcPr>
          <w:p w14:paraId="64477BA2">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2588" w:type="dxa"/>
            <w:shd w:val="clear" w:color="auto" w:fill="auto"/>
            <w:vAlign w:val="center"/>
          </w:tcPr>
          <w:p w14:paraId="36B45A54">
            <w:pPr>
              <w:textAlignment w:val="center"/>
              <w:rPr>
                <w:color w:val="000000"/>
                <w:sz w:val="20"/>
                <w:szCs w:val="20"/>
              </w:rPr>
            </w:pPr>
            <w:r>
              <w:rPr>
                <w:rFonts w:hint="eastAsia"/>
                <w:b/>
                <w:bCs/>
                <w:color w:val="000000"/>
                <w:sz w:val="20"/>
                <w:szCs w:val="20"/>
                <w:lang w:bidi="ar"/>
              </w:rPr>
              <w:t>禁用一年</w:t>
            </w:r>
          </w:p>
        </w:tc>
      </w:tr>
      <w:tr w14:paraId="33A3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62" w:type="dxa"/>
            <w:shd w:val="clear" w:color="auto" w:fill="auto"/>
            <w:vAlign w:val="center"/>
          </w:tcPr>
          <w:p w14:paraId="6EB6E60E">
            <w:pPr>
              <w:jc w:val="center"/>
              <w:textAlignment w:val="center"/>
              <w:rPr>
                <w:color w:val="000000"/>
                <w:sz w:val="20"/>
                <w:szCs w:val="20"/>
              </w:rPr>
            </w:pPr>
            <w:r>
              <w:rPr>
                <w:rFonts w:hint="eastAsia"/>
                <w:color w:val="000000"/>
                <w:sz w:val="20"/>
                <w:szCs w:val="20"/>
                <w:lang w:bidi="ar"/>
              </w:rPr>
              <w:t>9</w:t>
            </w:r>
          </w:p>
        </w:tc>
        <w:tc>
          <w:tcPr>
            <w:tcW w:w="1834" w:type="dxa"/>
            <w:vMerge w:val="restart"/>
            <w:shd w:val="clear" w:color="auto" w:fill="auto"/>
            <w:vAlign w:val="center"/>
          </w:tcPr>
          <w:p w14:paraId="01E81981">
            <w:pPr>
              <w:jc w:val="center"/>
              <w:textAlignment w:val="center"/>
              <w:rPr>
                <w:color w:val="000000"/>
                <w:sz w:val="20"/>
                <w:szCs w:val="20"/>
              </w:rPr>
            </w:pPr>
            <w:r>
              <w:rPr>
                <w:rFonts w:hint="eastAsia"/>
                <w:b/>
                <w:bCs/>
                <w:color w:val="000000"/>
                <w:sz w:val="20"/>
                <w:szCs w:val="20"/>
                <w:lang w:bidi="ar"/>
              </w:rPr>
              <w:t>投标文件质量差</w:t>
            </w:r>
          </w:p>
        </w:tc>
        <w:tc>
          <w:tcPr>
            <w:tcW w:w="5361" w:type="dxa"/>
            <w:shd w:val="clear" w:color="auto" w:fill="auto"/>
            <w:vAlign w:val="center"/>
          </w:tcPr>
          <w:p w14:paraId="0CF26D89">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w:t>
            </w:r>
            <w:r>
              <w:rPr>
                <w:rFonts w:hint="eastAsia"/>
                <w:color w:val="000000"/>
                <w:sz w:val="20"/>
                <w:szCs w:val="20"/>
                <w:lang w:eastAsia="zh-CN" w:bidi="ar"/>
              </w:rPr>
              <w:t>其它</w:t>
            </w:r>
            <w:r>
              <w:rPr>
                <w:rFonts w:hint="eastAsia"/>
                <w:color w:val="000000"/>
                <w:sz w:val="20"/>
                <w:szCs w:val="20"/>
                <w:lang w:bidi="ar"/>
              </w:rPr>
              <w:t>项目的方案或资料从而导致评标不合格；④邀请招标项目供应商因不重视商务投标导致商务评议不合格等情况。未造成影响的。</w:t>
            </w:r>
          </w:p>
        </w:tc>
        <w:tc>
          <w:tcPr>
            <w:tcW w:w="2588" w:type="dxa"/>
            <w:shd w:val="clear" w:color="auto" w:fill="auto"/>
            <w:vAlign w:val="center"/>
          </w:tcPr>
          <w:p w14:paraId="05EFAE4C">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14:paraId="5120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62" w:type="dxa"/>
            <w:shd w:val="clear" w:color="auto" w:fill="auto"/>
            <w:vAlign w:val="center"/>
          </w:tcPr>
          <w:p w14:paraId="057C3A6B">
            <w:pPr>
              <w:jc w:val="center"/>
              <w:textAlignment w:val="center"/>
              <w:rPr>
                <w:color w:val="000000"/>
                <w:sz w:val="20"/>
                <w:szCs w:val="20"/>
              </w:rPr>
            </w:pPr>
            <w:r>
              <w:rPr>
                <w:rFonts w:hint="eastAsia"/>
                <w:color w:val="000000"/>
                <w:sz w:val="20"/>
                <w:szCs w:val="20"/>
                <w:lang w:bidi="ar"/>
              </w:rPr>
              <w:t>10</w:t>
            </w:r>
          </w:p>
        </w:tc>
        <w:tc>
          <w:tcPr>
            <w:tcW w:w="1834" w:type="dxa"/>
            <w:vMerge w:val="continue"/>
            <w:shd w:val="clear" w:color="auto" w:fill="auto"/>
            <w:vAlign w:val="center"/>
          </w:tcPr>
          <w:p w14:paraId="12EC93DE">
            <w:pPr>
              <w:jc w:val="center"/>
              <w:rPr>
                <w:color w:val="000000"/>
                <w:sz w:val="20"/>
                <w:szCs w:val="20"/>
              </w:rPr>
            </w:pPr>
          </w:p>
        </w:tc>
        <w:tc>
          <w:tcPr>
            <w:tcW w:w="5361" w:type="dxa"/>
            <w:shd w:val="clear" w:color="auto" w:fill="auto"/>
            <w:vAlign w:val="center"/>
          </w:tcPr>
          <w:p w14:paraId="5EF3481A">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w:t>
            </w:r>
            <w:r>
              <w:rPr>
                <w:rFonts w:hint="eastAsia"/>
                <w:color w:val="000000"/>
                <w:sz w:val="20"/>
                <w:szCs w:val="20"/>
                <w:lang w:eastAsia="zh-CN" w:bidi="ar"/>
              </w:rPr>
              <w:t>其它</w:t>
            </w:r>
            <w:r>
              <w:rPr>
                <w:rFonts w:hint="eastAsia"/>
                <w:color w:val="000000"/>
                <w:sz w:val="20"/>
                <w:szCs w:val="20"/>
                <w:lang w:bidi="ar"/>
              </w:rPr>
              <w:t>项目的方案或资料从而导致评标不合格；④邀请招标项目供应商因不重视商务投标导致商务评议不合格等情况。造成影响的。</w:t>
            </w:r>
          </w:p>
        </w:tc>
        <w:tc>
          <w:tcPr>
            <w:tcW w:w="2588" w:type="dxa"/>
            <w:shd w:val="clear" w:color="auto" w:fill="auto"/>
            <w:vAlign w:val="center"/>
          </w:tcPr>
          <w:p w14:paraId="24060906">
            <w:pPr>
              <w:textAlignment w:val="center"/>
              <w:rPr>
                <w:color w:val="000000"/>
                <w:sz w:val="20"/>
                <w:szCs w:val="20"/>
              </w:rPr>
            </w:pPr>
            <w:r>
              <w:rPr>
                <w:rFonts w:hint="eastAsia"/>
                <w:color w:val="000000"/>
                <w:sz w:val="20"/>
                <w:szCs w:val="20"/>
                <w:lang w:bidi="ar"/>
              </w:rPr>
              <w:t>警告</w:t>
            </w:r>
          </w:p>
        </w:tc>
      </w:tr>
      <w:tr w14:paraId="2FA3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2" w:type="dxa"/>
            <w:shd w:val="clear" w:color="auto" w:fill="auto"/>
            <w:vAlign w:val="center"/>
          </w:tcPr>
          <w:p w14:paraId="6B87D9DF">
            <w:pPr>
              <w:jc w:val="center"/>
              <w:textAlignment w:val="center"/>
              <w:rPr>
                <w:color w:val="000000"/>
                <w:sz w:val="20"/>
                <w:szCs w:val="20"/>
              </w:rPr>
            </w:pPr>
            <w:r>
              <w:rPr>
                <w:rFonts w:hint="eastAsia"/>
                <w:color w:val="000000"/>
                <w:sz w:val="20"/>
                <w:szCs w:val="20"/>
                <w:lang w:bidi="ar"/>
              </w:rPr>
              <w:t>11</w:t>
            </w:r>
          </w:p>
        </w:tc>
        <w:tc>
          <w:tcPr>
            <w:tcW w:w="1834" w:type="dxa"/>
            <w:shd w:val="clear" w:color="auto" w:fill="auto"/>
            <w:vAlign w:val="center"/>
          </w:tcPr>
          <w:p w14:paraId="139E0B98">
            <w:pPr>
              <w:jc w:val="center"/>
              <w:textAlignment w:val="center"/>
              <w:rPr>
                <w:color w:val="000000"/>
                <w:sz w:val="20"/>
                <w:szCs w:val="20"/>
              </w:rPr>
            </w:pPr>
            <w:r>
              <w:rPr>
                <w:rFonts w:hint="eastAsia"/>
                <w:color w:val="000000"/>
                <w:sz w:val="20"/>
                <w:szCs w:val="20"/>
                <w:lang w:bidi="ar"/>
              </w:rPr>
              <w:t>排挤</w:t>
            </w:r>
            <w:r>
              <w:rPr>
                <w:rFonts w:hint="eastAsia"/>
                <w:color w:val="000000"/>
                <w:sz w:val="20"/>
                <w:szCs w:val="20"/>
                <w:lang w:eastAsia="zh-CN" w:bidi="ar"/>
              </w:rPr>
              <w:t>其它</w:t>
            </w:r>
            <w:r>
              <w:rPr>
                <w:rFonts w:hint="eastAsia"/>
                <w:color w:val="000000"/>
                <w:sz w:val="20"/>
                <w:szCs w:val="20"/>
                <w:lang w:bidi="ar"/>
              </w:rPr>
              <w:t>供应商</w:t>
            </w:r>
          </w:p>
        </w:tc>
        <w:tc>
          <w:tcPr>
            <w:tcW w:w="5361" w:type="dxa"/>
            <w:shd w:val="clear" w:color="auto" w:fill="auto"/>
            <w:vAlign w:val="center"/>
          </w:tcPr>
          <w:p w14:paraId="5EB758C8">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w:t>
            </w:r>
            <w:r>
              <w:rPr>
                <w:rFonts w:hint="eastAsia"/>
                <w:color w:val="000000"/>
                <w:sz w:val="20"/>
                <w:szCs w:val="20"/>
                <w:lang w:eastAsia="zh-CN" w:bidi="ar"/>
              </w:rPr>
              <w:t>其它</w:t>
            </w:r>
            <w:r>
              <w:rPr>
                <w:rFonts w:hint="eastAsia"/>
                <w:color w:val="000000"/>
                <w:sz w:val="20"/>
                <w:szCs w:val="20"/>
                <w:lang w:bidi="ar"/>
              </w:rPr>
              <w:t>供应商投标或中标的，证据确凿的</w:t>
            </w:r>
          </w:p>
        </w:tc>
        <w:tc>
          <w:tcPr>
            <w:tcW w:w="2588" w:type="dxa"/>
            <w:shd w:val="clear" w:color="auto" w:fill="auto"/>
            <w:vAlign w:val="center"/>
          </w:tcPr>
          <w:p w14:paraId="7A03C2E7">
            <w:pPr>
              <w:textAlignment w:val="center"/>
              <w:rPr>
                <w:color w:val="000000"/>
                <w:sz w:val="20"/>
                <w:szCs w:val="20"/>
              </w:rPr>
            </w:pPr>
            <w:r>
              <w:rPr>
                <w:rFonts w:hint="eastAsia"/>
                <w:color w:val="000000"/>
                <w:sz w:val="20"/>
                <w:szCs w:val="20"/>
                <w:lang w:bidi="ar"/>
              </w:rPr>
              <w:t>禁用一年</w:t>
            </w:r>
          </w:p>
        </w:tc>
      </w:tr>
      <w:tr w14:paraId="59DF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62" w:type="dxa"/>
            <w:shd w:val="clear" w:color="auto" w:fill="auto"/>
            <w:vAlign w:val="center"/>
          </w:tcPr>
          <w:p w14:paraId="0164E730">
            <w:pPr>
              <w:jc w:val="center"/>
              <w:textAlignment w:val="center"/>
              <w:rPr>
                <w:color w:val="000000"/>
                <w:sz w:val="20"/>
                <w:szCs w:val="20"/>
              </w:rPr>
            </w:pPr>
            <w:r>
              <w:rPr>
                <w:rFonts w:hint="eastAsia"/>
                <w:color w:val="000000"/>
                <w:sz w:val="20"/>
                <w:szCs w:val="20"/>
                <w:lang w:bidi="ar"/>
              </w:rPr>
              <w:t>12</w:t>
            </w:r>
          </w:p>
        </w:tc>
        <w:tc>
          <w:tcPr>
            <w:tcW w:w="1834" w:type="dxa"/>
            <w:shd w:val="clear" w:color="auto" w:fill="auto"/>
            <w:vAlign w:val="center"/>
          </w:tcPr>
          <w:p w14:paraId="1EE1ED75">
            <w:pPr>
              <w:jc w:val="center"/>
              <w:textAlignment w:val="center"/>
              <w:rPr>
                <w:color w:val="000000"/>
                <w:sz w:val="20"/>
                <w:szCs w:val="20"/>
              </w:rPr>
            </w:pPr>
            <w:r>
              <w:rPr>
                <w:rFonts w:hint="eastAsia"/>
                <w:color w:val="000000"/>
                <w:sz w:val="20"/>
                <w:szCs w:val="20"/>
                <w:lang w:bidi="ar"/>
              </w:rPr>
              <w:t>不遵守招投标纪律</w:t>
            </w:r>
          </w:p>
        </w:tc>
        <w:tc>
          <w:tcPr>
            <w:tcW w:w="5361" w:type="dxa"/>
            <w:shd w:val="clear" w:color="auto" w:fill="auto"/>
            <w:vAlign w:val="center"/>
          </w:tcPr>
          <w:p w14:paraId="736180A5">
            <w:pPr>
              <w:textAlignment w:val="center"/>
              <w:rPr>
                <w:color w:val="000000"/>
                <w:sz w:val="20"/>
                <w:szCs w:val="20"/>
              </w:rPr>
            </w:pPr>
            <w:r>
              <w:rPr>
                <w:rStyle w:val="20"/>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20"/>
                <w:rFonts w:hint="default"/>
                <w:lang w:bidi="ar"/>
              </w:rPr>
              <w:t>破坏招投标秩序等情形的</w:t>
            </w:r>
          </w:p>
        </w:tc>
        <w:tc>
          <w:tcPr>
            <w:tcW w:w="2588" w:type="dxa"/>
            <w:shd w:val="clear" w:color="auto" w:fill="auto"/>
            <w:vAlign w:val="center"/>
          </w:tcPr>
          <w:p w14:paraId="7637C854">
            <w:pPr>
              <w:textAlignment w:val="center"/>
              <w:rPr>
                <w:color w:val="000000"/>
                <w:sz w:val="20"/>
                <w:szCs w:val="20"/>
              </w:rPr>
            </w:pPr>
            <w:r>
              <w:rPr>
                <w:rFonts w:hint="eastAsia"/>
                <w:color w:val="000000"/>
                <w:sz w:val="20"/>
                <w:szCs w:val="20"/>
                <w:lang w:bidi="ar"/>
              </w:rPr>
              <w:t>禁用一年</w:t>
            </w:r>
          </w:p>
        </w:tc>
      </w:tr>
      <w:tr w14:paraId="07F4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62" w:type="dxa"/>
            <w:shd w:val="clear" w:color="auto" w:fill="auto"/>
            <w:vAlign w:val="center"/>
          </w:tcPr>
          <w:p w14:paraId="2634F276">
            <w:pPr>
              <w:jc w:val="center"/>
              <w:textAlignment w:val="center"/>
              <w:rPr>
                <w:color w:val="000000"/>
                <w:sz w:val="20"/>
                <w:szCs w:val="20"/>
              </w:rPr>
            </w:pPr>
            <w:r>
              <w:rPr>
                <w:rFonts w:hint="eastAsia"/>
                <w:color w:val="000000"/>
                <w:sz w:val="20"/>
                <w:szCs w:val="20"/>
                <w:lang w:bidi="ar"/>
              </w:rPr>
              <w:t>13</w:t>
            </w:r>
          </w:p>
        </w:tc>
        <w:tc>
          <w:tcPr>
            <w:tcW w:w="1834" w:type="dxa"/>
            <w:shd w:val="clear" w:color="auto" w:fill="auto"/>
            <w:vAlign w:val="center"/>
          </w:tcPr>
          <w:p w14:paraId="00E36611">
            <w:pPr>
              <w:jc w:val="center"/>
              <w:textAlignment w:val="center"/>
              <w:rPr>
                <w:color w:val="000000"/>
                <w:sz w:val="20"/>
                <w:szCs w:val="20"/>
              </w:rPr>
            </w:pPr>
            <w:r>
              <w:rPr>
                <w:rFonts w:hint="eastAsia"/>
                <w:b/>
                <w:bCs/>
                <w:color w:val="000000"/>
                <w:sz w:val="20"/>
                <w:szCs w:val="20"/>
                <w:lang w:bidi="ar"/>
              </w:rPr>
              <w:t>拒不签订合同</w:t>
            </w:r>
          </w:p>
        </w:tc>
        <w:tc>
          <w:tcPr>
            <w:tcW w:w="5361" w:type="dxa"/>
            <w:shd w:val="clear" w:color="auto" w:fill="auto"/>
            <w:vAlign w:val="center"/>
          </w:tcPr>
          <w:p w14:paraId="5D1AC038">
            <w:pPr>
              <w:textAlignment w:val="center"/>
              <w:rPr>
                <w:color w:val="000000"/>
                <w:sz w:val="20"/>
                <w:szCs w:val="20"/>
              </w:rPr>
            </w:pPr>
            <w:r>
              <w:rPr>
                <w:rFonts w:hint="eastAsia"/>
                <w:color w:val="000000"/>
                <w:sz w:val="20"/>
                <w:szCs w:val="20"/>
                <w:lang w:bidi="ar"/>
              </w:rPr>
              <w:t>获取中标资格或成交资格拒绝签订合同的</w:t>
            </w:r>
          </w:p>
        </w:tc>
        <w:tc>
          <w:tcPr>
            <w:tcW w:w="2588" w:type="dxa"/>
            <w:shd w:val="clear" w:color="auto" w:fill="auto"/>
            <w:vAlign w:val="center"/>
          </w:tcPr>
          <w:p w14:paraId="6BE31B12">
            <w:pPr>
              <w:textAlignment w:val="center"/>
              <w:rPr>
                <w:color w:val="000000"/>
                <w:sz w:val="20"/>
                <w:szCs w:val="20"/>
              </w:rPr>
            </w:pPr>
            <w:r>
              <w:rPr>
                <w:rFonts w:hint="eastAsia"/>
                <w:b/>
                <w:bCs/>
                <w:color w:val="000000"/>
                <w:sz w:val="20"/>
                <w:szCs w:val="20"/>
                <w:lang w:bidi="ar"/>
              </w:rPr>
              <w:t>禁用两年</w:t>
            </w:r>
          </w:p>
        </w:tc>
      </w:tr>
      <w:tr w14:paraId="599F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62" w:type="dxa"/>
            <w:shd w:val="clear" w:color="auto" w:fill="auto"/>
            <w:vAlign w:val="center"/>
          </w:tcPr>
          <w:p w14:paraId="24F492D0">
            <w:pPr>
              <w:jc w:val="center"/>
              <w:textAlignment w:val="center"/>
              <w:rPr>
                <w:color w:val="000000"/>
                <w:sz w:val="20"/>
                <w:szCs w:val="20"/>
              </w:rPr>
            </w:pPr>
            <w:r>
              <w:rPr>
                <w:rFonts w:hint="eastAsia"/>
                <w:color w:val="000000"/>
                <w:sz w:val="20"/>
                <w:szCs w:val="20"/>
                <w:lang w:bidi="ar"/>
              </w:rPr>
              <w:t>14</w:t>
            </w:r>
          </w:p>
        </w:tc>
        <w:tc>
          <w:tcPr>
            <w:tcW w:w="1834" w:type="dxa"/>
            <w:vMerge w:val="restart"/>
            <w:shd w:val="clear" w:color="auto" w:fill="auto"/>
            <w:vAlign w:val="center"/>
          </w:tcPr>
          <w:p w14:paraId="072F6D8B">
            <w:pPr>
              <w:jc w:val="center"/>
              <w:textAlignment w:val="center"/>
              <w:rPr>
                <w:color w:val="000000"/>
                <w:sz w:val="20"/>
                <w:szCs w:val="20"/>
              </w:rPr>
            </w:pPr>
            <w:r>
              <w:rPr>
                <w:rFonts w:hint="eastAsia"/>
                <w:color w:val="000000"/>
                <w:sz w:val="20"/>
                <w:szCs w:val="20"/>
                <w:lang w:bidi="ar"/>
              </w:rPr>
              <w:t>供应商对评标结果提出异议</w:t>
            </w:r>
          </w:p>
        </w:tc>
        <w:tc>
          <w:tcPr>
            <w:tcW w:w="5361" w:type="dxa"/>
            <w:shd w:val="clear" w:color="auto" w:fill="auto"/>
            <w:vAlign w:val="center"/>
          </w:tcPr>
          <w:p w14:paraId="072A4B01">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2588" w:type="dxa"/>
            <w:shd w:val="clear" w:color="auto" w:fill="auto"/>
            <w:vAlign w:val="center"/>
          </w:tcPr>
          <w:p w14:paraId="109058D5">
            <w:pPr>
              <w:textAlignment w:val="center"/>
              <w:rPr>
                <w:color w:val="000000"/>
                <w:sz w:val="20"/>
                <w:szCs w:val="20"/>
              </w:rPr>
            </w:pPr>
            <w:r>
              <w:rPr>
                <w:rFonts w:hint="eastAsia"/>
                <w:color w:val="000000"/>
                <w:sz w:val="20"/>
                <w:szCs w:val="20"/>
                <w:lang w:bidi="ar"/>
              </w:rPr>
              <w:t>警告</w:t>
            </w:r>
          </w:p>
        </w:tc>
      </w:tr>
      <w:tr w14:paraId="3F27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62" w:type="dxa"/>
            <w:shd w:val="clear" w:color="auto" w:fill="auto"/>
            <w:vAlign w:val="center"/>
          </w:tcPr>
          <w:p w14:paraId="21AA20E5">
            <w:pPr>
              <w:jc w:val="center"/>
              <w:textAlignment w:val="center"/>
              <w:rPr>
                <w:color w:val="000000"/>
                <w:sz w:val="20"/>
                <w:szCs w:val="20"/>
              </w:rPr>
            </w:pPr>
            <w:r>
              <w:rPr>
                <w:rFonts w:hint="eastAsia"/>
                <w:color w:val="000000"/>
                <w:sz w:val="20"/>
                <w:szCs w:val="20"/>
                <w:lang w:bidi="ar"/>
              </w:rPr>
              <w:t>15</w:t>
            </w:r>
          </w:p>
        </w:tc>
        <w:tc>
          <w:tcPr>
            <w:tcW w:w="1834" w:type="dxa"/>
            <w:vMerge w:val="continue"/>
            <w:shd w:val="clear" w:color="auto" w:fill="auto"/>
            <w:vAlign w:val="center"/>
          </w:tcPr>
          <w:p w14:paraId="0A62EB2E">
            <w:pPr>
              <w:jc w:val="center"/>
              <w:rPr>
                <w:color w:val="000000"/>
                <w:sz w:val="20"/>
                <w:szCs w:val="20"/>
              </w:rPr>
            </w:pPr>
          </w:p>
        </w:tc>
        <w:tc>
          <w:tcPr>
            <w:tcW w:w="5361" w:type="dxa"/>
            <w:shd w:val="clear" w:color="auto" w:fill="auto"/>
            <w:vAlign w:val="center"/>
          </w:tcPr>
          <w:p w14:paraId="4A8E33EE">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2588" w:type="dxa"/>
            <w:shd w:val="clear" w:color="auto" w:fill="auto"/>
            <w:vAlign w:val="center"/>
          </w:tcPr>
          <w:p w14:paraId="2C6EBD3E">
            <w:pPr>
              <w:textAlignment w:val="center"/>
              <w:rPr>
                <w:color w:val="000000"/>
                <w:sz w:val="20"/>
                <w:szCs w:val="20"/>
              </w:rPr>
            </w:pPr>
            <w:r>
              <w:rPr>
                <w:rFonts w:hint="eastAsia"/>
                <w:b/>
                <w:bCs/>
                <w:color w:val="000000"/>
                <w:sz w:val="20"/>
                <w:szCs w:val="20"/>
                <w:lang w:bidi="ar"/>
              </w:rPr>
              <w:t>禁用一年</w:t>
            </w:r>
          </w:p>
        </w:tc>
      </w:tr>
      <w:tr w14:paraId="47A0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62" w:type="dxa"/>
            <w:shd w:val="clear" w:color="auto" w:fill="auto"/>
            <w:vAlign w:val="center"/>
          </w:tcPr>
          <w:p w14:paraId="099FEA2A">
            <w:pPr>
              <w:jc w:val="center"/>
              <w:textAlignment w:val="center"/>
              <w:rPr>
                <w:color w:val="000000"/>
                <w:sz w:val="20"/>
                <w:szCs w:val="20"/>
              </w:rPr>
            </w:pPr>
            <w:r>
              <w:rPr>
                <w:rFonts w:hint="eastAsia"/>
                <w:color w:val="000000"/>
                <w:sz w:val="20"/>
                <w:szCs w:val="20"/>
                <w:lang w:bidi="ar"/>
              </w:rPr>
              <w:t>16</w:t>
            </w:r>
          </w:p>
        </w:tc>
        <w:tc>
          <w:tcPr>
            <w:tcW w:w="1834" w:type="dxa"/>
            <w:vMerge w:val="restart"/>
            <w:shd w:val="clear" w:color="auto" w:fill="auto"/>
            <w:vAlign w:val="center"/>
          </w:tcPr>
          <w:p w14:paraId="7329BC3D">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361" w:type="dxa"/>
            <w:shd w:val="clear" w:color="auto" w:fill="auto"/>
            <w:vAlign w:val="center"/>
          </w:tcPr>
          <w:p w14:paraId="23BC3B66">
            <w:pPr>
              <w:textAlignment w:val="center"/>
              <w:rPr>
                <w:color w:val="000000"/>
                <w:sz w:val="20"/>
                <w:szCs w:val="20"/>
              </w:rPr>
            </w:pPr>
            <w:r>
              <w:rPr>
                <w:rFonts w:hint="eastAsia"/>
                <w:color w:val="000000"/>
                <w:sz w:val="20"/>
                <w:szCs w:val="20"/>
                <w:lang w:bidi="ar"/>
              </w:rPr>
              <w:t>情节较轻的</w:t>
            </w:r>
          </w:p>
        </w:tc>
        <w:tc>
          <w:tcPr>
            <w:tcW w:w="2588" w:type="dxa"/>
            <w:shd w:val="clear" w:color="auto" w:fill="auto"/>
            <w:vAlign w:val="center"/>
          </w:tcPr>
          <w:p w14:paraId="166D68D3">
            <w:pPr>
              <w:textAlignment w:val="center"/>
              <w:rPr>
                <w:color w:val="000000"/>
                <w:sz w:val="20"/>
                <w:szCs w:val="20"/>
              </w:rPr>
            </w:pPr>
            <w:r>
              <w:rPr>
                <w:rFonts w:hint="eastAsia"/>
                <w:color w:val="000000"/>
                <w:sz w:val="20"/>
                <w:szCs w:val="20"/>
                <w:lang w:bidi="ar"/>
              </w:rPr>
              <w:t>警告</w:t>
            </w:r>
          </w:p>
        </w:tc>
      </w:tr>
      <w:tr w14:paraId="5244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62" w:type="dxa"/>
            <w:shd w:val="clear" w:color="auto" w:fill="auto"/>
            <w:vAlign w:val="center"/>
          </w:tcPr>
          <w:p w14:paraId="4CC9936E">
            <w:pPr>
              <w:jc w:val="center"/>
              <w:textAlignment w:val="center"/>
              <w:rPr>
                <w:color w:val="000000"/>
                <w:sz w:val="20"/>
                <w:szCs w:val="20"/>
              </w:rPr>
            </w:pPr>
            <w:r>
              <w:rPr>
                <w:rFonts w:hint="eastAsia"/>
                <w:color w:val="000000"/>
                <w:sz w:val="20"/>
                <w:szCs w:val="20"/>
                <w:lang w:bidi="ar"/>
              </w:rPr>
              <w:t>17</w:t>
            </w:r>
          </w:p>
        </w:tc>
        <w:tc>
          <w:tcPr>
            <w:tcW w:w="1834" w:type="dxa"/>
            <w:vMerge w:val="continue"/>
            <w:shd w:val="clear" w:color="auto" w:fill="auto"/>
            <w:vAlign w:val="center"/>
          </w:tcPr>
          <w:p w14:paraId="09193B10">
            <w:pPr>
              <w:jc w:val="center"/>
              <w:rPr>
                <w:color w:val="000000"/>
                <w:sz w:val="20"/>
                <w:szCs w:val="20"/>
              </w:rPr>
            </w:pPr>
          </w:p>
        </w:tc>
        <w:tc>
          <w:tcPr>
            <w:tcW w:w="5361" w:type="dxa"/>
            <w:shd w:val="clear" w:color="auto" w:fill="auto"/>
            <w:vAlign w:val="center"/>
          </w:tcPr>
          <w:p w14:paraId="0EDC36D9">
            <w:pPr>
              <w:textAlignment w:val="center"/>
              <w:rPr>
                <w:color w:val="000000"/>
                <w:sz w:val="20"/>
                <w:szCs w:val="20"/>
              </w:rPr>
            </w:pPr>
            <w:r>
              <w:rPr>
                <w:rFonts w:hint="eastAsia"/>
                <w:b/>
                <w:bCs/>
                <w:color w:val="000000"/>
                <w:sz w:val="20"/>
                <w:szCs w:val="20"/>
                <w:lang w:bidi="ar"/>
              </w:rPr>
              <w:t>恶意投诉、举报的</w:t>
            </w:r>
          </w:p>
        </w:tc>
        <w:tc>
          <w:tcPr>
            <w:tcW w:w="2588" w:type="dxa"/>
            <w:shd w:val="clear" w:color="auto" w:fill="auto"/>
            <w:vAlign w:val="center"/>
          </w:tcPr>
          <w:p w14:paraId="5E75B786">
            <w:pPr>
              <w:textAlignment w:val="center"/>
              <w:rPr>
                <w:color w:val="000000"/>
                <w:sz w:val="20"/>
                <w:szCs w:val="20"/>
              </w:rPr>
            </w:pPr>
            <w:r>
              <w:rPr>
                <w:rFonts w:hint="eastAsia"/>
                <w:b/>
                <w:bCs/>
                <w:color w:val="000000"/>
                <w:sz w:val="20"/>
                <w:szCs w:val="20"/>
                <w:lang w:bidi="ar"/>
              </w:rPr>
              <w:t>禁用一年</w:t>
            </w:r>
          </w:p>
        </w:tc>
      </w:tr>
      <w:tr w14:paraId="51A1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62" w:type="dxa"/>
            <w:shd w:val="clear" w:color="auto" w:fill="auto"/>
            <w:vAlign w:val="center"/>
          </w:tcPr>
          <w:p w14:paraId="552D2A5D">
            <w:pPr>
              <w:jc w:val="center"/>
              <w:textAlignment w:val="center"/>
              <w:rPr>
                <w:color w:val="000000"/>
                <w:sz w:val="20"/>
                <w:szCs w:val="20"/>
              </w:rPr>
            </w:pPr>
            <w:r>
              <w:rPr>
                <w:rFonts w:hint="eastAsia"/>
                <w:color w:val="000000"/>
                <w:sz w:val="20"/>
                <w:szCs w:val="20"/>
                <w:lang w:bidi="ar"/>
              </w:rPr>
              <w:t>18</w:t>
            </w:r>
          </w:p>
        </w:tc>
        <w:tc>
          <w:tcPr>
            <w:tcW w:w="1834" w:type="dxa"/>
            <w:vMerge w:val="continue"/>
            <w:shd w:val="clear" w:color="auto" w:fill="auto"/>
            <w:vAlign w:val="center"/>
          </w:tcPr>
          <w:p w14:paraId="42AE37C2">
            <w:pPr>
              <w:jc w:val="center"/>
              <w:rPr>
                <w:color w:val="000000"/>
                <w:sz w:val="20"/>
                <w:szCs w:val="20"/>
              </w:rPr>
            </w:pPr>
          </w:p>
        </w:tc>
        <w:tc>
          <w:tcPr>
            <w:tcW w:w="5361" w:type="dxa"/>
            <w:shd w:val="clear" w:color="auto" w:fill="auto"/>
            <w:vAlign w:val="center"/>
          </w:tcPr>
          <w:p w14:paraId="479698B4">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2588" w:type="dxa"/>
            <w:shd w:val="clear" w:color="auto" w:fill="auto"/>
            <w:vAlign w:val="center"/>
          </w:tcPr>
          <w:p w14:paraId="5E097CDB">
            <w:pPr>
              <w:textAlignment w:val="center"/>
              <w:rPr>
                <w:color w:val="000000"/>
                <w:sz w:val="20"/>
                <w:szCs w:val="20"/>
              </w:rPr>
            </w:pPr>
            <w:r>
              <w:rPr>
                <w:rFonts w:hint="eastAsia"/>
                <w:color w:val="000000"/>
                <w:sz w:val="20"/>
                <w:szCs w:val="20"/>
                <w:lang w:bidi="ar"/>
              </w:rPr>
              <w:t>长期禁用</w:t>
            </w:r>
          </w:p>
        </w:tc>
      </w:tr>
      <w:tr w14:paraId="6C43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62" w:type="dxa"/>
            <w:shd w:val="clear" w:color="auto" w:fill="auto"/>
            <w:vAlign w:val="center"/>
          </w:tcPr>
          <w:p w14:paraId="6315CD6E">
            <w:pPr>
              <w:jc w:val="center"/>
              <w:textAlignment w:val="center"/>
              <w:rPr>
                <w:color w:val="000000"/>
                <w:sz w:val="20"/>
                <w:szCs w:val="20"/>
              </w:rPr>
            </w:pPr>
            <w:r>
              <w:rPr>
                <w:rFonts w:hint="eastAsia"/>
                <w:color w:val="000000"/>
                <w:sz w:val="20"/>
                <w:szCs w:val="20"/>
                <w:lang w:bidi="ar"/>
              </w:rPr>
              <w:t>19</w:t>
            </w:r>
          </w:p>
        </w:tc>
        <w:tc>
          <w:tcPr>
            <w:tcW w:w="1834" w:type="dxa"/>
            <w:vMerge w:val="restart"/>
            <w:shd w:val="clear" w:color="auto" w:fill="auto"/>
            <w:vAlign w:val="center"/>
          </w:tcPr>
          <w:p w14:paraId="758D691B">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361" w:type="dxa"/>
            <w:shd w:val="clear" w:color="auto" w:fill="auto"/>
            <w:vAlign w:val="center"/>
          </w:tcPr>
          <w:p w14:paraId="00E6E8AD">
            <w:pPr>
              <w:textAlignment w:val="center"/>
              <w:rPr>
                <w:color w:val="000000"/>
                <w:sz w:val="20"/>
                <w:szCs w:val="20"/>
              </w:rPr>
            </w:pPr>
            <w:r>
              <w:rPr>
                <w:rFonts w:hint="eastAsia"/>
                <w:color w:val="000000"/>
                <w:sz w:val="20"/>
                <w:szCs w:val="20"/>
                <w:lang w:bidi="ar"/>
              </w:rPr>
              <w:t>损失较轻或对安全生产影响较小的</w:t>
            </w:r>
          </w:p>
        </w:tc>
        <w:tc>
          <w:tcPr>
            <w:tcW w:w="2588" w:type="dxa"/>
            <w:shd w:val="clear" w:color="auto" w:fill="auto"/>
            <w:vAlign w:val="center"/>
          </w:tcPr>
          <w:p w14:paraId="5FA1FB7C">
            <w:pPr>
              <w:textAlignment w:val="center"/>
              <w:rPr>
                <w:color w:val="000000"/>
                <w:sz w:val="20"/>
                <w:szCs w:val="20"/>
              </w:rPr>
            </w:pPr>
            <w:r>
              <w:rPr>
                <w:rFonts w:hint="eastAsia"/>
                <w:color w:val="000000"/>
                <w:sz w:val="20"/>
                <w:szCs w:val="20"/>
                <w:lang w:bidi="ar"/>
              </w:rPr>
              <w:t>禁用两年</w:t>
            </w:r>
          </w:p>
        </w:tc>
      </w:tr>
      <w:tr w14:paraId="30F7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62" w:type="dxa"/>
            <w:shd w:val="clear" w:color="auto" w:fill="auto"/>
            <w:vAlign w:val="center"/>
          </w:tcPr>
          <w:p w14:paraId="3504C751">
            <w:pPr>
              <w:jc w:val="center"/>
              <w:textAlignment w:val="center"/>
              <w:rPr>
                <w:color w:val="000000"/>
                <w:sz w:val="20"/>
                <w:szCs w:val="20"/>
              </w:rPr>
            </w:pPr>
            <w:r>
              <w:rPr>
                <w:rFonts w:hint="eastAsia"/>
                <w:color w:val="000000"/>
                <w:sz w:val="20"/>
                <w:szCs w:val="20"/>
                <w:lang w:bidi="ar"/>
              </w:rPr>
              <w:t>20</w:t>
            </w:r>
          </w:p>
        </w:tc>
        <w:tc>
          <w:tcPr>
            <w:tcW w:w="1834" w:type="dxa"/>
            <w:vMerge w:val="continue"/>
            <w:shd w:val="clear" w:color="auto" w:fill="auto"/>
            <w:vAlign w:val="center"/>
          </w:tcPr>
          <w:p w14:paraId="51CB9804">
            <w:pPr>
              <w:jc w:val="center"/>
              <w:rPr>
                <w:color w:val="000000"/>
                <w:sz w:val="20"/>
                <w:szCs w:val="20"/>
              </w:rPr>
            </w:pPr>
          </w:p>
        </w:tc>
        <w:tc>
          <w:tcPr>
            <w:tcW w:w="5361" w:type="dxa"/>
            <w:shd w:val="clear" w:color="auto" w:fill="auto"/>
            <w:vAlign w:val="center"/>
          </w:tcPr>
          <w:p w14:paraId="72D93602">
            <w:pPr>
              <w:textAlignment w:val="center"/>
              <w:rPr>
                <w:color w:val="000000"/>
                <w:sz w:val="20"/>
                <w:szCs w:val="20"/>
              </w:rPr>
            </w:pPr>
            <w:r>
              <w:rPr>
                <w:rFonts w:hint="eastAsia"/>
                <w:color w:val="000000"/>
                <w:sz w:val="20"/>
                <w:szCs w:val="20"/>
                <w:lang w:bidi="ar"/>
              </w:rPr>
              <w:t>损失较大或对安全生产影响较大的</w:t>
            </w:r>
          </w:p>
        </w:tc>
        <w:tc>
          <w:tcPr>
            <w:tcW w:w="2588" w:type="dxa"/>
            <w:shd w:val="clear" w:color="auto" w:fill="auto"/>
            <w:vAlign w:val="center"/>
          </w:tcPr>
          <w:p w14:paraId="36354D61">
            <w:pPr>
              <w:textAlignment w:val="center"/>
              <w:rPr>
                <w:color w:val="000000"/>
                <w:sz w:val="20"/>
                <w:szCs w:val="20"/>
              </w:rPr>
            </w:pPr>
            <w:r>
              <w:rPr>
                <w:rFonts w:hint="eastAsia"/>
                <w:b/>
                <w:bCs/>
                <w:color w:val="000000"/>
                <w:sz w:val="20"/>
                <w:szCs w:val="20"/>
                <w:lang w:bidi="ar"/>
              </w:rPr>
              <w:t>长期禁用</w:t>
            </w:r>
          </w:p>
        </w:tc>
      </w:tr>
      <w:tr w14:paraId="311E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62" w:type="dxa"/>
            <w:shd w:val="clear" w:color="auto" w:fill="auto"/>
            <w:vAlign w:val="center"/>
          </w:tcPr>
          <w:p w14:paraId="3C2564B7">
            <w:pPr>
              <w:jc w:val="center"/>
              <w:textAlignment w:val="center"/>
              <w:rPr>
                <w:color w:val="000000"/>
                <w:sz w:val="20"/>
                <w:szCs w:val="20"/>
              </w:rPr>
            </w:pPr>
            <w:r>
              <w:rPr>
                <w:rFonts w:hint="eastAsia"/>
                <w:color w:val="000000"/>
                <w:sz w:val="20"/>
                <w:szCs w:val="20"/>
                <w:lang w:bidi="ar"/>
              </w:rPr>
              <w:t>21</w:t>
            </w:r>
          </w:p>
        </w:tc>
        <w:tc>
          <w:tcPr>
            <w:tcW w:w="1834" w:type="dxa"/>
            <w:vMerge w:val="restart"/>
            <w:shd w:val="clear" w:color="auto" w:fill="auto"/>
            <w:vAlign w:val="center"/>
          </w:tcPr>
          <w:p w14:paraId="5DA2DE4E">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361" w:type="dxa"/>
            <w:shd w:val="clear" w:color="auto" w:fill="auto"/>
            <w:vAlign w:val="center"/>
          </w:tcPr>
          <w:p w14:paraId="4D420C41">
            <w:pPr>
              <w:textAlignment w:val="center"/>
              <w:rPr>
                <w:color w:val="000000"/>
                <w:sz w:val="20"/>
                <w:szCs w:val="20"/>
              </w:rPr>
            </w:pPr>
            <w:r>
              <w:rPr>
                <w:rFonts w:hint="eastAsia"/>
                <w:color w:val="000000"/>
                <w:sz w:val="20"/>
                <w:szCs w:val="20"/>
                <w:lang w:bidi="ar"/>
              </w:rPr>
              <w:t>及时整改未造成影响的</w:t>
            </w:r>
          </w:p>
        </w:tc>
        <w:tc>
          <w:tcPr>
            <w:tcW w:w="2588" w:type="dxa"/>
            <w:shd w:val="clear" w:color="auto" w:fill="auto"/>
            <w:vAlign w:val="center"/>
          </w:tcPr>
          <w:p w14:paraId="249D8290">
            <w:pPr>
              <w:textAlignment w:val="center"/>
              <w:rPr>
                <w:color w:val="000000"/>
                <w:sz w:val="20"/>
                <w:szCs w:val="20"/>
              </w:rPr>
            </w:pPr>
            <w:r>
              <w:rPr>
                <w:rFonts w:hint="eastAsia"/>
                <w:color w:val="000000"/>
                <w:sz w:val="20"/>
                <w:szCs w:val="20"/>
                <w:lang w:bidi="ar"/>
              </w:rPr>
              <w:t>警告</w:t>
            </w:r>
          </w:p>
        </w:tc>
      </w:tr>
      <w:tr w14:paraId="2292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62" w:type="dxa"/>
            <w:shd w:val="clear" w:color="auto" w:fill="auto"/>
            <w:vAlign w:val="center"/>
          </w:tcPr>
          <w:p w14:paraId="30956F2E">
            <w:pPr>
              <w:jc w:val="center"/>
              <w:textAlignment w:val="center"/>
              <w:rPr>
                <w:color w:val="000000"/>
                <w:sz w:val="20"/>
                <w:szCs w:val="20"/>
              </w:rPr>
            </w:pPr>
            <w:r>
              <w:rPr>
                <w:rFonts w:hint="eastAsia"/>
                <w:color w:val="000000"/>
                <w:sz w:val="20"/>
                <w:szCs w:val="20"/>
                <w:lang w:bidi="ar"/>
              </w:rPr>
              <w:t>22</w:t>
            </w:r>
          </w:p>
        </w:tc>
        <w:tc>
          <w:tcPr>
            <w:tcW w:w="1834" w:type="dxa"/>
            <w:vMerge w:val="continue"/>
            <w:shd w:val="clear" w:color="auto" w:fill="auto"/>
            <w:vAlign w:val="center"/>
          </w:tcPr>
          <w:p w14:paraId="02E10AA8">
            <w:pPr>
              <w:jc w:val="center"/>
              <w:rPr>
                <w:color w:val="000000"/>
                <w:sz w:val="20"/>
                <w:szCs w:val="20"/>
              </w:rPr>
            </w:pPr>
          </w:p>
        </w:tc>
        <w:tc>
          <w:tcPr>
            <w:tcW w:w="5361" w:type="dxa"/>
            <w:shd w:val="clear" w:color="auto" w:fill="auto"/>
            <w:vAlign w:val="center"/>
          </w:tcPr>
          <w:p w14:paraId="57433EDE">
            <w:pPr>
              <w:textAlignment w:val="center"/>
              <w:rPr>
                <w:color w:val="000000"/>
                <w:sz w:val="20"/>
                <w:szCs w:val="20"/>
              </w:rPr>
            </w:pPr>
            <w:r>
              <w:rPr>
                <w:rFonts w:hint="eastAsia"/>
                <w:color w:val="000000"/>
                <w:sz w:val="20"/>
                <w:szCs w:val="20"/>
                <w:lang w:bidi="ar"/>
              </w:rPr>
              <w:t>损失较大或对安全生产影响较大的</w:t>
            </w:r>
          </w:p>
        </w:tc>
        <w:tc>
          <w:tcPr>
            <w:tcW w:w="2588" w:type="dxa"/>
            <w:shd w:val="clear" w:color="auto" w:fill="auto"/>
            <w:vAlign w:val="center"/>
          </w:tcPr>
          <w:p w14:paraId="029F47AF">
            <w:pPr>
              <w:textAlignment w:val="center"/>
              <w:rPr>
                <w:color w:val="000000"/>
                <w:sz w:val="20"/>
                <w:szCs w:val="20"/>
              </w:rPr>
            </w:pPr>
            <w:r>
              <w:rPr>
                <w:rFonts w:hint="eastAsia"/>
                <w:b/>
                <w:bCs/>
                <w:color w:val="000000"/>
                <w:sz w:val="20"/>
                <w:szCs w:val="20"/>
                <w:lang w:bidi="ar"/>
              </w:rPr>
              <w:t>长期禁用</w:t>
            </w:r>
          </w:p>
        </w:tc>
      </w:tr>
      <w:tr w14:paraId="1340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62" w:type="dxa"/>
            <w:shd w:val="clear" w:color="auto" w:fill="auto"/>
            <w:vAlign w:val="center"/>
          </w:tcPr>
          <w:p w14:paraId="73A5FFA8">
            <w:pPr>
              <w:jc w:val="center"/>
              <w:textAlignment w:val="center"/>
              <w:rPr>
                <w:color w:val="000000"/>
                <w:sz w:val="20"/>
                <w:szCs w:val="20"/>
              </w:rPr>
            </w:pPr>
            <w:r>
              <w:rPr>
                <w:rFonts w:hint="eastAsia"/>
                <w:color w:val="000000"/>
                <w:sz w:val="20"/>
                <w:szCs w:val="20"/>
                <w:lang w:bidi="ar"/>
              </w:rPr>
              <w:t>23</w:t>
            </w:r>
          </w:p>
        </w:tc>
        <w:tc>
          <w:tcPr>
            <w:tcW w:w="1834" w:type="dxa"/>
            <w:vMerge w:val="continue"/>
            <w:shd w:val="clear" w:color="auto" w:fill="auto"/>
            <w:vAlign w:val="center"/>
          </w:tcPr>
          <w:p w14:paraId="0E50C350">
            <w:pPr>
              <w:jc w:val="center"/>
              <w:rPr>
                <w:color w:val="000000"/>
                <w:sz w:val="20"/>
                <w:szCs w:val="20"/>
              </w:rPr>
            </w:pPr>
          </w:p>
        </w:tc>
        <w:tc>
          <w:tcPr>
            <w:tcW w:w="5361" w:type="dxa"/>
            <w:shd w:val="clear" w:color="auto" w:fill="auto"/>
            <w:vAlign w:val="center"/>
          </w:tcPr>
          <w:p w14:paraId="13F52FFA">
            <w:pPr>
              <w:textAlignment w:val="center"/>
              <w:rPr>
                <w:color w:val="000000"/>
                <w:sz w:val="20"/>
                <w:szCs w:val="20"/>
              </w:rPr>
            </w:pPr>
            <w:r>
              <w:rPr>
                <w:rFonts w:hint="eastAsia"/>
                <w:color w:val="000000"/>
                <w:sz w:val="20"/>
                <w:szCs w:val="20"/>
                <w:lang w:bidi="ar"/>
              </w:rPr>
              <w:t>及时整改但造成一定影响的</w:t>
            </w:r>
          </w:p>
        </w:tc>
        <w:tc>
          <w:tcPr>
            <w:tcW w:w="2588" w:type="dxa"/>
            <w:shd w:val="clear" w:color="auto" w:fill="auto"/>
            <w:vAlign w:val="center"/>
          </w:tcPr>
          <w:p w14:paraId="77F1EFCE">
            <w:pPr>
              <w:textAlignment w:val="center"/>
              <w:rPr>
                <w:color w:val="000000"/>
                <w:sz w:val="20"/>
                <w:szCs w:val="20"/>
              </w:rPr>
            </w:pPr>
            <w:r>
              <w:rPr>
                <w:rFonts w:hint="eastAsia"/>
                <w:color w:val="000000"/>
                <w:sz w:val="20"/>
                <w:szCs w:val="20"/>
                <w:lang w:bidi="ar"/>
              </w:rPr>
              <w:t>禁用一年</w:t>
            </w:r>
          </w:p>
        </w:tc>
      </w:tr>
      <w:tr w14:paraId="1A40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62" w:type="dxa"/>
            <w:shd w:val="clear" w:color="auto" w:fill="auto"/>
            <w:vAlign w:val="center"/>
          </w:tcPr>
          <w:p w14:paraId="19568B3F">
            <w:pPr>
              <w:jc w:val="center"/>
              <w:textAlignment w:val="center"/>
              <w:rPr>
                <w:color w:val="000000"/>
                <w:sz w:val="20"/>
                <w:szCs w:val="20"/>
              </w:rPr>
            </w:pPr>
            <w:r>
              <w:rPr>
                <w:rFonts w:hint="eastAsia"/>
                <w:color w:val="000000"/>
                <w:sz w:val="20"/>
                <w:szCs w:val="20"/>
                <w:lang w:bidi="ar"/>
              </w:rPr>
              <w:t>24</w:t>
            </w:r>
          </w:p>
        </w:tc>
        <w:tc>
          <w:tcPr>
            <w:tcW w:w="1834" w:type="dxa"/>
            <w:vMerge w:val="continue"/>
            <w:shd w:val="clear" w:color="auto" w:fill="auto"/>
            <w:vAlign w:val="center"/>
          </w:tcPr>
          <w:p w14:paraId="1E3FCE3B">
            <w:pPr>
              <w:jc w:val="center"/>
              <w:rPr>
                <w:color w:val="000000"/>
                <w:sz w:val="20"/>
                <w:szCs w:val="20"/>
              </w:rPr>
            </w:pPr>
          </w:p>
        </w:tc>
        <w:tc>
          <w:tcPr>
            <w:tcW w:w="5361" w:type="dxa"/>
            <w:shd w:val="clear" w:color="auto" w:fill="auto"/>
            <w:vAlign w:val="center"/>
          </w:tcPr>
          <w:p w14:paraId="389E43C0">
            <w:pPr>
              <w:textAlignment w:val="center"/>
              <w:rPr>
                <w:color w:val="000000"/>
                <w:sz w:val="20"/>
                <w:szCs w:val="20"/>
              </w:rPr>
            </w:pPr>
            <w:r>
              <w:rPr>
                <w:rFonts w:hint="eastAsia"/>
                <w:color w:val="000000"/>
                <w:sz w:val="20"/>
                <w:szCs w:val="20"/>
                <w:lang w:bidi="ar"/>
              </w:rPr>
              <w:t>及时整改但影响较重的</w:t>
            </w:r>
          </w:p>
        </w:tc>
        <w:tc>
          <w:tcPr>
            <w:tcW w:w="2588" w:type="dxa"/>
            <w:shd w:val="clear" w:color="auto" w:fill="auto"/>
            <w:vAlign w:val="center"/>
          </w:tcPr>
          <w:p w14:paraId="31F521E5">
            <w:pPr>
              <w:textAlignment w:val="center"/>
              <w:rPr>
                <w:color w:val="000000"/>
                <w:sz w:val="20"/>
                <w:szCs w:val="20"/>
              </w:rPr>
            </w:pPr>
            <w:r>
              <w:rPr>
                <w:rFonts w:hint="eastAsia"/>
                <w:color w:val="000000"/>
                <w:sz w:val="20"/>
                <w:szCs w:val="20"/>
                <w:lang w:bidi="ar"/>
              </w:rPr>
              <w:t>禁用两年</w:t>
            </w:r>
          </w:p>
        </w:tc>
      </w:tr>
      <w:tr w14:paraId="38D8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62" w:type="dxa"/>
            <w:shd w:val="clear" w:color="auto" w:fill="auto"/>
            <w:vAlign w:val="center"/>
          </w:tcPr>
          <w:p w14:paraId="04BC42C3">
            <w:pPr>
              <w:jc w:val="center"/>
              <w:textAlignment w:val="center"/>
              <w:rPr>
                <w:color w:val="000000"/>
                <w:sz w:val="20"/>
                <w:szCs w:val="20"/>
              </w:rPr>
            </w:pPr>
            <w:r>
              <w:rPr>
                <w:rFonts w:hint="eastAsia"/>
                <w:color w:val="000000"/>
                <w:sz w:val="20"/>
                <w:szCs w:val="20"/>
                <w:lang w:bidi="ar"/>
              </w:rPr>
              <w:t>25</w:t>
            </w:r>
          </w:p>
        </w:tc>
        <w:tc>
          <w:tcPr>
            <w:tcW w:w="1834" w:type="dxa"/>
            <w:vMerge w:val="continue"/>
            <w:shd w:val="clear" w:color="auto" w:fill="auto"/>
            <w:vAlign w:val="center"/>
          </w:tcPr>
          <w:p w14:paraId="11D65C58">
            <w:pPr>
              <w:jc w:val="center"/>
              <w:rPr>
                <w:color w:val="000000"/>
                <w:sz w:val="20"/>
                <w:szCs w:val="20"/>
              </w:rPr>
            </w:pPr>
          </w:p>
        </w:tc>
        <w:tc>
          <w:tcPr>
            <w:tcW w:w="5361" w:type="dxa"/>
            <w:shd w:val="clear" w:color="auto" w:fill="auto"/>
            <w:vAlign w:val="center"/>
          </w:tcPr>
          <w:p w14:paraId="38C7B331">
            <w:pPr>
              <w:textAlignment w:val="center"/>
              <w:rPr>
                <w:color w:val="000000"/>
                <w:sz w:val="20"/>
                <w:szCs w:val="20"/>
              </w:rPr>
            </w:pPr>
            <w:r>
              <w:rPr>
                <w:rFonts w:hint="eastAsia"/>
                <w:color w:val="000000"/>
                <w:sz w:val="20"/>
                <w:szCs w:val="20"/>
                <w:lang w:bidi="ar"/>
              </w:rPr>
              <w:t>拒不整改的</w:t>
            </w:r>
          </w:p>
        </w:tc>
        <w:tc>
          <w:tcPr>
            <w:tcW w:w="2588" w:type="dxa"/>
            <w:shd w:val="clear" w:color="auto" w:fill="auto"/>
            <w:vAlign w:val="center"/>
          </w:tcPr>
          <w:p w14:paraId="4CDEE06A">
            <w:pPr>
              <w:textAlignment w:val="center"/>
              <w:rPr>
                <w:color w:val="000000"/>
                <w:sz w:val="20"/>
                <w:szCs w:val="20"/>
              </w:rPr>
            </w:pPr>
            <w:r>
              <w:rPr>
                <w:rFonts w:hint="eastAsia"/>
                <w:color w:val="000000"/>
                <w:sz w:val="20"/>
                <w:szCs w:val="20"/>
                <w:lang w:bidi="ar"/>
              </w:rPr>
              <w:t>长期禁用</w:t>
            </w:r>
          </w:p>
        </w:tc>
      </w:tr>
      <w:tr w14:paraId="3B2C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662" w:type="dxa"/>
            <w:shd w:val="clear" w:color="auto" w:fill="auto"/>
            <w:vAlign w:val="center"/>
          </w:tcPr>
          <w:p w14:paraId="55E57B84">
            <w:pPr>
              <w:jc w:val="center"/>
              <w:textAlignment w:val="center"/>
              <w:rPr>
                <w:color w:val="000000"/>
                <w:sz w:val="20"/>
                <w:szCs w:val="20"/>
              </w:rPr>
            </w:pPr>
            <w:r>
              <w:rPr>
                <w:rFonts w:hint="eastAsia"/>
                <w:color w:val="000000"/>
                <w:sz w:val="20"/>
                <w:szCs w:val="20"/>
                <w:lang w:bidi="ar"/>
              </w:rPr>
              <w:t>26</w:t>
            </w:r>
          </w:p>
        </w:tc>
        <w:tc>
          <w:tcPr>
            <w:tcW w:w="1834" w:type="dxa"/>
            <w:vMerge w:val="restart"/>
            <w:shd w:val="clear" w:color="auto" w:fill="auto"/>
            <w:vAlign w:val="center"/>
          </w:tcPr>
          <w:p w14:paraId="2641B489">
            <w:pPr>
              <w:textAlignment w:val="center"/>
              <w:rPr>
                <w:color w:val="000000"/>
                <w:sz w:val="20"/>
                <w:szCs w:val="20"/>
              </w:rPr>
            </w:pPr>
            <w:r>
              <w:rPr>
                <w:rFonts w:hint="eastAsia"/>
                <w:color w:val="000000"/>
                <w:sz w:val="20"/>
                <w:szCs w:val="20"/>
                <w:lang w:bidi="ar"/>
              </w:rPr>
              <w:t>假冒</w:t>
            </w:r>
            <w:r>
              <w:rPr>
                <w:rFonts w:hint="eastAsia"/>
                <w:color w:val="000000"/>
                <w:sz w:val="20"/>
                <w:szCs w:val="20"/>
                <w:lang w:eastAsia="zh-CN" w:bidi="ar"/>
              </w:rPr>
              <w:t>其它</w:t>
            </w:r>
            <w:r>
              <w:rPr>
                <w:rFonts w:hint="eastAsia"/>
                <w:color w:val="000000"/>
                <w:sz w:val="20"/>
                <w:szCs w:val="20"/>
                <w:lang w:bidi="ar"/>
              </w:rPr>
              <w:t>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361" w:type="dxa"/>
            <w:shd w:val="clear" w:color="auto" w:fill="auto"/>
            <w:vAlign w:val="center"/>
          </w:tcPr>
          <w:p w14:paraId="3557BBC0">
            <w:pPr>
              <w:textAlignment w:val="center"/>
              <w:rPr>
                <w:color w:val="000000"/>
                <w:sz w:val="20"/>
                <w:szCs w:val="20"/>
              </w:rPr>
            </w:pPr>
            <w:r>
              <w:rPr>
                <w:rFonts w:hint="eastAsia"/>
                <w:color w:val="000000"/>
                <w:sz w:val="20"/>
                <w:szCs w:val="20"/>
                <w:lang w:bidi="ar"/>
              </w:rPr>
              <w:t>对生产经营造成影响较小</w:t>
            </w:r>
          </w:p>
        </w:tc>
        <w:tc>
          <w:tcPr>
            <w:tcW w:w="2588" w:type="dxa"/>
            <w:shd w:val="clear" w:color="auto" w:fill="auto"/>
            <w:vAlign w:val="center"/>
          </w:tcPr>
          <w:p w14:paraId="0BE8C59C">
            <w:pPr>
              <w:textAlignment w:val="center"/>
              <w:rPr>
                <w:color w:val="000000"/>
                <w:sz w:val="20"/>
                <w:szCs w:val="20"/>
              </w:rPr>
            </w:pPr>
            <w:r>
              <w:rPr>
                <w:rFonts w:hint="eastAsia"/>
                <w:color w:val="000000"/>
                <w:sz w:val="20"/>
                <w:szCs w:val="20"/>
                <w:lang w:bidi="ar"/>
              </w:rPr>
              <w:t>禁用两年</w:t>
            </w:r>
          </w:p>
        </w:tc>
      </w:tr>
      <w:tr w14:paraId="66AC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62" w:type="dxa"/>
            <w:shd w:val="clear" w:color="auto" w:fill="auto"/>
            <w:vAlign w:val="center"/>
          </w:tcPr>
          <w:p w14:paraId="1B5A946E">
            <w:pPr>
              <w:jc w:val="center"/>
              <w:textAlignment w:val="center"/>
              <w:rPr>
                <w:color w:val="000000"/>
                <w:sz w:val="20"/>
                <w:szCs w:val="20"/>
              </w:rPr>
            </w:pPr>
            <w:r>
              <w:rPr>
                <w:rFonts w:hint="eastAsia"/>
                <w:color w:val="000000"/>
                <w:sz w:val="20"/>
                <w:szCs w:val="20"/>
                <w:lang w:bidi="ar"/>
              </w:rPr>
              <w:t>27</w:t>
            </w:r>
          </w:p>
        </w:tc>
        <w:tc>
          <w:tcPr>
            <w:tcW w:w="1834" w:type="dxa"/>
            <w:vMerge w:val="continue"/>
            <w:shd w:val="clear" w:color="auto" w:fill="auto"/>
            <w:vAlign w:val="center"/>
          </w:tcPr>
          <w:p w14:paraId="46FB8A64">
            <w:pPr>
              <w:rPr>
                <w:color w:val="000000"/>
                <w:sz w:val="20"/>
                <w:szCs w:val="20"/>
              </w:rPr>
            </w:pPr>
          </w:p>
        </w:tc>
        <w:tc>
          <w:tcPr>
            <w:tcW w:w="5361" w:type="dxa"/>
            <w:shd w:val="clear" w:color="auto" w:fill="auto"/>
            <w:vAlign w:val="center"/>
          </w:tcPr>
          <w:p w14:paraId="5D39419D">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2588" w:type="dxa"/>
            <w:shd w:val="clear" w:color="auto" w:fill="auto"/>
            <w:vAlign w:val="center"/>
          </w:tcPr>
          <w:p w14:paraId="0119B27C">
            <w:pPr>
              <w:textAlignment w:val="center"/>
              <w:rPr>
                <w:color w:val="000000"/>
                <w:sz w:val="20"/>
                <w:szCs w:val="20"/>
              </w:rPr>
            </w:pPr>
            <w:r>
              <w:rPr>
                <w:rFonts w:hint="eastAsia"/>
                <w:b/>
                <w:bCs/>
                <w:color w:val="000000"/>
                <w:sz w:val="20"/>
                <w:szCs w:val="20"/>
                <w:lang w:bidi="ar"/>
              </w:rPr>
              <w:t>长期禁用</w:t>
            </w:r>
          </w:p>
        </w:tc>
      </w:tr>
      <w:tr w14:paraId="1DEF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62" w:type="dxa"/>
            <w:shd w:val="clear" w:color="auto" w:fill="auto"/>
            <w:vAlign w:val="center"/>
          </w:tcPr>
          <w:p w14:paraId="488A5400">
            <w:pPr>
              <w:jc w:val="center"/>
              <w:textAlignment w:val="center"/>
              <w:rPr>
                <w:color w:val="000000"/>
                <w:sz w:val="20"/>
                <w:szCs w:val="20"/>
              </w:rPr>
            </w:pPr>
            <w:r>
              <w:rPr>
                <w:rFonts w:hint="eastAsia"/>
                <w:color w:val="000000"/>
                <w:sz w:val="20"/>
                <w:szCs w:val="20"/>
                <w:lang w:bidi="ar"/>
              </w:rPr>
              <w:t>28</w:t>
            </w:r>
          </w:p>
        </w:tc>
        <w:tc>
          <w:tcPr>
            <w:tcW w:w="1834" w:type="dxa"/>
            <w:vMerge w:val="restart"/>
            <w:shd w:val="clear" w:color="auto" w:fill="auto"/>
            <w:vAlign w:val="center"/>
          </w:tcPr>
          <w:p w14:paraId="3BF75FDD">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361" w:type="dxa"/>
            <w:shd w:val="clear" w:color="auto" w:fill="auto"/>
            <w:vAlign w:val="center"/>
          </w:tcPr>
          <w:p w14:paraId="7615DFD1">
            <w:pPr>
              <w:textAlignment w:val="center"/>
              <w:rPr>
                <w:color w:val="000000"/>
                <w:sz w:val="20"/>
                <w:szCs w:val="20"/>
              </w:rPr>
            </w:pPr>
            <w:r>
              <w:rPr>
                <w:rFonts w:hint="eastAsia"/>
                <w:color w:val="000000"/>
                <w:sz w:val="20"/>
                <w:szCs w:val="20"/>
                <w:lang w:bidi="ar"/>
              </w:rPr>
              <w:t>及时整改未产生影响的</w:t>
            </w:r>
          </w:p>
        </w:tc>
        <w:tc>
          <w:tcPr>
            <w:tcW w:w="2588" w:type="dxa"/>
            <w:shd w:val="clear" w:color="auto" w:fill="auto"/>
            <w:vAlign w:val="center"/>
          </w:tcPr>
          <w:p w14:paraId="32D82726">
            <w:pPr>
              <w:textAlignment w:val="center"/>
              <w:rPr>
                <w:color w:val="000000"/>
                <w:sz w:val="20"/>
                <w:szCs w:val="20"/>
              </w:rPr>
            </w:pPr>
            <w:r>
              <w:rPr>
                <w:rFonts w:hint="eastAsia"/>
                <w:color w:val="000000"/>
                <w:sz w:val="20"/>
                <w:szCs w:val="20"/>
                <w:lang w:bidi="ar"/>
              </w:rPr>
              <w:t>约谈</w:t>
            </w:r>
          </w:p>
        </w:tc>
      </w:tr>
      <w:tr w14:paraId="27D4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62" w:type="dxa"/>
            <w:shd w:val="clear" w:color="auto" w:fill="auto"/>
            <w:vAlign w:val="center"/>
          </w:tcPr>
          <w:p w14:paraId="290F7809">
            <w:pPr>
              <w:jc w:val="center"/>
              <w:textAlignment w:val="center"/>
              <w:rPr>
                <w:color w:val="000000"/>
                <w:sz w:val="20"/>
                <w:szCs w:val="20"/>
              </w:rPr>
            </w:pPr>
            <w:r>
              <w:rPr>
                <w:rFonts w:hint="eastAsia"/>
                <w:color w:val="000000"/>
                <w:sz w:val="20"/>
                <w:szCs w:val="20"/>
                <w:lang w:bidi="ar"/>
              </w:rPr>
              <w:t>29</w:t>
            </w:r>
          </w:p>
        </w:tc>
        <w:tc>
          <w:tcPr>
            <w:tcW w:w="1834" w:type="dxa"/>
            <w:vMerge w:val="continue"/>
            <w:shd w:val="clear" w:color="auto" w:fill="auto"/>
            <w:vAlign w:val="center"/>
          </w:tcPr>
          <w:p w14:paraId="738B35C5">
            <w:pPr>
              <w:rPr>
                <w:color w:val="000000"/>
                <w:sz w:val="20"/>
                <w:szCs w:val="20"/>
              </w:rPr>
            </w:pPr>
          </w:p>
        </w:tc>
        <w:tc>
          <w:tcPr>
            <w:tcW w:w="5361" w:type="dxa"/>
            <w:shd w:val="clear" w:color="auto" w:fill="auto"/>
            <w:vAlign w:val="center"/>
          </w:tcPr>
          <w:p w14:paraId="2091A1CA">
            <w:pPr>
              <w:textAlignment w:val="center"/>
              <w:rPr>
                <w:color w:val="000000"/>
                <w:sz w:val="20"/>
                <w:szCs w:val="20"/>
              </w:rPr>
            </w:pPr>
            <w:r>
              <w:rPr>
                <w:rFonts w:hint="eastAsia"/>
                <w:color w:val="000000"/>
                <w:sz w:val="20"/>
                <w:szCs w:val="20"/>
                <w:lang w:bidi="ar"/>
              </w:rPr>
              <w:t>整改但产生影响的</w:t>
            </w:r>
          </w:p>
        </w:tc>
        <w:tc>
          <w:tcPr>
            <w:tcW w:w="2588" w:type="dxa"/>
            <w:shd w:val="clear" w:color="auto" w:fill="auto"/>
            <w:vAlign w:val="center"/>
          </w:tcPr>
          <w:p w14:paraId="6A6F11C8">
            <w:pPr>
              <w:textAlignment w:val="center"/>
              <w:rPr>
                <w:color w:val="000000"/>
                <w:sz w:val="20"/>
                <w:szCs w:val="20"/>
              </w:rPr>
            </w:pPr>
            <w:r>
              <w:rPr>
                <w:rFonts w:hint="eastAsia"/>
                <w:b/>
                <w:bCs/>
                <w:color w:val="000000"/>
                <w:sz w:val="20"/>
                <w:szCs w:val="20"/>
                <w:lang w:bidi="ar"/>
              </w:rPr>
              <w:t>禁用一年</w:t>
            </w:r>
          </w:p>
        </w:tc>
      </w:tr>
      <w:tr w14:paraId="321D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62" w:type="dxa"/>
            <w:shd w:val="clear" w:color="auto" w:fill="auto"/>
            <w:vAlign w:val="center"/>
          </w:tcPr>
          <w:p w14:paraId="5FFBA0D2">
            <w:pPr>
              <w:jc w:val="center"/>
              <w:textAlignment w:val="center"/>
              <w:rPr>
                <w:color w:val="000000"/>
                <w:sz w:val="20"/>
                <w:szCs w:val="20"/>
              </w:rPr>
            </w:pPr>
            <w:r>
              <w:rPr>
                <w:rFonts w:hint="eastAsia"/>
                <w:color w:val="000000"/>
                <w:sz w:val="20"/>
                <w:szCs w:val="20"/>
                <w:lang w:bidi="ar"/>
              </w:rPr>
              <w:t>30</w:t>
            </w:r>
          </w:p>
        </w:tc>
        <w:tc>
          <w:tcPr>
            <w:tcW w:w="1834" w:type="dxa"/>
            <w:vMerge w:val="continue"/>
            <w:shd w:val="clear" w:color="auto" w:fill="auto"/>
            <w:vAlign w:val="center"/>
          </w:tcPr>
          <w:p w14:paraId="786F55C6">
            <w:pPr>
              <w:rPr>
                <w:color w:val="000000"/>
                <w:sz w:val="20"/>
                <w:szCs w:val="20"/>
              </w:rPr>
            </w:pPr>
          </w:p>
        </w:tc>
        <w:tc>
          <w:tcPr>
            <w:tcW w:w="5361" w:type="dxa"/>
            <w:shd w:val="clear" w:color="auto" w:fill="auto"/>
            <w:vAlign w:val="center"/>
          </w:tcPr>
          <w:p w14:paraId="499806E4">
            <w:pPr>
              <w:textAlignment w:val="center"/>
              <w:rPr>
                <w:color w:val="000000"/>
                <w:sz w:val="20"/>
                <w:szCs w:val="20"/>
              </w:rPr>
            </w:pPr>
            <w:r>
              <w:rPr>
                <w:rFonts w:hint="eastAsia"/>
                <w:color w:val="000000"/>
                <w:sz w:val="20"/>
                <w:szCs w:val="20"/>
                <w:lang w:bidi="ar"/>
              </w:rPr>
              <w:t>拒不更正的</w:t>
            </w:r>
          </w:p>
        </w:tc>
        <w:tc>
          <w:tcPr>
            <w:tcW w:w="2588" w:type="dxa"/>
            <w:shd w:val="clear" w:color="auto" w:fill="auto"/>
            <w:vAlign w:val="center"/>
          </w:tcPr>
          <w:p w14:paraId="5222B6F6">
            <w:pPr>
              <w:textAlignment w:val="center"/>
              <w:rPr>
                <w:color w:val="000000"/>
                <w:sz w:val="20"/>
                <w:szCs w:val="20"/>
              </w:rPr>
            </w:pPr>
            <w:r>
              <w:rPr>
                <w:rFonts w:hint="eastAsia"/>
                <w:color w:val="000000"/>
                <w:sz w:val="20"/>
                <w:szCs w:val="20"/>
                <w:lang w:bidi="ar"/>
              </w:rPr>
              <w:t>长期禁用</w:t>
            </w:r>
          </w:p>
        </w:tc>
      </w:tr>
      <w:tr w14:paraId="65B0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62" w:type="dxa"/>
            <w:shd w:val="clear" w:color="auto" w:fill="auto"/>
            <w:vAlign w:val="center"/>
          </w:tcPr>
          <w:p w14:paraId="2385E925">
            <w:pPr>
              <w:jc w:val="center"/>
              <w:textAlignment w:val="center"/>
              <w:rPr>
                <w:color w:val="000000"/>
                <w:sz w:val="20"/>
                <w:szCs w:val="20"/>
              </w:rPr>
            </w:pPr>
            <w:r>
              <w:rPr>
                <w:rFonts w:hint="eastAsia"/>
                <w:color w:val="000000"/>
                <w:sz w:val="20"/>
                <w:szCs w:val="20"/>
                <w:lang w:bidi="ar"/>
              </w:rPr>
              <w:t>31</w:t>
            </w:r>
          </w:p>
        </w:tc>
        <w:tc>
          <w:tcPr>
            <w:tcW w:w="1834" w:type="dxa"/>
            <w:vMerge w:val="restart"/>
            <w:shd w:val="clear" w:color="auto" w:fill="auto"/>
            <w:vAlign w:val="center"/>
          </w:tcPr>
          <w:p w14:paraId="6681DB97">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361" w:type="dxa"/>
            <w:shd w:val="clear" w:color="auto" w:fill="auto"/>
            <w:vAlign w:val="center"/>
          </w:tcPr>
          <w:p w14:paraId="482B7C0D">
            <w:pPr>
              <w:textAlignment w:val="center"/>
              <w:rPr>
                <w:color w:val="000000"/>
                <w:sz w:val="20"/>
                <w:szCs w:val="20"/>
              </w:rPr>
            </w:pPr>
            <w:r>
              <w:rPr>
                <w:rFonts w:hint="eastAsia"/>
                <w:color w:val="000000"/>
                <w:sz w:val="20"/>
                <w:szCs w:val="20"/>
                <w:lang w:bidi="ar"/>
              </w:rPr>
              <w:t>对安全生产或工程建设影响较轻的</w:t>
            </w:r>
          </w:p>
        </w:tc>
        <w:tc>
          <w:tcPr>
            <w:tcW w:w="2588" w:type="dxa"/>
            <w:shd w:val="clear" w:color="auto" w:fill="auto"/>
            <w:vAlign w:val="center"/>
          </w:tcPr>
          <w:p w14:paraId="0FA5D722">
            <w:pPr>
              <w:textAlignment w:val="center"/>
              <w:rPr>
                <w:color w:val="000000"/>
                <w:sz w:val="20"/>
                <w:szCs w:val="20"/>
              </w:rPr>
            </w:pPr>
            <w:r>
              <w:rPr>
                <w:rFonts w:hint="eastAsia"/>
                <w:color w:val="000000"/>
                <w:sz w:val="20"/>
                <w:szCs w:val="20"/>
                <w:lang w:bidi="ar"/>
              </w:rPr>
              <w:t>禁用一年</w:t>
            </w:r>
          </w:p>
        </w:tc>
      </w:tr>
      <w:tr w14:paraId="7CF8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62" w:type="dxa"/>
            <w:shd w:val="clear" w:color="auto" w:fill="auto"/>
            <w:vAlign w:val="center"/>
          </w:tcPr>
          <w:p w14:paraId="3007A98E">
            <w:pPr>
              <w:jc w:val="center"/>
              <w:textAlignment w:val="center"/>
              <w:rPr>
                <w:color w:val="000000"/>
                <w:sz w:val="20"/>
                <w:szCs w:val="20"/>
              </w:rPr>
            </w:pPr>
            <w:r>
              <w:rPr>
                <w:rFonts w:hint="eastAsia"/>
                <w:color w:val="000000"/>
                <w:sz w:val="20"/>
                <w:szCs w:val="20"/>
                <w:lang w:bidi="ar"/>
              </w:rPr>
              <w:t>32</w:t>
            </w:r>
          </w:p>
        </w:tc>
        <w:tc>
          <w:tcPr>
            <w:tcW w:w="1834" w:type="dxa"/>
            <w:vMerge w:val="continue"/>
            <w:shd w:val="clear" w:color="auto" w:fill="auto"/>
            <w:vAlign w:val="center"/>
          </w:tcPr>
          <w:p w14:paraId="1F16D7CA">
            <w:pPr>
              <w:rPr>
                <w:color w:val="000000"/>
                <w:sz w:val="20"/>
                <w:szCs w:val="20"/>
              </w:rPr>
            </w:pPr>
          </w:p>
        </w:tc>
        <w:tc>
          <w:tcPr>
            <w:tcW w:w="5361" w:type="dxa"/>
            <w:shd w:val="clear" w:color="auto" w:fill="auto"/>
            <w:vAlign w:val="center"/>
          </w:tcPr>
          <w:p w14:paraId="5956A3DC">
            <w:pPr>
              <w:textAlignment w:val="center"/>
              <w:rPr>
                <w:color w:val="000000"/>
                <w:sz w:val="20"/>
                <w:szCs w:val="20"/>
              </w:rPr>
            </w:pPr>
            <w:r>
              <w:rPr>
                <w:rFonts w:hint="eastAsia"/>
                <w:color w:val="000000"/>
                <w:sz w:val="20"/>
                <w:szCs w:val="20"/>
                <w:lang w:bidi="ar"/>
              </w:rPr>
              <w:t>对安全生产或工程建设影响较重的</w:t>
            </w:r>
          </w:p>
        </w:tc>
        <w:tc>
          <w:tcPr>
            <w:tcW w:w="2588" w:type="dxa"/>
            <w:shd w:val="clear" w:color="auto" w:fill="auto"/>
            <w:vAlign w:val="center"/>
          </w:tcPr>
          <w:p w14:paraId="3B9B21F2">
            <w:pPr>
              <w:textAlignment w:val="center"/>
              <w:rPr>
                <w:color w:val="000000"/>
                <w:sz w:val="20"/>
                <w:szCs w:val="20"/>
              </w:rPr>
            </w:pPr>
            <w:r>
              <w:rPr>
                <w:rFonts w:hint="eastAsia"/>
                <w:b/>
                <w:bCs/>
                <w:color w:val="000000"/>
                <w:sz w:val="20"/>
                <w:szCs w:val="20"/>
                <w:lang w:bidi="ar"/>
              </w:rPr>
              <w:t>禁用两年</w:t>
            </w:r>
          </w:p>
        </w:tc>
      </w:tr>
      <w:tr w14:paraId="7415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62" w:type="dxa"/>
            <w:shd w:val="clear" w:color="auto" w:fill="auto"/>
            <w:vAlign w:val="center"/>
          </w:tcPr>
          <w:p w14:paraId="22193F54">
            <w:pPr>
              <w:jc w:val="center"/>
              <w:textAlignment w:val="center"/>
              <w:rPr>
                <w:color w:val="000000"/>
                <w:sz w:val="20"/>
                <w:szCs w:val="20"/>
              </w:rPr>
            </w:pPr>
            <w:r>
              <w:rPr>
                <w:rFonts w:hint="eastAsia"/>
                <w:color w:val="000000"/>
                <w:sz w:val="20"/>
                <w:szCs w:val="20"/>
                <w:lang w:bidi="ar"/>
              </w:rPr>
              <w:t>33</w:t>
            </w:r>
          </w:p>
        </w:tc>
        <w:tc>
          <w:tcPr>
            <w:tcW w:w="1834" w:type="dxa"/>
            <w:shd w:val="clear" w:color="auto" w:fill="auto"/>
            <w:vAlign w:val="center"/>
          </w:tcPr>
          <w:p w14:paraId="765D8B79">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361" w:type="dxa"/>
            <w:shd w:val="clear" w:color="auto" w:fill="auto"/>
            <w:vAlign w:val="center"/>
          </w:tcPr>
          <w:p w14:paraId="45CF4E9E">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2588" w:type="dxa"/>
            <w:shd w:val="clear" w:color="auto" w:fill="auto"/>
            <w:vAlign w:val="center"/>
          </w:tcPr>
          <w:p w14:paraId="1C413CF7">
            <w:pPr>
              <w:textAlignment w:val="center"/>
              <w:rPr>
                <w:color w:val="000000"/>
                <w:sz w:val="20"/>
                <w:szCs w:val="20"/>
              </w:rPr>
            </w:pPr>
            <w:r>
              <w:rPr>
                <w:rFonts w:hint="eastAsia"/>
                <w:b/>
                <w:bCs/>
                <w:color w:val="000000"/>
                <w:sz w:val="20"/>
                <w:szCs w:val="20"/>
                <w:lang w:bidi="ar"/>
              </w:rPr>
              <w:t>长期禁用</w:t>
            </w:r>
          </w:p>
        </w:tc>
      </w:tr>
      <w:tr w14:paraId="6426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62" w:type="dxa"/>
            <w:shd w:val="clear" w:color="auto" w:fill="auto"/>
            <w:vAlign w:val="center"/>
          </w:tcPr>
          <w:p w14:paraId="23EF1AB6">
            <w:pPr>
              <w:jc w:val="center"/>
              <w:textAlignment w:val="center"/>
              <w:rPr>
                <w:color w:val="000000"/>
                <w:sz w:val="20"/>
                <w:szCs w:val="20"/>
              </w:rPr>
            </w:pPr>
            <w:r>
              <w:rPr>
                <w:rFonts w:hint="eastAsia"/>
                <w:color w:val="000000"/>
                <w:sz w:val="20"/>
                <w:szCs w:val="20"/>
                <w:lang w:bidi="ar"/>
              </w:rPr>
              <w:t>34</w:t>
            </w:r>
          </w:p>
        </w:tc>
        <w:tc>
          <w:tcPr>
            <w:tcW w:w="1834" w:type="dxa"/>
            <w:vMerge w:val="restart"/>
            <w:shd w:val="clear" w:color="auto" w:fill="auto"/>
            <w:vAlign w:val="center"/>
          </w:tcPr>
          <w:p w14:paraId="13D7159B">
            <w:pPr>
              <w:textAlignment w:val="center"/>
              <w:rPr>
                <w:color w:val="000000"/>
                <w:sz w:val="20"/>
                <w:szCs w:val="20"/>
              </w:rPr>
            </w:pPr>
            <w:r>
              <w:rPr>
                <w:rFonts w:hint="eastAsia"/>
                <w:b/>
                <w:bCs/>
                <w:color w:val="000000"/>
                <w:sz w:val="20"/>
                <w:szCs w:val="20"/>
                <w:lang w:bidi="ar"/>
              </w:rPr>
              <w:t>提供虚假进度报告</w:t>
            </w:r>
          </w:p>
        </w:tc>
        <w:tc>
          <w:tcPr>
            <w:tcW w:w="5361" w:type="dxa"/>
            <w:shd w:val="clear" w:color="auto" w:fill="auto"/>
            <w:vAlign w:val="center"/>
          </w:tcPr>
          <w:p w14:paraId="56CBD7D7">
            <w:pPr>
              <w:textAlignment w:val="center"/>
              <w:rPr>
                <w:color w:val="000000"/>
                <w:sz w:val="20"/>
                <w:szCs w:val="20"/>
              </w:rPr>
            </w:pPr>
            <w:r>
              <w:rPr>
                <w:rFonts w:hint="eastAsia"/>
                <w:color w:val="000000"/>
                <w:sz w:val="20"/>
                <w:szCs w:val="20"/>
                <w:lang w:bidi="ar"/>
              </w:rPr>
              <w:t>未造成实质影响的</w:t>
            </w:r>
          </w:p>
        </w:tc>
        <w:tc>
          <w:tcPr>
            <w:tcW w:w="2588" w:type="dxa"/>
            <w:shd w:val="clear" w:color="auto" w:fill="auto"/>
            <w:vAlign w:val="center"/>
          </w:tcPr>
          <w:p w14:paraId="1E787677">
            <w:pPr>
              <w:textAlignment w:val="center"/>
              <w:rPr>
                <w:color w:val="000000"/>
                <w:sz w:val="20"/>
                <w:szCs w:val="20"/>
              </w:rPr>
            </w:pPr>
            <w:r>
              <w:rPr>
                <w:rFonts w:hint="eastAsia"/>
                <w:color w:val="000000"/>
                <w:sz w:val="20"/>
                <w:szCs w:val="20"/>
                <w:lang w:bidi="ar"/>
              </w:rPr>
              <w:t>禁用一年</w:t>
            </w:r>
          </w:p>
        </w:tc>
      </w:tr>
      <w:tr w14:paraId="0896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62" w:type="dxa"/>
            <w:shd w:val="clear" w:color="auto" w:fill="auto"/>
            <w:vAlign w:val="center"/>
          </w:tcPr>
          <w:p w14:paraId="42FA8573">
            <w:pPr>
              <w:jc w:val="center"/>
              <w:textAlignment w:val="center"/>
              <w:rPr>
                <w:color w:val="000000"/>
                <w:sz w:val="20"/>
                <w:szCs w:val="20"/>
              </w:rPr>
            </w:pPr>
            <w:r>
              <w:rPr>
                <w:rFonts w:hint="eastAsia"/>
                <w:color w:val="000000"/>
                <w:sz w:val="20"/>
                <w:szCs w:val="20"/>
                <w:lang w:bidi="ar"/>
              </w:rPr>
              <w:t>35</w:t>
            </w:r>
          </w:p>
        </w:tc>
        <w:tc>
          <w:tcPr>
            <w:tcW w:w="1834" w:type="dxa"/>
            <w:vMerge w:val="continue"/>
            <w:shd w:val="clear" w:color="auto" w:fill="auto"/>
            <w:vAlign w:val="center"/>
          </w:tcPr>
          <w:p w14:paraId="5F946B89">
            <w:pPr>
              <w:rPr>
                <w:color w:val="000000"/>
                <w:sz w:val="20"/>
                <w:szCs w:val="20"/>
              </w:rPr>
            </w:pPr>
          </w:p>
        </w:tc>
        <w:tc>
          <w:tcPr>
            <w:tcW w:w="5361" w:type="dxa"/>
            <w:shd w:val="clear" w:color="auto" w:fill="auto"/>
            <w:vAlign w:val="center"/>
          </w:tcPr>
          <w:p w14:paraId="2A1E5750">
            <w:pPr>
              <w:textAlignment w:val="center"/>
              <w:rPr>
                <w:color w:val="000000"/>
                <w:sz w:val="20"/>
                <w:szCs w:val="20"/>
              </w:rPr>
            </w:pPr>
            <w:r>
              <w:rPr>
                <w:rFonts w:hint="eastAsia"/>
                <w:color w:val="000000"/>
                <w:sz w:val="20"/>
                <w:szCs w:val="20"/>
                <w:lang w:bidi="ar"/>
              </w:rPr>
              <w:t>造成实质性影响的</w:t>
            </w:r>
          </w:p>
        </w:tc>
        <w:tc>
          <w:tcPr>
            <w:tcW w:w="2588" w:type="dxa"/>
            <w:shd w:val="clear" w:color="auto" w:fill="auto"/>
            <w:vAlign w:val="center"/>
          </w:tcPr>
          <w:p w14:paraId="0D2FC063">
            <w:pPr>
              <w:textAlignment w:val="center"/>
              <w:rPr>
                <w:color w:val="000000"/>
                <w:sz w:val="20"/>
                <w:szCs w:val="20"/>
              </w:rPr>
            </w:pPr>
            <w:r>
              <w:rPr>
                <w:rFonts w:hint="eastAsia"/>
                <w:b/>
                <w:bCs/>
                <w:color w:val="000000"/>
                <w:sz w:val="20"/>
                <w:szCs w:val="20"/>
                <w:lang w:bidi="ar"/>
              </w:rPr>
              <w:t>禁用两年</w:t>
            </w:r>
          </w:p>
        </w:tc>
      </w:tr>
      <w:tr w14:paraId="2026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62" w:type="dxa"/>
            <w:shd w:val="clear" w:color="auto" w:fill="auto"/>
            <w:vAlign w:val="center"/>
          </w:tcPr>
          <w:p w14:paraId="1FAAC51B">
            <w:pPr>
              <w:jc w:val="center"/>
              <w:textAlignment w:val="center"/>
              <w:rPr>
                <w:color w:val="000000"/>
                <w:sz w:val="20"/>
                <w:szCs w:val="20"/>
              </w:rPr>
            </w:pPr>
            <w:r>
              <w:rPr>
                <w:rFonts w:hint="eastAsia"/>
                <w:color w:val="000000"/>
                <w:sz w:val="20"/>
                <w:szCs w:val="20"/>
                <w:lang w:bidi="ar"/>
              </w:rPr>
              <w:t>36</w:t>
            </w:r>
          </w:p>
        </w:tc>
        <w:tc>
          <w:tcPr>
            <w:tcW w:w="1834" w:type="dxa"/>
            <w:vMerge w:val="restart"/>
            <w:shd w:val="clear" w:color="auto" w:fill="auto"/>
            <w:vAlign w:val="center"/>
          </w:tcPr>
          <w:p w14:paraId="73295205">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361" w:type="dxa"/>
            <w:shd w:val="clear" w:color="auto" w:fill="auto"/>
            <w:vAlign w:val="center"/>
          </w:tcPr>
          <w:p w14:paraId="2AD876D1">
            <w:pPr>
              <w:textAlignment w:val="center"/>
              <w:rPr>
                <w:color w:val="000000"/>
                <w:sz w:val="20"/>
                <w:szCs w:val="20"/>
              </w:rPr>
            </w:pPr>
            <w:r>
              <w:rPr>
                <w:rFonts w:hint="eastAsia"/>
                <w:color w:val="000000"/>
                <w:sz w:val="20"/>
                <w:szCs w:val="20"/>
                <w:lang w:bidi="ar"/>
              </w:rPr>
              <w:t>及时更正其违规行为的</w:t>
            </w:r>
          </w:p>
        </w:tc>
        <w:tc>
          <w:tcPr>
            <w:tcW w:w="2588" w:type="dxa"/>
            <w:shd w:val="clear" w:color="auto" w:fill="auto"/>
            <w:vAlign w:val="center"/>
          </w:tcPr>
          <w:p w14:paraId="276041BC">
            <w:pPr>
              <w:textAlignment w:val="center"/>
              <w:rPr>
                <w:color w:val="000000"/>
                <w:sz w:val="20"/>
                <w:szCs w:val="20"/>
              </w:rPr>
            </w:pPr>
            <w:r>
              <w:rPr>
                <w:rFonts w:hint="eastAsia"/>
                <w:color w:val="000000"/>
                <w:sz w:val="20"/>
                <w:szCs w:val="20"/>
                <w:lang w:bidi="ar"/>
              </w:rPr>
              <w:t>警告</w:t>
            </w:r>
          </w:p>
        </w:tc>
      </w:tr>
      <w:tr w14:paraId="1464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62" w:type="dxa"/>
            <w:shd w:val="clear" w:color="auto" w:fill="auto"/>
            <w:vAlign w:val="center"/>
          </w:tcPr>
          <w:p w14:paraId="16ECC6DA">
            <w:pPr>
              <w:jc w:val="center"/>
              <w:textAlignment w:val="center"/>
              <w:rPr>
                <w:color w:val="000000"/>
                <w:sz w:val="20"/>
                <w:szCs w:val="20"/>
              </w:rPr>
            </w:pPr>
            <w:r>
              <w:rPr>
                <w:rFonts w:hint="eastAsia"/>
                <w:color w:val="000000"/>
                <w:sz w:val="20"/>
                <w:szCs w:val="20"/>
                <w:lang w:bidi="ar"/>
              </w:rPr>
              <w:t>37</w:t>
            </w:r>
          </w:p>
        </w:tc>
        <w:tc>
          <w:tcPr>
            <w:tcW w:w="1834" w:type="dxa"/>
            <w:vMerge w:val="continue"/>
            <w:shd w:val="clear" w:color="auto" w:fill="auto"/>
            <w:vAlign w:val="center"/>
          </w:tcPr>
          <w:p w14:paraId="6ED72190">
            <w:pPr>
              <w:jc w:val="center"/>
              <w:rPr>
                <w:color w:val="000000"/>
                <w:sz w:val="20"/>
                <w:szCs w:val="20"/>
              </w:rPr>
            </w:pPr>
          </w:p>
        </w:tc>
        <w:tc>
          <w:tcPr>
            <w:tcW w:w="5361" w:type="dxa"/>
            <w:shd w:val="clear" w:color="auto" w:fill="auto"/>
            <w:vAlign w:val="center"/>
          </w:tcPr>
          <w:p w14:paraId="7448A8C2">
            <w:pPr>
              <w:textAlignment w:val="center"/>
              <w:rPr>
                <w:color w:val="000000"/>
                <w:sz w:val="20"/>
                <w:szCs w:val="20"/>
              </w:rPr>
            </w:pPr>
            <w:r>
              <w:rPr>
                <w:rFonts w:hint="eastAsia"/>
                <w:color w:val="000000"/>
                <w:sz w:val="20"/>
                <w:szCs w:val="20"/>
                <w:lang w:bidi="ar"/>
              </w:rPr>
              <w:t>未及时更正其违规行为的</w:t>
            </w:r>
          </w:p>
        </w:tc>
        <w:tc>
          <w:tcPr>
            <w:tcW w:w="2588" w:type="dxa"/>
            <w:shd w:val="clear" w:color="auto" w:fill="auto"/>
            <w:vAlign w:val="center"/>
          </w:tcPr>
          <w:p w14:paraId="71F065B3">
            <w:pPr>
              <w:textAlignment w:val="center"/>
              <w:rPr>
                <w:color w:val="000000"/>
                <w:sz w:val="20"/>
                <w:szCs w:val="20"/>
              </w:rPr>
            </w:pPr>
            <w:r>
              <w:rPr>
                <w:rFonts w:hint="eastAsia"/>
                <w:b/>
                <w:bCs/>
                <w:color w:val="000000"/>
                <w:sz w:val="20"/>
                <w:szCs w:val="20"/>
                <w:lang w:bidi="ar"/>
              </w:rPr>
              <w:t>禁用一年</w:t>
            </w:r>
          </w:p>
        </w:tc>
      </w:tr>
      <w:tr w14:paraId="11D2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62" w:type="dxa"/>
            <w:shd w:val="clear" w:color="auto" w:fill="auto"/>
            <w:vAlign w:val="center"/>
          </w:tcPr>
          <w:p w14:paraId="2B8B9D87">
            <w:pPr>
              <w:jc w:val="center"/>
              <w:textAlignment w:val="center"/>
              <w:rPr>
                <w:color w:val="000000"/>
                <w:sz w:val="20"/>
                <w:szCs w:val="20"/>
              </w:rPr>
            </w:pPr>
            <w:r>
              <w:rPr>
                <w:rFonts w:hint="eastAsia"/>
                <w:color w:val="000000"/>
                <w:sz w:val="20"/>
                <w:szCs w:val="20"/>
                <w:lang w:bidi="ar"/>
              </w:rPr>
              <w:t>38</w:t>
            </w:r>
          </w:p>
        </w:tc>
        <w:tc>
          <w:tcPr>
            <w:tcW w:w="1834" w:type="dxa"/>
            <w:vMerge w:val="continue"/>
            <w:shd w:val="clear" w:color="auto" w:fill="auto"/>
            <w:vAlign w:val="center"/>
          </w:tcPr>
          <w:p w14:paraId="168CE725">
            <w:pPr>
              <w:jc w:val="center"/>
              <w:rPr>
                <w:color w:val="000000"/>
                <w:sz w:val="20"/>
                <w:szCs w:val="20"/>
              </w:rPr>
            </w:pPr>
          </w:p>
        </w:tc>
        <w:tc>
          <w:tcPr>
            <w:tcW w:w="5361" w:type="dxa"/>
            <w:shd w:val="clear" w:color="auto" w:fill="auto"/>
            <w:vAlign w:val="center"/>
          </w:tcPr>
          <w:p w14:paraId="0F666145">
            <w:pPr>
              <w:textAlignment w:val="center"/>
              <w:rPr>
                <w:color w:val="000000"/>
                <w:sz w:val="20"/>
                <w:szCs w:val="20"/>
              </w:rPr>
            </w:pPr>
            <w:r>
              <w:rPr>
                <w:rFonts w:hint="eastAsia"/>
                <w:color w:val="000000"/>
                <w:sz w:val="20"/>
                <w:szCs w:val="20"/>
                <w:lang w:bidi="ar"/>
              </w:rPr>
              <w:t>拒绝更正其违规行为的</w:t>
            </w:r>
          </w:p>
        </w:tc>
        <w:tc>
          <w:tcPr>
            <w:tcW w:w="2588" w:type="dxa"/>
            <w:shd w:val="clear" w:color="auto" w:fill="auto"/>
            <w:vAlign w:val="center"/>
          </w:tcPr>
          <w:p w14:paraId="451B08A1">
            <w:pPr>
              <w:textAlignment w:val="center"/>
              <w:rPr>
                <w:color w:val="000000"/>
                <w:sz w:val="20"/>
                <w:szCs w:val="20"/>
              </w:rPr>
            </w:pPr>
            <w:r>
              <w:rPr>
                <w:rFonts w:hint="eastAsia"/>
                <w:color w:val="000000"/>
                <w:sz w:val="20"/>
                <w:szCs w:val="20"/>
                <w:lang w:bidi="ar"/>
              </w:rPr>
              <w:t>长期禁用</w:t>
            </w:r>
          </w:p>
        </w:tc>
      </w:tr>
      <w:tr w14:paraId="1AED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662" w:type="dxa"/>
            <w:shd w:val="clear" w:color="auto" w:fill="auto"/>
            <w:vAlign w:val="center"/>
          </w:tcPr>
          <w:p w14:paraId="79F5A5C1">
            <w:pPr>
              <w:jc w:val="center"/>
              <w:textAlignment w:val="center"/>
              <w:rPr>
                <w:color w:val="000000"/>
                <w:sz w:val="20"/>
                <w:szCs w:val="20"/>
              </w:rPr>
            </w:pPr>
            <w:r>
              <w:rPr>
                <w:rFonts w:hint="eastAsia"/>
                <w:color w:val="000000"/>
                <w:sz w:val="20"/>
                <w:szCs w:val="20"/>
                <w:lang w:bidi="ar"/>
              </w:rPr>
              <w:t>39</w:t>
            </w:r>
          </w:p>
        </w:tc>
        <w:tc>
          <w:tcPr>
            <w:tcW w:w="1834" w:type="dxa"/>
            <w:vMerge w:val="restart"/>
            <w:shd w:val="clear" w:color="auto" w:fill="auto"/>
            <w:vAlign w:val="center"/>
          </w:tcPr>
          <w:p w14:paraId="4E1029F4">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361" w:type="dxa"/>
            <w:shd w:val="clear" w:color="auto" w:fill="auto"/>
            <w:vAlign w:val="center"/>
          </w:tcPr>
          <w:p w14:paraId="212D9A69">
            <w:pPr>
              <w:textAlignment w:val="center"/>
              <w:rPr>
                <w:color w:val="000000"/>
                <w:sz w:val="20"/>
                <w:szCs w:val="20"/>
              </w:rPr>
            </w:pPr>
            <w:r>
              <w:rPr>
                <w:rFonts w:hint="eastAsia"/>
                <w:color w:val="000000"/>
                <w:sz w:val="20"/>
                <w:szCs w:val="20"/>
                <w:lang w:bidi="ar"/>
              </w:rPr>
              <w:t>及时更正其违规行为的</w:t>
            </w:r>
          </w:p>
        </w:tc>
        <w:tc>
          <w:tcPr>
            <w:tcW w:w="2588" w:type="dxa"/>
            <w:shd w:val="clear" w:color="auto" w:fill="auto"/>
            <w:vAlign w:val="center"/>
          </w:tcPr>
          <w:p w14:paraId="5C8E8357">
            <w:pPr>
              <w:textAlignment w:val="center"/>
              <w:rPr>
                <w:color w:val="000000"/>
                <w:sz w:val="20"/>
                <w:szCs w:val="20"/>
              </w:rPr>
            </w:pPr>
            <w:r>
              <w:rPr>
                <w:rFonts w:hint="eastAsia"/>
                <w:color w:val="000000"/>
                <w:sz w:val="20"/>
                <w:szCs w:val="20"/>
                <w:lang w:bidi="ar"/>
              </w:rPr>
              <w:t>警告</w:t>
            </w:r>
          </w:p>
        </w:tc>
      </w:tr>
      <w:tr w14:paraId="1FBB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662" w:type="dxa"/>
            <w:shd w:val="clear" w:color="auto" w:fill="auto"/>
            <w:vAlign w:val="center"/>
          </w:tcPr>
          <w:p w14:paraId="3FAB93B0">
            <w:pPr>
              <w:jc w:val="center"/>
              <w:textAlignment w:val="center"/>
              <w:rPr>
                <w:color w:val="000000"/>
                <w:sz w:val="20"/>
                <w:szCs w:val="20"/>
              </w:rPr>
            </w:pPr>
            <w:r>
              <w:rPr>
                <w:rFonts w:hint="eastAsia"/>
                <w:color w:val="000000"/>
                <w:sz w:val="20"/>
                <w:szCs w:val="20"/>
                <w:lang w:bidi="ar"/>
              </w:rPr>
              <w:t>40</w:t>
            </w:r>
          </w:p>
        </w:tc>
        <w:tc>
          <w:tcPr>
            <w:tcW w:w="1834" w:type="dxa"/>
            <w:vMerge w:val="continue"/>
            <w:shd w:val="clear" w:color="auto" w:fill="auto"/>
            <w:vAlign w:val="center"/>
          </w:tcPr>
          <w:p w14:paraId="50B0BDFF">
            <w:pPr>
              <w:rPr>
                <w:color w:val="000000"/>
                <w:sz w:val="20"/>
                <w:szCs w:val="20"/>
              </w:rPr>
            </w:pPr>
          </w:p>
        </w:tc>
        <w:tc>
          <w:tcPr>
            <w:tcW w:w="5361" w:type="dxa"/>
            <w:shd w:val="clear" w:color="auto" w:fill="auto"/>
            <w:vAlign w:val="center"/>
          </w:tcPr>
          <w:p w14:paraId="24A5BF91">
            <w:pPr>
              <w:textAlignment w:val="center"/>
              <w:rPr>
                <w:color w:val="000000"/>
                <w:sz w:val="20"/>
                <w:szCs w:val="20"/>
              </w:rPr>
            </w:pPr>
            <w:r>
              <w:rPr>
                <w:rFonts w:hint="eastAsia"/>
                <w:color w:val="000000"/>
                <w:sz w:val="20"/>
                <w:szCs w:val="20"/>
                <w:lang w:bidi="ar"/>
              </w:rPr>
              <w:t>未及时更正其违规行为的</w:t>
            </w:r>
          </w:p>
        </w:tc>
        <w:tc>
          <w:tcPr>
            <w:tcW w:w="2588" w:type="dxa"/>
            <w:shd w:val="clear" w:color="auto" w:fill="auto"/>
            <w:vAlign w:val="center"/>
          </w:tcPr>
          <w:p w14:paraId="384020FA">
            <w:pPr>
              <w:textAlignment w:val="center"/>
              <w:rPr>
                <w:color w:val="000000"/>
                <w:sz w:val="20"/>
                <w:szCs w:val="20"/>
              </w:rPr>
            </w:pPr>
            <w:r>
              <w:rPr>
                <w:rFonts w:hint="eastAsia"/>
                <w:color w:val="000000"/>
                <w:sz w:val="20"/>
                <w:szCs w:val="20"/>
                <w:lang w:bidi="ar"/>
              </w:rPr>
              <w:t>禁用一年</w:t>
            </w:r>
          </w:p>
        </w:tc>
      </w:tr>
      <w:tr w14:paraId="4733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62" w:type="dxa"/>
            <w:shd w:val="clear" w:color="auto" w:fill="auto"/>
            <w:vAlign w:val="center"/>
          </w:tcPr>
          <w:p w14:paraId="07158268">
            <w:pPr>
              <w:jc w:val="center"/>
              <w:textAlignment w:val="center"/>
              <w:rPr>
                <w:color w:val="000000"/>
                <w:sz w:val="20"/>
                <w:szCs w:val="20"/>
              </w:rPr>
            </w:pPr>
            <w:r>
              <w:rPr>
                <w:rFonts w:hint="eastAsia"/>
                <w:color w:val="000000"/>
                <w:sz w:val="20"/>
                <w:szCs w:val="20"/>
                <w:lang w:bidi="ar"/>
              </w:rPr>
              <w:t>41</w:t>
            </w:r>
          </w:p>
        </w:tc>
        <w:tc>
          <w:tcPr>
            <w:tcW w:w="1834" w:type="dxa"/>
            <w:vMerge w:val="continue"/>
            <w:shd w:val="clear" w:color="auto" w:fill="auto"/>
            <w:vAlign w:val="center"/>
          </w:tcPr>
          <w:p w14:paraId="3B590272">
            <w:pPr>
              <w:rPr>
                <w:color w:val="000000"/>
                <w:sz w:val="20"/>
                <w:szCs w:val="20"/>
              </w:rPr>
            </w:pPr>
          </w:p>
        </w:tc>
        <w:tc>
          <w:tcPr>
            <w:tcW w:w="5361" w:type="dxa"/>
            <w:shd w:val="clear" w:color="auto" w:fill="auto"/>
            <w:vAlign w:val="center"/>
          </w:tcPr>
          <w:p w14:paraId="489B7BD5">
            <w:pPr>
              <w:textAlignment w:val="center"/>
              <w:rPr>
                <w:color w:val="000000"/>
                <w:sz w:val="20"/>
                <w:szCs w:val="20"/>
              </w:rPr>
            </w:pPr>
            <w:r>
              <w:rPr>
                <w:rFonts w:hint="eastAsia"/>
                <w:color w:val="000000"/>
                <w:sz w:val="20"/>
                <w:szCs w:val="20"/>
                <w:lang w:bidi="ar"/>
              </w:rPr>
              <w:t>拒绝更正其违规行为的</w:t>
            </w:r>
          </w:p>
        </w:tc>
        <w:tc>
          <w:tcPr>
            <w:tcW w:w="2588" w:type="dxa"/>
            <w:shd w:val="clear" w:color="auto" w:fill="auto"/>
            <w:vAlign w:val="center"/>
          </w:tcPr>
          <w:p w14:paraId="3960F3BC">
            <w:pPr>
              <w:textAlignment w:val="center"/>
              <w:rPr>
                <w:color w:val="000000"/>
                <w:sz w:val="20"/>
                <w:szCs w:val="20"/>
              </w:rPr>
            </w:pPr>
            <w:r>
              <w:rPr>
                <w:rFonts w:hint="eastAsia"/>
                <w:b/>
                <w:bCs/>
                <w:color w:val="000000"/>
                <w:sz w:val="20"/>
                <w:szCs w:val="20"/>
                <w:lang w:bidi="ar"/>
              </w:rPr>
              <w:t>长期禁用</w:t>
            </w:r>
          </w:p>
        </w:tc>
      </w:tr>
      <w:tr w14:paraId="5F8F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62" w:type="dxa"/>
            <w:shd w:val="clear" w:color="auto" w:fill="auto"/>
            <w:vAlign w:val="center"/>
          </w:tcPr>
          <w:p w14:paraId="653C1B1E">
            <w:pPr>
              <w:jc w:val="center"/>
              <w:textAlignment w:val="center"/>
              <w:rPr>
                <w:color w:val="000000"/>
                <w:sz w:val="20"/>
                <w:szCs w:val="20"/>
              </w:rPr>
            </w:pPr>
            <w:r>
              <w:rPr>
                <w:rFonts w:hint="eastAsia"/>
                <w:color w:val="000000"/>
                <w:sz w:val="20"/>
                <w:szCs w:val="20"/>
                <w:lang w:bidi="ar"/>
              </w:rPr>
              <w:t>42</w:t>
            </w:r>
          </w:p>
        </w:tc>
        <w:tc>
          <w:tcPr>
            <w:tcW w:w="1834" w:type="dxa"/>
            <w:vMerge w:val="restart"/>
            <w:shd w:val="clear" w:color="auto" w:fill="auto"/>
            <w:vAlign w:val="center"/>
          </w:tcPr>
          <w:p w14:paraId="27C51D2F">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361" w:type="dxa"/>
            <w:shd w:val="clear" w:color="auto" w:fill="auto"/>
            <w:vAlign w:val="center"/>
          </w:tcPr>
          <w:p w14:paraId="3B18AE9D">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2588" w:type="dxa"/>
            <w:shd w:val="clear" w:color="auto" w:fill="auto"/>
            <w:vAlign w:val="center"/>
          </w:tcPr>
          <w:p w14:paraId="361788B3">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14:paraId="32B9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62" w:type="dxa"/>
            <w:shd w:val="clear" w:color="auto" w:fill="auto"/>
            <w:vAlign w:val="center"/>
          </w:tcPr>
          <w:p w14:paraId="25EF9A69">
            <w:pPr>
              <w:jc w:val="center"/>
              <w:textAlignment w:val="center"/>
              <w:rPr>
                <w:color w:val="000000"/>
                <w:sz w:val="20"/>
                <w:szCs w:val="20"/>
              </w:rPr>
            </w:pPr>
            <w:r>
              <w:rPr>
                <w:rFonts w:hint="eastAsia"/>
                <w:color w:val="000000"/>
                <w:sz w:val="20"/>
                <w:szCs w:val="20"/>
                <w:lang w:bidi="ar"/>
              </w:rPr>
              <w:t>43</w:t>
            </w:r>
          </w:p>
        </w:tc>
        <w:tc>
          <w:tcPr>
            <w:tcW w:w="1834" w:type="dxa"/>
            <w:vMerge w:val="continue"/>
            <w:shd w:val="clear" w:color="auto" w:fill="auto"/>
            <w:vAlign w:val="center"/>
          </w:tcPr>
          <w:p w14:paraId="457C7675">
            <w:pPr>
              <w:rPr>
                <w:color w:val="000000"/>
                <w:sz w:val="20"/>
                <w:szCs w:val="20"/>
              </w:rPr>
            </w:pPr>
          </w:p>
        </w:tc>
        <w:tc>
          <w:tcPr>
            <w:tcW w:w="5361" w:type="dxa"/>
            <w:shd w:val="clear" w:color="auto" w:fill="auto"/>
            <w:vAlign w:val="center"/>
          </w:tcPr>
          <w:p w14:paraId="3DD0984A">
            <w:pPr>
              <w:textAlignment w:val="center"/>
              <w:rPr>
                <w:color w:val="000000"/>
                <w:sz w:val="20"/>
                <w:szCs w:val="20"/>
              </w:rPr>
            </w:pPr>
            <w:r>
              <w:rPr>
                <w:rFonts w:hint="eastAsia"/>
                <w:color w:val="000000"/>
                <w:sz w:val="20"/>
                <w:szCs w:val="20"/>
                <w:lang w:bidi="ar"/>
              </w:rPr>
              <w:t>造成实质影响但愿意协商解决的，根据影响程度</w:t>
            </w:r>
          </w:p>
        </w:tc>
        <w:tc>
          <w:tcPr>
            <w:tcW w:w="2588" w:type="dxa"/>
            <w:shd w:val="clear" w:color="auto" w:fill="auto"/>
            <w:vAlign w:val="center"/>
          </w:tcPr>
          <w:p w14:paraId="4AADC550">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14:paraId="3E04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62" w:type="dxa"/>
            <w:shd w:val="clear" w:color="auto" w:fill="auto"/>
            <w:vAlign w:val="center"/>
          </w:tcPr>
          <w:p w14:paraId="7604D47D">
            <w:pPr>
              <w:jc w:val="center"/>
              <w:textAlignment w:val="center"/>
              <w:rPr>
                <w:color w:val="000000"/>
                <w:sz w:val="20"/>
                <w:szCs w:val="20"/>
              </w:rPr>
            </w:pPr>
            <w:r>
              <w:rPr>
                <w:rFonts w:hint="eastAsia"/>
                <w:color w:val="000000"/>
                <w:sz w:val="20"/>
                <w:szCs w:val="20"/>
                <w:lang w:bidi="ar"/>
              </w:rPr>
              <w:t>44</w:t>
            </w:r>
          </w:p>
        </w:tc>
        <w:tc>
          <w:tcPr>
            <w:tcW w:w="1834" w:type="dxa"/>
            <w:vMerge w:val="continue"/>
            <w:shd w:val="clear" w:color="auto" w:fill="auto"/>
            <w:vAlign w:val="center"/>
          </w:tcPr>
          <w:p w14:paraId="488A1449">
            <w:pPr>
              <w:rPr>
                <w:color w:val="000000"/>
                <w:sz w:val="20"/>
                <w:szCs w:val="20"/>
              </w:rPr>
            </w:pPr>
          </w:p>
        </w:tc>
        <w:tc>
          <w:tcPr>
            <w:tcW w:w="5361" w:type="dxa"/>
            <w:shd w:val="clear" w:color="auto" w:fill="auto"/>
            <w:vAlign w:val="center"/>
          </w:tcPr>
          <w:p w14:paraId="3E097C43">
            <w:pPr>
              <w:textAlignment w:val="center"/>
              <w:rPr>
                <w:color w:val="000000"/>
                <w:sz w:val="20"/>
                <w:szCs w:val="20"/>
              </w:rPr>
            </w:pPr>
            <w:r>
              <w:rPr>
                <w:rFonts w:hint="eastAsia"/>
                <w:color w:val="000000"/>
                <w:sz w:val="20"/>
                <w:szCs w:val="20"/>
                <w:lang w:bidi="ar"/>
              </w:rPr>
              <w:t>造成较重或严重影响且拒绝协商解决的</w:t>
            </w:r>
          </w:p>
        </w:tc>
        <w:tc>
          <w:tcPr>
            <w:tcW w:w="2588" w:type="dxa"/>
            <w:shd w:val="clear" w:color="auto" w:fill="auto"/>
            <w:vAlign w:val="center"/>
          </w:tcPr>
          <w:p w14:paraId="3F5E0DC4">
            <w:pPr>
              <w:textAlignment w:val="center"/>
              <w:rPr>
                <w:color w:val="000000"/>
                <w:sz w:val="20"/>
                <w:szCs w:val="20"/>
              </w:rPr>
            </w:pPr>
            <w:r>
              <w:rPr>
                <w:rFonts w:hint="eastAsia"/>
                <w:color w:val="000000"/>
                <w:sz w:val="20"/>
                <w:szCs w:val="20"/>
                <w:lang w:bidi="ar"/>
              </w:rPr>
              <w:t>长期禁用</w:t>
            </w:r>
          </w:p>
        </w:tc>
      </w:tr>
      <w:tr w14:paraId="69F1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62" w:type="dxa"/>
            <w:shd w:val="clear" w:color="auto" w:fill="auto"/>
            <w:vAlign w:val="center"/>
          </w:tcPr>
          <w:p w14:paraId="0736B6A5">
            <w:pPr>
              <w:jc w:val="center"/>
              <w:textAlignment w:val="center"/>
              <w:rPr>
                <w:color w:val="000000"/>
                <w:sz w:val="20"/>
                <w:szCs w:val="20"/>
              </w:rPr>
            </w:pPr>
            <w:r>
              <w:rPr>
                <w:rFonts w:hint="eastAsia"/>
                <w:color w:val="000000"/>
                <w:sz w:val="20"/>
                <w:szCs w:val="20"/>
                <w:lang w:bidi="ar"/>
              </w:rPr>
              <w:t>45</w:t>
            </w:r>
          </w:p>
        </w:tc>
        <w:tc>
          <w:tcPr>
            <w:tcW w:w="1834" w:type="dxa"/>
            <w:shd w:val="clear" w:color="auto" w:fill="auto"/>
            <w:vAlign w:val="center"/>
          </w:tcPr>
          <w:p w14:paraId="22A1F52A">
            <w:pPr>
              <w:textAlignment w:val="center"/>
              <w:rPr>
                <w:color w:val="000000"/>
                <w:sz w:val="20"/>
                <w:szCs w:val="20"/>
              </w:rPr>
            </w:pPr>
            <w:r>
              <w:rPr>
                <w:rFonts w:hint="eastAsia"/>
                <w:b/>
                <w:bCs/>
                <w:color w:val="000000"/>
                <w:sz w:val="20"/>
                <w:szCs w:val="20"/>
                <w:lang w:bidi="ar"/>
              </w:rPr>
              <w:t>拒绝履行售后义务</w:t>
            </w:r>
          </w:p>
        </w:tc>
        <w:tc>
          <w:tcPr>
            <w:tcW w:w="5361" w:type="dxa"/>
            <w:shd w:val="clear" w:color="auto" w:fill="auto"/>
            <w:vAlign w:val="center"/>
          </w:tcPr>
          <w:p w14:paraId="72E935AA">
            <w:pPr>
              <w:textAlignment w:val="center"/>
              <w:rPr>
                <w:color w:val="000000"/>
                <w:sz w:val="20"/>
                <w:szCs w:val="20"/>
              </w:rPr>
            </w:pPr>
            <w:r>
              <w:rPr>
                <w:rFonts w:hint="eastAsia"/>
                <w:color w:val="000000"/>
                <w:sz w:val="20"/>
                <w:szCs w:val="20"/>
                <w:lang w:bidi="ar"/>
              </w:rPr>
              <w:t>拒绝履行售后服务义务并拒绝协商解决的情况，及</w:t>
            </w:r>
            <w:r>
              <w:rPr>
                <w:rFonts w:hint="eastAsia"/>
                <w:color w:val="000000"/>
                <w:sz w:val="20"/>
                <w:szCs w:val="20"/>
                <w:lang w:eastAsia="zh-CN" w:bidi="ar"/>
              </w:rPr>
              <w:t>其它</w:t>
            </w:r>
            <w:r>
              <w:rPr>
                <w:rFonts w:hint="eastAsia"/>
                <w:color w:val="000000"/>
                <w:sz w:val="20"/>
                <w:szCs w:val="20"/>
                <w:lang w:bidi="ar"/>
              </w:rPr>
              <w:t>因供应商的原因导致中国海油受损，并拒绝协商解决和赔偿责任的情况</w:t>
            </w:r>
          </w:p>
        </w:tc>
        <w:tc>
          <w:tcPr>
            <w:tcW w:w="2588" w:type="dxa"/>
            <w:shd w:val="clear" w:color="auto" w:fill="auto"/>
            <w:vAlign w:val="center"/>
          </w:tcPr>
          <w:p w14:paraId="79E1C6DA">
            <w:pPr>
              <w:textAlignment w:val="center"/>
              <w:rPr>
                <w:color w:val="000000"/>
                <w:sz w:val="20"/>
                <w:szCs w:val="20"/>
              </w:rPr>
            </w:pPr>
            <w:r>
              <w:rPr>
                <w:rFonts w:hint="eastAsia"/>
                <w:color w:val="000000"/>
                <w:sz w:val="20"/>
                <w:szCs w:val="20"/>
                <w:lang w:bidi="ar"/>
              </w:rPr>
              <w:t>长期禁用</w:t>
            </w:r>
          </w:p>
        </w:tc>
      </w:tr>
      <w:tr w14:paraId="7CB1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62" w:type="dxa"/>
            <w:shd w:val="clear" w:color="auto" w:fill="auto"/>
            <w:vAlign w:val="center"/>
          </w:tcPr>
          <w:p w14:paraId="7CDD047F">
            <w:pPr>
              <w:jc w:val="center"/>
              <w:textAlignment w:val="center"/>
              <w:rPr>
                <w:color w:val="000000"/>
                <w:sz w:val="20"/>
                <w:szCs w:val="20"/>
              </w:rPr>
            </w:pPr>
            <w:r>
              <w:rPr>
                <w:rFonts w:hint="eastAsia"/>
                <w:color w:val="000000"/>
                <w:sz w:val="20"/>
                <w:szCs w:val="20"/>
                <w:lang w:bidi="ar"/>
              </w:rPr>
              <w:t>46</w:t>
            </w:r>
          </w:p>
        </w:tc>
        <w:tc>
          <w:tcPr>
            <w:tcW w:w="1834" w:type="dxa"/>
            <w:shd w:val="clear" w:color="auto" w:fill="auto"/>
            <w:vAlign w:val="center"/>
          </w:tcPr>
          <w:p w14:paraId="01C7DD36">
            <w:pPr>
              <w:textAlignment w:val="center"/>
              <w:rPr>
                <w:color w:val="000000"/>
                <w:sz w:val="20"/>
                <w:szCs w:val="20"/>
              </w:rPr>
            </w:pPr>
            <w:r>
              <w:rPr>
                <w:rFonts w:hint="eastAsia"/>
                <w:b/>
                <w:bCs/>
                <w:color w:val="000000"/>
                <w:sz w:val="20"/>
                <w:szCs w:val="20"/>
                <w:lang w:bidi="ar"/>
              </w:rPr>
              <w:t>拒不配合</w:t>
            </w:r>
          </w:p>
        </w:tc>
        <w:tc>
          <w:tcPr>
            <w:tcW w:w="5361" w:type="dxa"/>
            <w:shd w:val="clear" w:color="auto" w:fill="auto"/>
            <w:vAlign w:val="center"/>
          </w:tcPr>
          <w:p w14:paraId="1778077C">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2588" w:type="dxa"/>
            <w:shd w:val="clear" w:color="auto" w:fill="auto"/>
            <w:vAlign w:val="center"/>
          </w:tcPr>
          <w:p w14:paraId="01D873A1">
            <w:pPr>
              <w:textAlignment w:val="center"/>
              <w:rPr>
                <w:color w:val="000000"/>
                <w:sz w:val="20"/>
                <w:szCs w:val="20"/>
              </w:rPr>
            </w:pPr>
            <w:r>
              <w:rPr>
                <w:rFonts w:hint="eastAsia"/>
                <w:color w:val="000000"/>
                <w:sz w:val="20"/>
                <w:szCs w:val="20"/>
                <w:lang w:bidi="ar"/>
              </w:rPr>
              <w:t>禁用两年</w:t>
            </w:r>
          </w:p>
        </w:tc>
      </w:tr>
      <w:tr w14:paraId="7D4F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62" w:type="dxa"/>
            <w:shd w:val="clear" w:color="auto" w:fill="auto"/>
            <w:vAlign w:val="center"/>
          </w:tcPr>
          <w:p w14:paraId="2AE548C1">
            <w:pPr>
              <w:jc w:val="center"/>
              <w:textAlignment w:val="center"/>
              <w:rPr>
                <w:color w:val="000000"/>
                <w:sz w:val="20"/>
                <w:szCs w:val="20"/>
              </w:rPr>
            </w:pPr>
            <w:r>
              <w:rPr>
                <w:rFonts w:hint="eastAsia"/>
                <w:color w:val="000000"/>
                <w:sz w:val="20"/>
                <w:szCs w:val="20"/>
                <w:lang w:bidi="ar"/>
              </w:rPr>
              <w:t>47</w:t>
            </w:r>
          </w:p>
        </w:tc>
        <w:tc>
          <w:tcPr>
            <w:tcW w:w="1834" w:type="dxa"/>
            <w:shd w:val="clear" w:color="auto" w:fill="auto"/>
            <w:vAlign w:val="center"/>
          </w:tcPr>
          <w:p w14:paraId="132F8E05">
            <w:pPr>
              <w:textAlignment w:val="center"/>
              <w:rPr>
                <w:color w:val="000000"/>
                <w:sz w:val="20"/>
                <w:szCs w:val="20"/>
              </w:rPr>
            </w:pPr>
            <w:r>
              <w:rPr>
                <w:rFonts w:hint="eastAsia"/>
                <w:b/>
                <w:bCs/>
                <w:color w:val="000000"/>
                <w:sz w:val="20"/>
                <w:szCs w:val="20"/>
                <w:lang w:bidi="ar"/>
              </w:rPr>
              <w:t>行贿</w:t>
            </w:r>
          </w:p>
        </w:tc>
        <w:tc>
          <w:tcPr>
            <w:tcW w:w="5361" w:type="dxa"/>
            <w:shd w:val="clear" w:color="auto" w:fill="auto"/>
            <w:vAlign w:val="center"/>
          </w:tcPr>
          <w:p w14:paraId="2564B593">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2588" w:type="dxa"/>
            <w:shd w:val="clear" w:color="auto" w:fill="auto"/>
            <w:vAlign w:val="center"/>
          </w:tcPr>
          <w:p w14:paraId="4977F523">
            <w:pPr>
              <w:textAlignment w:val="center"/>
              <w:rPr>
                <w:color w:val="000000"/>
                <w:sz w:val="20"/>
                <w:szCs w:val="20"/>
              </w:rPr>
            </w:pPr>
            <w:r>
              <w:rPr>
                <w:rFonts w:hint="eastAsia"/>
                <w:color w:val="000000"/>
                <w:sz w:val="20"/>
                <w:szCs w:val="20"/>
                <w:lang w:bidi="ar"/>
              </w:rPr>
              <w:t>长期禁用</w:t>
            </w:r>
          </w:p>
        </w:tc>
      </w:tr>
      <w:tr w14:paraId="7D08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62" w:type="dxa"/>
            <w:shd w:val="clear" w:color="auto" w:fill="auto"/>
            <w:vAlign w:val="center"/>
          </w:tcPr>
          <w:p w14:paraId="4F807F77">
            <w:pPr>
              <w:jc w:val="center"/>
              <w:textAlignment w:val="center"/>
              <w:rPr>
                <w:color w:val="000000"/>
                <w:sz w:val="20"/>
                <w:szCs w:val="20"/>
              </w:rPr>
            </w:pPr>
            <w:r>
              <w:rPr>
                <w:rFonts w:hint="eastAsia"/>
                <w:color w:val="000000"/>
                <w:sz w:val="20"/>
                <w:szCs w:val="20"/>
                <w:lang w:bidi="ar"/>
              </w:rPr>
              <w:t>48</w:t>
            </w:r>
          </w:p>
        </w:tc>
        <w:tc>
          <w:tcPr>
            <w:tcW w:w="1834" w:type="dxa"/>
            <w:shd w:val="clear" w:color="auto" w:fill="auto"/>
            <w:vAlign w:val="center"/>
          </w:tcPr>
          <w:p w14:paraId="74C53F9F">
            <w:pPr>
              <w:textAlignment w:val="center"/>
              <w:rPr>
                <w:color w:val="000000"/>
                <w:sz w:val="20"/>
                <w:szCs w:val="20"/>
              </w:rPr>
            </w:pPr>
            <w:r>
              <w:rPr>
                <w:rFonts w:hint="eastAsia"/>
                <w:color w:val="000000"/>
                <w:sz w:val="20"/>
                <w:szCs w:val="20"/>
                <w:lang w:bidi="ar"/>
              </w:rPr>
              <w:t>使用禁用供应商</w:t>
            </w:r>
          </w:p>
        </w:tc>
        <w:tc>
          <w:tcPr>
            <w:tcW w:w="5361" w:type="dxa"/>
            <w:shd w:val="clear" w:color="auto" w:fill="auto"/>
            <w:vAlign w:val="center"/>
          </w:tcPr>
          <w:p w14:paraId="030A22B4">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w:t>
            </w:r>
            <w:r>
              <w:rPr>
                <w:rFonts w:hint="eastAsia"/>
                <w:color w:val="000000"/>
                <w:sz w:val="20"/>
                <w:szCs w:val="20"/>
                <w:lang w:eastAsia="zh-CN" w:bidi="ar"/>
              </w:rPr>
              <w:t>其它</w:t>
            </w:r>
            <w:r>
              <w:rPr>
                <w:rFonts w:hint="eastAsia"/>
                <w:color w:val="000000"/>
                <w:sz w:val="20"/>
                <w:szCs w:val="20"/>
                <w:lang w:bidi="ar"/>
              </w:rPr>
              <w:t>供应商的产品、服务，或将已获取的合同对其分包的</w:t>
            </w:r>
          </w:p>
        </w:tc>
        <w:tc>
          <w:tcPr>
            <w:tcW w:w="2588" w:type="dxa"/>
            <w:shd w:val="clear" w:color="auto" w:fill="auto"/>
            <w:vAlign w:val="center"/>
          </w:tcPr>
          <w:p w14:paraId="4F0C0D54">
            <w:pPr>
              <w:textAlignment w:val="center"/>
              <w:rPr>
                <w:color w:val="000000"/>
                <w:sz w:val="20"/>
                <w:szCs w:val="20"/>
              </w:rPr>
            </w:pPr>
            <w:r>
              <w:rPr>
                <w:rFonts w:hint="eastAsia"/>
                <w:b/>
                <w:bCs/>
                <w:color w:val="000000"/>
                <w:sz w:val="20"/>
                <w:szCs w:val="20"/>
                <w:lang w:bidi="ar"/>
              </w:rPr>
              <w:t>禁用一年</w:t>
            </w:r>
          </w:p>
        </w:tc>
      </w:tr>
      <w:tr w14:paraId="38EC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662" w:type="dxa"/>
            <w:shd w:val="clear" w:color="auto" w:fill="auto"/>
            <w:vAlign w:val="center"/>
          </w:tcPr>
          <w:p w14:paraId="077CB730">
            <w:pPr>
              <w:jc w:val="center"/>
              <w:textAlignment w:val="center"/>
              <w:rPr>
                <w:color w:val="000000"/>
                <w:sz w:val="20"/>
                <w:szCs w:val="20"/>
              </w:rPr>
            </w:pPr>
            <w:r>
              <w:rPr>
                <w:rFonts w:hint="eastAsia"/>
                <w:color w:val="000000"/>
                <w:sz w:val="20"/>
                <w:szCs w:val="20"/>
                <w:lang w:bidi="ar"/>
              </w:rPr>
              <w:t>49</w:t>
            </w:r>
          </w:p>
        </w:tc>
        <w:tc>
          <w:tcPr>
            <w:tcW w:w="1834" w:type="dxa"/>
            <w:vMerge w:val="restart"/>
            <w:shd w:val="clear" w:color="auto" w:fill="auto"/>
            <w:vAlign w:val="center"/>
          </w:tcPr>
          <w:p w14:paraId="562E7066">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361" w:type="dxa"/>
            <w:shd w:val="clear" w:color="auto" w:fill="auto"/>
            <w:vAlign w:val="center"/>
          </w:tcPr>
          <w:p w14:paraId="045EC474">
            <w:pPr>
              <w:textAlignment w:val="center"/>
              <w:rPr>
                <w:color w:val="000000"/>
                <w:sz w:val="20"/>
                <w:szCs w:val="20"/>
              </w:rPr>
            </w:pPr>
            <w:r>
              <w:rPr>
                <w:rFonts w:hint="eastAsia"/>
                <w:color w:val="000000"/>
                <w:sz w:val="20"/>
                <w:szCs w:val="20"/>
                <w:lang w:bidi="ar"/>
              </w:rPr>
              <w:t>未造成经济损失或名誉损失的</w:t>
            </w:r>
          </w:p>
        </w:tc>
        <w:tc>
          <w:tcPr>
            <w:tcW w:w="2588" w:type="dxa"/>
            <w:shd w:val="clear" w:color="auto" w:fill="auto"/>
            <w:vAlign w:val="center"/>
          </w:tcPr>
          <w:p w14:paraId="4E96E5DC">
            <w:pPr>
              <w:textAlignment w:val="center"/>
              <w:rPr>
                <w:color w:val="000000"/>
                <w:sz w:val="20"/>
                <w:szCs w:val="20"/>
              </w:rPr>
            </w:pPr>
            <w:r>
              <w:rPr>
                <w:rFonts w:hint="eastAsia"/>
                <w:color w:val="000000"/>
                <w:sz w:val="20"/>
                <w:szCs w:val="20"/>
                <w:lang w:bidi="ar"/>
              </w:rPr>
              <w:t>禁用一年</w:t>
            </w:r>
          </w:p>
        </w:tc>
      </w:tr>
      <w:tr w14:paraId="4274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62" w:type="dxa"/>
            <w:shd w:val="clear" w:color="auto" w:fill="auto"/>
            <w:vAlign w:val="center"/>
          </w:tcPr>
          <w:p w14:paraId="705B02BE">
            <w:pPr>
              <w:jc w:val="center"/>
              <w:textAlignment w:val="center"/>
              <w:rPr>
                <w:color w:val="000000"/>
                <w:sz w:val="20"/>
                <w:szCs w:val="20"/>
              </w:rPr>
            </w:pPr>
            <w:r>
              <w:rPr>
                <w:rFonts w:hint="eastAsia"/>
                <w:color w:val="000000"/>
                <w:sz w:val="20"/>
                <w:szCs w:val="20"/>
                <w:lang w:bidi="ar"/>
              </w:rPr>
              <w:t>50</w:t>
            </w:r>
          </w:p>
        </w:tc>
        <w:tc>
          <w:tcPr>
            <w:tcW w:w="1834" w:type="dxa"/>
            <w:vMerge w:val="continue"/>
            <w:shd w:val="clear" w:color="auto" w:fill="auto"/>
            <w:vAlign w:val="center"/>
          </w:tcPr>
          <w:p w14:paraId="3D1908CC">
            <w:pPr>
              <w:rPr>
                <w:color w:val="000000"/>
                <w:sz w:val="20"/>
                <w:szCs w:val="20"/>
              </w:rPr>
            </w:pPr>
          </w:p>
        </w:tc>
        <w:tc>
          <w:tcPr>
            <w:tcW w:w="5361" w:type="dxa"/>
            <w:shd w:val="clear" w:color="auto" w:fill="auto"/>
            <w:vAlign w:val="center"/>
          </w:tcPr>
          <w:p w14:paraId="48C122FA">
            <w:pPr>
              <w:textAlignment w:val="center"/>
              <w:rPr>
                <w:color w:val="000000"/>
                <w:sz w:val="20"/>
                <w:szCs w:val="20"/>
              </w:rPr>
            </w:pPr>
            <w:r>
              <w:rPr>
                <w:rFonts w:hint="eastAsia"/>
                <w:color w:val="000000"/>
                <w:sz w:val="20"/>
                <w:szCs w:val="20"/>
                <w:lang w:bidi="ar"/>
              </w:rPr>
              <w:t>造成经济损失或名誉损失的</w:t>
            </w:r>
          </w:p>
        </w:tc>
        <w:tc>
          <w:tcPr>
            <w:tcW w:w="2588" w:type="dxa"/>
            <w:shd w:val="clear" w:color="auto" w:fill="auto"/>
            <w:vAlign w:val="center"/>
          </w:tcPr>
          <w:p w14:paraId="5D6D6714">
            <w:pPr>
              <w:textAlignment w:val="center"/>
              <w:rPr>
                <w:color w:val="000000"/>
                <w:sz w:val="20"/>
                <w:szCs w:val="20"/>
              </w:rPr>
            </w:pPr>
            <w:r>
              <w:rPr>
                <w:rFonts w:hint="eastAsia"/>
                <w:b/>
                <w:bCs/>
                <w:color w:val="000000"/>
                <w:sz w:val="20"/>
                <w:szCs w:val="20"/>
                <w:lang w:bidi="ar"/>
              </w:rPr>
              <w:t>长期禁用</w:t>
            </w:r>
          </w:p>
        </w:tc>
      </w:tr>
      <w:tr w14:paraId="5838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62" w:type="dxa"/>
            <w:shd w:val="clear" w:color="auto" w:fill="auto"/>
            <w:vAlign w:val="center"/>
          </w:tcPr>
          <w:p w14:paraId="557C8099">
            <w:pPr>
              <w:jc w:val="center"/>
              <w:textAlignment w:val="center"/>
              <w:rPr>
                <w:color w:val="000000"/>
                <w:sz w:val="20"/>
                <w:szCs w:val="20"/>
              </w:rPr>
            </w:pPr>
            <w:r>
              <w:rPr>
                <w:rFonts w:hint="eastAsia"/>
                <w:color w:val="000000"/>
                <w:sz w:val="20"/>
                <w:szCs w:val="20"/>
                <w:lang w:bidi="ar"/>
              </w:rPr>
              <w:t>51</w:t>
            </w:r>
          </w:p>
        </w:tc>
        <w:tc>
          <w:tcPr>
            <w:tcW w:w="1834" w:type="dxa"/>
            <w:shd w:val="clear" w:color="auto" w:fill="auto"/>
            <w:vAlign w:val="center"/>
          </w:tcPr>
          <w:p w14:paraId="3B33905F">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361" w:type="dxa"/>
            <w:shd w:val="clear" w:color="auto" w:fill="auto"/>
            <w:vAlign w:val="center"/>
          </w:tcPr>
          <w:p w14:paraId="670FE4B2">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2588" w:type="dxa"/>
            <w:shd w:val="clear" w:color="auto" w:fill="auto"/>
            <w:vAlign w:val="center"/>
          </w:tcPr>
          <w:p w14:paraId="6B59C961">
            <w:pPr>
              <w:textAlignment w:val="center"/>
              <w:rPr>
                <w:color w:val="000000"/>
                <w:sz w:val="20"/>
                <w:szCs w:val="20"/>
              </w:rPr>
            </w:pPr>
            <w:r>
              <w:rPr>
                <w:rFonts w:hint="eastAsia"/>
                <w:b/>
                <w:bCs/>
                <w:color w:val="000000"/>
                <w:sz w:val="20"/>
                <w:szCs w:val="20"/>
                <w:lang w:bidi="ar"/>
              </w:rPr>
              <w:t>禁用两年</w:t>
            </w:r>
          </w:p>
        </w:tc>
      </w:tr>
      <w:tr w14:paraId="374C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62" w:type="dxa"/>
            <w:shd w:val="clear" w:color="auto" w:fill="auto"/>
            <w:vAlign w:val="center"/>
          </w:tcPr>
          <w:p w14:paraId="71573910">
            <w:pPr>
              <w:jc w:val="center"/>
              <w:textAlignment w:val="center"/>
              <w:rPr>
                <w:color w:val="000000"/>
                <w:sz w:val="20"/>
                <w:szCs w:val="20"/>
              </w:rPr>
            </w:pPr>
            <w:r>
              <w:rPr>
                <w:rFonts w:hint="eastAsia"/>
                <w:color w:val="000000"/>
                <w:sz w:val="20"/>
                <w:szCs w:val="20"/>
                <w:lang w:bidi="ar"/>
              </w:rPr>
              <w:t>52</w:t>
            </w:r>
          </w:p>
        </w:tc>
        <w:tc>
          <w:tcPr>
            <w:tcW w:w="1834" w:type="dxa"/>
            <w:shd w:val="clear" w:color="auto" w:fill="auto"/>
            <w:vAlign w:val="center"/>
          </w:tcPr>
          <w:p w14:paraId="6C82BF5C">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361" w:type="dxa"/>
            <w:shd w:val="clear" w:color="auto" w:fill="auto"/>
            <w:vAlign w:val="center"/>
          </w:tcPr>
          <w:p w14:paraId="7C2DFB7C">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2588" w:type="dxa"/>
            <w:shd w:val="clear" w:color="auto" w:fill="auto"/>
            <w:vAlign w:val="center"/>
          </w:tcPr>
          <w:p w14:paraId="6129435C">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14:paraId="6F34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2" w:type="dxa"/>
            <w:shd w:val="clear" w:color="auto" w:fill="auto"/>
            <w:vAlign w:val="center"/>
          </w:tcPr>
          <w:p w14:paraId="09740C60">
            <w:pPr>
              <w:jc w:val="center"/>
              <w:textAlignment w:val="center"/>
              <w:rPr>
                <w:color w:val="000000"/>
                <w:sz w:val="20"/>
                <w:szCs w:val="20"/>
              </w:rPr>
            </w:pPr>
            <w:r>
              <w:rPr>
                <w:rFonts w:hint="eastAsia"/>
                <w:color w:val="000000"/>
                <w:sz w:val="20"/>
                <w:szCs w:val="20"/>
                <w:lang w:bidi="ar"/>
              </w:rPr>
              <w:t>53</w:t>
            </w:r>
          </w:p>
        </w:tc>
        <w:tc>
          <w:tcPr>
            <w:tcW w:w="1834" w:type="dxa"/>
            <w:vMerge w:val="restart"/>
            <w:shd w:val="clear" w:color="auto" w:fill="auto"/>
            <w:vAlign w:val="center"/>
          </w:tcPr>
          <w:p w14:paraId="20555EF2">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361" w:type="dxa"/>
            <w:shd w:val="clear" w:color="auto" w:fill="auto"/>
            <w:vAlign w:val="center"/>
          </w:tcPr>
          <w:p w14:paraId="68D7E591">
            <w:pPr>
              <w:textAlignment w:val="center"/>
              <w:rPr>
                <w:color w:val="000000"/>
                <w:sz w:val="20"/>
                <w:szCs w:val="20"/>
              </w:rPr>
            </w:pPr>
            <w:r>
              <w:rPr>
                <w:rFonts w:hint="eastAsia"/>
                <w:color w:val="000000"/>
                <w:sz w:val="20"/>
                <w:szCs w:val="20"/>
                <w:lang w:bidi="ar"/>
              </w:rPr>
              <w:t>存在瞒报相关情况的</w:t>
            </w:r>
          </w:p>
        </w:tc>
        <w:tc>
          <w:tcPr>
            <w:tcW w:w="2588" w:type="dxa"/>
            <w:shd w:val="clear" w:color="auto" w:fill="auto"/>
            <w:vAlign w:val="center"/>
          </w:tcPr>
          <w:p w14:paraId="3A9B4822">
            <w:pPr>
              <w:textAlignment w:val="center"/>
              <w:rPr>
                <w:color w:val="000000"/>
                <w:sz w:val="20"/>
                <w:szCs w:val="20"/>
              </w:rPr>
            </w:pPr>
            <w:r>
              <w:rPr>
                <w:rFonts w:hint="eastAsia"/>
                <w:color w:val="000000"/>
                <w:sz w:val="20"/>
                <w:szCs w:val="20"/>
                <w:lang w:bidi="ar"/>
              </w:rPr>
              <w:t>禁用一年</w:t>
            </w:r>
          </w:p>
        </w:tc>
      </w:tr>
      <w:tr w14:paraId="05B2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662" w:type="dxa"/>
            <w:shd w:val="clear" w:color="auto" w:fill="auto"/>
            <w:vAlign w:val="center"/>
          </w:tcPr>
          <w:p w14:paraId="37950CDF">
            <w:pPr>
              <w:jc w:val="center"/>
              <w:textAlignment w:val="center"/>
              <w:rPr>
                <w:color w:val="000000"/>
                <w:sz w:val="20"/>
                <w:szCs w:val="20"/>
              </w:rPr>
            </w:pPr>
            <w:r>
              <w:rPr>
                <w:rFonts w:hint="eastAsia"/>
                <w:color w:val="000000"/>
                <w:sz w:val="20"/>
                <w:szCs w:val="20"/>
                <w:lang w:bidi="ar"/>
              </w:rPr>
              <w:t>54</w:t>
            </w:r>
          </w:p>
        </w:tc>
        <w:tc>
          <w:tcPr>
            <w:tcW w:w="1834" w:type="dxa"/>
            <w:vMerge w:val="continue"/>
            <w:shd w:val="clear" w:color="auto" w:fill="auto"/>
            <w:vAlign w:val="center"/>
          </w:tcPr>
          <w:p w14:paraId="5DFEE135">
            <w:pPr>
              <w:rPr>
                <w:color w:val="000000"/>
                <w:sz w:val="20"/>
                <w:szCs w:val="20"/>
              </w:rPr>
            </w:pPr>
          </w:p>
        </w:tc>
        <w:tc>
          <w:tcPr>
            <w:tcW w:w="5361" w:type="dxa"/>
            <w:shd w:val="clear" w:color="auto" w:fill="auto"/>
            <w:vAlign w:val="center"/>
          </w:tcPr>
          <w:p w14:paraId="4C2A33C0">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2588" w:type="dxa"/>
            <w:shd w:val="clear" w:color="auto" w:fill="auto"/>
            <w:vAlign w:val="center"/>
          </w:tcPr>
          <w:p w14:paraId="5D7D3475">
            <w:pPr>
              <w:textAlignment w:val="center"/>
              <w:rPr>
                <w:color w:val="000000"/>
                <w:sz w:val="20"/>
                <w:szCs w:val="20"/>
              </w:rPr>
            </w:pPr>
            <w:r>
              <w:rPr>
                <w:rFonts w:hint="eastAsia"/>
                <w:b/>
                <w:bCs/>
                <w:color w:val="000000"/>
                <w:sz w:val="20"/>
                <w:szCs w:val="20"/>
                <w:lang w:bidi="ar"/>
              </w:rPr>
              <w:t>长期禁用</w:t>
            </w:r>
          </w:p>
        </w:tc>
      </w:tr>
      <w:tr w14:paraId="21D0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62" w:type="dxa"/>
            <w:shd w:val="clear" w:color="auto" w:fill="auto"/>
            <w:vAlign w:val="center"/>
          </w:tcPr>
          <w:p w14:paraId="314D9494">
            <w:pPr>
              <w:jc w:val="center"/>
              <w:textAlignment w:val="center"/>
              <w:rPr>
                <w:color w:val="000000"/>
                <w:sz w:val="20"/>
                <w:szCs w:val="20"/>
              </w:rPr>
            </w:pPr>
            <w:r>
              <w:rPr>
                <w:rFonts w:hint="eastAsia"/>
                <w:color w:val="000000"/>
                <w:sz w:val="20"/>
                <w:szCs w:val="20"/>
                <w:lang w:bidi="ar"/>
              </w:rPr>
              <w:t>55</w:t>
            </w:r>
          </w:p>
        </w:tc>
        <w:tc>
          <w:tcPr>
            <w:tcW w:w="1834" w:type="dxa"/>
            <w:shd w:val="clear" w:color="auto" w:fill="auto"/>
            <w:vAlign w:val="center"/>
          </w:tcPr>
          <w:p w14:paraId="2B8CE10B">
            <w:pPr>
              <w:textAlignment w:val="center"/>
              <w:rPr>
                <w:color w:val="000000"/>
                <w:sz w:val="20"/>
                <w:szCs w:val="20"/>
              </w:rPr>
            </w:pPr>
            <w:r>
              <w:rPr>
                <w:rFonts w:hint="eastAsia"/>
                <w:b/>
                <w:bCs/>
                <w:color w:val="000000"/>
                <w:sz w:val="20"/>
                <w:szCs w:val="20"/>
                <w:lang w:bidi="ar"/>
              </w:rPr>
              <w:t>经营状况异常</w:t>
            </w:r>
          </w:p>
        </w:tc>
        <w:tc>
          <w:tcPr>
            <w:tcW w:w="5361" w:type="dxa"/>
            <w:shd w:val="clear" w:color="auto" w:fill="auto"/>
            <w:vAlign w:val="center"/>
          </w:tcPr>
          <w:p w14:paraId="16B2F569">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2588" w:type="dxa"/>
            <w:shd w:val="clear" w:color="auto" w:fill="auto"/>
            <w:vAlign w:val="center"/>
          </w:tcPr>
          <w:p w14:paraId="0A39A097">
            <w:pPr>
              <w:textAlignment w:val="center"/>
              <w:rPr>
                <w:color w:val="000000"/>
                <w:sz w:val="20"/>
                <w:szCs w:val="20"/>
              </w:rPr>
            </w:pPr>
            <w:r>
              <w:rPr>
                <w:rFonts w:hint="eastAsia"/>
                <w:color w:val="000000"/>
                <w:sz w:val="20"/>
                <w:szCs w:val="20"/>
                <w:lang w:bidi="ar"/>
              </w:rPr>
              <w:t>给予“无固定期禁用”处理，直至其经营风险被解除</w:t>
            </w:r>
          </w:p>
        </w:tc>
      </w:tr>
      <w:tr w14:paraId="0EE4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62" w:type="dxa"/>
            <w:shd w:val="clear" w:color="auto" w:fill="auto"/>
            <w:vAlign w:val="center"/>
          </w:tcPr>
          <w:p w14:paraId="333C7999">
            <w:pPr>
              <w:jc w:val="center"/>
              <w:textAlignment w:val="center"/>
              <w:rPr>
                <w:color w:val="000000"/>
                <w:sz w:val="20"/>
                <w:szCs w:val="20"/>
              </w:rPr>
            </w:pPr>
            <w:r>
              <w:rPr>
                <w:rFonts w:hint="eastAsia"/>
                <w:color w:val="000000"/>
                <w:sz w:val="20"/>
                <w:szCs w:val="20"/>
                <w:lang w:bidi="ar"/>
              </w:rPr>
              <w:t>56</w:t>
            </w:r>
          </w:p>
        </w:tc>
        <w:tc>
          <w:tcPr>
            <w:tcW w:w="1834" w:type="dxa"/>
            <w:vMerge w:val="restart"/>
            <w:shd w:val="clear" w:color="auto" w:fill="auto"/>
            <w:vAlign w:val="center"/>
          </w:tcPr>
          <w:p w14:paraId="5BD04770">
            <w:pPr>
              <w:textAlignment w:val="center"/>
              <w:rPr>
                <w:color w:val="000000"/>
                <w:sz w:val="20"/>
                <w:szCs w:val="20"/>
              </w:rPr>
            </w:pPr>
            <w:r>
              <w:rPr>
                <w:rFonts w:hint="eastAsia"/>
                <w:color w:val="000000"/>
                <w:sz w:val="20"/>
                <w:szCs w:val="20"/>
                <w:lang w:bidi="ar"/>
              </w:rPr>
              <w:t>其它违反国家、集团公司及海油发展规章制度的行为</w:t>
            </w:r>
          </w:p>
        </w:tc>
        <w:tc>
          <w:tcPr>
            <w:tcW w:w="5361" w:type="dxa"/>
            <w:shd w:val="clear" w:color="auto" w:fill="auto"/>
            <w:vAlign w:val="center"/>
          </w:tcPr>
          <w:p w14:paraId="58ACF8A9">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2588" w:type="dxa"/>
            <w:shd w:val="clear" w:color="auto" w:fill="auto"/>
            <w:vAlign w:val="center"/>
          </w:tcPr>
          <w:p w14:paraId="2D3A278B">
            <w:pPr>
              <w:textAlignment w:val="center"/>
              <w:rPr>
                <w:color w:val="000000"/>
                <w:sz w:val="20"/>
                <w:szCs w:val="20"/>
              </w:rPr>
            </w:pPr>
            <w:r>
              <w:rPr>
                <w:rFonts w:hint="eastAsia"/>
                <w:b/>
                <w:bCs/>
                <w:color w:val="000000"/>
                <w:sz w:val="20"/>
                <w:szCs w:val="20"/>
                <w:lang w:bidi="ar"/>
              </w:rPr>
              <w:t>长期禁用</w:t>
            </w:r>
          </w:p>
        </w:tc>
      </w:tr>
      <w:tr w14:paraId="4C73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62" w:type="dxa"/>
            <w:shd w:val="clear" w:color="auto" w:fill="auto"/>
            <w:vAlign w:val="center"/>
          </w:tcPr>
          <w:p w14:paraId="41465882">
            <w:pPr>
              <w:jc w:val="center"/>
              <w:textAlignment w:val="center"/>
              <w:rPr>
                <w:color w:val="000000"/>
                <w:sz w:val="20"/>
                <w:szCs w:val="20"/>
              </w:rPr>
            </w:pPr>
            <w:r>
              <w:rPr>
                <w:rFonts w:hint="eastAsia"/>
                <w:color w:val="000000"/>
                <w:sz w:val="20"/>
                <w:szCs w:val="20"/>
                <w:lang w:bidi="ar"/>
              </w:rPr>
              <w:t>57</w:t>
            </w:r>
          </w:p>
        </w:tc>
        <w:tc>
          <w:tcPr>
            <w:tcW w:w="1834" w:type="dxa"/>
            <w:vMerge w:val="continue"/>
            <w:shd w:val="clear" w:color="auto" w:fill="auto"/>
            <w:vAlign w:val="center"/>
          </w:tcPr>
          <w:p w14:paraId="77466D00">
            <w:pPr>
              <w:rPr>
                <w:color w:val="000000"/>
                <w:sz w:val="20"/>
                <w:szCs w:val="20"/>
              </w:rPr>
            </w:pPr>
          </w:p>
        </w:tc>
        <w:tc>
          <w:tcPr>
            <w:tcW w:w="5361" w:type="dxa"/>
            <w:shd w:val="clear" w:color="auto" w:fill="auto"/>
            <w:vAlign w:val="center"/>
          </w:tcPr>
          <w:p w14:paraId="3DB9F19E">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2588" w:type="dxa"/>
            <w:shd w:val="clear" w:color="auto" w:fill="auto"/>
            <w:vAlign w:val="center"/>
          </w:tcPr>
          <w:p w14:paraId="3997DD78">
            <w:pPr>
              <w:textAlignment w:val="center"/>
              <w:rPr>
                <w:color w:val="000000"/>
                <w:sz w:val="20"/>
                <w:szCs w:val="20"/>
              </w:rPr>
            </w:pPr>
            <w:r>
              <w:rPr>
                <w:rFonts w:hint="eastAsia"/>
                <w:b/>
                <w:bCs/>
                <w:color w:val="000000"/>
                <w:sz w:val="20"/>
                <w:szCs w:val="20"/>
                <w:lang w:bidi="ar"/>
              </w:rPr>
              <w:t>长期禁用</w:t>
            </w:r>
          </w:p>
        </w:tc>
      </w:tr>
      <w:tr w14:paraId="76FE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62" w:type="dxa"/>
            <w:shd w:val="clear" w:color="auto" w:fill="auto"/>
            <w:vAlign w:val="center"/>
          </w:tcPr>
          <w:p w14:paraId="038F47AF">
            <w:pPr>
              <w:jc w:val="center"/>
              <w:textAlignment w:val="center"/>
              <w:rPr>
                <w:color w:val="000000"/>
                <w:sz w:val="20"/>
                <w:szCs w:val="20"/>
              </w:rPr>
            </w:pPr>
            <w:r>
              <w:rPr>
                <w:rFonts w:hint="eastAsia"/>
                <w:color w:val="000000"/>
                <w:sz w:val="20"/>
                <w:szCs w:val="20"/>
                <w:lang w:bidi="ar"/>
              </w:rPr>
              <w:t>58</w:t>
            </w:r>
          </w:p>
        </w:tc>
        <w:tc>
          <w:tcPr>
            <w:tcW w:w="1834" w:type="dxa"/>
            <w:vMerge w:val="continue"/>
            <w:shd w:val="clear" w:color="auto" w:fill="auto"/>
            <w:vAlign w:val="center"/>
          </w:tcPr>
          <w:p w14:paraId="338FD714">
            <w:pPr>
              <w:rPr>
                <w:color w:val="000000"/>
                <w:sz w:val="20"/>
                <w:szCs w:val="20"/>
              </w:rPr>
            </w:pPr>
          </w:p>
        </w:tc>
        <w:tc>
          <w:tcPr>
            <w:tcW w:w="5361" w:type="dxa"/>
            <w:shd w:val="clear" w:color="auto" w:fill="auto"/>
            <w:vAlign w:val="center"/>
          </w:tcPr>
          <w:p w14:paraId="4A0C3B43">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2588" w:type="dxa"/>
            <w:shd w:val="clear" w:color="auto" w:fill="auto"/>
            <w:vAlign w:val="center"/>
          </w:tcPr>
          <w:p w14:paraId="7CB8B6EB">
            <w:pPr>
              <w:textAlignment w:val="center"/>
              <w:rPr>
                <w:color w:val="000000"/>
                <w:sz w:val="20"/>
                <w:szCs w:val="20"/>
              </w:rPr>
            </w:pPr>
            <w:r>
              <w:rPr>
                <w:rFonts w:hint="eastAsia"/>
                <w:b/>
                <w:bCs/>
                <w:color w:val="000000"/>
                <w:sz w:val="20"/>
                <w:szCs w:val="20"/>
                <w:lang w:bidi="ar"/>
              </w:rPr>
              <w:t>长期禁用</w:t>
            </w:r>
          </w:p>
        </w:tc>
      </w:tr>
      <w:tr w14:paraId="0466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62" w:type="dxa"/>
            <w:shd w:val="clear" w:color="auto" w:fill="auto"/>
            <w:vAlign w:val="center"/>
          </w:tcPr>
          <w:p w14:paraId="7011FFB7">
            <w:pPr>
              <w:jc w:val="center"/>
              <w:textAlignment w:val="center"/>
              <w:rPr>
                <w:color w:val="000000"/>
                <w:sz w:val="20"/>
                <w:szCs w:val="20"/>
              </w:rPr>
            </w:pPr>
            <w:r>
              <w:rPr>
                <w:rFonts w:hint="eastAsia"/>
                <w:color w:val="000000"/>
                <w:sz w:val="20"/>
                <w:szCs w:val="20"/>
                <w:lang w:bidi="ar"/>
              </w:rPr>
              <w:t>59</w:t>
            </w:r>
          </w:p>
        </w:tc>
        <w:tc>
          <w:tcPr>
            <w:tcW w:w="1834" w:type="dxa"/>
            <w:vMerge w:val="continue"/>
            <w:shd w:val="clear" w:color="auto" w:fill="auto"/>
            <w:vAlign w:val="center"/>
          </w:tcPr>
          <w:p w14:paraId="62665AA9">
            <w:pPr>
              <w:rPr>
                <w:color w:val="000000"/>
                <w:sz w:val="20"/>
                <w:szCs w:val="20"/>
              </w:rPr>
            </w:pPr>
          </w:p>
        </w:tc>
        <w:tc>
          <w:tcPr>
            <w:tcW w:w="5361" w:type="dxa"/>
            <w:shd w:val="clear" w:color="auto" w:fill="auto"/>
            <w:vAlign w:val="center"/>
          </w:tcPr>
          <w:p w14:paraId="4D3DD0FC">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2588" w:type="dxa"/>
            <w:shd w:val="clear" w:color="auto" w:fill="auto"/>
            <w:vAlign w:val="center"/>
          </w:tcPr>
          <w:p w14:paraId="638FE425">
            <w:pPr>
              <w:textAlignment w:val="center"/>
              <w:rPr>
                <w:color w:val="000000"/>
                <w:sz w:val="20"/>
                <w:szCs w:val="20"/>
              </w:rPr>
            </w:pPr>
            <w:r>
              <w:rPr>
                <w:rFonts w:hint="eastAsia"/>
                <w:color w:val="000000"/>
                <w:sz w:val="20"/>
                <w:szCs w:val="20"/>
                <w:lang w:bidi="ar"/>
              </w:rPr>
              <w:t>根据情况或问题程度，对供应商进行“约谈”或“警告”处理</w:t>
            </w:r>
          </w:p>
        </w:tc>
      </w:tr>
      <w:tr w14:paraId="6334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662" w:type="dxa"/>
            <w:shd w:val="clear" w:color="auto" w:fill="auto"/>
            <w:vAlign w:val="center"/>
          </w:tcPr>
          <w:p w14:paraId="4155F11D">
            <w:pPr>
              <w:jc w:val="center"/>
              <w:textAlignment w:val="center"/>
              <w:rPr>
                <w:color w:val="000000"/>
                <w:sz w:val="20"/>
                <w:szCs w:val="20"/>
              </w:rPr>
            </w:pPr>
            <w:r>
              <w:rPr>
                <w:rFonts w:hint="eastAsia"/>
                <w:color w:val="000000"/>
                <w:sz w:val="20"/>
                <w:szCs w:val="20"/>
                <w:lang w:bidi="ar"/>
              </w:rPr>
              <w:t>60</w:t>
            </w:r>
          </w:p>
        </w:tc>
        <w:tc>
          <w:tcPr>
            <w:tcW w:w="1834" w:type="dxa"/>
            <w:vMerge w:val="continue"/>
            <w:shd w:val="clear" w:color="auto" w:fill="auto"/>
            <w:vAlign w:val="center"/>
          </w:tcPr>
          <w:p w14:paraId="4C9E1E0E">
            <w:pPr>
              <w:rPr>
                <w:color w:val="000000"/>
                <w:sz w:val="20"/>
                <w:szCs w:val="20"/>
              </w:rPr>
            </w:pPr>
          </w:p>
        </w:tc>
        <w:tc>
          <w:tcPr>
            <w:tcW w:w="5361" w:type="dxa"/>
            <w:shd w:val="clear" w:color="auto" w:fill="auto"/>
            <w:vAlign w:val="center"/>
          </w:tcPr>
          <w:p w14:paraId="76B4777B">
            <w:pPr>
              <w:textAlignment w:val="center"/>
              <w:rPr>
                <w:color w:val="000000"/>
                <w:sz w:val="20"/>
                <w:szCs w:val="20"/>
              </w:rPr>
            </w:pPr>
            <w:r>
              <w:rPr>
                <w:rFonts w:hint="eastAsia"/>
                <w:color w:val="000000"/>
                <w:sz w:val="20"/>
                <w:szCs w:val="20"/>
                <w:lang w:bidi="ar"/>
              </w:rPr>
              <w:t>对存在其它不当行为已经给中国海油带来风险的</w:t>
            </w:r>
          </w:p>
        </w:tc>
        <w:tc>
          <w:tcPr>
            <w:tcW w:w="2588" w:type="dxa"/>
            <w:shd w:val="clear" w:color="auto" w:fill="auto"/>
            <w:vAlign w:val="center"/>
          </w:tcPr>
          <w:p w14:paraId="429E56DE">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14:paraId="17C9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662" w:type="dxa"/>
            <w:shd w:val="clear" w:color="auto" w:fill="auto"/>
            <w:vAlign w:val="center"/>
          </w:tcPr>
          <w:p w14:paraId="3BF9EDF9">
            <w:pPr>
              <w:jc w:val="center"/>
              <w:textAlignment w:val="center"/>
              <w:rPr>
                <w:color w:val="000000"/>
                <w:sz w:val="20"/>
                <w:szCs w:val="20"/>
              </w:rPr>
            </w:pPr>
            <w:r>
              <w:rPr>
                <w:rFonts w:hint="eastAsia"/>
                <w:color w:val="000000"/>
                <w:sz w:val="20"/>
                <w:szCs w:val="20"/>
                <w:lang w:bidi="ar"/>
              </w:rPr>
              <w:t>61</w:t>
            </w:r>
          </w:p>
        </w:tc>
        <w:tc>
          <w:tcPr>
            <w:tcW w:w="1834" w:type="dxa"/>
            <w:vMerge w:val="continue"/>
            <w:shd w:val="clear" w:color="auto" w:fill="auto"/>
            <w:vAlign w:val="center"/>
          </w:tcPr>
          <w:p w14:paraId="7753395E">
            <w:pPr>
              <w:rPr>
                <w:color w:val="000000"/>
                <w:sz w:val="20"/>
                <w:szCs w:val="20"/>
              </w:rPr>
            </w:pPr>
          </w:p>
        </w:tc>
        <w:tc>
          <w:tcPr>
            <w:tcW w:w="5361" w:type="dxa"/>
            <w:shd w:val="clear" w:color="auto" w:fill="auto"/>
            <w:vAlign w:val="center"/>
          </w:tcPr>
          <w:p w14:paraId="2182703C">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2588" w:type="dxa"/>
            <w:shd w:val="clear" w:color="auto" w:fill="auto"/>
            <w:vAlign w:val="center"/>
          </w:tcPr>
          <w:p w14:paraId="1A2A1106">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14:paraId="5B17B685">
      <w:pPr>
        <w:rPr>
          <w:rFonts w:asciiTheme="minorEastAsia" w:hAnsiTheme="minorEastAsia"/>
          <w:sz w:val="24"/>
          <w:szCs w:val="24"/>
        </w:rPr>
      </w:pPr>
    </w:p>
    <w:p w14:paraId="33B8613C">
      <w:pPr>
        <w:pStyle w:val="6"/>
        <w:rPr>
          <w:rFonts w:asciiTheme="minorEastAsia" w:hAnsiTheme="minorEastAsia"/>
          <w:sz w:val="24"/>
          <w:szCs w:val="24"/>
        </w:rPr>
      </w:pPr>
    </w:p>
    <w:p w14:paraId="0B76D5B8">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14:paraId="5BE03874">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14:paraId="7E2CA6E3">
      <w:pPr>
        <w:pStyle w:val="6"/>
        <w:rPr>
          <w:rFonts w:asciiTheme="minorEastAsia" w:hAnsiTheme="minorEastAsia"/>
          <w:sz w:val="24"/>
          <w:szCs w:val="24"/>
        </w:rPr>
      </w:pPr>
    </w:p>
    <w:tbl>
      <w:tblPr>
        <w:tblStyle w:val="14"/>
        <w:tblW w:w="10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4846"/>
        <w:gridCol w:w="4937"/>
      </w:tblGrid>
      <w:tr w14:paraId="485E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88" w:type="dxa"/>
            <w:shd w:val="clear" w:color="auto" w:fill="auto"/>
            <w:vAlign w:val="center"/>
          </w:tcPr>
          <w:p w14:paraId="21806502">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846" w:type="dxa"/>
            <w:shd w:val="clear" w:color="auto" w:fill="auto"/>
            <w:vAlign w:val="center"/>
          </w:tcPr>
          <w:p w14:paraId="1A9D2BFB">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937" w:type="dxa"/>
            <w:shd w:val="clear" w:color="auto" w:fill="auto"/>
            <w:vAlign w:val="center"/>
          </w:tcPr>
          <w:p w14:paraId="19D1E6D3">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14:paraId="3055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8" w:type="dxa"/>
            <w:shd w:val="clear" w:color="auto" w:fill="auto"/>
            <w:vAlign w:val="center"/>
          </w:tcPr>
          <w:p w14:paraId="6F562717">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846" w:type="dxa"/>
            <w:shd w:val="clear" w:color="auto" w:fill="auto"/>
            <w:vAlign w:val="center"/>
          </w:tcPr>
          <w:p w14:paraId="7C77F177">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937" w:type="dxa"/>
            <w:shd w:val="clear" w:color="auto" w:fill="auto"/>
            <w:vAlign w:val="center"/>
          </w:tcPr>
          <w:p w14:paraId="4E6E97DB">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14:paraId="2D9A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688" w:type="dxa"/>
            <w:shd w:val="clear" w:color="auto" w:fill="auto"/>
            <w:vAlign w:val="center"/>
          </w:tcPr>
          <w:p w14:paraId="394F239F">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846" w:type="dxa"/>
            <w:shd w:val="clear" w:color="auto" w:fill="auto"/>
            <w:vAlign w:val="center"/>
          </w:tcPr>
          <w:p w14:paraId="57B693F6">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937" w:type="dxa"/>
            <w:shd w:val="clear" w:color="auto" w:fill="auto"/>
            <w:vAlign w:val="center"/>
          </w:tcPr>
          <w:p w14:paraId="56444442">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14:paraId="1E8270E5">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14:paraId="41D2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88" w:type="dxa"/>
            <w:shd w:val="clear" w:color="auto" w:fill="auto"/>
            <w:vAlign w:val="center"/>
          </w:tcPr>
          <w:p w14:paraId="63162964">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846" w:type="dxa"/>
            <w:shd w:val="clear" w:color="auto" w:fill="auto"/>
            <w:vAlign w:val="center"/>
          </w:tcPr>
          <w:p w14:paraId="3DA49EEE">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937" w:type="dxa"/>
            <w:shd w:val="clear" w:color="auto" w:fill="auto"/>
            <w:vAlign w:val="center"/>
          </w:tcPr>
          <w:p w14:paraId="4BB0DD11">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14:paraId="52AE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8" w:type="dxa"/>
            <w:shd w:val="clear" w:color="auto" w:fill="auto"/>
            <w:vAlign w:val="center"/>
          </w:tcPr>
          <w:p w14:paraId="55A69F94">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846" w:type="dxa"/>
            <w:shd w:val="clear" w:color="auto" w:fill="auto"/>
            <w:vAlign w:val="center"/>
          </w:tcPr>
          <w:p w14:paraId="66860A5A">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w:t>
            </w:r>
            <w:r>
              <w:rPr>
                <w:rFonts w:hint="eastAsia" w:ascii="宋体" w:hAnsi="宋体" w:eastAsia="宋体" w:cs="宋体"/>
                <w:color w:val="000000" w:themeColor="text1"/>
                <w:kern w:val="0"/>
                <w:sz w:val="20"/>
                <w:szCs w:val="20"/>
                <w:lang w:eastAsia="zh-CN"/>
                <w14:textFill>
                  <w14:solidFill>
                    <w14:schemeClr w14:val="tx1"/>
                  </w14:solidFill>
                </w14:textFill>
              </w:rPr>
              <w:t>其它</w:t>
            </w:r>
            <w:r>
              <w:rPr>
                <w:rFonts w:hint="eastAsia" w:ascii="宋体" w:hAnsi="宋体" w:eastAsia="宋体" w:cs="宋体"/>
                <w:color w:val="000000" w:themeColor="text1"/>
                <w:kern w:val="0"/>
                <w:sz w:val="20"/>
                <w:szCs w:val="20"/>
                <w14:textFill>
                  <w14:solidFill>
                    <w14:schemeClr w14:val="tx1"/>
                  </w14:solidFill>
                </w14:textFill>
              </w:rPr>
              <w:t>供应商投标或中标的，证据确凿。</w:t>
            </w:r>
          </w:p>
        </w:tc>
        <w:tc>
          <w:tcPr>
            <w:tcW w:w="4937" w:type="dxa"/>
            <w:shd w:val="clear" w:color="auto" w:fill="auto"/>
            <w:vAlign w:val="center"/>
          </w:tcPr>
          <w:p w14:paraId="7D6B35B2">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14:paraId="7EA0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8" w:type="dxa"/>
            <w:shd w:val="clear" w:color="auto" w:fill="auto"/>
            <w:vAlign w:val="center"/>
          </w:tcPr>
          <w:p w14:paraId="146FD39C">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846" w:type="dxa"/>
            <w:shd w:val="clear" w:color="auto" w:fill="auto"/>
            <w:vAlign w:val="center"/>
          </w:tcPr>
          <w:p w14:paraId="154F118E">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937" w:type="dxa"/>
            <w:shd w:val="clear" w:color="auto" w:fill="auto"/>
            <w:vAlign w:val="center"/>
          </w:tcPr>
          <w:p w14:paraId="53A03A18">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14:paraId="6A8E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88" w:type="dxa"/>
            <w:shd w:val="clear" w:color="auto" w:fill="auto"/>
            <w:vAlign w:val="center"/>
          </w:tcPr>
          <w:p w14:paraId="1B9EF806">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846" w:type="dxa"/>
            <w:shd w:val="clear" w:color="auto" w:fill="auto"/>
            <w:vAlign w:val="center"/>
          </w:tcPr>
          <w:p w14:paraId="073636AC">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937" w:type="dxa"/>
            <w:shd w:val="clear" w:color="auto" w:fill="auto"/>
            <w:vAlign w:val="center"/>
          </w:tcPr>
          <w:p w14:paraId="12E44B79">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14:paraId="26A2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8" w:type="dxa"/>
            <w:shd w:val="clear" w:color="auto" w:fill="auto"/>
            <w:vAlign w:val="center"/>
          </w:tcPr>
          <w:p w14:paraId="37DBF957">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846" w:type="dxa"/>
            <w:shd w:val="clear" w:color="auto" w:fill="auto"/>
            <w:vAlign w:val="center"/>
          </w:tcPr>
          <w:p w14:paraId="48DAF99E">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937" w:type="dxa"/>
            <w:shd w:val="clear" w:color="auto" w:fill="auto"/>
            <w:vAlign w:val="center"/>
          </w:tcPr>
          <w:p w14:paraId="1683EDE9">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14:paraId="7606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88" w:type="dxa"/>
            <w:shd w:val="clear" w:color="auto" w:fill="auto"/>
            <w:vAlign w:val="center"/>
          </w:tcPr>
          <w:p w14:paraId="48D016D8">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846" w:type="dxa"/>
            <w:shd w:val="clear" w:color="auto" w:fill="auto"/>
            <w:vAlign w:val="center"/>
          </w:tcPr>
          <w:p w14:paraId="61C68CB8">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937" w:type="dxa"/>
            <w:shd w:val="clear" w:color="auto" w:fill="auto"/>
            <w:vAlign w:val="center"/>
          </w:tcPr>
          <w:p w14:paraId="1BAC1EA3">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14:paraId="3DA9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8" w:type="dxa"/>
            <w:shd w:val="clear" w:color="auto" w:fill="auto"/>
            <w:vAlign w:val="center"/>
          </w:tcPr>
          <w:p w14:paraId="247CD221">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846" w:type="dxa"/>
            <w:shd w:val="clear" w:color="auto" w:fill="auto"/>
            <w:vAlign w:val="center"/>
          </w:tcPr>
          <w:p w14:paraId="014DD7CC">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937" w:type="dxa"/>
            <w:shd w:val="clear" w:color="auto" w:fill="auto"/>
            <w:vAlign w:val="center"/>
          </w:tcPr>
          <w:p w14:paraId="7214EC38">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14:paraId="1375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88" w:type="dxa"/>
            <w:shd w:val="clear" w:color="auto" w:fill="auto"/>
            <w:vAlign w:val="center"/>
          </w:tcPr>
          <w:p w14:paraId="51825E14">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846" w:type="dxa"/>
            <w:shd w:val="clear" w:color="auto" w:fill="auto"/>
            <w:vAlign w:val="center"/>
          </w:tcPr>
          <w:p w14:paraId="4688CB4B">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937" w:type="dxa"/>
            <w:shd w:val="clear" w:color="auto" w:fill="auto"/>
            <w:vAlign w:val="center"/>
          </w:tcPr>
          <w:p w14:paraId="4E59C650">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14:paraId="5221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8" w:type="dxa"/>
            <w:shd w:val="clear" w:color="auto" w:fill="auto"/>
            <w:vAlign w:val="center"/>
          </w:tcPr>
          <w:p w14:paraId="67DA3D8E">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846" w:type="dxa"/>
            <w:shd w:val="clear" w:color="auto" w:fill="auto"/>
            <w:vAlign w:val="center"/>
          </w:tcPr>
          <w:p w14:paraId="62321999">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w:t>
            </w:r>
            <w:r>
              <w:rPr>
                <w:rFonts w:hint="eastAsia" w:ascii="宋体" w:hAnsi="宋体" w:eastAsia="宋体" w:cs="宋体"/>
                <w:color w:val="000000" w:themeColor="text1"/>
                <w:kern w:val="0"/>
                <w:sz w:val="20"/>
                <w:szCs w:val="20"/>
                <w:lang w:eastAsia="zh-CN"/>
                <w14:textFill>
                  <w14:solidFill>
                    <w14:schemeClr w14:val="tx1"/>
                  </w14:solidFill>
                </w14:textFill>
              </w:rPr>
              <w:t>其它</w:t>
            </w:r>
            <w:r>
              <w:rPr>
                <w:rFonts w:hint="eastAsia" w:ascii="宋体" w:hAnsi="宋体" w:eastAsia="宋体" w:cs="宋体"/>
                <w:color w:val="000000" w:themeColor="text1"/>
                <w:kern w:val="0"/>
                <w:sz w:val="20"/>
                <w:szCs w:val="20"/>
                <w14:textFill>
                  <w14:solidFill>
                    <w14:schemeClr w14:val="tx1"/>
                  </w14:solidFill>
                </w14:textFill>
              </w:rPr>
              <w:t>厂家品牌，提供伪劣商品、以假乱真弄虚作假。</w:t>
            </w:r>
          </w:p>
        </w:tc>
        <w:tc>
          <w:tcPr>
            <w:tcW w:w="4937" w:type="dxa"/>
            <w:shd w:val="clear" w:color="auto" w:fill="auto"/>
            <w:vAlign w:val="center"/>
          </w:tcPr>
          <w:p w14:paraId="18427ED2">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14:paraId="460F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688" w:type="dxa"/>
            <w:shd w:val="clear" w:color="auto" w:fill="auto"/>
            <w:vAlign w:val="center"/>
          </w:tcPr>
          <w:p w14:paraId="4E6ED181">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846" w:type="dxa"/>
            <w:shd w:val="clear" w:color="auto" w:fill="auto"/>
            <w:vAlign w:val="center"/>
          </w:tcPr>
          <w:p w14:paraId="08B3ACD0">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937" w:type="dxa"/>
            <w:shd w:val="clear" w:color="auto" w:fill="auto"/>
            <w:vAlign w:val="center"/>
          </w:tcPr>
          <w:p w14:paraId="14EDBE8C">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14:paraId="5FBB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8" w:type="dxa"/>
            <w:shd w:val="clear" w:color="auto" w:fill="auto"/>
            <w:vAlign w:val="center"/>
          </w:tcPr>
          <w:p w14:paraId="358E727A">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846" w:type="dxa"/>
            <w:shd w:val="clear" w:color="auto" w:fill="auto"/>
            <w:vAlign w:val="center"/>
          </w:tcPr>
          <w:p w14:paraId="0BC6E33C">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937" w:type="dxa"/>
            <w:shd w:val="clear" w:color="auto" w:fill="auto"/>
            <w:vAlign w:val="center"/>
          </w:tcPr>
          <w:p w14:paraId="71F0161C">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14:paraId="4132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88" w:type="dxa"/>
            <w:shd w:val="clear" w:color="auto" w:fill="auto"/>
            <w:vAlign w:val="center"/>
          </w:tcPr>
          <w:p w14:paraId="7076D458">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846" w:type="dxa"/>
            <w:shd w:val="clear" w:color="auto" w:fill="auto"/>
            <w:vAlign w:val="center"/>
          </w:tcPr>
          <w:p w14:paraId="75465774">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937" w:type="dxa"/>
            <w:shd w:val="clear" w:color="auto" w:fill="auto"/>
            <w:vAlign w:val="center"/>
          </w:tcPr>
          <w:p w14:paraId="48D953F8">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14:paraId="7346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688" w:type="dxa"/>
            <w:shd w:val="clear" w:color="auto" w:fill="auto"/>
            <w:vAlign w:val="center"/>
          </w:tcPr>
          <w:p w14:paraId="3ABD4765">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846" w:type="dxa"/>
            <w:shd w:val="clear" w:color="auto" w:fill="auto"/>
            <w:vAlign w:val="center"/>
          </w:tcPr>
          <w:p w14:paraId="4ADB52D1">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937" w:type="dxa"/>
            <w:shd w:val="clear" w:color="auto" w:fill="auto"/>
            <w:vAlign w:val="center"/>
          </w:tcPr>
          <w:p w14:paraId="3B2AB1D5">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14:paraId="5B92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8" w:type="dxa"/>
            <w:shd w:val="clear" w:color="auto" w:fill="auto"/>
            <w:vAlign w:val="center"/>
          </w:tcPr>
          <w:p w14:paraId="5D952C39">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846" w:type="dxa"/>
            <w:shd w:val="clear" w:color="auto" w:fill="auto"/>
            <w:vAlign w:val="center"/>
          </w:tcPr>
          <w:p w14:paraId="6854F458">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937" w:type="dxa"/>
            <w:shd w:val="clear" w:color="auto" w:fill="auto"/>
            <w:vAlign w:val="center"/>
          </w:tcPr>
          <w:p w14:paraId="09D05D8C">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14:paraId="199E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688" w:type="dxa"/>
            <w:shd w:val="clear" w:color="auto" w:fill="auto"/>
            <w:vAlign w:val="center"/>
          </w:tcPr>
          <w:p w14:paraId="1B2D55FC">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846" w:type="dxa"/>
            <w:shd w:val="clear" w:color="auto" w:fill="auto"/>
            <w:vAlign w:val="center"/>
          </w:tcPr>
          <w:p w14:paraId="1DCE7DE1">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w:t>
            </w:r>
            <w:r>
              <w:rPr>
                <w:rFonts w:hint="eastAsia" w:ascii="宋体" w:hAnsi="宋体" w:eastAsia="宋体" w:cs="宋体"/>
                <w:color w:val="000000" w:themeColor="text1"/>
                <w:kern w:val="0"/>
                <w:sz w:val="20"/>
                <w:szCs w:val="20"/>
                <w:lang w:eastAsia="zh-CN"/>
                <w14:textFill>
                  <w14:solidFill>
                    <w14:schemeClr w14:val="tx1"/>
                  </w14:solidFill>
                </w14:textFill>
              </w:rPr>
              <w:t>其它</w:t>
            </w:r>
            <w:r>
              <w:rPr>
                <w:rFonts w:hint="eastAsia" w:ascii="宋体" w:hAnsi="宋体" w:eastAsia="宋体" w:cs="宋体"/>
                <w:color w:val="000000" w:themeColor="text1"/>
                <w:kern w:val="0"/>
                <w:sz w:val="20"/>
                <w:szCs w:val="20"/>
                <w14:textFill>
                  <w14:solidFill>
                    <w14:schemeClr w14:val="tx1"/>
                  </w14:solidFill>
                </w14:textFill>
              </w:rPr>
              <w:t>供应商的产品、服务，或将已获取的合同对其分包。</w:t>
            </w:r>
          </w:p>
        </w:tc>
        <w:tc>
          <w:tcPr>
            <w:tcW w:w="4937" w:type="dxa"/>
            <w:shd w:val="clear" w:color="auto" w:fill="auto"/>
            <w:vAlign w:val="center"/>
          </w:tcPr>
          <w:p w14:paraId="089A63F3">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14:paraId="06CA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8" w:type="dxa"/>
            <w:shd w:val="clear" w:color="auto" w:fill="auto"/>
            <w:vAlign w:val="center"/>
          </w:tcPr>
          <w:p w14:paraId="6CE9017D">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846" w:type="dxa"/>
            <w:shd w:val="clear" w:color="auto" w:fill="auto"/>
            <w:vAlign w:val="center"/>
          </w:tcPr>
          <w:p w14:paraId="542F1D5E">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w:t>
            </w:r>
            <w:r>
              <w:rPr>
                <w:rFonts w:hint="eastAsia" w:ascii="宋体" w:hAnsi="宋体" w:eastAsia="宋体" w:cs="宋体"/>
                <w:color w:val="000000" w:themeColor="text1"/>
                <w:kern w:val="0"/>
                <w:sz w:val="20"/>
                <w:szCs w:val="20"/>
                <w:lang w:eastAsia="zh-CN"/>
                <w14:textFill>
                  <w14:solidFill>
                    <w14:schemeClr w14:val="tx1"/>
                  </w14:solidFill>
                </w14:textFill>
              </w:rPr>
              <w:t>其它</w:t>
            </w:r>
            <w:r>
              <w:rPr>
                <w:rFonts w:hint="eastAsia" w:ascii="宋体" w:hAnsi="宋体" w:eastAsia="宋体" w:cs="宋体"/>
                <w:color w:val="000000" w:themeColor="text1"/>
                <w:kern w:val="0"/>
                <w:sz w:val="20"/>
                <w:szCs w:val="20"/>
                <w14:textFill>
                  <w14:solidFill>
                    <w14:schemeClr w14:val="tx1"/>
                  </w14:solidFill>
                </w14:textFill>
              </w:rPr>
              <w:t>因供应商的原因导致中国海油受损，并拒绝协商解决和赔偿责任的情况。</w:t>
            </w:r>
          </w:p>
        </w:tc>
        <w:tc>
          <w:tcPr>
            <w:tcW w:w="4937" w:type="dxa"/>
            <w:shd w:val="clear" w:color="auto" w:fill="auto"/>
            <w:vAlign w:val="center"/>
          </w:tcPr>
          <w:p w14:paraId="4368FDF9">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14:paraId="2BF3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8" w:type="dxa"/>
            <w:shd w:val="clear" w:color="auto" w:fill="auto"/>
            <w:vAlign w:val="center"/>
          </w:tcPr>
          <w:p w14:paraId="32706D7E">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846" w:type="dxa"/>
            <w:shd w:val="clear" w:color="auto" w:fill="auto"/>
            <w:vAlign w:val="center"/>
          </w:tcPr>
          <w:p w14:paraId="736D71F7">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937" w:type="dxa"/>
            <w:shd w:val="clear" w:color="auto" w:fill="auto"/>
            <w:vAlign w:val="center"/>
          </w:tcPr>
          <w:p w14:paraId="17E32405">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14:paraId="7CF6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8" w:type="dxa"/>
            <w:shd w:val="clear" w:color="auto" w:fill="auto"/>
            <w:vAlign w:val="center"/>
          </w:tcPr>
          <w:p w14:paraId="2D922102">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846" w:type="dxa"/>
            <w:shd w:val="clear" w:color="auto" w:fill="auto"/>
            <w:vAlign w:val="center"/>
          </w:tcPr>
          <w:p w14:paraId="48611D7F">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937" w:type="dxa"/>
            <w:shd w:val="clear" w:color="auto" w:fill="auto"/>
            <w:vAlign w:val="center"/>
          </w:tcPr>
          <w:p w14:paraId="44417F30">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14:paraId="6429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8" w:type="dxa"/>
            <w:shd w:val="clear" w:color="auto" w:fill="auto"/>
            <w:vAlign w:val="center"/>
          </w:tcPr>
          <w:p w14:paraId="7F837B75">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846" w:type="dxa"/>
            <w:shd w:val="clear" w:color="auto" w:fill="auto"/>
            <w:vAlign w:val="center"/>
          </w:tcPr>
          <w:p w14:paraId="04E004B8">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937" w:type="dxa"/>
            <w:shd w:val="clear" w:color="auto" w:fill="auto"/>
            <w:vAlign w:val="center"/>
          </w:tcPr>
          <w:p w14:paraId="5976DCC1">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14:paraId="1EC3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8" w:type="dxa"/>
            <w:shd w:val="clear" w:color="auto" w:fill="auto"/>
            <w:vAlign w:val="center"/>
          </w:tcPr>
          <w:p w14:paraId="10A299DC">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846" w:type="dxa"/>
            <w:shd w:val="clear" w:color="auto" w:fill="auto"/>
            <w:vAlign w:val="center"/>
          </w:tcPr>
          <w:p w14:paraId="2CFADFE4">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937" w:type="dxa"/>
            <w:shd w:val="clear" w:color="auto" w:fill="auto"/>
            <w:vAlign w:val="center"/>
          </w:tcPr>
          <w:p w14:paraId="639E60F0">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14:paraId="2C6B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88" w:type="dxa"/>
            <w:shd w:val="clear" w:color="auto" w:fill="auto"/>
            <w:vAlign w:val="center"/>
          </w:tcPr>
          <w:p w14:paraId="728117D9">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846" w:type="dxa"/>
            <w:shd w:val="clear" w:color="auto" w:fill="auto"/>
            <w:vAlign w:val="center"/>
          </w:tcPr>
          <w:p w14:paraId="79645FF3">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937" w:type="dxa"/>
            <w:shd w:val="clear" w:color="auto" w:fill="auto"/>
            <w:vAlign w:val="center"/>
          </w:tcPr>
          <w:p w14:paraId="79BAE096">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14:paraId="6E12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88" w:type="dxa"/>
            <w:shd w:val="clear" w:color="auto" w:fill="auto"/>
            <w:vAlign w:val="center"/>
          </w:tcPr>
          <w:p w14:paraId="16693CE0">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846" w:type="dxa"/>
            <w:shd w:val="clear" w:color="auto" w:fill="auto"/>
            <w:vAlign w:val="center"/>
          </w:tcPr>
          <w:p w14:paraId="361CB33D">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937" w:type="dxa"/>
            <w:shd w:val="clear" w:color="auto" w:fill="auto"/>
            <w:vAlign w:val="center"/>
          </w:tcPr>
          <w:p w14:paraId="66041C3C">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14:paraId="0156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8" w:type="dxa"/>
            <w:shd w:val="clear" w:color="auto" w:fill="auto"/>
            <w:vAlign w:val="center"/>
          </w:tcPr>
          <w:p w14:paraId="09C42FB7">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846" w:type="dxa"/>
            <w:shd w:val="clear" w:color="auto" w:fill="auto"/>
            <w:vAlign w:val="center"/>
          </w:tcPr>
          <w:p w14:paraId="24429820">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937" w:type="dxa"/>
            <w:shd w:val="clear" w:color="auto" w:fill="auto"/>
            <w:vAlign w:val="center"/>
          </w:tcPr>
          <w:p w14:paraId="78DA8D5B">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14:paraId="4E4C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8" w:type="dxa"/>
            <w:shd w:val="clear" w:color="auto" w:fill="auto"/>
            <w:vAlign w:val="center"/>
          </w:tcPr>
          <w:p w14:paraId="5E60FF09">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846" w:type="dxa"/>
            <w:shd w:val="clear" w:color="auto" w:fill="auto"/>
            <w:vAlign w:val="center"/>
          </w:tcPr>
          <w:p w14:paraId="12241DA2">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w:t>
            </w:r>
            <w:r>
              <w:rPr>
                <w:rFonts w:hint="eastAsia" w:ascii="宋体" w:hAnsi="宋体" w:eastAsia="宋体" w:cs="宋体"/>
                <w:color w:val="000000" w:themeColor="text1"/>
                <w:kern w:val="0"/>
                <w:sz w:val="20"/>
                <w:szCs w:val="20"/>
                <w:lang w:eastAsia="zh-CN"/>
                <w14:textFill>
                  <w14:solidFill>
                    <w14:schemeClr w14:val="tx1"/>
                  </w14:solidFill>
                </w14:textFill>
              </w:rPr>
              <w:t>其它</w:t>
            </w:r>
            <w:r>
              <w:rPr>
                <w:rFonts w:hint="eastAsia" w:ascii="宋体" w:hAnsi="宋体" w:eastAsia="宋体" w:cs="宋体"/>
                <w:color w:val="000000" w:themeColor="text1"/>
                <w:kern w:val="0"/>
                <w:sz w:val="20"/>
                <w:szCs w:val="20"/>
                <w14:textFill>
                  <w14:solidFill>
                    <w14:schemeClr w14:val="tx1"/>
                  </w14:solidFill>
                </w14:textFill>
              </w:rPr>
              <w:t>不当行为可能给中国海油带来风险。</w:t>
            </w:r>
          </w:p>
        </w:tc>
        <w:tc>
          <w:tcPr>
            <w:tcW w:w="4937" w:type="dxa"/>
            <w:shd w:val="clear" w:color="auto" w:fill="auto"/>
            <w:vAlign w:val="center"/>
          </w:tcPr>
          <w:p w14:paraId="7C60AFBD">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14:paraId="4B76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88" w:type="dxa"/>
            <w:shd w:val="clear" w:color="auto" w:fill="auto"/>
            <w:vAlign w:val="center"/>
          </w:tcPr>
          <w:p w14:paraId="355FD071">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846" w:type="dxa"/>
            <w:shd w:val="clear" w:color="auto" w:fill="auto"/>
            <w:vAlign w:val="center"/>
          </w:tcPr>
          <w:p w14:paraId="04DFA9E8">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其它</w:t>
            </w:r>
            <w:r>
              <w:rPr>
                <w:rFonts w:hint="eastAsia" w:ascii="宋体" w:hAnsi="宋体" w:eastAsia="宋体" w:cs="宋体"/>
                <w:color w:val="000000" w:themeColor="text1"/>
                <w:kern w:val="0"/>
                <w:sz w:val="20"/>
                <w:szCs w:val="20"/>
                <w14:textFill>
                  <w14:solidFill>
                    <w14:schemeClr w14:val="tx1"/>
                  </w14:solidFill>
                </w14:textFill>
              </w:rPr>
              <w:t>违反国家法律法规及集团公司规章制度的行为，包括国家、审计、纪检监察、巡视等函件反映问题。</w:t>
            </w:r>
          </w:p>
        </w:tc>
        <w:tc>
          <w:tcPr>
            <w:tcW w:w="4937" w:type="dxa"/>
            <w:shd w:val="clear" w:color="auto" w:fill="auto"/>
            <w:vAlign w:val="center"/>
          </w:tcPr>
          <w:p w14:paraId="0705329D">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14:paraId="0FA0FC86">
      <w:pPr>
        <w:pStyle w:val="8"/>
        <w:ind w:left="0" w:leftChars="0" w:firstLine="0" w:firstLineChars="0"/>
        <w:rPr>
          <w:rFonts w:hint="eastAsia" w:ascii="宋体" w:hAnsi="宋体" w:cs="宋体"/>
          <w:sz w:val="20"/>
          <w:szCs w:val="20"/>
          <w:lang w:eastAsia="zh-CN"/>
        </w:rPr>
      </w:pPr>
    </w:p>
    <w:p w14:paraId="5D847E8D">
      <w:pPr>
        <w:pStyle w:val="6"/>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14:paraId="7125EAC5"/>
    <w:p w14:paraId="10F41A00">
      <w:pPr>
        <w:pStyle w:val="6"/>
      </w:pPr>
    </w:p>
    <w:p w14:paraId="074C66E8"/>
    <w:p w14:paraId="26D01F35">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14:paraId="4DF53E96">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14:paraId="7026E8DD">
      <w:pPr>
        <w:pStyle w:val="17"/>
        <w:rPr>
          <w:rFonts w:hint="eastAsia"/>
          <w:lang w:val="en-US" w:eastAsia="zh-CN"/>
        </w:rPr>
      </w:pPr>
    </w:p>
    <w:p w14:paraId="514E4F67">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14:paraId="6092876A">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14:paraId="1BA175EB">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14:paraId="2A1C4C5B">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14:paraId="1C612448">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14:paraId="1A2CEE2C">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14:paraId="0E9713F5">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14:paraId="7AF18C8B">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14:paraId="1F6E9625">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——详见附件</w:t>
      </w:r>
    </w:p>
    <w:p w14:paraId="069A8E66">
      <w:pPr>
        <w:adjustRightInd/>
        <w:jc w:val="both"/>
        <w:outlineLvl w:val="0"/>
        <w:rPr>
          <w:rFonts w:hint="eastAsia" w:ascii="宋体" w:hAnsi="宋体" w:eastAsiaTheme="minorEastAsia"/>
          <w:color w:val="000000"/>
          <w:sz w:val="21"/>
          <w:szCs w:val="22"/>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14:paraId="56A75CDC">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14:paraId="406BCA0F">
      <w:pPr>
        <w:pStyle w:val="17"/>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5.12：其它补充</w:t>
      </w:r>
    </w:p>
    <w:p w14:paraId="51A8F04B">
      <w:pPr>
        <w:rPr>
          <w:rFonts w:hint="eastAsia"/>
          <w:lang w:val="en-US" w:eastAsia="zh-CN"/>
        </w:rPr>
      </w:pPr>
    </w:p>
    <w:p w14:paraId="75B248D4">
      <w:pPr>
        <w:pStyle w:val="17"/>
        <w:rPr>
          <w:rFonts w:hint="eastAsia"/>
          <w:lang w:val="en-US" w:eastAsia="zh-CN"/>
        </w:rPr>
      </w:pPr>
    </w:p>
    <w:p w14:paraId="5463951E">
      <w:pPr>
        <w:rPr>
          <w:rFonts w:hint="eastAsia"/>
          <w:lang w:val="en-US" w:eastAsia="zh-CN"/>
        </w:rPr>
      </w:pPr>
    </w:p>
    <w:p w14:paraId="08BC2455">
      <w:pPr>
        <w:pStyle w:val="17"/>
        <w:rPr>
          <w:rFonts w:hint="eastAsia"/>
          <w:lang w:val="en-US" w:eastAsia="zh-CN"/>
        </w:rPr>
      </w:pPr>
    </w:p>
    <w:p w14:paraId="165838F9">
      <w:pPr>
        <w:rPr>
          <w:rFonts w:hint="eastAsia"/>
          <w:lang w:val="en-US" w:eastAsia="zh-CN"/>
        </w:rPr>
      </w:pPr>
    </w:p>
    <w:p w14:paraId="3A4F9461">
      <w:pPr>
        <w:pStyle w:val="17"/>
        <w:rPr>
          <w:rFonts w:hint="eastAsia"/>
          <w:lang w:val="en-US" w:eastAsia="zh-CN"/>
        </w:rPr>
      </w:pPr>
    </w:p>
    <w:p w14:paraId="4EF8EABC">
      <w:pPr>
        <w:rPr>
          <w:rFonts w:hint="eastAsia"/>
          <w:lang w:val="en-US" w:eastAsia="zh-CN"/>
        </w:rPr>
      </w:pPr>
    </w:p>
    <w:p w14:paraId="3B641D90">
      <w:pPr>
        <w:pStyle w:val="17"/>
        <w:rPr>
          <w:rFonts w:hint="eastAsia"/>
          <w:lang w:val="en-US" w:eastAsia="zh-CN"/>
        </w:rPr>
      </w:pPr>
    </w:p>
    <w:p w14:paraId="3EE5EA3E">
      <w:pPr>
        <w:rPr>
          <w:rFonts w:hint="eastAsia"/>
          <w:lang w:val="en-US" w:eastAsia="zh-CN"/>
        </w:rPr>
      </w:pPr>
    </w:p>
    <w:p w14:paraId="29E061B2">
      <w:pPr>
        <w:pStyle w:val="17"/>
        <w:rPr>
          <w:rFonts w:hint="eastAsia"/>
          <w:lang w:val="en-US" w:eastAsia="zh-CN"/>
        </w:rPr>
      </w:pPr>
    </w:p>
    <w:p w14:paraId="73A4194D">
      <w:pPr>
        <w:rPr>
          <w:rFonts w:hint="eastAsia"/>
          <w:lang w:val="en-US" w:eastAsia="zh-CN"/>
        </w:rPr>
      </w:pPr>
    </w:p>
    <w:p w14:paraId="3BCFB197">
      <w:pPr>
        <w:pStyle w:val="17"/>
        <w:rPr>
          <w:rFonts w:hint="eastAsia"/>
          <w:lang w:val="en-US" w:eastAsia="zh-CN"/>
        </w:rPr>
      </w:pPr>
    </w:p>
    <w:p w14:paraId="1E39D643">
      <w:pPr>
        <w:rPr>
          <w:rFonts w:hint="eastAsia"/>
          <w:lang w:val="en-US" w:eastAsia="zh-CN"/>
        </w:rPr>
      </w:pPr>
    </w:p>
    <w:p w14:paraId="227B0CF9">
      <w:pPr>
        <w:pStyle w:val="17"/>
        <w:rPr>
          <w:rFonts w:hint="eastAsia"/>
          <w:lang w:val="en-US" w:eastAsia="zh-CN"/>
        </w:rPr>
      </w:pPr>
    </w:p>
    <w:p w14:paraId="34CD0233">
      <w:pPr>
        <w:rPr>
          <w:rFonts w:hint="eastAsia"/>
          <w:lang w:val="en-US" w:eastAsia="zh-CN"/>
        </w:rPr>
      </w:pPr>
    </w:p>
    <w:p w14:paraId="6844DB3C">
      <w:pPr>
        <w:pStyle w:val="17"/>
        <w:rPr>
          <w:rFonts w:hint="eastAsia"/>
          <w:lang w:val="en-US" w:eastAsia="zh-CN"/>
        </w:rPr>
      </w:pPr>
    </w:p>
    <w:p w14:paraId="38FB7AC1">
      <w:pPr>
        <w:rPr>
          <w:rFonts w:hint="eastAsia"/>
          <w:lang w:val="en-US" w:eastAsia="zh-CN"/>
        </w:rPr>
      </w:pPr>
    </w:p>
    <w:p w14:paraId="104361E1">
      <w:pPr>
        <w:pStyle w:val="17"/>
        <w:rPr>
          <w:rFonts w:hint="eastAsia"/>
          <w:lang w:val="en-US" w:eastAsia="zh-CN"/>
        </w:rPr>
      </w:pPr>
    </w:p>
    <w:p w14:paraId="14ABD4F0">
      <w:pPr>
        <w:rPr>
          <w:rFonts w:hint="eastAsia"/>
          <w:lang w:val="en-US" w:eastAsia="zh-CN"/>
        </w:rPr>
      </w:pPr>
    </w:p>
    <w:p w14:paraId="7F2F2FF8">
      <w:pPr>
        <w:pStyle w:val="17"/>
        <w:rPr>
          <w:rFonts w:hint="eastAsia"/>
          <w:lang w:val="en-US" w:eastAsia="zh-CN"/>
        </w:rPr>
      </w:pPr>
    </w:p>
    <w:p w14:paraId="5ED99A9B">
      <w:pPr>
        <w:rPr>
          <w:rFonts w:hint="eastAsia"/>
          <w:lang w:val="en-US" w:eastAsia="zh-CN"/>
        </w:rPr>
      </w:pPr>
    </w:p>
    <w:p w14:paraId="7426166E">
      <w:pPr>
        <w:pStyle w:val="17"/>
        <w:rPr>
          <w:rFonts w:hint="eastAsia"/>
          <w:lang w:val="en-US" w:eastAsia="zh-CN"/>
        </w:rPr>
      </w:pPr>
    </w:p>
    <w:p w14:paraId="75BFFDBC">
      <w:pPr>
        <w:rPr>
          <w:rFonts w:hint="eastAsia"/>
          <w:lang w:val="en-US" w:eastAsia="zh-CN"/>
        </w:rPr>
      </w:pPr>
    </w:p>
    <w:p w14:paraId="1CD914E2">
      <w:pPr>
        <w:pStyle w:val="17"/>
        <w:rPr>
          <w:rFonts w:hint="eastAsia"/>
          <w:lang w:val="en-US" w:eastAsia="zh-CN"/>
        </w:rPr>
      </w:pPr>
    </w:p>
    <w:p w14:paraId="1F935396">
      <w:pPr>
        <w:rPr>
          <w:rFonts w:hint="eastAsia"/>
          <w:lang w:val="en-US" w:eastAsia="zh-CN"/>
        </w:rPr>
      </w:pPr>
    </w:p>
    <w:p w14:paraId="215BEA7B">
      <w:pPr>
        <w:pStyle w:val="17"/>
        <w:rPr>
          <w:rFonts w:hint="eastAsia"/>
          <w:lang w:val="en-US" w:eastAsia="zh-CN"/>
        </w:rPr>
      </w:pPr>
    </w:p>
    <w:p w14:paraId="7523AE43">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14:paraId="24FFC653">
      <w:pPr>
        <w:pStyle w:val="8"/>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14:paraId="3386633C">
      <w:pPr>
        <w:pStyle w:val="6"/>
        <w:rPr>
          <w:rFonts w:ascii="微软雅黑" w:hAnsi="微软雅黑" w:eastAsia="微软雅黑"/>
          <w:b/>
          <w:spacing w:val="2"/>
          <w:sz w:val="32"/>
          <w:szCs w:val="32"/>
        </w:rPr>
      </w:pPr>
    </w:p>
    <w:p w14:paraId="6BBFCC44">
      <w:pPr>
        <w:pStyle w:val="6"/>
        <w:rPr>
          <w:rFonts w:ascii="微软雅黑" w:hAnsi="微软雅黑" w:eastAsia="微软雅黑"/>
          <w:b/>
          <w:spacing w:val="2"/>
          <w:sz w:val="32"/>
          <w:szCs w:val="32"/>
        </w:rPr>
      </w:pPr>
    </w:p>
    <w:p w14:paraId="2360AE00">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14:paraId="56427E43">
      <w:pPr>
        <w:tabs>
          <w:tab w:val="left" w:pos="142"/>
        </w:tabs>
        <w:spacing w:line="200" w:lineRule="exact"/>
        <w:ind w:right="11"/>
        <w:jc w:val="center"/>
        <w:rPr>
          <w:rFonts w:ascii="微软雅黑" w:hAnsi="微软雅黑" w:eastAsia="微软雅黑"/>
          <w:sz w:val="20"/>
          <w:szCs w:val="20"/>
        </w:rPr>
      </w:pPr>
    </w:p>
    <w:p w14:paraId="3F5F104D">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14:paraId="559B2C89">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14:paraId="036C599B">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14:paraId="0A015742">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14:paraId="2D4D9736">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14:paraId="45932712">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14:paraId="336F3CEC">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14:paraId="094AF275">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14:paraId="7D9AD2AF">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14:paraId="1F4E02E6">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14:paraId="43950437">
      <w:pPr>
        <w:tabs>
          <w:tab w:val="left" w:pos="142"/>
        </w:tabs>
        <w:ind w:right="11"/>
        <w:rPr>
          <w:rFonts w:ascii="微软雅黑" w:hAnsi="微软雅黑" w:eastAsia="微软雅黑"/>
          <w:sz w:val="24"/>
          <w:szCs w:val="24"/>
        </w:rPr>
      </w:pPr>
    </w:p>
    <w:p w14:paraId="29F60210">
      <w:pPr>
        <w:tabs>
          <w:tab w:val="left" w:pos="142"/>
        </w:tabs>
        <w:ind w:right="11"/>
        <w:rPr>
          <w:rFonts w:ascii="微软雅黑" w:hAnsi="微软雅黑" w:eastAsia="微软雅黑"/>
          <w:sz w:val="24"/>
          <w:szCs w:val="24"/>
        </w:rPr>
      </w:pPr>
    </w:p>
    <w:p w14:paraId="43853AC7">
      <w:pPr>
        <w:tabs>
          <w:tab w:val="left" w:pos="142"/>
        </w:tabs>
        <w:ind w:right="11"/>
        <w:rPr>
          <w:rFonts w:ascii="微软雅黑" w:hAnsi="微软雅黑" w:eastAsia="微软雅黑"/>
          <w:sz w:val="24"/>
          <w:szCs w:val="24"/>
        </w:rPr>
      </w:pPr>
    </w:p>
    <w:p w14:paraId="30B70DEC">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14:paraId="57EFB3C9">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14:paraId="1D51B922">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14:paraId="7921392A">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14:paraId="6A5DAAB4">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14:paraId="1CCDB191">
      <w:pPr>
        <w:pStyle w:val="21"/>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14:paraId="3E77CF02">
      <w:pPr>
        <w:pStyle w:val="21"/>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14:paraId="42D94ACE">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14:paraId="6C7F1DE2">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14:paraId="08523A96">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14:paraId="0F87B45F">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14:paraId="0883B91A">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14:paraId="281AA00A">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14:paraId="2DF803E3">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14:paraId="4676671D">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14:paraId="7337AC67">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14:paraId="1D1546B8">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14:paraId="0B4A98A1">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14:paraId="02157B3F">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14:paraId="03D1E0AD">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14:paraId="655B51BE">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14:paraId="7431C9F2">
      <w:pPr>
        <w:rPr>
          <w:rFonts w:hint="eastAsia"/>
          <w:lang w:val="en-US" w:eastAsia="zh-CN"/>
        </w:rPr>
      </w:pPr>
    </w:p>
    <w:p w14:paraId="139508E3">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14:paraId="337784C7">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（应答人应在应答文件中提供其公司章程或其它能够体现出资人、股东信息的法定文件，此证明文件将作为评标/评审时的依据。）</w:t>
      </w:r>
    </w:p>
    <w:p w14:paraId="5EB0ABCD">
      <w:pPr>
        <w:rPr>
          <w:rFonts w:hint="eastAsia"/>
          <w:lang w:val="en-US" w:eastAsia="zh-CN"/>
        </w:rPr>
      </w:pPr>
    </w:p>
    <w:p w14:paraId="1715A50F">
      <w:pPr>
        <w:rPr>
          <w:rFonts w:hint="eastAsia"/>
          <w:lang w:val="en-US" w:eastAsia="zh-CN"/>
        </w:rPr>
      </w:pPr>
    </w:p>
    <w:p w14:paraId="6CEFDFD6">
      <w:pPr>
        <w:rPr>
          <w:lang w:val="en-US" w:eastAsia="zh-CN"/>
        </w:rPr>
      </w:pPr>
    </w:p>
    <w:p w14:paraId="4747864F">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5C2C908E">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1D97B9A6">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3EF2EFED">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10C45121">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5D7E156F">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A66E215">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2FBE52EF">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779B5CD9">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73501505">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062BAF3D">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1A2C98BD">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F3BA239">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2B069BDD">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7F9586E3">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69274235">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5E5755CB">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5463E2DD">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269208CA">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60EDB0D">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2DF8D54B">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618A245B">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60A88C4C">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1B32B583">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7AE26982">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3CB8E4FE">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FE181D8">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04AE8057">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2D650487">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3249B382">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094F1F82">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70EE59C8">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09396F23">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6C188567">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A3F61D1">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14:paraId="20249E41">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14:paraId="2A23EA59">
      <w:pPr>
        <w:rPr>
          <w:color w:val="000000" w:themeColor="text1"/>
          <w:highlight w:val="none"/>
          <w14:textFill>
            <w14:solidFill>
              <w14:schemeClr w14:val="tx1"/>
            </w14:solidFill>
          </w14:textFill>
        </w:rPr>
      </w:pPr>
    </w:p>
    <w:p w14:paraId="0857163F">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14:paraId="7DA08EB5">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14:paraId="2DAB34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14:paraId="4AEDF8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14:paraId="79CDF3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14:paraId="2298BB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我公司与本采购项目其它应答人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14:paraId="28C138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确认，我公司不存在中国海油员工（不含中国海油正式派出的）、海油发展离职未满三年的员工在我公司担任股东、法人代表、董事、监事和其它任职人员</w:t>
      </w:r>
      <w:r>
        <w:rPr>
          <w:rFonts w:hint="eastAsia" w:ascii="宋体" w:hAnsi="宋体" w:eastAsia="宋体" w:cs="宋体"/>
          <w:color w:val="000000" w:themeColor="text1"/>
          <w:sz w:val="21"/>
          <w:szCs w:val="21"/>
          <w:highlight w:val="none"/>
          <w14:textFill>
            <w14:solidFill>
              <w14:schemeClr w14:val="tx1"/>
            </w14:solidFill>
          </w14:textFill>
        </w:rPr>
        <w:t>。</w:t>
      </w:r>
    </w:p>
    <w:p w14:paraId="4202DC27">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14:paraId="25902A3C">
      <w:pPr>
        <w:pStyle w:val="8"/>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14:paraId="42F8A0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14:paraId="384866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14:paraId="4553E3FB">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14:paraId="7456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14:paraId="1AF7732B">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14:paraId="1029CAB7">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14:paraId="0EB4DE26">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14:paraId="4399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14:paraId="3FB2DB64">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14:paraId="720000C2">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14:paraId="513EA5A3">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14:paraId="259F4842">
            <w:pPr>
              <w:jc w:val="center"/>
              <w:rPr>
                <w:color w:val="000000" w:themeColor="text1"/>
                <w:sz w:val="21"/>
                <w:szCs w:val="21"/>
                <w:highlight w:val="none"/>
                <w:lang w:eastAsia="zh-CN"/>
                <w14:textFill>
                  <w14:solidFill>
                    <w14:schemeClr w14:val="tx1"/>
                  </w14:solidFill>
                </w14:textFill>
              </w:rPr>
            </w:pPr>
          </w:p>
        </w:tc>
      </w:tr>
      <w:tr w14:paraId="5818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14:paraId="2790B573">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14:paraId="0932475A">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14:paraId="0AA762FE">
            <w:pPr>
              <w:rPr>
                <w:color w:val="000000" w:themeColor="text1"/>
                <w:sz w:val="21"/>
                <w:szCs w:val="21"/>
                <w:highlight w:val="none"/>
                <w:lang w:eastAsia="zh-CN"/>
                <w14:textFill>
                  <w14:solidFill>
                    <w14:schemeClr w14:val="tx1"/>
                  </w14:solidFill>
                </w14:textFill>
              </w:rPr>
            </w:pPr>
          </w:p>
        </w:tc>
        <w:tc>
          <w:tcPr>
            <w:tcW w:w="2558" w:type="dxa"/>
            <w:vMerge w:val="continue"/>
          </w:tcPr>
          <w:p w14:paraId="34C79C8B">
            <w:pPr>
              <w:rPr>
                <w:color w:val="000000" w:themeColor="text1"/>
                <w:sz w:val="21"/>
                <w:szCs w:val="21"/>
                <w:highlight w:val="none"/>
                <w:lang w:eastAsia="zh-CN"/>
                <w14:textFill>
                  <w14:solidFill>
                    <w14:schemeClr w14:val="tx1"/>
                  </w14:solidFill>
                </w14:textFill>
              </w:rPr>
            </w:pPr>
          </w:p>
        </w:tc>
      </w:tr>
    </w:tbl>
    <w:p w14:paraId="6F7309EE">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5"/>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14:paraId="18F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14:paraId="4AD8BBC0">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14:paraId="067C7F2E">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14:paraId="5EEF9AEB">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14:paraId="361B2A15">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14:paraId="5433327C">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14:paraId="4343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14:paraId="6A95A2DF">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14:paraId="4998A0DA">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14:paraId="3EF61DA9">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14:paraId="6686E4F4">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14:paraId="6258C1FB">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14:paraId="1559CC59">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14:paraId="3EE14562">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14:paraId="2B19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14:paraId="11786FEE">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14:paraId="2DB9151E">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14:paraId="71F495CF">
            <w:pPr>
              <w:rPr>
                <w:color w:val="000000" w:themeColor="text1"/>
                <w:sz w:val="21"/>
                <w:szCs w:val="21"/>
                <w:highlight w:val="none"/>
                <w:lang w:eastAsia="zh-CN"/>
                <w14:textFill>
                  <w14:solidFill>
                    <w14:schemeClr w14:val="tx1"/>
                  </w14:solidFill>
                </w14:textFill>
              </w:rPr>
            </w:pPr>
          </w:p>
        </w:tc>
        <w:tc>
          <w:tcPr>
            <w:tcW w:w="1444" w:type="dxa"/>
            <w:vMerge w:val="continue"/>
          </w:tcPr>
          <w:p w14:paraId="5EFCA64C">
            <w:pPr>
              <w:rPr>
                <w:color w:val="000000" w:themeColor="text1"/>
                <w:sz w:val="21"/>
                <w:szCs w:val="21"/>
                <w:highlight w:val="none"/>
                <w:lang w:eastAsia="zh-CN"/>
                <w14:textFill>
                  <w14:solidFill>
                    <w14:schemeClr w14:val="tx1"/>
                  </w14:solidFill>
                </w14:textFill>
              </w:rPr>
            </w:pPr>
          </w:p>
        </w:tc>
        <w:tc>
          <w:tcPr>
            <w:tcW w:w="1060" w:type="dxa"/>
            <w:vMerge w:val="continue"/>
          </w:tcPr>
          <w:p w14:paraId="7A9516C4">
            <w:pPr>
              <w:rPr>
                <w:color w:val="000000" w:themeColor="text1"/>
                <w:sz w:val="21"/>
                <w:szCs w:val="21"/>
                <w:highlight w:val="none"/>
                <w:lang w:eastAsia="zh-CN"/>
                <w14:textFill>
                  <w14:solidFill>
                    <w14:schemeClr w14:val="tx1"/>
                  </w14:solidFill>
                </w14:textFill>
              </w:rPr>
            </w:pPr>
          </w:p>
        </w:tc>
        <w:tc>
          <w:tcPr>
            <w:tcW w:w="1650" w:type="dxa"/>
            <w:vMerge w:val="continue"/>
          </w:tcPr>
          <w:p w14:paraId="1BBBB48D">
            <w:pPr>
              <w:rPr>
                <w:color w:val="000000" w:themeColor="text1"/>
                <w:sz w:val="21"/>
                <w:szCs w:val="21"/>
                <w:highlight w:val="none"/>
                <w:lang w:eastAsia="zh-CN"/>
                <w14:textFill>
                  <w14:solidFill>
                    <w14:schemeClr w14:val="tx1"/>
                  </w14:solidFill>
                </w14:textFill>
              </w:rPr>
            </w:pPr>
          </w:p>
        </w:tc>
      </w:tr>
    </w:tbl>
    <w:p w14:paraId="137E2916">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5"/>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14:paraId="11C8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14:paraId="0C1244A7">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14:paraId="4894B9EA">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14:paraId="247219D5">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14:paraId="2399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14:paraId="50BD91E7">
            <w:pPr>
              <w:rPr>
                <w:b/>
                <w:color w:val="000000" w:themeColor="text1"/>
                <w:sz w:val="21"/>
                <w:szCs w:val="21"/>
                <w:highlight w:val="none"/>
                <w:lang w:eastAsia="zh-CN"/>
                <w14:textFill>
                  <w14:solidFill>
                    <w14:schemeClr w14:val="tx1"/>
                  </w14:solidFill>
                </w14:textFill>
              </w:rPr>
            </w:pPr>
          </w:p>
        </w:tc>
        <w:tc>
          <w:tcPr>
            <w:tcW w:w="2552" w:type="dxa"/>
          </w:tcPr>
          <w:p w14:paraId="32023A6E">
            <w:pPr>
              <w:rPr>
                <w:b/>
                <w:color w:val="000000" w:themeColor="text1"/>
                <w:sz w:val="21"/>
                <w:szCs w:val="21"/>
                <w:highlight w:val="none"/>
                <w:lang w:eastAsia="zh-CN"/>
                <w14:textFill>
                  <w14:solidFill>
                    <w14:schemeClr w14:val="tx1"/>
                  </w14:solidFill>
                </w14:textFill>
              </w:rPr>
            </w:pPr>
          </w:p>
        </w:tc>
        <w:tc>
          <w:tcPr>
            <w:tcW w:w="3228" w:type="dxa"/>
          </w:tcPr>
          <w:p w14:paraId="0F9B9602">
            <w:pPr>
              <w:rPr>
                <w:b/>
                <w:color w:val="000000" w:themeColor="text1"/>
                <w:sz w:val="21"/>
                <w:szCs w:val="21"/>
                <w:highlight w:val="none"/>
                <w:lang w:eastAsia="zh-CN"/>
                <w14:textFill>
                  <w14:solidFill>
                    <w14:schemeClr w14:val="tx1"/>
                  </w14:solidFill>
                </w14:textFill>
              </w:rPr>
            </w:pPr>
          </w:p>
        </w:tc>
      </w:tr>
    </w:tbl>
    <w:p w14:paraId="0F8A0BF6">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14:paraId="447A9FB4">
      <w:pPr>
        <w:pStyle w:val="8"/>
        <w:rPr>
          <w:rFonts w:hint="eastAsia"/>
          <w:color w:val="000000" w:themeColor="text1"/>
          <w:sz w:val="21"/>
          <w:szCs w:val="21"/>
          <w:highlight w:val="none"/>
          <w14:textFill>
            <w14:solidFill>
              <w14:schemeClr w14:val="tx1"/>
            </w14:solidFill>
          </w14:textFill>
        </w:rPr>
      </w:pPr>
    </w:p>
    <w:p w14:paraId="7AF00A54">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14:paraId="3FAB81DC">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14:paraId="35C99A9E">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14273594">
      <w:pPr>
        <w:pStyle w:val="8"/>
        <w:rPr>
          <w:rFonts w:hint="eastAsia"/>
          <w:color w:val="000000" w:themeColor="text1"/>
          <w:sz w:val="21"/>
          <w:szCs w:val="21"/>
          <w:highlight w:val="none"/>
          <w:lang w:eastAsia="zh-CN"/>
          <w14:textFill>
            <w14:solidFill>
              <w14:schemeClr w14:val="tx1"/>
            </w14:solidFill>
          </w14:textFill>
        </w:rPr>
      </w:pPr>
    </w:p>
    <w:p w14:paraId="509F8D71">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5C7FD622">
      <w:pPr>
        <w:pStyle w:val="8"/>
        <w:rPr>
          <w:rFonts w:hint="eastAsia"/>
          <w:color w:val="000000" w:themeColor="text1"/>
          <w:sz w:val="21"/>
          <w:szCs w:val="21"/>
          <w:highlight w:val="none"/>
          <w:lang w:eastAsia="zh-CN"/>
          <w14:textFill>
            <w14:solidFill>
              <w14:schemeClr w14:val="tx1"/>
            </w14:solidFill>
          </w14:textFill>
        </w:rPr>
      </w:pPr>
    </w:p>
    <w:p w14:paraId="428E96B5">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18940389"/>
    <w:p w14:paraId="205E2A30">
      <w:pPr>
        <w:pStyle w:val="6"/>
        <w:ind w:firstLine="0" w:firstLineChars="0"/>
        <w:rPr>
          <w:lang w:val="en-US" w:eastAsia="zh-CN"/>
        </w:rPr>
      </w:pPr>
    </w:p>
    <w:p w14:paraId="1DC8DB26">
      <w:pPr>
        <w:pStyle w:val="6"/>
        <w:ind w:firstLine="0" w:firstLineChars="0"/>
        <w:rPr>
          <w:lang w:val="en-US" w:eastAsia="zh-CN"/>
        </w:rPr>
      </w:pPr>
    </w:p>
    <w:p w14:paraId="0A4FABB1">
      <w:pPr>
        <w:pStyle w:val="6"/>
        <w:ind w:firstLine="0" w:firstLineChars="0"/>
        <w:rPr>
          <w:lang w:val="en-US" w:eastAsia="zh-CN"/>
        </w:rPr>
      </w:pPr>
    </w:p>
    <w:p w14:paraId="51BE3643">
      <w:pPr>
        <w:pStyle w:val="6"/>
        <w:ind w:firstLine="0" w:firstLineChars="0"/>
        <w:rPr>
          <w:lang w:val="en-US" w:eastAsia="zh-CN"/>
        </w:rPr>
      </w:pPr>
    </w:p>
    <w:p w14:paraId="74123FFE">
      <w:pPr>
        <w:pStyle w:val="6"/>
        <w:ind w:firstLine="0" w:firstLineChars="0"/>
        <w:rPr>
          <w:lang w:val="en-US" w:eastAsia="zh-CN"/>
        </w:rPr>
      </w:pPr>
    </w:p>
    <w:p w14:paraId="652DEC71">
      <w:pPr>
        <w:pStyle w:val="6"/>
        <w:ind w:firstLine="0" w:firstLineChars="0"/>
        <w:rPr>
          <w:lang w:val="en-US" w:eastAsia="zh-CN"/>
        </w:rPr>
      </w:pPr>
    </w:p>
    <w:p w14:paraId="7AA6EB6F">
      <w:pPr>
        <w:pStyle w:val="6"/>
        <w:ind w:firstLine="0" w:firstLineChars="0"/>
        <w:rPr>
          <w:lang w:val="en-US" w:eastAsia="zh-CN"/>
        </w:rPr>
      </w:pPr>
    </w:p>
    <w:p w14:paraId="1B3A0C69">
      <w:pPr>
        <w:pStyle w:val="6"/>
        <w:ind w:firstLine="0" w:firstLineChars="0"/>
        <w:rPr>
          <w:lang w:val="en-US" w:eastAsia="zh-CN"/>
        </w:rPr>
      </w:pPr>
    </w:p>
    <w:p w14:paraId="1776E4F6">
      <w:pPr>
        <w:pStyle w:val="6"/>
        <w:ind w:firstLine="0" w:firstLineChars="0"/>
        <w:rPr>
          <w:lang w:val="en-US" w:eastAsia="zh-CN"/>
        </w:rPr>
      </w:pPr>
    </w:p>
    <w:p w14:paraId="3C93113A">
      <w:pPr>
        <w:pStyle w:val="6"/>
        <w:ind w:firstLine="0" w:firstLineChars="0"/>
        <w:rPr>
          <w:lang w:val="en-US" w:eastAsia="zh-CN"/>
        </w:rPr>
      </w:pPr>
    </w:p>
    <w:p w14:paraId="07DC3BD2">
      <w:pPr>
        <w:pStyle w:val="6"/>
        <w:ind w:firstLine="0" w:firstLineChars="0"/>
        <w:rPr>
          <w:lang w:val="en-US" w:eastAsia="zh-CN"/>
        </w:rPr>
      </w:pPr>
    </w:p>
    <w:p w14:paraId="4425C1E1">
      <w:pPr>
        <w:pStyle w:val="6"/>
        <w:ind w:firstLine="0" w:firstLineChars="0"/>
        <w:rPr>
          <w:lang w:val="en-US" w:eastAsia="zh-CN"/>
        </w:rPr>
      </w:pPr>
    </w:p>
    <w:p w14:paraId="199C99B5">
      <w:pPr>
        <w:pStyle w:val="6"/>
        <w:ind w:firstLine="0" w:firstLineChars="0"/>
        <w:rPr>
          <w:lang w:val="en-US" w:eastAsia="zh-CN"/>
        </w:rPr>
      </w:pPr>
    </w:p>
    <w:p w14:paraId="7D5D95C1">
      <w:pPr>
        <w:pStyle w:val="6"/>
        <w:ind w:firstLine="0" w:firstLineChars="0"/>
        <w:rPr>
          <w:lang w:val="en-US" w:eastAsia="zh-CN"/>
        </w:rPr>
      </w:pPr>
    </w:p>
    <w:p w14:paraId="5DDCECF9">
      <w:pPr>
        <w:pStyle w:val="6"/>
        <w:ind w:firstLine="0" w:firstLineChars="0"/>
        <w:rPr>
          <w:lang w:val="en-US" w:eastAsia="zh-CN"/>
        </w:rPr>
      </w:pPr>
    </w:p>
    <w:p w14:paraId="19241E27">
      <w:pPr>
        <w:pStyle w:val="6"/>
        <w:ind w:firstLine="0" w:firstLineChars="0"/>
        <w:rPr>
          <w:lang w:val="en-US" w:eastAsia="zh-CN"/>
        </w:rPr>
      </w:pPr>
    </w:p>
    <w:p w14:paraId="744163F5">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14:paraId="13E12C39">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14:paraId="1E21683B">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14:paraId="365969D8">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14:paraId="1AB3C558">
      <w:pPr>
        <w:keepNext w:val="0"/>
        <w:keepLines w:val="0"/>
        <w:widowControl/>
        <w:suppressLineNumbers w:val="0"/>
        <w:jc w:val="center"/>
        <w:rPr>
          <w:rFonts w:hint="eastAsia" w:ascii="仿宋" w:hAnsi="仿宋" w:eastAsia="仿宋" w:cs="仿宋"/>
          <w:b/>
          <w:bCs/>
          <w:sz w:val="44"/>
          <w:szCs w:val="44"/>
          <w:lang w:val="en-US" w:eastAsia="zh-CN"/>
        </w:rPr>
      </w:pPr>
    </w:p>
    <w:p w14:paraId="57DC3C9B">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14:paraId="17CAB694">
      <w:pPr>
        <w:keepNext w:val="0"/>
        <w:keepLines w:val="0"/>
        <w:widowControl/>
        <w:suppressLineNumbers w:val="0"/>
        <w:jc w:val="center"/>
        <w:rPr>
          <w:rFonts w:hint="eastAsia" w:ascii="仿宋" w:hAnsi="仿宋" w:eastAsia="仿宋" w:cs="仿宋"/>
          <w:sz w:val="28"/>
          <w:szCs w:val="28"/>
          <w:lang w:val="en-US" w:eastAsia="zh-CN"/>
        </w:rPr>
      </w:pPr>
    </w:p>
    <w:p w14:paraId="1BEBE2D0">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招标人/招标代理机构   </w:t>
      </w:r>
    </w:p>
    <w:p w14:paraId="0476C581">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14:paraId="3E5FFD6C">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14:paraId="3D81CF0C">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14:paraId="3C114199">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14:paraId="7BFDFCAA">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14:paraId="657534E3">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14:paraId="37D671E4">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14:paraId="21E7856F">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14:paraId="062F96A4">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14:paraId="4915CBF6">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14:paraId="1F9FFF7B">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14:paraId="45C23C0D">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14:paraId="565525B3">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14:paraId="3206A688">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14:paraId="4DC4D24E">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14:paraId="230F605C">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14:paraId="644D160F">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14:paraId="640C7522">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14:paraId="5F2A40CF">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14:paraId="7CC71101">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14:paraId="0D477CEC">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14:paraId="3588DE12">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14:paraId="1822B6D8">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14:paraId="4B6ABE38">
      <w:pPr>
        <w:keepNext w:val="0"/>
        <w:keepLines w:val="0"/>
        <w:widowControl/>
        <w:numPr>
          <w:ilvl w:val="0"/>
          <w:numId w:val="70"/>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14:paraId="51B3E830">
      <w:pPr>
        <w:keepNext w:val="0"/>
        <w:keepLines w:val="0"/>
        <w:widowControl/>
        <w:numPr>
          <w:ilvl w:val="0"/>
          <w:numId w:val="70"/>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其它证明材料（如涉及）：</w:t>
      </w:r>
    </w:p>
    <w:p w14:paraId="639D974E">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14:paraId="4653E7EA">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14:paraId="0EA72616">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14:paraId="0236C933">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14:paraId="70BD786E">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14:paraId="692B7D1F">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14:paraId="3A8E37E5">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14:paraId="6E383801">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14:paraId="3DE9C849">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14:paraId="0EAB347F">
      <w:pPr>
        <w:keepNext w:val="0"/>
        <w:keepLines w:val="0"/>
        <w:widowControl/>
        <w:numPr>
          <w:ilvl w:val="0"/>
          <w:numId w:val="7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14:paraId="4908FEDC">
      <w:pPr>
        <w:keepNext w:val="0"/>
        <w:keepLines w:val="0"/>
        <w:widowControl/>
        <w:numPr>
          <w:ilvl w:val="0"/>
          <w:numId w:val="7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其它证明材料（如涉及）：</w:t>
      </w:r>
    </w:p>
    <w:p w14:paraId="7AC39EA1">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14:paraId="15F5E354">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14:paraId="02245E2F">
      <w:pPr>
        <w:keepNext w:val="0"/>
        <w:keepLines w:val="0"/>
        <w:widowControl/>
        <w:numPr>
          <w:ilvl w:val="0"/>
          <w:numId w:val="7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14:paraId="57719861">
      <w:pPr>
        <w:keepNext w:val="0"/>
        <w:keepLines w:val="0"/>
        <w:widowControl/>
        <w:numPr>
          <w:ilvl w:val="0"/>
          <w:numId w:val="7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14:paraId="76B52F67">
      <w:pPr>
        <w:keepNext w:val="0"/>
        <w:keepLines w:val="0"/>
        <w:widowControl/>
        <w:numPr>
          <w:ilvl w:val="0"/>
          <w:numId w:val="7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14:paraId="23AED51F">
      <w:pPr>
        <w:keepNext w:val="0"/>
        <w:keepLines w:val="0"/>
        <w:widowControl/>
        <w:numPr>
          <w:ilvl w:val="0"/>
          <w:numId w:val="7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14:paraId="50E02C98">
      <w:pPr>
        <w:keepNext w:val="0"/>
        <w:keepLines w:val="0"/>
        <w:widowControl/>
        <w:numPr>
          <w:ilvl w:val="0"/>
          <w:numId w:val="7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14:paraId="469B87AE">
      <w:pPr>
        <w:keepNext w:val="0"/>
        <w:keepLines w:val="0"/>
        <w:widowControl/>
        <w:numPr>
          <w:ilvl w:val="0"/>
          <w:numId w:val="7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14:paraId="02A77D22">
      <w:pPr>
        <w:keepNext w:val="0"/>
        <w:keepLines w:val="0"/>
        <w:widowControl/>
        <w:numPr>
          <w:ilvl w:val="0"/>
          <w:numId w:val="7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14:paraId="4CFB7B1E">
      <w:pPr>
        <w:keepNext w:val="0"/>
        <w:keepLines w:val="0"/>
        <w:widowControl/>
        <w:numPr>
          <w:ilvl w:val="0"/>
          <w:numId w:val="7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14:paraId="4F42B364">
      <w:pPr>
        <w:keepNext w:val="0"/>
        <w:keepLines w:val="0"/>
        <w:widowControl/>
        <w:numPr>
          <w:ilvl w:val="0"/>
          <w:numId w:val="7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其它证明材料（如涉及）：</w:t>
      </w:r>
    </w:p>
    <w:p w14:paraId="02FDFA55">
      <w:pPr>
        <w:keepNext w:val="0"/>
        <w:keepLines w:val="0"/>
        <w:widowControl/>
        <w:suppressLineNumbers w:val="0"/>
        <w:jc w:val="both"/>
        <w:rPr>
          <w:rFonts w:hint="default" w:ascii="仿宋" w:hAnsi="仿宋" w:eastAsia="仿宋" w:cs="仿宋"/>
          <w:b/>
          <w:bCs/>
          <w:sz w:val="28"/>
          <w:szCs w:val="28"/>
          <w:highlight w:val="yellow"/>
          <w:lang w:val="en-US" w:eastAsia="zh-CN"/>
        </w:rPr>
      </w:pPr>
    </w:p>
    <w:p w14:paraId="7F26E5C5">
      <w:pPr>
        <w:pStyle w:val="6"/>
        <w:ind w:firstLine="0" w:firstLineChars="0"/>
        <w:rPr>
          <w:lang w:val="en-US" w:eastAsia="zh-CN"/>
        </w:rPr>
      </w:pPr>
    </w:p>
    <w:p w14:paraId="7328A0E1">
      <w:pPr>
        <w:pStyle w:val="6"/>
        <w:ind w:firstLine="0" w:firstLineChars="0"/>
        <w:rPr>
          <w:lang w:val="en-US" w:eastAsia="zh-CN"/>
        </w:rPr>
      </w:pPr>
    </w:p>
    <w:p w14:paraId="34C7BCA7">
      <w:pPr>
        <w:pStyle w:val="6"/>
        <w:ind w:firstLine="0" w:firstLineChars="0"/>
        <w:rPr>
          <w:lang w:val="en-US" w:eastAsia="zh-CN"/>
        </w:rPr>
      </w:pPr>
    </w:p>
    <w:p w14:paraId="2806DA9B">
      <w:pPr>
        <w:pStyle w:val="6"/>
        <w:ind w:firstLine="0" w:firstLineChars="0"/>
        <w:rPr>
          <w:lang w:val="en-US" w:eastAsia="zh-CN"/>
        </w:rPr>
      </w:pPr>
    </w:p>
    <w:p w14:paraId="0CB64AC0">
      <w:pPr>
        <w:pStyle w:val="6"/>
        <w:ind w:firstLine="0" w:firstLineChars="0"/>
        <w:rPr>
          <w:lang w:val="en-US" w:eastAsia="zh-CN"/>
        </w:rPr>
      </w:pPr>
    </w:p>
    <w:p w14:paraId="3B95153F">
      <w:pPr>
        <w:pStyle w:val="6"/>
        <w:ind w:firstLine="0" w:firstLineChars="0"/>
        <w:rPr>
          <w:lang w:val="en-US" w:eastAsia="zh-CN"/>
        </w:rPr>
      </w:pPr>
    </w:p>
    <w:p w14:paraId="34E076FF">
      <w:pPr>
        <w:pStyle w:val="6"/>
        <w:ind w:firstLine="0" w:firstLineChars="0"/>
        <w:rPr>
          <w:lang w:val="en-US" w:eastAsia="zh-CN"/>
        </w:rPr>
      </w:pPr>
    </w:p>
    <w:p w14:paraId="276BA56A">
      <w:pPr>
        <w:pStyle w:val="6"/>
        <w:ind w:firstLine="0" w:firstLineChars="0"/>
        <w:rPr>
          <w:lang w:val="en-US" w:eastAsia="zh-CN"/>
        </w:rPr>
      </w:pPr>
    </w:p>
    <w:p w14:paraId="4965E191">
      <w:pPr>
        <w:pStyle w:val="6"/>
        <w:ind w:firstLine="0" w:firstLineChars="0"/>
        <w:rPr>
          <w:lang w:val="en-US" w:eastAsia="zh-CN"/>
        </w:rPr>
      </w:pPr>
    </w:p>
    <w:p w14:paraId="6D7ECFA8">
      <w:pPr>
        <w:pStyle w:val="6"/>
        <w:ind w:firstLine="0" w:firstLineChars="0"/>
        <w:rPr>
          <w:lang w:val="en-US" w:eastAsia="zh-CN"/>
        </w:rPr>
      </w:pPr>
    </w:p>
    <w:p w14:paraId="56FD97A9">
      <w:pPr>
        <w:pStyle w:val="6"/>
        <w:ind w:firstLine="0" w:firstLineChars="0"/>
        <w:rPr>
          <w:lang w:val="en-US" w:eastAsia="zh-CN"/>
        </w:rPr>
      </w:pPr>
    </w:p>
    <w:p w14:paraId="3DA3B3E2">
      <w:pPr>
        <w:pStyle w:val="6"/>
        <w:ind w:firstLine="0" w:firstLineChars="0"/>
        <w:rPr>
          <w:lang w:val="en-US" w:eastAsia="zh-CN"/>
        </w:rPr>
      </w:pPr>
    </w:p>
    <w:p w14:paraId="1DE58E88">
      <w:pPr>
        <w:pStyle w:val="6"/>
        <w:ind w:firstLine="0" w:firstLineChars="0"/>
        <w:rPr>
          <w:lang w:val="en-US" w:eastAsia="zh-CN"/>
        </w:rPr>
      </w:pPr>
    </w:p>
    <w:p w14:paraId="41CD1EBF">
      <w:pPr>
        <w:pStyle w:val="6"/>
        <w:ind w:firstLine="0" w:firstLineChars="0"/>
        <w:rPr>
          <w:lang w:val="en-US" w:eastAsia="zh-CN"/>
        </w:rPr>
      </w:pPr>
    </w:p>
    <w:p w14:paraId="74C0F7A8">
      <w:pPr>
        <w:pStyle w:val="6"/>
        <w:ind w:firstLine="0" w:firstLineChars="0"/>
        <w:rPr>
          <w:lang w:val="en-US" w:eastAsia="zh-CN"/>
        </w:rPr>
      </w:pPr>
    </w:p>
    <w:p w14:paraId="1678C02E">
      <w:pPr>
        <w:pStyle w:val="6"/>
        <w:ind w:firstLine="0" w:firstLineChars="0"/>
        <w:rPr>
          <w:lang w:val="en-US" w:eastAsia="zh-CN"/>
        </w:rPr>
      </w:pPr>
    </w:p>
    <w:p w14:paraId="64227013">
      <w:pPr>
        <w:pStyle w:val="6"/>
        <w:ind w:firstLine="0" w:firstLineChars="0"/>
        <w:rPr>
          <w:lang w:val="en-US" w:eastAsia="zh-CN"/>
        </w:rPr>
      </w:pPr>
    </w:p>
    <w:p w14:paraId="3DF3179D">
      <w:pPr>
        <w:pStyle w:val="6"/>
        <w:ind w:firstLine="0" w:firstLineChars="0"/>
        <w:rPr>
          <w:lang w:val="en-US" w:eastAsia="zh-CN"/>
        </w:rPr>
      </w:pPr>
    </w:p>
    <w:p w14:paraId="1B2138E3">
      <w:pP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br w:type="page"/>
      </w:r>
    </w:p>
    <w:p w14:paraId="2763D29E">
      <w:pPr>
        <w:pStyle w:val="22"/>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14:paraId="3A9FC966">
      <w:pPr>
        <w:pStyle w:val="22"/>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p>
    <w:p w14:paraId="56F481C7">
      <w:pPr>
        <w:pStyle w:val="22"/>
        <w:adjustRightInd/>
        <w:jc w:val="center"/>
        <w:rPr>
          <w:rFonts w:hAnsi="宋体"/>
          <w:b/>
          <w:sz w:val="21"/>
          <w:szCs w:val="21"/>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488"/>
        <w:gridCol w:w="1537"/>
        <w:gridCol w:w="3538"/>
        <w:gridCol w:w="1010"/>
      </w:tblGrid>
      <w:tr w14:paraId="3749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5533A3FE">
            <w:pPr>
              <w:spacing w:line="360" w:lineRule="auto"/>
              <w:jc w:val="center"/>
              <w:rPr>
                <w:rFonts w:ascii="宋体" w:hAnsi="宋体"/>
                <w:color w:val="000000"/>
              </w:rPr>
            </w:pPr>
            <w:r>
              <w:rPr>
                <w:rFonts w:hint="eastAsia" w:ascii="宋体" w:hAnsi="宋体"/>
                <w:color w:val="000000"/>
              </w:rPr>
              <w:t>序号</w:t>
            </w:r>
          </w:p>
        </w:tc>
        <w:tc>
          <w:tcPr>
            <w:tcW w:w="1488" w:type="dxa"/>
            <w:vAlign w:val="center"/>
          </w:tcPr>
          <w:p w14:paraId="0D3B1048">
            <w:pPr>
              <w:spacing w:line="360" w:lineRule="auto"/>
              <w:jc w:val="center"/>
              <w:rPr>
                <w:rFonts w:ascii="宋体" w:hAnsi="宋体"/>
                <w:color w:val="000000"/>
              </w:rPr>
            </w:pPr>
            <w:r>
              <w:rPr>
                <w:rFonts w:hint="eastAsia" w:ascii="宋体" w:hAnsi="宋体"/>
                <w:color w:val="000000"/>
              </w:rPr>
              <w:t>商务参数</w:t>
            </w:r>
          </w:p>
        </w:tc>
        <w:tc>
          <w:tcPr>
            <w:tcW w:w="1537" w:type="dxa"/>
            <w:vAlign w:val="center"/>
          </w:tcPr>
          <w:p w14:paraId="2D582FAB">
            <w:pPr>
              <w:spacing w:line="360" w:lineRule="auto"/>
              <w:jc w:val="center"/>
              <w:rPr>
                <w:rFonts w:ascii="宋体" w:hAnsi="宋体"/>
                <w:color w:val="000000"/>
              </w:rPr>
            </w:pPr>
            <w:r>
              <w:rPr>
                <w:rFonts w:hint="eastAsia" w:ascii="宋体" w:hAnsi="宋体"/>
                <w:color w:val="000000"/>
              </w:rPr>
              <w:t>是否存在异议</w:t>
            </w:r>
          </w:p>
        </w:tc>
        <w:tc>
          <w:tcPr>
            <w:tcW w:w="3538" w:type="dxa"/>
            <w:vAlign w:val="center"/>
          </w:tcPr>
          <w:p w14:paraId="5B27C4CD">
            <w:pPr>
              <w:spacing w:line="360" w:lineRule="auto"/>
              <w:jc w:val="center"/>
              <w:rPr>
                <w:rFonts w:ascii="宋体" w:hAnsi="宋体"/>
                <w:color w:val="000000"/>
              </w:rPr>
            </w:pPr>
            <w:r>
              <w:rPr>
                <w:rFonts w:hint="eastAsia" w:ascii="宋体" w:hAnsi="宋体"/>
                <w:color w:val="000000"/>
              </w:rPr>
              <w:t>解决方法</w:t>
            </w:r>
          </w:p>
          <w:p w14:paraId="43D022F7">
            <w:pPr>
              <w:spacing w:line="360" w:lineRule="auto"/>
              <w:jc w:val="center"/>
              <w:rPr>
                <w:rFonts w:ascii="宋体" w:hAnsi="宋体"/>
                <w:color w:val="000000"/>
              </w:rPr>
            </w:pPr>
            <w:r>
              <w:rPr>
                <w:rFonts w:hint="eastAsia" w:ascii="宋体" w:hAnsi="宋体"/>
                <w:color w:val="000000"/>
              </w:rPr>
              <w:t>（不接受/协商/接受询价方条件）</w:t>
            </w:r>
          </w:p>
        </w:tc>
        <w:tc>
          <w:tcPr>
            <w:tcW w:w="1010" w:type="dxa"/>
            <w:vAlign w:val="center"/>
          </w:tcPr>
          <w:p w14:paraId="32C36765">
            <w:pPr>
              <w:spacing w:line="360" w:lineRule="auto"/>
              <w:jc w:val="center"/>
              <w:rPr>
                <w:rFonts w:ascii="宋体" w:hAnsi="宋体"/>
                <w:color w:val="000000"/>
              </w:rPr>
            </w:pPr>
            <w:r>
              <w:rPr>
                <w:rFonts w:hint="eastAsia" w:ascii="宋体" w:hAnsi="宋体"/>
                <w:color w:val="000000"/>
              </w:rPr>
              <w:t>说明</w:t>
            </w:r>
          </w:p>
        </w:tc>
      </w:tr>
      <w:tr w14:paraId="4AE6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0ECCB248">
            <w:pPr>
              <w:spacing w:line="360" w:lineRule="auto"/>
              <w:jc w:val="center"/>
              <w:rPr>
                <w:rFonts w:ascii="宋体" w:hAnsi="宋体"/>
                <w:color w:val="000000"/>
              </w:rPr>
            </w:pPr>
            <w:r>
              <w:rPr>
                <w:rFonts w:hint="eastAsia" w:ascii="宋体" w:hAnsi="宋体"/>
                <w:color w:val="000000"/>
              </w:rPr>
              <w:t>1</w:t>
            </w:r>
          </w:p>
        </w:tc>
        <w:tc>
          <w:tcPr>
            <w:tcW w:w="1488" w:type="dxa"/>
            <w:vAlign w:val="center"/>
          </w:tcPr>
          <w:p w14:paraId="33563A22">
            <w:pPr>
              <w:spacing w:line="360" w:lineRule="auto"/>
              <w:jc w:val="center"/>
              <w:rPr>
                <w:rFonts w:ascii="宋体" w:hAnsi="宋体"/>
                <w:color w:val="000000"/>
              </w:rPr>
            </w:pPr>
            <w:r>
              <w:rPr>
                <w:rFonts w:hint="eastAsia" w:ascii="宋体" w:hAnsi="宋体"/>
                <w:color w:val="000000"/>
              </w:rPr>
              <w:t>违约条款</w:t>
            </w:r>
          </w:p>
        </w:tc>
        <w:tc>
          <w:tcPr>
            <w:tcW w:w="1537" w:type="dxa"/>
            <w:vAlign w:val="center"/>
          </w:tcPr>
          <w:p w14:paraId="3A8B0812">
            <w:pPr>
              <w:spacing w:line="360" w:lineRule="auto"/>
              <w:jc w:val="center"/>
              <w:rPr>
                <w:rFonts w:ascii="宋体" w:hAnsi="宋体"/>
                <w:color w:val="000000"/>
              </w:rPr>
            </w:pPr>
          </w:p>
        </w:tc>
        <w:tc>
          <w:tcPr>
            <w:tcW w:w="3538" w:type="dxa"/>
            <w:vAlign w:val="center"/>
          </w:tcPr>
          <w:p w14:paraId="6E694916">
            <w:pPr>
              <w:spacing w:line="360" w:lineRule="auto"/>
              <w:jc w:val="center"/>
              <w:rPr>
                <w:rFonts w:ascii="宋体" w:hAnsi="宋体"/>
                <w:color w:val="000000"/>
              </w:rPr>
            </w:pPr>
          </w:p>
        </w:tc>
        <w:tc>
          <w:tcPr>
            <w:tcW w:w="1010" w:type="dxa"/>
            <w:vAlign w:val="center"/>
          </w:tcPr>
          <w:p w14:paraId="51AA22B5">
            <w:pPr>
              <w:spacing w:line="360" w:lineRule="auto"/>
              <w:jc w:val="center"/>
              <w:rPr>
                <w:rFonts w:ascii="宋体" w:hAnsi="宋体"/>
                <w:color w:val="000000"/>
              </w:rPr>
            </w:pPr>
          </w:p>
        </w:tc>
      </w:tr>
      <w:tr w14:paraId="61CE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6D503D7F">
            <w:pPr>
              <w:spacing w:line="360" w:lineRule="auto"/>
              <w:jc w:val="center"/>
              <w:rPr>
                <w:rFonts w:ascii="宋体" w:hAnsi="宋体"/>
                <w:color w:val="000000"/>
              </w:rPr>
            </w:pPr>
            <w:r>
              <w:rPr>
                <w:rFonts w:hint="eastAsia" w:ascii="宋体" w:hAnsi="宋体"/>
                <w:color w:val="000000"/>
              </w:rPr>
              <w:t>2</w:t>
            </w:r>
          </w:p>
        </w:tc>
        <w:tc>
          <w:tcPr>
            <w:tcW w:w="1488" w:type="dxa"/>
            <w:vAlign w:val="center"/>
          </w:tcPr>
          <w:p w14:paraId="17947157">
            <w:pPr>
              <w:spacing w:line="360" w:lineRule="auto"/>
              <w:jc w:val="center"/>
              <w:rPr>
                <w:rFonts w:ascii="宋体" w:hAnsi="宋体"/>
                <w:color w:val="000000"/>
              </w:rPr>
            </w:pPr>
            <w:r>
              <w:rPr>
                <w:rFonts w:hint="eastAsia" w:ascii="宋体" w:hAnsi="宋体"/>
                <w:color w:val="000000"/>
              </w:rPr>
              <w:t>付款方式</w:t>
            </w:r>
          </w:p>
        </w:tc>
        <w:tc>
          <w:tcPr>
            <w:tcW w:w="1537" w:type="dxa"/>
            <w:vAlign w:val="center"/>
          </w:tcPr>
          <w:p w14:paraId="471DB60E">
            <w:pPr>
              <w:spacing w:line="360" w:lineRule="auto"/>
              <w:jc w:val="center"/>
              <w:rPr>
                <w:rFonts w:ascii="宋体" w:hAnsi="宋体"/>
                <w:color w:val="000000"/>
              </w:rPr>
            </w:pPr>
          </w:p>
        </w:tc>
        <w:tc>
          <w:tcPr>
            <w:tcW w:w="3538" w:type="dxa"/>
            <w:vAlign w:val="center"/>
          </w:tcPr>
          <w:p w14:paraId="75914D13">
            <w:pPr>
              <w:spacing w:line="360" w:lineRule="auto"/>
              <w:jc w:val="center"/>
              <w:rPr>
                <w:rFonts w:ascii="宋体" w:hAnsi="宋体"/>
                <w:color w:val="000000"/>
              </w:rPr>
            </w:pPr>
          </w:p>
        </w:tc>
        <w:tc>
          <w:tcPr>
            <w:tcW w:w="1010" w:type="dxa"/>
            <w:vAlign w:val="center"/>
          </w:tcPr>
          <w:p w14:paraId="04D8B284">
            <w:pPr>
              <w:spacing w:line="360" w:lineRule="auto"/>
              <w:jc w:val="center"/>
              <w:rPr>
                <w:rFonts w:ascii="宋体" w:hAnsi="宋体"/>
                <w:color w:val="000000"/>
              </w:rPr>
            </w:pPr>
          </w:p>
        </w:tc>
      </w:tr>
      <w:tr w14:paraId="1854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425C41C3">
            <w:pPr>
              <w:spacing w:line="360" w:lineRule="auto"/>
              <w:jc w:val="center"/>
              <w:rPr>
                <w:rFonts w:ascii="宋体" w:hAnsi="宋体"/>
                <w:color w:val="000000"/>
              </w:rPr>
            </w:pPr>
            <w:r>
              <w:rPr>
                <w:rFonts w:hint="eastAsia" w:ascii="宋体" w:hAnsi="宋体"/>
                <w:color w:val="000000"/>
              </w:rPr>
              <w:t>3</w:t>
            </w:r>
          </w:p>
        </w:tc>
        <w:tc>
          <w:tcPr>
            <w:tcW w:w="1488" w:type="dxa"/>
            <w:vAlign w:val="center"/>
          </w:tcPr>
          <w:p w14:paraId="2582EFDF">
            <w:pPr>
              <w:spacing w:line="360" w:lineRule="auto"/>
              <w:jc w:val="center"/>
              <w:rPr>
                <w:rFonts w:ascii="宋体" w:hAnsi="宋体"/>
                <w:color w:val="000000"/>
              </w:rPr>
            </w:pPr>
            <w:r>
              <w:rPr>
                <w:rFonts w:hint="eastAsia" w:ascii="宋体" w:hAnsi="宋体"/>
                <w:color w:val="000000"/>
              </w:rPr>
              <w:t>服务期</w:t>
            </w:r>
          </w:p>
        </w:tc>
        <w:tc>
          <w:tcPr>
            <w:tcW w:w="1537" w:type="dxa"/>
            <w:vAlign w:val="center"/>
          </w:tcPr>
          <w:p w14:paraId="088817B3">
            <w:pPr>
              <w:spacing w:line="360" w:lineRule="auto"/>
              <w:jc w:val="center"/>
              <w:rPr>
                <w:rFonts w:ascii="宋体" w:hAnsi="宋体"/>
                <w:color w:val="000000"/>
              </w:rPr>
            </w:pPr>
          </w:p>
        </w:tc>
        <w:tc>
          <w:tcPr>
            <w:tcW w:w="3538" w:type="dxa"/>
            <w:vAlign w:val="center"/>
          </w:tcPr>
          <w:p w14:paraId="5B74D25C">
            <w:pPr>
              <w:spacing w:line="360" w:lineRule="auto"/>
              <w:jc w:val="center"/>
              <w:rPr>
                <w:rFonts w:ascii="宋体" w:hAnsi="宋体"/>
                <w:color w:val="000000"/>
              </w:rPr>
            </w:pPr>
          </w:p>
        </w:tc>
        <w:tc>
          <w:tcPr>
            <w:tcW w:w="1010" w:type="dxa"/>
            <w:vAlign w:val="center"/>
          </w:tcPr>
          <w:p w14:paraId="3801A91C">
            <w:pPr>
              <w:spacing w:line="360" w:lineRule="auto"/>
              <w:jc w:val="center"/>
              <w:rPr>
                <w:rFonts w:ascii="宋体" w:hAnsi="宋体"/>
                <w:color w:val="000000"/>
              </w:rPr>
            </w:pPr>
          </w:p>
        </w:tc>
      </w:tr>
      <w:tr w14:paraId="7297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15F3ECB0">
            <w:pPr>
              <w:spacing w:line="360" w:lineRule="auto"/>
              <w:jc w:val="center"/>
              <w:rPr>
                <w:rFonts w:ascii="宋体" w:hAnsi="宋体"/>
                <w:color w:val="000000"/>
              </w:rPr>
            </w:pPr>
            <w:r>
              <w:rPr>
                <w:rFonts w:hint="eastAsia" w:ascii="宋体" w:hAnsi="宋体"/>
                <w:color w:val="000000"/>
              </w:rPr>
              <w:t>4</w:t>
            </w:r>
          </w:p>
        </w:tc>
        <w:tc>
          <w:tcPr>
            <w:tcW w:w="1488" w:type="dxa"/>
            <w:vAlign w:val="center"/>
          </w:tcPr>
          <w:p w14:paraId="4A1F1021">
            <w:pPr>
              <w:spacing w:line="360" w:lineRule="auto"/>
              <w:jc w:val="center"/>
              <w:rPr>
                <w:rFonts w:ascii="宋体" w:hAnsi="宋体"/>
                <w:color w:val="000000"/>
              </w:rPr>
            </w:pPr>
            <w:r>
              <w:rPr>
                <w:rFonts w:hint="eastAsia" w:ascii="宋体" w:hAnsi="宋体"/>
                <w:color w:val="000000"/>
              </w:rPr>
              <w:t>报价有效期</w:t>
            </w:r>
          </w:p>
        </w:tc>
        <w:tc>
          <w:tcPr>
            <w:tcW w:w="1537" w:type="dxa"/>
            <w:vAlign w:val="center"/>
          </w:tcPr>
          <w:p w14:paraId="555665FD">
            <w:pPr>
              <w:spacing w:line="360" w:lineRule="auto"/>
              <w:jc w:val="center"/>
              <w:rPr>
                <w:rFonts w:ascii="宋体" w:hAnsi="宋体"/>
                <w:color w:val="000000"/>
              </w:rPr>
            </w:pPr>
          </w:p>
        </w:tc>
        <w:tc>
          <w:tcPr>
            <w:tcW w:w="3538" w:type="dxa"/>
            <w:vAlign w:val="center"/>
          </w:tcPr>
          <w:p w14:paraId="30402819">
            <w:pPr>
              <w:spacing w:line="360" w:lineRule="auto"/>
              <w:jc w:val="center"/>
              <w:rPr>
                <w:rFonts w:ascii="宋体" w:hAnsi="宋体"/>
                <w:color w:val="000000"/>
              </w:rPr>
            </w:pPr>
          </w:p>
        </w:tc>
        <w:tc>
          <w:tcPr>
            <w:tcW w:w="1010" w:type="dxa"/>
            <w:vAlign w:val="center"/>
          </w:tcPr>
          <w:p w14:paraId="7A087E2F">
            <w:pPr>
              <w:spacing w:line="360" w:lineRule="auto"/>
              <w:jc w:val="center"/>
              <w:rPr>
                <w:rFonts w:ascii="宋体" w:hAnsi="宋体"/>
                <w:color w:val="000000"/>
              </w:rPr>
            </w:pPr>
          </w:p>
        </w:tc>
      </w:tr>
      <w:tr w14:paraId="2C1B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1AF9CE9C">
            <w:pPr>
              <w:spacing w:line="360" w:lineRule="auto"/>
              <w:jc w:val="center"/>
              <w:rPr>
                <w:rFonts w:ascii="宋体" w:hAnsi="宋体"/>
                <w:color w:val="000000"/>
              </w:rPr>
            </w:pPr>
            <w:r>
              <w:rPr>
                <w:rFonts w:hint="eastAsia" w:ascii="宋体" w:hAnsi="宋体"/>
                <w:color w:val="000000"/>
              </w:rPr>
              <w:t>5</w:t>
            </w:r>
          </w:p>
        </w:tc>
        <w:tc>
          <w:tcPr>
            <w:tcW w:w="1488" w:type="dxa"/>
            <w:vAlign w:val="center"/>
          </w:tcPr>
          <w:p w14:paraId="0DA40A3A">
            <w:pPr>
              <w:spacing w:line="360" w:lineRule="auto"/>
              <w:jc w:val="center"/>
              <w:rPr>
                <w:rFonts w:ascii="宋体" w:hAnsi="宋体"/>
                <w:color w:val="000000"/>
              </w:rPr>
            </w:pPr>
            <w:r>
              <w:rPr>
                <w:rFonts w:hint="eastAsia" w:ascii="宋体" w:hAnsi="宋体"/>
                <w:color w:val="000000"/>
              </w:rPr>
              <w:t>合同条款</w:t>
            </w:r>
          </w:p>
        </w:tc>
        <w:tc>
          <w:tcPr>
            <w:tcW w:w="1537" w:type="dxa"/>
            <w:vAlign w:val="center"/>
          </w:tcPr>
          <w:p w14:paraId="4AC3859A">
            <w:pPr>
              <w:spacing w:line="360" w:lineRule="auto"/>
              <w:jc w:val="center"/>
              <w:rPr>
                <w:rFonts w:ascii="宋体" w:hAnsi="宋体"/>
                <w:color w:val="000000"/>
              </w:rPr>
            </w:pPr>
          </w:p>
        </w:tc>
        <w:tc>
          <w:tcPr>
            <w:tcW w:w="3538" w:type="dxa"/>
            <w:vAlign w:val="center"/>
          </w:tcPr>
          <w:p w14:paraId="768A9AB8">
            <w:pPr>
              <w:spacing w:line="360" w:lineRule="auto"/>
              <w:jc w:val="center"/>
              <w:rPr>
                <w:rFonts w:ascii="宋体" w:hAnsi="宋体"/>
                <w:color w:val="000000"/>
              </w:rPr>
            </w:pPr>
          </w:p>
        </w:tc>
        <w:tc>
          <w:tcPr>
            <w:tcW w:w="1010" w:type="dxa"/>
            <w:vAlign w:val="center"/>
          </w:tcPr>
          <w:p w14:paraId="768B0B91">
            <w:pPr>
              <w:spacing w:line="360" w:lineRule="auto"/>
              <w:jc w:val="center"/>
              <w:rPr>
                <w:rFonts w:ascii="宋体" w:hAnsi="宋体"/>
                <w:color w:val="000000"/>
              </w:rPr>
            </w:pPr>
          </w:p>
        </w:tc>
      </w:tr>
      <w:tr w14:paraId="4CA6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716B0054">
            <w:pPr>
              <w:spacing w:line="360" w:lineRule="auto"/>
              <w:jc w:val="center"/>
              <w:rPr>
                <w:rFonts w:ascii="宋体" w:hAnsi="宋体"/>
                <w:color w:val="000000"/>
              </w:rPr>
            </w:pPr>
            <w:r>
              <w:rPr>
                <w:rFonts w:hint="eastAsia" w:ascii="宋体" w:hAnsi="宋体"/>
                <w:color w:val="000000"/>
              </w:rPr>
              <w:t>6</w:t>
            </w:r>
          </w:p>
        </w:tc>
        <w:tc>
          <w:tcPr>
            <w:tcW w:w="1488" w:type="dxa"/>
            <w:vAlign w:val="center"/>
          </w:tcPr>
          <w:p w14:paraId="05064AF0">
            <w:pPr>
              <w:spacing w:line="360" w:lineRule="auto"/>
              <w:jc w:val="center"/>
              <w:rPr>
                <w:rFonts w:hint="eastAsia" w:ascii="宋体" w:hAnsi="宋体" w:eastAsiaTheme="minorEastAsia"/>
                <w:color w:val="000000"/>
                <w:lang w:eastAsia="zh-CN"/>
              </w:rPr>
            </w:pPr>
            <w:r>
              <w:rPr>
                <w:rFonts w:hint="eastAsia" w:ascii="宋体" w:hAnsi="宋体"/>
                <w:color w:val="000000"/>
                <w:lang w:eastAsia="zh-CN"/>
              </w:rPr>
              <w:t>其它</w:t>
            </w:r>
          </w:p>
        </w:tc>
        <w:tc>
          <w:tcPr>
            <w:tcW w:w="1537" w:type="dxa"/>
            <w:vAlign w:val="center"/>
          </w:tcPr>
          <w:p w14:paraId="77DF2DEF">
            <w:pPr>
              <w:spacing w:line="360" w:lineRule="auto"/>
              <w:jc w:val="center"/>
              <w:rPr>
                <w:rFonts w:ascii="宋体" w:hAnsi="宋体"/>
                <w:color w:val="000000"/>
              </w:rPr>
            </w:pPr>
          </w:p>
        </w:tc>
        <w:tc>
          <w:tcPr>
            <w:tcW w:w="3538" w:type="dxa"/>
            <w:vAlign w:val="center"/>
          </w:tcPr>
          <w:p w14:paraId="5506A163">
            <w:pPr>
              <w:spacing w:line="360" w:lineRule="auto"/>
              <w:jc w:val="center"/>
              <w:rPr>
                <w:rFonts w:ascii="宋体" w:hAnsi="宋体"/>
                <w:color w:val="000000"/>
              </w:rPr>
            </w:pPr>
          </w:p>
        </w:tc>
        <w:tc>
          <w:tcPr>
            <w:tcW w:w="1010" w:type="dxa"/>
            <w:vAlign w:val="center"/>
          </w:tcPr>
          <w:p w14:paraId="7A7EFC09">
            <w:pPr>
              <w:spacing w:line="360" w:lineRule="auto"/>
              <w:jc w:val="center"/>
              <w:rPr>
                <w:rFonts w:ascii="宋体" w:hAnsi="宋体"/>
                <w:color w:val="000000"/>
              </w:rPr>
            </w:pPr>
          </w:p>
        </w:tc>
      </w:tr>
    </w:tbl>
    <w:p w14:paraId="0BA7F738">
      <w:pPr>
        <w:spacing w:line="360" w:lineRule="auto"/>
        <w:rPr>
          <w:rFonts w:ascii="宋体" w:hAnsi="宋体"/>
          <w:color w:val="000000"/>
          <w:szCs w:val="21"/>
        </w:rPr>
      </w:pPr>
    </w:p>
    <w:p w14:paraId="7585172D">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14:paraId="57BA07E7">
      <w:pPr>
        <w:spacing w:before="120" w:line="360" w:lineRule="auto"/>
        <w:rPr>
          <w:rFonts w:ascii="宋体" w:hAnsi="宋体"/>
          <w:b/>
          <w:bCs/>
          <w:color w:val="000000"/>
          <w:szCs w:val="21"/>
        </w:rPr>
      </w:pPr>
    </w:p>
    <w:p w14:paraId="4C0BE2DD">
      <w:pPr>
        <w:spacing w:line="360" w:lineRule="auto"/>
        <w:rPr>
          <w:rFonts w:ascii="宋体" w:hAnsi="宋体"/>
          <w:color w:val="000000"/>
          <w:szCs w:val="21"/>
        </w:rPr>
      </w:pPr>
    </w:p>
    <w:p w14:paraId="496AC1CE">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14:paraId="3F5857CB">
      <w:pPr>
        <w:spacing w:line="360" w:lineRule="auto"/>
        <w:jc w:val="right"/>
        <w:rPr>
          <w:rFonts w:ascii="宋体" w:hAnsi="宋体"/>
          <w:color w:val="000000"/>
          <w:szCs w:val="21"/>
        </w:rPr>
      </w:pPr>
    </w:p>
    <w:p w14:paraId="584D5DA9">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14:paraId="1B9E1A91"/>
    <w:p w14:paraId="771E0DA9">
      <w:pPr>
        <w:pStyle w:val="6"/>
        <w:rPr>
          <w:lang w:val="en-US" w:eastAsia="zh-CN"/>
        </w:rPr>
      </w:pPr>
    </w:p>
    <w:p w14:paraId="4660B843">
      <w:pPr>
        <w:rPr>
          <w:lang w:val="en-US" w:eastAsia="zh-CN"/>
        </w:rPr>
      </w:pPr>
    </w:p>
    <w:p w14:paraId="7EA9C595">
      <w:pPr>
        <w:pStyle w:val="6"/>
        <w:rPr>
          <w:lang w:val="en-US" w:eastAsia="zh-CN"/>
        </w:rPr>
      </w:pPr>
    </w:p>
    <w:p w14:paraId="4B4619CB">
      <w:pPr>
        <w:rPr>
          <w:lang w:val="en-US" w:eastAsia="zh-CN"/>
        </w:rPr>
      </w:pPr>
    </w:p>
    <w:p w14:paraId="5624F8CF">
      <w:pPr>
        <w:pStyle w:val="6"/>
        <w:rPr>
          <w:lang w:val="en-US" w:eastAsia="zh-CN"/>
        </w:rPr>
      </w:pPr>
    </w:p>
    <w:p w14:paraId="642BC75A">
      <w:pPr>
        <w:rPr>
          <w:lang w:val="en-US" w:eastAsia="zh-CN"/>
        </w:rPr>
      </w:pPr>
    </w:p>
    <w:p w14:paraId="5BD1D669">
      <w:pPr>
        <w:pStyle w:val="6"/>
        <w:rPr>
          <w:lang w:val="en-US" w:eastAsia="zh-CN"/>
        </w:rPr>
      </w:pPr>
    </w:p>
    <w:p w14:paraId="301A81E8">
      <w:pPr>
        <w:rPr>
          <w:lang w:val="en-US" w:eastAsia="zh-CN"/>
        </w:rPr>
      </w:pPr>
    </w:p>
    <w:p w14:paraId="399B56DB">
      <w:pPr>
        <w:pStyle w:val="6"/>
        <w:rPr>
          <w:lang w:val="en-US" w:eastAsia="zh-CN"/>
        </w:rPr>
      </w:pPr>
    </w:p>
    <w:p w14:paraId="4D792EBA">
      <w:pPr>
        <w:rPr>
          <w:lang w:val="en-US" w:eastAsia="zh-CN"/>
        </w:rPr>
      </w:pPr>
    </w:p>
    <w:p w14:paraId="03A8229A">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14:paraId="4E52FE7D">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14:paraId="253176B1">
      <w:pPr>
        <w:rPr>
          <w:rFonts w:hint="eastAsia" w:ascii="黑体" w:hAnsi="黑体" w:eastAsia="黑体"/>
          <w:sz w:val="24"/>
          <w:szCs w:val="24"/>
          <w:lang w:val="en-US" w:eastAsia="zh-CN"/>
        </w:rPr>
      </w:pPr>
    </w:p>
    <w:p w14:paraId="51B2C1C9">
      <w:pPr>
        <w:widowControl w:val="0"/>
        <w:numPr>
          <w:ilvl w:val="0"/>
          <w:numId w:val="0"/>
        </w:numPr>
        <w:jc w:val="both"/>
        <w:rPr>
          <w:rFonts w:hint="default"/>
          <w:lang w:val="en-US" w:eastAsia="zh-CN"/>
        </w:rPr>
      </w:pPr>
    </w:p>
    <w:p w14:paraId="50C4EE13">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4"/>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3288"/>
        <w:gridCol w:w="1012"/>
        <w:gridCol w:w="2863"/>
        <w:gridCol w:w="962"/>
      </w:tblGrid>
      <w:tr w14:paraId="1EAA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14:paraId="54DC32C7">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288" w:type="dxa"/>
            <w:vAlign w:val="center"/>
          </w:tcPr>
          <w:p w14:paraId="30DAB86E">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1012" w:type="dxa"/>
            <w:vAlign w:val="center"/>
          </w:tcPr>
          <w:p w14:paraId="77F105D5">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2863" w:type="dxa"/>
            <w:vAlign w:val="center"/>
          </w:tcPr>
          <w:p w14:paraId="5615DB16">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14:paraId="0D4440BF">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962" w:type="dxa"/>
            <w:vAlign w:val="center"/>
          </w:tcPr>
          <w:p w14:paraId="24A21522">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14:paraId="06C0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14:paraId="316ECFC4">
            <w:pPr>
              <w:pStyle w:val="2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288" w:type="dxa"/>
            <w:vAlign w:val="center"/>
          </w:tcPr>
          <w:p w14:paraId="7D3DE7AC">
            <w:pPr>
              <w:pStyle w:val="2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1012" w:type="dxa"/>
            <w:vAlign w:val="center"/>
          </w:tcPr>
          <w:p w14:paraId="541640A2">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2863" w:type="dxa"/>
            <w:vAlign w:val="center"/>
          </w:tcPr>
          <w:p w14:paraId="7605488C">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962" w:type="dxa"/>
            <w:vAlign w:val="center"/>
          </w:tcPr>
          <w:p w14:paraId="263310AF">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14:paraId="09BC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14:paraId="1244EF13">
            <w:pPr>
              <w:pStyle w:val="2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288" w:type="dxa"/>
            <w:vAlign w:val="center"/>
          </w:tcPr>
          <w:p w14:paraId="11662D3B">
            <w:pPr>
              <w:pStyle w:val="2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1012" w:type="dxa"/>
            <w:vAlign w:val="center"/>
          </w:tcPr>
          <w:p w14:paraId="44978864">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2863" w:type="dxa"/>
            <w:vAlign w:val="center"/>
          </w:tcPr>
          <w:p w14:paraId="2EB0AD10">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962" w:type="dxa"/>
            <w:vAlign w:val="center"/>
          </w:tcPr>
          <w:p w14:paraId="4210C1D6">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14:paraId="4C1F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14:paraId="0704EAFC">
            <w:pPr>
              <w:pStyle w:val="2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288" w:type="dxa"/>
            <w:vAlign w:val="center"/>
          </w:tcPr>
          <w:p w14:paraId="2D7CAD7E">
            <w:pPr>
              <w:pStyle w:val="2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1012" w:type="dxa"/>
            <w:vAlign w:val="center"/>
          </w:tcPr>
          <w:p w14:paraId="1522D569">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2863" w:type="dxa"/>
            <w:vAlign w:val="center"/>
          </w:tcPr>
          <w:p w14:paraId="1B94419C">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962" w:type="dxa"/>
            <w:vAlign w:val="center"/>
          </w:tcPr>
          <w:p w14:paraId="4BCB892A">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14:paraId="71B6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14:paraId="1068AF99">
            <w:pPr>
              <w:pStyle w:val="2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288" w:type="dxa"/>
            <w:vAlign w:val="center"/>
          </w:tcPr>
          <w:p w14:paraId="793E2EAB">
            <w:pPr>
              <w:pStyle w:val="2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1012" w:type="dxa"/>
            <w:vAlign w:val="center"/>
          </w:tcPr>
          <w:p w14:paraId="5E22063E">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2863" w:type="dxa"/>
            <w:vAlign w:val="center"/>
          </w:tcPr>
          <w:p w14:paraId="3010CC02">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962" w:type="dxa"/>
            <w:vAlign w:val="center"/>
          </w:tcPr>
          <w:p w14:paraId="7C33F295">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14:paraId="55EA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14:paraId="121CEB85">
            <w:pPr>
              <w:pStyle w:val="2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288" w:type="dxa"/>
            <w:vAlign w:val="center"/>
          </w:tcPr>
          <w:p w14:paraId="08B711D0">
            <w:pPr>
              <w:pStyle w:val="2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1012" w:type="dxa"/>
            <w:vAlign w:val="center"/>
          </w:tcPr>
          <w:p w14:paraId="10A02D52">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2863" w:type="dxa"/>
            <w:vAlign w:val="center"/>
          </w:tcPr>
          <w:p w14:paraId="2841585F">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962" w:type="dxa"/>
            <w:vAlign w:val="center"/>
          </w:tcPr>
          <w:p w14:paraId="3172FCFE">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14:paraId="1A94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14:paraId="2CE820D0">
            <w:pPr>
              <w:pStyle w:val="2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288" w:type="dxa"/>
            <w:vAlign w:val="center"/>
          </w:tcPr>
          <w:p w14:paraId="5BD821FA">
            <w:pPr>
              <w:pStyle w:val="23"/>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1012" w:type="dxa"/>
            <w:vAlign w:val="center"/>
          </w:tcPr>
          <w:p w14:paraId="6D027AB0">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2863" w:type="dxa"/>
            <w:vAlign w:val="center"/>
          </w:tcPr>
          <w:p w14:paraId="7789C1F3">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962" w:type="dxa"/>
            <w:vAlign w:val="center"/>
          </w:tcPr>
          <w:p w14:paraId="2937FAFC">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14:paraId="415081DA">
      <w:pPr>
        <w:spacing w:before="50" w:line="360" w:lineRule="auto"/>
        <w:ind w:firstLine="3885" w:firstLineChars="1850"/>
        <w:rPr>
          <w:rFonts w:ascii="宋体" w:hAnsi="宋体"/>
          <w:color w:val="000000"/>
          <w:szCs w:val="21"/>
        </w:rPr>
      </w:pPr>
    </w:p>
    <w:p w14:paraId="734CE1AA">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14:paraId="06D13443">
      <w:pPr>
        <w:keepNext w:val="0"/>
        <w:keepLines w:val="0"/>
        <w:pageBreakBefore w:val="0"/>
        <w:widowControl w:val="0"/>
        <w:numPr>
          <w:ilvl w:val="0"/>
          <w:numId w:val="73"/>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14:paraId="7DD30BC3">
      <w:pPr>
        <w:keepNext w:val="0"/>
        <w:keepLines w:val="0"/>
        <w:pageBreakBefore w:val="0"/>
        <w:widowControl w:val="0"/>
        <w:numPr>
          <w:ilvl w:val="0"/>
          <w:numId w:val="73"/>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14:paraId="5D73E2BF">
      <w:pPr>
        <w:keepNext w:val="0"/>
        <w:keepLines w:val="0"/>
        <w:pageBreakBefore w:val="0"/>
        <w:widowControl w:val="0"/>
        <w:numPr>
          <w:ilvl w:val="0"/>
          <w:numId w:val="73"/>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14:paraId="741EC44E">
      <w:pPr>
        <w:spacing w:line="360" w:lineRule="auto"/>
        <w:rPr>
          <w:rFonts w:ascii="宋体" w:hAnsi="宋体"/>
          <w:color w:val="000000"/>
          <w:szCs w:val="21"/>
        </w:rPr>
      </w:pPr>
    </w:p>
    <w:p w14:paraId="255B927B">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14:paraId="6A663218">
      <w:pPr>
        <w:tabs>
          <w:tab w:val="left" w:pos="4320"/>
        </w:tabs>
        <w:spacing w:line="360" w:lineRule="auto"/>
        <w:ind w:firstLine="3465" w:firstLineChars="1650"/>
        <w:jc w:val="center"/>
        <w:rPr>
          <w:rFonts w:ascii="宋体" w:hAnsi="宋体"/>
          <w:color w:val="000000"/>
          <w:szCs w:val="21"/>
        </w:rPr>
      </w:pPr>
    </w:p>
    <w:p w14:paraId="606FBC36">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14:paraId="4138678C"/>
    <w:p w14:paraId="2FD37F95">
      <w:pPr>
        <w:pStyle w:val="6"/>
        <w:ind w:firstLine="0" w:firstLineChars="0"/>
        <w:rPr>
          <w:lang w:val="en-US" w:eastAsia="zh-CN"/>
        </w:rPr>
      </w:pPr>
    </w:p>
    <w:p w14:paraId="7CE7E1B5">
      <w:pPr>
        <w:pStyle w:val="6"/>
        <w:ind w:firstLine="0" w:firstLineChars="0"/>
        <w:rPr>
          <w:lang w:val="en-US" w:eastAsia="zh-CN"/>
        </w:rPr>
      </w:pPr>
    </w:p>
    <w:p w14:paraId="27E73FC7">
      <w:pPr>
        <w:pStyle w:val="6"/>
        <w:ind w:firstLine="0" w:firstLineChars="0"/>
        <w:rPr>
          <w:lang w:val="en-US" w:eastAsia="zh-CN"/>
        </w:rPr>
      </w:pPr>
    </w:p>
    <w:p w14:paraId="3C2CCCBF">
      <w:pPr>
        <w:pStyle w:val="6"/>
        <w:ind w:firstLine="0" w:firstLineChars="0"/>
        <w:rPr>
          <w:lang w:val="en-US" w:eastAsia="zh-CN"/>
        </w:rPr>
      </w:pPr>
    </w:p>
    <w:p w14:paraId="3CDF1F26">
      <w:pPr>
        <w:pStyle w:val="6"/>
        <w:ind w:firstLine="0" w:firstLineChars="0"/>
        <w:rPr>
          <w:lang w:val="en-US" w:eastAsia="zh-CN"/>
        </w:rPr>
      </w:pPr>
    </w:p>
    <w:p w14:paraId="7AD41007">
      <w:pPr>
        <w:pStyle w:val="6"/>
        <w:ind w:firstLine="0" w:firstLineChars="0"/>
        <w:rPr>
          <w:lang w:val="en-US" w:eastAsia="zh-CN"/>
        </w:rPr>
      </w:pPr>
    </w:p>
    <w:p w14:paraId="3D5E57CC">
      <w:pPr>
        <w:pStyle w:val="6"/>
        <w:ind w:firstLine="0" w:firstLineChars="0"/>
        <w:rPr>
          <w:lang w:val="en-US" w:eastAsia="zh-CN"/>
        </w:rPr>
      </w:pPr>
    </w:p>
    <w:p w14:paraId="62B671EF">
      <w:pPr>
        <w:pStyle w:val="6"/>
        <w:ind w:firstLine="0" w:firstLineChars="0"/>
        <w:rPr>
          <w:lang w:val="en-US" w:eastAsia="zh-CN"/>
        </w:rPr>
      </w:pPr>
    </w:p>
    <w:p w14:paraId="7A6DAC7B">
      <w:pPr>
        <w:pStyle w:val="6"/>
        <w:ind w:firstLine="0" w:firstLineChars="0"/>
        <w:rPr>
          <w:lang w:val="en-US" w:eastAsia="zh-CN"/>
        </w:rPr>
      </w:pPr>
    </w:p>
    <w:p w14:paraId="0B6002C1">
      <w:pPr>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14:paraId="5E96293A">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14:paraId="58A12D6D">
      <w:pPr>
        <w:rPr>
          <w:rFonts w:ascii="黑体" w:hAnsi="黑体" w:eastAsia="黑体"/>
          <w:color w:val="000000" w:themeColor="text1"/>
          <w:sz w:val="21"/>
          <w:szCs w:val="21"/>
          <w:highlight w:val="none"/>
          <w14:textFill>
            <w14:solidFill>
              <w14:schemeClr w14:val="tx1"/>
            </w14:solidFill>
          </w14:textFill>
        </w:rPr>
      </w:pPr>
    </w:p>
    <w:p w14:paraId="1B63A56E">
      <w:pPr>
        <w:pStyle w:val="19"/>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14:paraId="03B331B7">
      <w:pPr>
        <w:pStyle w:val="19"/>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4"/>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499"/>
        <w:gridCol w:w="763"/>
        <w:gridCol w:w="700"/>
        <w:gridCol w:w="750"/>
        <w:gridCol w:w="1350"/>
        <w:gridCol w:w="1300"/>
        <w:gridCol w:w="1550"/>
        <w:gridCol w:w="1354"/>
      </w:tblGrid>
      <w:tr w14:paraId="71C0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shd w:val="clear" w:color="auto" w:fill="auto"/>
            <w:vAlign w:val="center"/>
          </w:tcPr>
          <w:p w14:paraId="413CF3E4">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序号</w:t>
            </w:r>
          </w:p>
        </w:tc>
        <w:tc>
          <w:tcPr>
            <w:tcW w:w="1499" w:type="dxa"/>
            <w:shd w:val="clear" w:color="auto" w:fill="auto"/>
            <w:vAlign w:val="center"/>
          </w:tcPr>
          <w:p w14:paraId="40880C3A">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货物名称</w:t>
            </w:r>
          </w:p>
        </w:tc>
        <w:tc>
          <w:tcPr>
            <w:tcW w:w="763" w:type="dxa"/>
            <w:shd w:val="clear" w:color="auto" w:fill="auto"/>
            <w:vAlign w:val="center"/>
          </w:tcPr>
          <w:p w14:paraId="1E6B69D6">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数量</w:t>
            </w:r>
          </w:p>
        </w:tc>
        <w:tc>
          <w:tcPr>
            <w:tcW w:w="700" w:type="dxa"/>
            <w:shd w:val="clear" w:color="auto" w:fill="auto"/>
            <w:vAlign w:val="center"/>
          </w:tcPr>
          <w:p w14:paraId="5E0F6D07">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单位</w:t>
            </w:r>
          </w:p>
        </w:tc>
        <w:tc>
          <w:tcPr>
            <w:tcW w:w="750" w:type="dxa"/>
            <w:shd w:val="clear" w:color="auto" w:fill="auto"/>
            <w:vAlign w:val="center"/>
          </w:tcPr>
          <w:p w14:paraId="76F98A8A">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税率</w:t>
            </w:r>
          </w:p>
        </w:tc>
        <w:tc>
          <w:tcPr>
            <w:tcW w:w="1350" w:type="dxa"/>
            <w:shd w:val="clear" w:color="auto" w:fill="auto"/>
            <w:vAlign w:val="center"/>
          </w:tcPr>
          <w:p w14:paraId="550EF01B">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不含税单价</w:t>
            </w:r>
          </w:p>
        </w:tc>
        <w:tc>
          <w:tcPr>
            <w:tcW w:w="1300" w:type="dxa"/>
            <w:shd w:val="clear" w:color="auto" w:fill="auto"/>
            <w:vAlign w:val="center"/>
          </w:tcPr>
          <w:p w14:paraId="5E6A672B">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含税单价</w:t>
            </w:r>
          </w:p>
        </w:tc>
        <w:tc>
          <w:tcPr>
            <w:tcW w:w="1550" w:type="dxa"/>
            <w:shd w:val="clear" w:color="auto" w:fill="auto"/>
            <w:vAlign w:val="center"/>
          </w:tcPr>
          <w:p w14:paraId="3697B1CA">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不含税小计</w:t>
            </w:r>
          </w:p>
        </w:tc>
        <w:tc>
          <w:tcPr>
            <w:tcW w:w="1354" w:type="dxa"/>
            <w:shd w:val="clear" w:color="auto" w:fill="auto"/>
            <w:vAlign w:val="center"/>
          </w:tcPr>
          <w:p w14:paraId="69ADF0A1">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含税小计</w:t>
            </w:r>
          </w:p>
        </w:tc>
      </w:tr>
      <w:tr w14:paraId="502E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shd w:val="clear" w:color="auto" w:fill="auto"/>
            <w:vAlign w:val="center"/>
          </w:tcPr>
          <w:p w14:paraId="7D462B7F">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w:t>
            </w:r>
          </w:p>
        </w:tc>
        <w:tc>
          <w:tcPr>
            <w:tcW w:w="1499" w:type="dxa"/>
            <w:shd w:val="clear" w:color="auto" w:fill="auto"/>
            <w:vAlign w:val="center"/>
          </w:tcPr>
          <w:p w14:paraId="7C2C78F8">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稀释剂（缩水甘油12-14烷基醚）</w:t>
            </w:r>
          </w:p>
        </w:tc>
        <w:tc>
          <w:tcPr>
            <w:tcW w:w="763" w:type="dxa"/>
            <w:shd w:val="clear" w:color="auto" w:fill="auto"/>
            <w:vAlign w:val="center"/>
          </w:tcPr>
          <w:p w14:paraId="582B03F2">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32.4</w:t>
            </w:r>
          </w:p>
        </w:tc>
        <w:tc>
          <w:tcPr>
            <w:tcW w:w="700" w:type="dxa"/>
            <w:shd w:val="clear" w:color="auto" w:fill="auto"/>
            <w:vAlign w:val="center"/>
          </w:tcPr>
          <w:p w14:paraId="00203D65">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吨</w:t>
            </w:r>
          </w:p>
        </w:tc>
        <w:tc>
          <w:tcPr>
            <w:tcW w:w="750" w:type="dxa"/>
            <w:shd w:val="clear" w:color="auto" w:fill="auto"/>
            <w:vAlign w:val="center"/>
          </w:tcPr>
          <w:p w14:paraId="17F3ECAF">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13%</w:t>
            </w:r>
          </w:p>
        </w:tc>
        <w:tc>
          <w:tcPr>
            <w:tcW w:w="1350" w:type="dxa"/>
            <w:shd w:val="clear" w:color="auto" w:fill="auto"/>
          </w:tcPr>
          <w:p w14:paraId="2170D45B">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300" w:type="dxa"/>
            <w:shd w:val="clear" w:color="auto" w:fill="auto"/>
          </w:tcPr>
          <w:p w14:paraId="54793341">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bookmarkStart w:id="548" w:name="_GoBack"/>
            <w:bookmarkEnd w:id="548"/>
          </w:p>
        </w:tc>
        <w:tc>
          <w:tcPr>
            <w:tcW w:w="1550" w:type="dxa"/>
            <w:shd w:val="clear" w:color="auto" w:fill="auto"/>
          </w:tcPr>
          <w:p w14:paraId="217D3D0A">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354" w:type="dxa"/>
            <w:shd w:val="clear" w:color="auto" w:fill="auto"/>
          </w:tcPr>
          <w:p w14:paraId="68D050B3">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r>
      <w:tr w14:paraId="72B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shd w:val="clear" w:color="auto" w:fill="auto"/>
            <w:vAlign w:val="center"/>
          </w:tcPr>
          <w:p w14:paraId="63186E02">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w:t>
            </w:r>
          </w:p>
        </w:tc>
        <w:tc>
          <w:tcPr>
            <w:tcW w:w="1499" w:type="dxa"/>
            <w:shd w:val="clear" w:color="auto" w:fill="auto"/>
            <w:vAlign w:val="center"/>
          </w:tcPr>
          <w:p w14:paraId="3454078F">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1,4-环己烷二甲醇二缩水甘油醚 XY-630</w:t>
            </w:r>
          </w:p>
        </w:tc>
        <w:tc>
          <w:tcPr>
            <w:tcW w:w="763" w:type="dxa"/>
            <w:shd w:val="clear" w:color="auto" w:fill="auto"/>
            <w:vAlign w:val="center"/>
          </w:tcPr>
          <w:p w14:paraId="4F64C094">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1200</w:t>
            </w:r>
          </w:p>
        </w:tc>
        <w:tc>
          <w:tcPr>
            <w:tcW w:w="700" w:type="dxa"/>
            <w:shd w:val="clear" w:color="auto" w:fill="auto"/>
            <w:vAlign w:val="center"/>
          </w:tcPr>
          <w:p w14:paraId="15DB9C5A">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千克</w:t>
            </w:r>
          </w:p>
        </w:tc>
        <w:tc>
          <w:tcPr>
            <w:tcW w:w="750" w:type="dxa"/>
            <w:shd w:val="clear" w:color="auto" w:fill="auto"/>
            <w:vAlign w:val="center"/>
          </w:tcPr>
          <w:p w14:paraId="37FFE530">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13%</w:t>
            </w:r>
          </w:p>
        </w:tc>
        <w:tc>
          <w:tcPr>
            <w:tcW w:w="1350" w:type="dxa"/>
            <w:shd w:val="clear" w:color="auto" w:fill="auto"/>
          </w:tcPr>
          <w:p w14:paraId="166D23D6">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300" w:type="dxa"/>
            <w:shd w:val="clear" w:color="auto" w:fill="auto"/>
          </w:tcPr>
          <w:p w14:paraId="1D595F78">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550" w:type="dxa"/>
            <w:shd w:val="clear" w:color="auto" w:fill="auto"/>
          </w:tcPr>
          <w:p w14:paraId="62E34629">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354" w:type="dxa"/>
            <w:shd w:val="clear" w:color="auto" w:fill="auto"/>
          </w:tcPr>
          <w:p w14:paraId="4569A68E">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r>
      <w:tr w14:paraId="316B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shd w:val="clear" w:color="auto" w:fill="auto"/>
            <w:vAlign w:val="center"/>
          </w:tcPr>
          <w:p w14:paraId="3F15418F">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3</w:t>
            </w:r>
          </w:p>
        </w:tc>
        <w:tc>
          <w:tcPr>
            <w:tcW w:w="1499" w:type="dxa"/>
            <w:shd w:val="clear" w:color="auto" w:fill="auto"/>
            <w:vAlign w:val="center"/>
          </w:tcPr>
          <w:p w14:paraId="41A363E7">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苯基缩水甘油醚 XY690</w:t>
            </w:r>
          </w:p>
        </w:tc>
        <w:tc>
          <w:tcPr>
            <w:tcW w:w="763" w:type="dxa"/>
            <w:shd w:val="clear" w:color="auto" w:fill="auto"/>
            <w:vAlign w:val="center"/>
          </w:tcPr>
          <w:p w14:paraId="240FF3D0">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7000</w:t>
            </w:r>
          </w:p>
        </w:tc>
        <w:tc>
          <w:tcPr>
            <w:tcW w:w="700" w:type="dxa"/>
            <w:shd w:val="clear" w:color="auto" w:fill="auto"/>
            <w:vAlign w:val="center"/>
          </w:tcPr>
          <w:p w14:paraId="005737F5">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千克</w:t>
            </w:r>
          </w:p>
        </w:tc>
        <w:tc>
          <w:tcPr>
            <w:tcW w:w="750" w:type="dxa"/>
            <w:shd w:val="clear" w:color="auto" w:fill="auto"/>
            <w:vAlign w:val="center"/>
          </w:tcPr>
          <w:p w14:paraId="71D825BF">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13%</w:t>
            </w:r>
          </w:p>
        </w:tc>
        <w:tc>
          <w:tcPr>
            <w:tcW w:w="1350" w:type="dxa"/>
            <w:shd w:val="clear" w:color="auto" w:fill="auto"/>
          </w:tcPr>
          <w:p w14:paraId="7AACA329">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300" w:type="dxa"/>
            <w:shd w:val="clear" w:color="auto" w:fill="auto"/>
          </w:tcPr>
          <w:p w14:paraId="2F3BE45C">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550" w:type="dxa"/>
            <w:shd w:val="clear" w:color="auto" w:fill="auto"/>
          </w:tcPr>
          <w:p w14:paraId="428B88C0">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354" w:type="dxa"/>
            <w:shd w:val="clear" w:color="auto" w:fill="auto"/>
          </w:tcPr>
          <w:p w14:paraId="1569A83B">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r>
      <w:tr w14:paraId="3264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shd w:val="clear" w:color="auto" w:fill="auto"/>
            <w:vAlign w:val="center"/>
          </w:tcPr>
          <w:p w14:paraId="36BC26F1">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w:t>
            </w:r>
          </w:p>
        </w:tc>
        <w:tc>
          <w:tcPr>
            <w:tcW w:w="1499" w:type="dxa"/>
            <w:shd w:val="clear" w:color="auto" w:fill="auto"/>
            <w:vAlign w:val="center"/>
          </w:tcPr>
          <w:p w14:paraId="70FE57C0">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聚乙二醇二缩水甘油醚 XY225</w:t>
            </w:r>
          </w:p>
        </w:tc>
        <w:tc>
          <w:tcPr>
            <w:tcW w:w="763" w:type="dxa"/>
            <w:shd w:val="clear" w:color="auto" w:fill="auto"/>
            <w:vAlign w:val="center"/>
          </w:tcPr>
          <w:p w14:paraId="09A37DAE">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6000</w:t>
            </w:r>
          </w:p>
        </w:tc>
        <w:tc>
          <w:tcPr>
            <w:tcW w:w="700" w:type="dxa"/>
            <w:shd w:val="clear" w:color="auto" w:fill="auto"/>
            <w:vAlign w:val="center"/>
          </w:tcPr>
          <w:p w14:paraId="623A1A41">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千克</w:t>
            </w:r>
          </w:p>
        </w:tc>
        <w:tc>
          <w:tcPr>
            <w:tcW w:w="750" w:type="dxa"/>
            <w:shd w:val="clear" w:color="auto" w:fill="auto"/>
            <w:vAlign w:val="center"/>
          </w:tcPr>
          <w:p w14:paraId="2B0FABBB">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13%</w:t>
            </w:r>
          </w:p>
        </w:tc>
        <w:tc>
          <w:tcPr>
            <w:tcW w:w="1350" w:type="dxa"/>
            <w:shd w:val="clear" w:color="auto" w:fill="auto"/>
          </w:tcPr>
          <w:p w14:paraId="78AE971C">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300" w:type="dxa"/>
            <w:shd w:val="clear" w:color="auto" w:fill="auto"/>
          </w:tcPr>
          <w:p w14:paraId="38DB899E">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550" w:type="dxa"/>
            <w:shd w:val="clear" w:color="auto" w:fill="auto"/>
          </w:tcPr>
          <w:p w14:paraId="45B4EA95">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354" w:type="dxa"/>
            <w:shd w:val="clear" w:color="auto" w:fill="auto"/>
          </w:tcPr>
          <w:p w14:paraId="1CB6C52F">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r>
      <w:tr w14:paraId="721C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shd w:val="clear" w:color="auto" w:fill="auto"/>
            <w:vAlign w:val="center"/>
          </w:tcPr>
          <w:p w14:paraId="2B424F93">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5</w:t>
            </w:r>
          </w:p>
        </w:tc>
        <w:tc>
          <w:tcPr>
            <w:tcW w:w="1499" w:type="dxa"/>
            <w:shd w:val="clear" w:color="auto" w:fill="auto"/>
            <w:vAlign w:val="center"/>
          </w:tcPr>
          <w:p w14:paraId="71C0A1EF">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三羟甲基丙烷三缩水甘油醚 XY636</w:t>
            </w:r>
          </w:p>
        </w:tc>
        <w:tc>
          <w:tcPr>
            <w:tcW w:w="763" w:type="dxa"/>
            <w:shd w:val="clear" w:color="auto" w:fill="auto"/>
            <w:vAlign w:val="center"/>
          </w:tcPr>
          <w:p w14:paraId="00AFF16E">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w:t>
            </w:r>
          </w:p>
        </w:tc>
        <w:tc>
          <w:tcPr>
            <w:tcW w:w="700" w:type="dxa"/>
            <w:shd w:val="clear" w:color="auto" w:fill="auto"/>
            <w:vAlign w:val="center"/>
          </w:tcPr>
          <w:p w14:paraId="69FBEB0E">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吨</w:t>
            </w:r>
          </w:p>
        </w:tc>
        <w:tc>
          <w:tcPr>
            <w:tcW w:w="750" w:type="dxa"/>
            <w:shd w:val="clear" w:color="auto" w:fill="auto"/>
            <w:vAlign w:val="center"/>
          </w:tcPr>
          <w:p w14:paraId="7C216175">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13%</w:t>
            </w:r>
          </w:p>
        </w:tc>
        <w:tc>
          <w:tcPr>
            <w:tcW w:w="1350" w:type="dxa"/>
            <w:shd w:val="clear" w:color="auto" w:fill="auto"/>
          </w:tcPr>
          <w:p w14:paraId="50B33377">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300" w:type="dxa"/>
            <w:shd w:val="clear" w:color="auto" w:fill="auto"/>
          </w:tcPr>
          <w:p w14:paraId="048CA461">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550" w:type="dxa"/>
            <w:shd w:val="clear" w:color="auto" w:fill="auto"/>
          </w:tcPr>
          <w:p w14:paraId="62209F47">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354" w:type="dxa"/>
            <w:shd w:val="clear" w:color="auto" w:fill="auto"/>
          </w:tcPr>
          <w:p w14:paraId="5DB48D2A">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r>
      <w:tr w14:paraId="7183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36" w:type="dxa"/>
            <w:gridSpan w:val="7"/>
            <w:shd w:val="clear" w:color="auto" w:fill="auto"/>
          </w:tcPr>
          <w:p w14:paraId="01FE157B">
            <w:pPr>
              <w:pStyle w:val="19"/>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合计</w:t>
            </w:r>
            <w:r>
              <w:rPr>
                <w:rFonts w:asciiTheme="minorEastAsia" w:hAnsiTheme="minorEastAsia" w:eastAsiaTheme="minorEastAsia"/>
                <w:color w:val="000000" w:themeColor="text1"/>
                <w:sz w:val="21"/>
                <w:szCs w:val="21"/>
                <w:highlight w:val="none"/>
                <w14:textFill>
                  <w14:solidFill>
                    <w14:schemeClr w14:val="tx1"/>
                  </w14:solidFill>
                </w14:textFill>
              </w:rPr>
              <w:t>：</w:t>
            </w:r>
          </w:p>
        </w:tc>
        <w:tc>
          <w:tcPr>
            <w:tcW w:w="1550" w:type="dxa"/>
            <w:shd w:val="clear" w:color="auto" w:fill="auto"/>
          </w:tcPr>
          <w:p w14:paraId="6B4C8671">
            <w:pPr>
              <w:pStyle w:val="19"/>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1354" w:type="dxa"/>
            <w:shd w:val="clear" w:color="auto" w:fill="auto"/>
          </w:tcPr>
          <w:p w14:paraId="465F3171">
            <w:pPr>
              <w:pStyle w:val="19"/>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r>
      <w:tr w14:paraId="6E2A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0" w:type="dxa"/>
            <w:gridSpan w:val="9"/>
            <w:shd w:val="clear" w:color="auto" w:fill="auto"/>
          </w:tcPr>
          <w:p w14:paraId="19738464">
            <w:pPr>
              <w:pStyle w:val="19"/>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r w14:paraId="1A22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0" w:type="dxa"/>
            <w:gridSpan w:val="9"/>
            <w:shd w:val="clear" w:color="auto" w:fill="auto"/>
          </w:tcPr>
          <w:p w14:paraId="1DDA4636">
            <w:pPr>
              <w:pStyle w:val="19"/>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bl>
    <w:p w14:paraId="7706F482">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14:paraId="2175AA1F">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14:paraId="5FBA7E83">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自合同订立之日起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14:paraId="7F175E7F">
      <w:pPr>
        <w:pStyle w:val="19"/>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14:paraId="255822EA">
      <w:pPr>
        <w:pStyle w:val="19"/>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14:paraId="0A9496B6">
      <w:pPr>
        <w:pStyle w:val="19"/>
        <w:spacing w:line="276" w:lineRule="auto"/>
        <w:ind w:firstLine="0"/>
        <w:jc w:val="left"/>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pPr>
      <w: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t>5、合同定价模式：固定单价/费率合同。</w:t>
      </w:r>
    </w:p>
    <w:p w14:paraId="790803A1">
      <w:pPr>
        <w:pStyle w:val="19"/>
        <w:spacing w:line="276" w:lineRule="auto"/>
        <w:ind w:firstLine="0"/>
        <w:jc w:val="left"/>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pPr>
      <w: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t>合同为固定单价年度费率合同，合同有效期内，买方以签署采购订单形式一次或分批向卖方购买本合同约定范围内的货物。同时增加调价机制：当相关产品或原料价格上浮超出10％（含10％），卖方可提供相关证明材料，经买方认可后，允许卖方提出合同全部价格或部分价格终止执行书面申请，进行协议终止、变更或暂留，且不对卖方进行履约异常处罚。在提出合同终止申请后一个月内，卖方应继续按照原合同价格保障买方需求供应。买方将重新启动项目采购工作。在协议执行过程中，当相关产品价格出现下浮，买方有权与卖方就合同价格进行谈判，由买方执行方与卖方谈判、协商，确定当期订单价格，订单按流程由买方执行方权限领导完成审批；如经谈判协商后，买方执行方与卖方就当期订单价格无法达成一致，买方有权另行采购；</w:t>
      </w:r>
    </w:p>
    <w:p w14:paraId="17823038">
      <w:pPr>
        <w:pStyle w:val="19"/>
        <w:spacing w:line="276" w:lineRule="auto"/>
        <w:ind w:firstLine="0"/>
        <w:jc w:val="left"/>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pPr>
      <w: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t>6、其它。应答人如有其它说明请补充。</w:t>
      </w:r>
    </w:p>
    <w:p w14:paraId="578A8D91">
      <w:pPr>
        <w:pStyle w:val="19"/>
        <w:spacing w:line="276" w:lineRule="auto"/>
        <w:ind w:firstLine="0"/>
        <w:jc w:val="left"/>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pPr>
      <w: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t>7、应答人商务联系人姓名________电话_______________邮箱_______________</w:t>
      </w:r>
    </w:p>
    <w:p w14:paraId="4C59D8BE">
      <w:pPr>
        <w:pStyle w:val="19"/>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14:paraId="51EFE669">
      <w:pPr>
        <w:pStyle w:val="19"/>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14:paraId="4858E720">
      <w:pPr>
        <w:pStyle w:val="19"/>
        <w:spacing w:line="360" w:lineRule="auto"/>
        <w:ind w:right="560" w:firstLine="4830" w:firstLineChars="2300"/>
        <w:rPr>
          <w:lang w:val="en-US" w:eastAsia="zh-CN"/>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DemiLight">
    <w:altName w:val="宋体"/>
    <w:panose1 w:val="00000000000000000000"/>
    <w:charset w:val="86"/>
    <w:family w:val="swiss"/>
    <w:pitch w:val="default"/>
    <w:sig w:usb0="00000000" w:usb1="00000000" w:usb2="00000016" w:usb3="00000000" w:csb0="002E0107"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宋">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906C3">
    <w:pPr>
      <w:pStyle w:val="12"/>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EC5C3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EEC5C3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54717">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A85B9"/>
    <w:multiLevelType w:val="singleLevel"/>
    <w:tmpl w:val="99CA85B9"/>
    <w:lvl w:ilvl="0" w:tentative="0">
      <w:start w:val="1"/>
      <w:numFmt w:val="chineseCounting"/>
      <w:suff w:val="nothing"/>
      <w:lvlText w:val="%1、"/>
      <w:lvlJc w:val="left"/>
      <w:rPr>
        <w:rFonts w:hint="eastAsia"/>
      </w:rPr>
    </w:lvl>
  </w:abstractNum>
  <w:abstractNum w:abstractNumId="1">
    <w:nsid w:val="00000009"/>
    <w:multiLevelType w:val="multilevel"/>
    <w:tmpl w:val="00000009"/>
    <w:lvl w:ilvl="0" w:tentative="0">
      <w:start w:val="1"/>
      <w:numFmt w:val="decimal"/>
      <w:lvlText w:val="21.%1"/>
      <w:lvlJc w:val="left"/>
      <w:pPr>
        <w:tabs>
          <w:tab w:val="left" w:pos="420"/>
        </w:tabs>
        <w:ind w:left="420" w:hanging="420"/>
      </w:pPr>
      <w:rPr>
        <w:rFonts w:ascii="Times New Roman" w:hAnsi="Times New Roman" w:cs="Times New Roman"/>
        <w:b w:val="0"/>
        <w:bCs w:val="0"/>
        <w:i w:val="0"/>
        <w:iCs w:val="0"/>
        <w:color w:val="000000"/>
        <w:spacing w:val="0"/>
        <w:kern w:val="2"/>
        <w:sz w:val="24"/>
        <w:szCs w:val="24"/>
      </w:rPr>
    </w:lvl>
    <w:lvl w:ilvl="1" w:tentative="0">
      <w:start w:val="1"/>
      <w:numFmt w:val="lowerLetter"/>
      <w:lvlText w:val="%2)"/>
      <w:lvlJc w:val="left"/>
      <w:pPr>
        <w:tabs>
          <w:tab w:val="left" w:pos="840"/>
        </w:tabs>
        <w:ind w:left="840" w:hanging="420"/>
      </w:pPr>
      <w:rPr>
        <w:rFonts w:ascii="Times New Roman" w:hAnsi="Times New Roman" w:cs="Times New Roman"/>
        <w:spacing w:val="0"/>
        <w:kern w:val="2"/>
        <w:sz w:val="21"/>
        <w:szCs w:val="21"/>
      </w:rPr>
    </w:lvl>
    <w:lvl w:ilvl="2" w:tentative="0">
      <w:start w:val="1"/>
      <w:numFmt w:val="lowerRoman"/>
      <w:lvlText w:val="%3."/>
      <w:lvlJc w:val="right"/>
      <w:pPr>
        <w:tabs>
          <w:tab w:val="left" w:pos="1260"/>
        </w:tabs>
        <w:ind w:left="1260" w:hanging="420"/>
      </w:pPr>
      <w:rPr>
        <w:rFonts w:ascii="Times New Roman" w:hAnsi="Times New Roman" w:cs="Times New Roman"/>
        <w:spacing w:val="0"/>
        <w:kern w:val="2"/>
        <w:sz w:val="21"/>
        <w:szCs w:val="21"/>
      </w:rPr>
    </w:lvl>
    <w:lvl w:ilvl="3" w:tentative="0">
      <w:start w:val="1"/>
      <w:numFmt w:val="decimal"/>
      <w:lvlText w:val="%4."/>
      <w:lvlJc w:val="left"/>
      <w:pPr>
        <w:tabs>
          <w:tab w:val="left" w:pos="1680"/>
        </w:tabs>
        <w:ind w:left="1680" w:hanging="420"/>
      </w:pPr>
      <w:rPr>
        <w:rFonts w:ascii="Times New Roman" w:hAnsi="Times New Roman" w:cs="Times New Roman"/>
        <w:spacing w:val="0"/>
        <w:kern w:val="2"/>
        <w:sz w:val="21"/>
        <w:szCs w:val="21"/>
      </w:rPr>
    </w:lvl>
    <w:lvl w:ilvl="4" w:tentative="0">
      <w:start w:val="1"/>
      <w:numFmt w:val="lowerLetter"/>
      <w:lvlText w:val="%5)"/>
      <w:lvlJc w:val="left"/>
      <w:pPr>
        <w:tabs>
          <w:tab w:val="left" w:pos="2100"/>
        </w:tabs>
        <w:ind w:left="2100" w:hanging="420"/>
      </w:pPr>
      <w:rPr>
        <w:rFonts w:ascii="Times New Roman" w:hAnsi="Times New Roman" w:cs="Times New Roman"/>
        <w:spacing w:val="0"/>
        <w:kern w:val="2"/>
        <w:sz w:val="21"/>
        <w:szCs w:val="21"/>
      </w:rPr>
    </w:lvl>
    <w:lvl w:ilvl="5" w:tentative="0">
      <w:start w:val="1"/>
      <w:numFmt w:val="lowerRoman"/>
      <w:lvlText w:val="%6."/>
      <w:lvlJc w:val="right"/>
      <w:pPr>
        <w:tabs>
          <w:tab w:val="left" w:pos="2520"/>
        </w:tabs>
        <w:ind w:left="2520" w:hanging="420"/>
      </w:pPr>
      <w:rPr>
        <w:rFonts w:ascii="Times New Roman" w:hAnsi="Times New Roman" w:cs="Times New Roman"/>
        <w:spacing w:val="0"/>
        <w:kern w:val="2"/>
        <w:sz w:val="21"/>
        <w:szCs w:val="21"/>
      </w:rPr>
    </w:lvl>
    <w:lvl w:ilvl="6" w:tentative="0">
      <w:start w:val="1"/>
      <w:numFmt w:val="decimal"/>
      <w:lvlText w:val="%7."/>
      <w:lvlJc w:val="left"/>
      <w:pPr>
        <w:tabs>
          <w:tab w:val="left" w:pos="2940"/>
        </w:tabs>
        <w:ind w:left="2940" w:hanging="420"/>
      </w:pPr>
      <w:rPr>
        <w:rFonts w:ascii="Times New Roman" w:hAnsi="Times New Roman" w:cs="Times New Roman"/>
        <w:spacing w:val="0"/>
        <w:kern w:val="2"/>
        <w:sz w:val="21"/>
        <w:szCs w:val="21"/>
      </w:rPr>
    </w:lvl>
    <w:lvl w:ilvl="7" w:tentative="0">
      <w:start w:val="1"/>
      <w:numFmt w:val="lowerLetter"/>
      <w:lvlText w:val="%8)"/>
      <w:lvlJc w:val="left"/>
      <w:pPr>
        <w:tabs>
          <w:tab w:val="left" w:pos="3360"/>
        </w:tabs>
        <w:ind w:left="3360" w:hanging="420"/>
      </w:pPr>
      <w:rPr>
        <w:rFonts w:ascii="Times New Roman" w:hAnsi="Times New Roman" w:cs="Times New Roman"/>
        <w:spacing w:val="0"/>
        <w:kern w:val="2"/>
        <w:sz w:val="21"/>
        <w:szCs w:val="21"/>
      </w:rPr>
    </w:lvl>
    <w:lvl w:ilvl="8" w:tentative="0">
      <w:start w:val="1"/>
      <w:numFmt w:val="lowerRoman"/>
      <w:lvlText w:val="%9."/>
      <w:lvlJc w:val="right"/>
      <w:pPr>
        <w:tabs>
          <w:tab w:val="left" w:pos="3780"/>
        </w:tabs>
        <w:ind w:left="3780" w:hanging="420"/>
      </w:pPr>
      <w:rPr>
        <w:rFonts w:ascii="Times New Roman" w:hAnsi="Times New Roman" w:cs="Times New Roman"/>
        <w:spacing w:val="0"/>
        <w:kern w:val="2"/>
        <w:sz w:val="21"/>
        <w:szCs w:val="21"/>
      </w:rPr>
    </w:lvl>
  </w:abstractNum>
  <w:abstractNum w:abstractNumId="2">
    <w:nsid w:val="004D49EC"/>
    <w:multiLevelType w:val="multilevel"/>
    <w:tmpl w:val="004D49EC"/>
    <w:lvl w:ilvl="0" w:tentative="0">
      <w:start w:val="1"/>
      <w:numFmt w:val="decimal"/>
      <w:lvlText w:val="5.%1"/>
      <w:lvlJc w:val="left"/>
      <w:pPr>
        <w:tabs>
          <w:tab w:val="left" w:pos="1468"/>
        </w:tabs>
        <w:ind w:left="1468" w:firstLine="1260"/>
      </w:pPr>
      <w:rPr>
        <w:rFonts w:hint="default" w:ascii="Times New Roman" w:hAnsi="Times New Roman" w:cs="Times New Roman"/>
        <w:b w:val="0"/>
        <w:bCs/>
        <w:i w:val="0"/>
        <w:iCs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1A952B9"/>
    <w:multiLevelType w:val="multilevel"/>
    <w:tmpl w:val="01A952B9"/>
    <w:lvl w:ilvl="0" w:tentative="0">
      <w:start w:val="1"/>
      <w:numFmt w:val="decimal"/>
      <w:lvlText w:val="1.%1"/>
      <w:lvlJc w:val="left"/>
      <w:pPr>
        <w:tabs>
          <w:tab w:val="left" w:pos="-1140"/>
        </w:tabs>
        <w:ind w:left="-1140" w:firstLine="1260"/>
      </w:pPr>
      <w:rPr>
        <w:rFonts w:hint="default" w:ascii="Times New Roman" w:hAnsi="Times New Roman" w:eastAsia="宋体"/>
      </w:rPr>
    </w:lvl>
    <w:lvl w:ilvl="1" w:tentative="0">
      <w:start w:val="1"/>
      <w:numFmt w:val="decimal"/>
      <w:lvlText w:val="(%2)"/>
      <w:lvlJc w:val="left"/>
      <w:pPr>
        <w:ind w:left="-1798" w:hanging="390"/>
      </w:pPr>
      <w:rPr>
        <w:rFonts w:hint="default"/>
      </w:rPr>
    </w:lvl>
    <w:lvl w:ilvl="2" w:tentative="0">
      <w:start w:val="1"/>
      <w:numFmt w:val="lowerRoman"/>
      <w:lvlText w:val="%3."/>
      <w:lvlJc w:val="right"/>
      <w:pPr>
        <w:tabs>
          <w:tab w:val="left" w:pos="-1348"/>
        </w:tabs>
        <w:ind w:left="-1348" w:hanging="420"/>
      </w:pPr>
    </w:lvl>
    <w:lvl w:ilvl="3" w:tentative="0">
      <w:start w:val="1"/>
      <w:numFmt w:val="decimal"/>
      <w:lvlText w:val="%4."/>
      <w:lvlJc w:val="left"/>
      <w:pPr>
        <w:tabs>
          <w:tab w:val="left" w:pos="-928"/>
        </w:tabs>
        <w:ind w:left="-928" w:hanging="420"/>
      </w:pPr>
    </w:lvl>
    <w:lvl w:ilvl="4" w:tentative="0">
      <w:start w:val="1"/>
      <w:numFmt w:val="lowerLetter"/>
      <w:lvlText w:val="%5)"/>
      <w:lvlJc w:val="left"/>
      <w:pPr>
        <w:tabs>
          <w:tab w:val="left" w:pos="-508"/>
        </w:tabs>
        <w:ind w:left="-508" w:hanging="420"/>
      </w:pPr>
    </w:lvl>
    <w:lvl w:ilvl="5" w:tentative="0">
      <w:start w:val="1"/>
      <w:numFmt w:val="lowerRoman"/>
      <w:lvlText w:val="%6."/>
      <w:lvlJc w:val="right"/>
      <w:pPr>
        <w:tabs>
          <w:tab w:val="left" w:pos="-88"/>
        </w:tabs>
        <w:ind w:left="-88" w:hanging="420"/>
      </w:pPr>
    </w:lvl>
    <w:lvl w:ilvl="6" w:tentative="0">
      <w:start w:val="1"/>
      <w:numFmt w:val="decimal"/>
      <w:lvlText w:val="%7."/>
      <w:lvlJc w:val="left"/>
      <w:pPr>
        <w:tabs>
          <w:tab w:val="left" w:pos="332"/>
        </w:tabs>
        <w:ind w:left="332" w:hanging="420"/>
      </w:pPr>
    </w:lvl>
    <w:lvl w:ilvl="7" w:tentative="0">
      <w:start w:val="1"/>
      <w:numFmt w:val="lowerLetter"/>
      <w:lvlText w:val="%8)"/>
      <w:lvlJc w:val="left"/>
      <w:pPr>
        <w:tabs>
          <w:tab w:val="left" w:pos="752"/>
        </w:tabs>
        <w:ind w:left="752" w:hanging="420"/>
      </w:pPr>
    </w:lvl>
    <w:lvl w:ilvl="8" w:tentative="0">
      <w:start w:val="1"/>
      <w:numFmt w:val="lowerRoman"/>
      <w:lvlText w:val="%9."/>
      <w:lvlJc w:val="right"/>
      <w:pPr>
        <w:tabs>
          <w:tab w:val="left" w:pos="1172"/>
        </w:tabs>
        <w:ind w:left="1172" w:hanging="420"/>
      </w:pPr>
    </w:lvl>
  </w:abstractNum>
  <w:abstractNum w:abstractNumId="4">
    <w:nsid w:val="048C2553"/>
    <w:multiLevelType w:val="multilevel"/>
    <w:tmpl w:val="048C2553"/>
    <w:lvl w:ilvl="0" w:tentative="0">
      <w:start w:val="1"/>
      <w:numFmt w:val="decimal"/>
      <w:lvlText w:val="12.%1"/>
      <w:lvlJc w:val="left"/>
      <w:pPr>
        <w:tabs>
          <w:tab w:val="left" w:pos="2248"/>
        </w:tabs>
        <w:ind w:left="3148"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6CF52F1"/>
    <w:multiLevelType w:val="multilevel"/>
    <w:tmpl w:val="06CF52F1"/>
    <w:lvl w:ilvl="0" w:tentative="0">
      <w:start w:val="1"/>
      <w:numFmt w:val="decimal"/>
      <w:lvlText w:val="3.%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75744EF"/>
    <w:multiLevelType w:val="multilevel"/>
    <w:tmpl w:val="075744EF"/>
    <w:lvl w:ilvl="0" w:tentative="0">
      <w:start w:val="1"/>
      <w:numFmt w:val="decimal"/>
      <w:lvlText w:val="5.%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78F2E65"/>
    <w:multiLevelType w:val="multilevel"/>
    <w:tmpl w:val="078F2E65"/>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8">
    <w:nsid w:val="09D14F57"/>
    <w:multiLevelType w:val="multilevel"/>
    <w:tmpl w:val="09D14F57"/>
    <w:lvl w:ilvl="0" w:tentative="0">
      <w:start w:val="1"/>
      <w:numFmt w:val="decimal"/>
      <w:lvlText w:val="15.%1"/>
      <w:lvlJc w:val="left"/>
      <w:pPr>
        <w:tabs>
          <w:tab w:val="left" w:pos="1468"/>
        </w:tabs>
        <w:ind w:left="1468" w:firstLine="1260"/>
      </w:pPr>
      <w:rPr>
        <w:rFonts w:hint="default" w:ascii="Times New Roman" w:hAnsi="Times New Roman" w:cs="Times New Roman"/>
        <w:b w:val="0"/>
        <w:color w:val="auto"/>
        <w:sz w:val="24"/>
        <w:szCs w:val="24"/>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BFE5371"/>
    <w:multiLevelType w:val="multilevel"/>
    <w:tmpl w:val="0BFE5371"/>
    <w:lvl w:ilvl="0" w:tentative="0">
      <w:start w:val="1"/>
      <w:numFmt w:val="decimal"/>
      <w:lvlText w:val="25.%1"/>
      <w:lvlJc w:val="left"/>
      <w:pPr>
        <w:tabs>
          <w:tab w:val="left" w:pos="420"/>
        </w:tabs>
        <w:ind w:left="420" w:hanging="420"/>
      </w:pPr>
      <w:rPr>
        <w:rFonts w:ascii="Times New Roman" w:hAnsi="Times New Roman" w:cs="Times New Roman"/>
        <w:b w:val="0"/>
        <w:bCs w:val="0"/>
        <w:i w:val="0"/>
        <w:iCs w:val="0"/>
        <w:color w:val="000000"/>
        <w:spacing w:val="0"/>
        <w:kern w:val="2"/>
        <w:sz w:val="21"/>
        <w:szCs w:val="21"/>
      </w:rPr>
    </w:lvl>
    <w:lvl w:ilvl="1" w:tentative="0">
      <w:start w:val="1"/>
      <w:numFmt w:val="decimal"/>
      <w:lvlText w:val="21.%2"/>
      <w:lvlJc w:val="left"/>
      <w:pPr>
        <w:tabs>
          <w:tab w:val="left" w:pos="840"/>
        </w:tabs>
        <w:ind w:left="840" w:hanging="420"/>
      </w:pPr>
      <w:rPr>
        <w:rFonts w:ascii="Times New Roman" w:hAnsi="Times New Roman" w:cs="Times New Roman"/>
        <w:color w:val="000000"/>
        <w:spacing w:val="0"/>
        <w:kern w:val="2"/>
        <w:sz w:val="21"/>
        <w:szCs w:val="21"/>
      </w:rPr>
    </w:lvl>
    <w:lvl w:ilvl="2" w:tentative="0">
      <w:start w:val="1"/>
      <w:numFmt w:val="lowerRoman"/>
      <w:lvlText w:val="%3."/>
      <w:lvlJc w:val="right"/>
      <w:pPr>
        <w:tabs>
          <w:tab w:val="left" w:pos="1260"/>
        </w:tabs>
        <w:ind w:left="1260" w:hanging="420"/>
      </w:pPr>
      <w:rPr>
        <w:rFonts w:ascii="Times New Roman" w:hAnsi="Times New Roman" w:cs="Times New Roman"/>
        <w:spacing w:val="0"/>
        <w:kern w:val="2"/>
        <w:sz w:val="21"/>
        <w:szCs w:val="21"/>
      </w:rPr>
    </w:lvl>
    <w:lvl w:ilvl="3" w:tentative="0">
      <w:start w:val="1"/>
      <w:numFmt w:val="decimal"/>
      <w:lvlText w:val="%4."/>
      <w:lvlJc w:val="left"/>
      <w:pPr>
        <w:tabs>
          <w:tab w:val="left" w:pos="1680"/>
        </w:tabs>
        <w:ind w:left="1680" w:hanging="420"/>
      </w:pPr>
      <w:rPr>
        <w:rFonts w:ascii="Times New Roman" w:hAnsi="Times New Roman" w:cs="Times New Roman"/>
        <w:spacing w:val="0"/>
        <w:kern w:val="2"/>
        <w:sz w:val="21"/>
        <w:szCs w:val="21"/>
      </w:rPr>
    </w:lvl>
    <w:lvl w:ilvl="4" w:tentative="0">
      <w:start w:val="1"/>
      <w:numFmt w:val="lowerLetter"/>
      <w:lvlText w:val="%5)"/>
      <w:lvlJc w:val="left"/>
      <w:pPr>
        <w:tabs>
          <w:tab w:val="left" w:pos="2100"/>
        </w:tabs>
        <w:ind w:left="2100" w:hanging="420"/>
      </w:pPr>
      <w:rPr>
        <w:rFonts w:ascii="Times New Roman" w:hAnsi="Times New Roman" w:cs="Times New Roman"/>
        <w:spacing w:val="0"/>
        <w:kern w:val="2"/>
        <w:sz w:val="21"/>
        <w:szCs w:val="21"/>
      </w:rPr>
    </w:lvl>
    <w:lvl w:ilvl="5" w:tentative="0">
      <w:start w:val="1"/>
      <w:numFmt w:val="lowerRoman"/>
      <w:lvlText w:val="%6."/>
      <w:lvlJc w:val="right"/>
      <w:pPr>
        <w:tabs>
          <w:tab w:val="left" w:pos="2520"/>
        </w:tabs>
        <w:ind w:left="2520" w:hanging="420"/>
      </w:pPr>
      <w:rPr>
        <w:rFonts w:ascii="Times New Roman" w:hAnsi="Times New Roman" w:cs="Times New Roman"/>
        <w:spacing w:val="0"/>
        <w:kern w:val="2"/>
        <w:sz w:val="21"/>
        <w:szCs w:val="21"/>
      </w:rPr>
    </w:lvl>
    <w:lvl w:ilvl="6" w:tentative="0">
      <w:start w:val="1"/>
      <w:numFmt w:val="decimal"/>
      <w:lvlText w:val="%7."/>
      <w:lvlJc w:val="left"/>
      <w:pPr>
        <w:tabs>
          <w:tab w:val="left" w:pos="2940"/>
        </w:tabs>
        <w:ind w:left="2940" w:hanging="420"/>
      </w:pPr>
      <w:rPr>
        <w:rFonts w:ascii="Times New Roman" w:hAnsi="Times New Roman" w:cs="Times New Roman"/>
        <w:spacing w:val="0"/>
        <w:kern w:val="2"/>
        <w:sz w:val="21"/>
        <w:szCs w:val="21"/>
      </w:rPr>
    </w:lvl>
    <w:lvl w:ilvl="7" w:tentative="0">
      <w:start w:val="1"/>
      <w:numFmt w:val="lowerLetter"/>
      <w:lvlText w:val="%8)"/>
      <w:lvlJc w:val="left"/>
      <w:pPr>
        <w:tabs>
          <w:tab w:val="left" w:pos="3360"/>
        </w:tabs>
        <w:ind w:left="3360" w:hanging="420"/>
      </w:pPr>
      <w:rPr>
        <w:rFonts w:ascii="Times New Roman" w:hAnsi="Times New Roman" w:cs="Times New Roman"/>
        <w:spacing w:val="0"/>
        <w:kern w:val="2"/>
        <w:sz w:val="21"/>
        <w:szCs w:val="21"/>
      </w:rPr>
    </w:lvl>
    <w:lvl w:ilvl="8" w:tentative="0">
      <w:start w:val="1"/>
      <w:numFmt w:val="lowerRoman"/>
      <w:lvlText w:val="%9."/>
      <w:lvlJc w:val="right"/>
      <w:pPr>
        <w:tabs>
          <w:tab w:val="left" w:pos="3780"/>
        </w:tabs>
        <w:ind w:left="3780" w:hanging="420"/>
      </w:pPr>
      <w:rPr>
        <w:rFonts w:ascii="Times New Roman" w:hAnsi="Times New Roman" w:cs="Times New Roman"/>
        <w:spacing w:val="0"/>
        <w:kern w:val="2"/>
        <w:sz w:val="21"/>
        <w:szCs w:val="21"/>
      </w:rPr>
    </w:lvl>
  </w:abstractNum>
  <w:abstractNum w:abstractNumId="10">
    <w:nsid w:val="10EC70B3"/>
    <w:multiLevelType w:val="multilevel"/>
    <w:tmpl w:val="10EC70B3"/>
    <w:lvl w:ilvl="0" w:tentative="0">
      <w:start w:val="1"/>
      <w:numFmt w:val="decimal"/>
      <w:lvlText w:val="11.%1"/>
      <w:lvlJc w:val="left"/>
      <w:pPr>
        <w:ind w:left="900" w:hanging="420"/>
      </w:pPr>
      <w:rPr>
        <w:rFonts w:hint="eastAsia" w:cs="Times New Roman"/>
        <w:b w:val="0"/>
        <w:i w:val="0"/>
        <w:color w:val="000000"/>
        <w:sz w:val="24"/>
        <w:szCs w:val="24"/>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1">
    <w:nsid w:val="1265667D"/>
    <w:multiLevelType w:val="multilevel"/>
    <w:tmpl w:val="1265667D"/>
    <w:lvl w:ilvl="0" w:tentative="0">
      <w:start w:val="1"/>
      <w:numFmt w:val="decimal"/>
      <w:lvlText w:val="2.%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3777C73"/>
    <w:multiLevelType w:val="multilevel"/>
    <w:tmpl w:val="13777C73"/>
    <w:lvl w:ilvl="0" w:tentative="0">
      <w:start w:val="1"/>
      <w:numFmt w:val="decimal"/>
      <w:lvlText w:val="%1"/>
      <w:lvlJc w:val="left"/>
      <w:pPr>
        <w:ind w:left="540" w:hanging="540"/>
      </w:pPr>
      <w:rPr>
        <w:rFonts w:hint="default"/>
      </w:rPr>
    </w:lvl>
    <w:lvl w:ilvl="1" w:tentative="0">
      <w:start w:val="1"/>
      <w:numFmt w:val="decimal"/>
      <w:lvlText w:val="%1.%2"/>
      <w:lvlJc w:val="left"/>
      <w:pPr>
        <w:ind w:left="542" w:hanging="540"/>
      </w:pPr>
      <w:rPr>
        <w:rFonts w:hint="default" w:ascii="Times New Roman" w:hAnsi="Times New Roman" w:cs="Times New Roman"/>
        <w:b w:val="0"/>
        <w:bCs w:val="0"/>
      </w:rPr>
    </w:lvl>
    <w:lvl w:ilvl="2" w:tentative="0">
      <w:start w:val="1"/>
      <w:numFmt w:val="decimal"/>
      <w:lvlText w:val="%1.%2.%3"/>
      <w:lvlJc w:val="left"/>
      <w:pPr>
        <w:ind w:left="724" w:hanging="720"/>
      </w:pPr>
      <w:rPr>
        <w:rFonts w:hint="default"/>
      </w:rPr>
    </w:lvl>
    <w:lvl w:ilvl="3" w:tentative="0">
      <w:start w:val="1"/>
      <w:numFmt w:val="decimal"/>
      <w:lvlText w:val="%1.%2.%3.%4"/>
      <w:lvlJc w:val="left"/>
      <w:pPr>
        <w:ind w:left="726" w:hanging="720"/>
      </w:pPr>
      <w:rPr>
        <w:rFonts w:hint="default"/>
      </w:rPr>
    </w:lvl>
    <w:lvl w:ilvl="4" w:tentative="0">
      <w:start w:val="1"/>
      <w:numFmt w:val="decimal"/>
      <w:lvlText w:val="%1.%2.%3.%4.%5"/>
      <w:lvlJc w:val="left"/>
      <w:pPr>
        <w:ind w:left="1088" w:hanging="1080"/>
      </w:pPr>
      <w:rPr>
        <w:rFonts w:hint="default"/>
      </w:rPr>
    </w:lvl>
    <w:lvl w:ilvl="5" w:tentative="0">
      <w:start w:val="1"/>
      <w:numFmt w:val="decimal"/>
      <w:lvlText w:val="%1.%2.%3.%4.%5.%6"/>
      <w:lvlJc w:val="left"/>
      <w:pPr>
        <w:ind w:left="1090" w:hanging="1080"/>
      </w:pPr>
      <w:rPr>
        <w:rFonts w:hint="default"/>
      </w:rPr>
    </w:lvl>
    <w:lvl w:ilvl="6" w:tentative="0">
      <w:start w:val="1"/>
      <w:numFmt w:val="decimal"/>
      <w:lvlText w:val="%1.%2.%3.%4.%5.%6.%7"/>
      <w:lvlJc w:val="left"/>
      <w:pPr>
        <w:ind w:left="1452" w:hanging="1440"/>
      </w:pPr>
      <w:rPr>
        <w:rFonts w:hint="default"/>
      </w:rPr>
    </w:lvl>
    <w:lvl w:ilvl="7" w:tentative="0">
      <w:start w:val="1"/>
      <w:numFmt w:val="decimal"/>
      <w:lvlText w:val="%1.%2.%3.%4.%5.%6.%7.%8"/>
      <w:lvlJc w:val="left"/>
      <w:pPr>
        <w:ind w:left="1454" w:hanging="1440"/>
      </w:pPr>
      <w:rPr>
        <w:rFonts w:hint="default"/>
      </w:rPr>
    </w:lvl>
    <w:lvl w:ilvl="8" w:tentative="0">
      <w:start w:val="1"/>
      <w:numFmt w:val="decimal"/>
      <w:lvlText w:val="%1.%2.%3.%4.%5.%6.%7.%8.%9"/>
      <w:lvlJc w:val="left"/>
      <w:pPr>
        <w:ind w:left="1816" w:hanging="1800"/>
      </w:pPr>
      <w:rPr>
        <w:rFonts w:hint="default"/>
      </w:rPr>
    </w:lvl>
  </w:abstractNum>
  <w:abstractNum w:abstractNumId="13">
    <w:nsid w:val="14890B8C"/>
    <w:multiLevelType w:val="multilevel"/>
    <w:tmpl w:val="14890B8C"/>
    <w:lvl w:ilvl="0" w:tentative="0">
      <w:start w:val="1"/>
      <w:numFmt w:val="decimal"/>
      <w:lvlText w:val="4.%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10" w:hanging="390"/>
      </w:pPr>
      <w:rPr>
        <w:rFonts w:hint="default" w:ascii="Times New Roman" w:hAnsi="Times New Roman" w:cs="Times New Roman"/>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55F0A0A"/>
    <w:multiLevelType w:val="multilevel"/>
    <w:tmpl w:val="155F0A0A"/>
    <w:lvl w:ilvl="0" w:tentative="0">
      <w:start w:val="1"/>
      <w:numFmt w:val="lowerRoman"/>
      <w:lvlText w:val="(%1) "/>
      <w:lvlJc w:val="left"/>
      <w:pPr>
        <w:tabs>
          <w:tab w:val="left" w:pos="780"/>
        </w:tabs>
        <w:ind w:left="780" w:hanging="360"/>
      </w:pPr>
      <w:rPr>
        <w:rFonts w:hint="default" w:ascii="Times New Roman" w:hAnsi="Times New Roman" w:cs="Times New Roman"/>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82338AD"/>
    <w:multiLevelType w:val="multilevel"/>
    <w:tmpl w:val="182338AD"/>
    <w:lvl w:ilvl="0" w:tentative="0">
      <w:start w:val="1"/>
      <w:numFmt w:val="decimal"/>
      <w:lvlText w:val="6.%1"/>
      <w:lvlJc w:val="left"/>
      <w:pPr>
        <w:tabs>
          <w:tab w:val="left" w:pos="1468"/>
        </w:tabs>
        <w:ind w:left="1468" w:firstLine="1260"/>
      </w:pPr>
      <w:rPr>
        <w:rFonts w:hint="default" w:ascii="Times New Roman" w:hAnsi="Times New Roman" w:eastAsia="宋体"/>
        <w:b w:val="0"/>
        <w:i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18324A0E"/>
    <w:multiLevelType w:val="singleLevel"/>
    <w:tmpl w:val="18324A0E"/>
    <w:lvl w:ilvl="0" w:tentative="0">
      <w:start w:val="1"/>
      <w:numFmt w:val="decimal"/>
      <w:suff w:val="nothing"/>
      <w:lvlText w:val="%1、"/>
      <w:lvlJc w:val="left"/>
    </w:lvl>
  </w:abstractNum>
  <w:abstractNum w:abstractNumId="17">
    <w:nsid w:val="1BC03D45"/>
    <w:multiLevelType w:val="multilevel"/>
    <w:tmpl w:val="1BC03D45"/>
    <w:lvl w:ilvl="0" w:tentative="0">
      <w:start w:val="1"/>
      <w:numFmt w:val="decimal"/>
      <w:lvlText w:val="(%1)"/>
      <w:lvlJc w:val="left"/>
      <w:pPr>
        <w:ind w:left="1128" w:hanging="420"/>
      </w:pPr>
      <w:rPr>
        <w:rFonts w:hint="eastAsia"/>
      </w:rPr>
    </w:lvl>
    <w:lvl w:ilvl="1" w:tentative="0">
      <w:start w:val="1"/>
      <w:numFmt w:val="decimal"/>
      <w:lvlText w:val="(%2)"/>
      <w:lvlJc w:val="left"/>
      <w:pPr>
        <w:ind w:left="1548" w:hanging="420"/>
      </w:pPr>
      <w:rPr>
        <w:rFonts w:hint="eastAsia"/>
      </w:r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8">
    <w:nsid w:val="20714EDA"/>
    <w:multiLevelType w:val="multilevel"/>
    <w:tmpl w:val="20714EDA"/>
    <w:lvl w:ilvl="0" w:tentative="0">
      <w:start w:val="1"/>
      <w:numFmt w:val="decimal"/>
      <w:lvlText w:val="(%1)"/>
      <w:lvlJc w:val="left"/>
      <w:pPr>
        <w:ind w:left="1128"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30D4FA5"/>
    <w:multiLevelType w:val="multilevel"/>
    <w:tmpl w:val="230D4FA5"/>
    <w:lvl w:ilvl="0" w:tentative="0">
      <w:start w:val="1"/>
      <w:numFmt w:val="decimal"/>
      <w:lvlText w:val="14.%1"/>
      <w:lvlJc w:val="left"/>
      <w:pPr>
        <w:ind w:left="562"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20">
    <w:nsid w:val="2549136A"/>
    <w:multiLevelType w:val="multilevel"/>
    <w:tmpl w:val="2549136A"/>
    <w:lvl w:ilvl="0" w:tentative="0">
      <w:start w:val="1"/>
      <w:numFmt w:val="decimal"/>
      <w:lvlText w:val="26.%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54B6397"/>
    <w:multiLevelType w:val="multilevel"/>
    <w:tmpl w:val="254B6397"/>
    <w:lvl w:ilvl="0" w:tentative="0">
      <w:start w:val="1"/>
      <w:numFmt w:val="decimal"/>
      <w:lvlText w:val="4.%1"/>
      <w:lvlJc w:val="left"/>
      <w:pPr>
        <w:ind w:left="420" w:hanging="420"/>
      </w:pPr>
      <w:rPr>
        <w:rFonts w:hint="default" w:ascii="Times New Roman" w:hAnsi="Times New Roman" w:cs="Times New Roman"/>
        <w:b w:val="0"/>
        <w:bCs w:val="0"/>
        <w:i w:val="0"/>
        <w:iCs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5E87648"/>
    <w:multiLevelType w:val="multilevel"/>
    <w:tmpl w:val="25E87648"/>
    <w:lvl w:ilvl="0" w:tentative="0">
      <w:start w:val="1"/>
      <w:numFmt w:val="decimal"/>
      <w:lvlText w:val="9.%1"/>
      <w:lvlJc w:val="left"/>
      <w:pPr>
        <w:tabs>
          <w:tab w:val="left" w:pos="1468"/>
        </w:tabs>
        <w:ind w:left="1468" w:firstLine="12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8DE7901"/>
    <w:multiLevelType w:val="multilevel"/>
    <w:tmpl w:val="28DE7901"/>
    <w:lvl w:ilvl="0" w:tentative="0">
      <w:start w:val="1"/>
      <w:numFmt w:val="decimal"/>
      <w:lvlText w:val="16.%1"/>
      <w:lvlJc w:val="left"/>
      <w:pPr>
        <w:ind w:left="562"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4">
    <w:nsid w:val="2ACF0067"/>
    <w:multiLevelType w:val="multilevel"/>
    <w:tmpl w:val="2ACF0067"/>
    <w:lvl w:ilvl="0" w:tentative="0">
      <w:start w:val="1"/>
      <w:numFmt w:val="decimal"/>
      <w:lvlText w:val="8.%1"/>
      <w:lvlJc w:val="left"/>
      <w:pPr>
        <w:ind w:left="420" w:hanging="420"/>
      </w:pPr>
      <w:rPr>
        <w:rFonts w:hint="eastAsia"/>
        <w:color w:val="auto"/>
        <w:sz w:val="24"/>
        <w:szCs w:val="24"/>
      </w:rPr>
    </w:lvl>
    <w:lvl w:ilvl="1" w:tentative="0">
      <w:start w:val="1"/>
      <w:numFmt w:val="lowerLetter"/>
      <w:lvlText w:val="%2)"/>
      <w:lvlJc w:val="left"/>
      <w:pPr>
        <w:ind w:left="840" w:hanging="420"/>
      </w:pPr>
    </w:lvl>
    <w:lvl w:ilvl="2" w:tentative="0">
      <w:start w:val="1"/>
      <w:numFmt w:val="decimal"/>
      <w:lvlText w:val="(%3)"/>
      <w:lvlJc w:val="left"/>
      <w:pPr>
        <w:ind w:left="1365" w:hanging="525"/>
      </w:pPr>
      <w:rPr>
        <w:rFonts w:hint="default" w:ascii="Times New Roman" w:hAnsi="Times New Roman"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CD81BE9"/>
    <w:multiLevelType w:val="multilevel"/>
    <w:tmpl w:val="2CD81BE9"/>
    <w:lvl w:ilvl="0" w:tentative="0">
      <w:start w:val="1"/>
      <w:numFmt w:val="decimal"/>
      <w:lvlText w:val="8.%1"/>
      <w:lvlJc w:val="left"/>
      <w:pPr>
        <w:ind w:left="1140" w:hanging="420"/>
      </w:pPr>
      <w:rPr>
        <w:rFonts w:hint="default" w:ascii="Times New Roman" w:hAnsi="Times New Roman" w:cs="Times New Roman"/>
        <w:color w:val="auto"/>
        <w:sz w:val="24"/>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6">
    <w:nsid w:val="2DD57E63"/>
    <w:multiLevelType w:val="multilevel"/>
    <w:tmpl w:val="2DD57E63"/>
    <w:lvl w:ilvl="0" w:tentative="0">
      <w:start w:val="1"/>
      <w:numFmt w:val="decimal"/>
      <w:lvlText w:val="(%1)"/>
      <w:lvlJc w:val="left"/>
      <w:pPr>
        <w:tabs>
          <w:tab w:val="left" w:pos="-560"/>
        </w:tabs>
        <w:ind w:left="1125" w:hanging="1125"/>
      </w:pPr>
      <w:rPr>
        <w:rFonts w:hint="default" w:ascii="Times New Roman" w:hAnsi="Times New Roman"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27">
    <w:nsid w:val="30B14288"/>
    <w:multiLevelType w:val="multilevel"/>
    <w:tmpl w:val="30B14288"/>
    <w:lvl w:ilvl="0" w:tentative="0">
      <w:start w:val="1"/>
      <w:numFmt w:val="decimal"/>
      <w:lvlText w:val="14.%1"/>
      <w:lvlJc w:val="left"/>
      <w:pPr>
        <w:ind w:left="420" w:hanging="420"/>
      </w:pPr>
      <w:rPr>
        <w:rFonts w:hint="default" w:ascii="Times New Roman" w:hAnsi="Times New Roman" w:cs="Times New Roman"/>
        <w:b w:val="0"/>
        <w:i w:val="0"/>
        <w:color w:val="auto"/>
        <w:sz w:val="21"/>
        <w:szCs w:val="21"/>
        <w:lang w:eastAsia="zh-CN"/>
      </w:rPr>
    </w:lvl>
    <w:lvl w:ilvl="1" w:tentative="0">
      <w:start w:val="1"/>
      <w:numFmt w:val="lowerLetter"/>
      <w:lvlText w:val="%2)"/>
      <w:lvlJc w:val="left"/>
      <w:pPr>
        <w:ind w:left="840" w:hanging="420"/>
      </w:pPr>
      <w:rPr>
        <w:rFonts w:cs="Times New Roman"/>
      </w:rPr>
    </w:lvl>
    <w:lvl w:ilvl="2" w:tentative="0">
      <w:start w:val="1"/>
      <w:numFmt w:val="decimal"/>
      <w:lvlText w:val="(%3)"/>
      <w:lvlJc w:val="left"/>
      <w:pPr>
        <w:ind w:left="1365" w:hanging="525"/>
      </w:pPr>
      <w:rPr>
        <w:rFonts w:cs="Times New Roman"/>
      </w:rPr>
    </w:lvl>
    <w:lvl w:ilvl="3" w:tentative="0">
      <w:start w:val="11"/>
      <w:numFmt w:val="bullet"/>
      <w:lvlText w:val="□"/>
      <w:lvlJc w:val="left"/>
      <w:pPr>
        <w:tabs>
          <w:tab w:val="left" w:pos="1620"/>
        </w:tabs>
        <w:ind w:left="1620" w:hanging="360"/>
      </w:pPr>
      <w:rPr>
        <w:rFonts w:hint="eastAsia" w:ascii="宋体" w:hAnsi="宋体" w:eastAsia="宋体"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34833FB0"/>
    <w:multiLevelType w:val="multilevel"/>
    <w:tmpl w:val="34833FB0"/>
    <w:lvl w:ilvl="0" w:tentative="0">
      <w:start w:val="1"/>
      <w:numFmt w:val="lowerRoman"/>
      <w:lvlText w:val="(%1) "/>
      <w:lvlJc w:val="left"/>
      <w:pPr>
        <w:tabs>
          <w:tab w:val="left" w:pos="780"/>
        </w:tabs>
        <w:ind w:left="780" w:hanging="360"/>
      </w:pPr>
      <w:rPr>
        <w:rFonts w:hint="default" w:ascii="Times New Roman" w:hAnsi="Times New Roman" w:cs="Times New Roman"/>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354F523D"/>
    <w:multiLevelType w:val="multilevel"/>
    <w:tmpl w:val="354F523D"/>
    <w:lvl w:ilvl="0" w:tentative="0">
      <w:start w:val="1"/>
      <w:numFmt w:val="decimal"/>
      <w:lvlText w:val="(%1)"/>
      <w:lvlJc w:val="left"/>
      <w:pPr>
        <w:tabs>
          <w:tab w:val="left" w:pos="1140"/>
        </w:tabs>
        <w:ind w:left="1140" w:hanging="720"/>
      </w:pPr>
      <w:rPr>
        <w:rFonts w:hint="eastAsia" w:ascii="Times New Roman" w:hAnsi="Times New Roman" w:eastAsia="宋体"/>
      </w:rPr>
    </w:lvl>
    <w:lvl w:ilvl="1" w:tentative="0">
      <w:start w:val="1"/>
      <w:numFmt w:val="lowerLetter"/>
      <w:lvlText w:val="%2)"/>
      <w:lvlJc w:val="left"/>
      <w:pPr>
        <w:tabs>
          <w:tab w:val="left" w:pos="300"/>
        </w:tabs>
        <w:ind w:left="300" w:hanging="420"/>
      </w:pPr>
    </w:lvl>
    <w:lvl w:ilvl="2" w:tentative="0">
      <w:start w:val="1"/>
      <w:numFmt w:val="lowerRoman"/>
      <w:lvlText w:val="%3."/>
      <w:lvlJc w:val="right"/>
      <w:pPr>
        <w:tabs>
          <w:tab w:val="left" w:pos="720"/>
        </w:tabs>
        <w:ind w:left="720" w:hanging="420"/>
      </w:pPr>
    </w:lvl>
    <w:lvl w:ilvl="3" w:tentative="0">
      <w:start w:val="1"/>
      <w:numFmt w:val="decimal"/>
      <w:lvlText w:val="%4."/>
      <w:lvlJc w:val="left"/>
      <w:pPr>
        <w:tabs>
          <w:tab w:val="left" w:pos="1140"/>
        </w:tabs>
        <w:ind w:left="1140" w:hanging="420"/>
      </w:pPr>
    </w:lvl>
    <w:lvl w:ilvl="4" w:tentative="0">
      <w:start w:val="1"/>
      <w:numFmt w:val="lowerLetter"/>
      <w:lvlText w:val="%5)"/>
      <w:lvlJc w:val="left"/>
      <w:pPr>
        <w:tabs>
          <w:tab w:val="left" w:pos="1560"/>
        </w:tabs>
        <w:ind w:left="1560" w:hanging="420"/>
      </w:pPr>
    </w:lvl>
    <w:lvl w:ilvl="5" w:tentative="0">
      <w:start w:val="1"/>
      <w:numFmt w:val="lowerRoman"/>
      <w:lvlText w:val="%6."/>
      <w:lvlJc w:val="right"/>
      <w:pPr>
        <w:tabs>
          <w:tab w:val="left" w:pos="1980"/>
        </w:tabs>
        <w:ind w:left="1980" w:hanging="420"/>
      </w:pPr>
    </w:lvl>
    <w:lvl w:ilvl="6" w:tentative="0">
      <w:start w:val="1"/>
      <w:numFmt w:val="decimal"/>
      <w:lvlText w:val="%7."/>
      <w:lvlJc w:val="left"/>
      <w:pPr>
        <w:tabs>
          <w:tab w:val="left" w:pos="2400"/>
        </w:tabs>
        <w:ind w:left="2400" w:hanging="420"/>
      </w:pPr>
    </w:lvl>
    <w:lvl w:ilvl="7" w:tentative="0">
      <w:start w:val="1"/>
      <w:numFmt w:val="lowerLetter"/>
      <w:lvlText w:val="%8)"/>
      <w:lvlJc w:val="left"/>
      <w:pPr>
        <w:tabs>
          <w:tab w:val="left" w:pos="2820"/>
        </w:tabs>
        <w:ind w:left="2820" w:hanging="420"/>
      </w:pPr>
    </w:lvl>
    <w:lvl w:ilvl="8" w:tentative="0">
      <w:start w:val="1"/>
      <w:numFmt w:val="lowerRoman"/>
      <w:lvlText w:val="%9."/>
      <w:lvlJc w:val="right"/>
      <w:pPr>
        <w:tabs>
          <w:tab w:val="left" w:pos="3240"/>
        </w:tabs>
        <w:ind w:left="3240" w:hanging="420"/>
      </w:pPr>
    </w:lvl>
  </w:abstractNum>
  <w:abstractNum w:abstractNumId="30">
    <w:nsid w:val="37B67DAE"/>
    <w:multiLevelType w:val="multilevel"/>
    <w:tmpl w:val="37B67DAE"/>
    <w:lvl w:ilvl="0" w:tentative="0">
      <w:start w:val="1"/>
      <w:numFmt w:val="chineseCountingThousand"/>
      <w:lvlText w:val="第%1条"/>
      <w:lvlJc w:val="left"/>
      <w:pPr>
        <w:tabs>
          <w:tab w:val="left" w:pos="3688"/>
        </w:tabs>
        <w:ind w:left="3688" w:hanging="960"/>
      </w:pPr>
      <w:rPr>
        <w:rFonts w:hint="eastAsia"/>
        <w:lang w:val="en-US"/>
      </w:rPr>
    </w:lvl>
    <w:lvl w:ilvl="1" w:tentative="0">
      <w:start w:val="1"/>
      <w:numFmt w:val="decimal"/>
      <w:lvlText w:val="2.%2"/>
      <w:lvlJc w:val="left"/>
      <w:pPr>
        <w:tabs>
          <w:tab w:val="left" w:pos="1468"/>
        </w:tabs>
        <w:ind w:left="1468" w:firstLine="1260"/>
      </w:pPr>
      <w:rPr>
        <w:rFonts w:hint="default" w:ascii="Times New Roman" w:hAnsi="Times New Roman"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32">
    <w:nsid w:val="3A576153"/>
    <w:multiLevelType w:val="multilevel"/>
    <w:tmpl w:val="3A576153"/>
    <w:lvl w:ilvl="0" w:tentative="0">
      <w:start w:val="1"/>
      <w:numFmt w:val="decimal"/>
      <w:lvlText w:val="7.%1"/>
      <w:lvlJc w:val="left"/>
      <w:pPr>
        <w:tabs>
          <w:tab w:val="left" w:pos="1468"/>
        </w:tabs>
        <w:ind w:left="1468" w:firstLine="1260"/>
      </w:pPr>
      <w:rPr>
        <w:rFonts w:hint="default" w:ascii="Times New Roman" w:hAnsi="Times New Roman"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3ABB4496"/>
    <w:multiLevelType w:val="multilevel"/>
    <w:tmpl w:val="3ABB4496"/>
    <w:lvl w:ilvl="0" w:tentative="0">
      <w:start w:val="1"/>
      <w:numFmt w:val="decimal"/>
      <w:lvlText w:val="9.%1"/>
      <w:lvlJc w:val="left"/>
      <w:pPr>
        <w:tabs>
          <w:tab w:val="left" w:pos="0"/>
        </w:tabs>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AF631A7"/>
    <w:multiLevelType w:val="multilevel"/>
    <w:tmpl w:val="3AF631A7"/>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35">
    <w:nsid w:val="3DBA3BCE"/>
    <w:multiLevelType w:val="multilevel"/>
    <w:tmpl w:val="3DBA3BCE"/>
    <w:lvl w:ilvl="0" w:tentative="0">
      <w:start w:val="1"/>
      <w:numFmt w:val="decimal"/>
      <w:lvlText w:val="(%1)"/>
      <w:lvlJc w:val="left"/>
      <w:pPr>
        <w:ind w:left="825" w:hanging="405"/>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3DF82515"/>
    <w:multiLevelType w:val="multilevel"/>
    <w:tmpl w:val="3DF82515"/>
    <w:lvl w:ilvl="0" w:tentative="0">
      <w:start w:val="1"/>
      <w:numFmt w:val="decimal"/>
      <w:lvlText w:val="18.%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0B6C9A8"/>
    <w:multiLevelType w:val="singleLevel"/>
    <w:tmpl w:val="40B6C9A8"/>
    <w:lvl w:ilvl="0" w:tentative="0">
      <w:start w:val="1"/>
      <w:numFmt w:val="decimal"/>
      <w:suff w:val="nothing"/>
      <w:lvlText w:val="%1、"/>
      <w:lvlJc w:val="left"/>
    </w:lvl>
  </w:abstractNum>
  <w:abstractNum w:abstractNumId="38">
    <w:nsid w:val="4C6F71BF"/>
    <w:multiLevelType w:val="multilevel"/>
    <w:tmpl w:val="4C6F71BF"/>
    <w:lvl w:ilvl="0" w:tentative="0">
      <w:start w:val="1"/>
      <w:numFmt w:val="decimal"/>
      <w:lvlText w:val="29.%1"/>
      <w:lvlJc w:val="left"/>
      <w:pPr>
        <w:tabs>
          <w:tab w:val="left" w:pos="0"/>
        </w:tabs>
        <w:ind w:left="1260" w:hanging="420"/>
      </w:pPr>
      <w:rPr>
        <w:rFonts w:hint="default" w:ascii="Times New Roman" w:hAnsi="Times New Roman" w:cs="Times New Roman"/>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F5111A7"/>
    <w:multiLevelType w:val="multilevel"/>
    <w:tmpl w:val="4F5111A7"/>
    <w:lvl w:ilvl="0" w:tentative="0">
      <w:start w:val="1"/>
      <w:numFmt w:val="decimal"/>
      <w:lvlText w:val="(%1)"/>
      <w:lvlJc w:val="left"/>
      <w:pPr>
        <w:ind w:left="1128" w:hanging="420"/>
      </w:pPr>
      <w:rPr>
        <w:rFonts w:hint="eastAsia"/>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40">
    <w:nsid w:val="5138266F"/>
    <w:multiLevelType w:val="multilevel"/>
    <w:tmpl w:val="5138266F"/>
    <w:lvl w:ilvl="0" w:tentative="0">
      <w:start w:val="1"/>
      <w:numFmt w:val="decimal"/>
      <w:lvlText w:val="7.%1"/>
      <w:lvlJc w:val="left"/>
      <w:pPr>
        <w:tabs>
          <w:tab w:val="left" w:pos="2728"/>
        </w:tabs>
        <w:ind w:left="3148" w:hanging="420"/>
      </w:pPr>
      <w:rPr>
        <w:rFonts w:hint="default" w:ascii="Times New Roman" w:hAnsi="Times New Roman"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5252687B"/>
    <w:multiLevelType w:val="multilevel"/>
    <w:tmpl w:val="5252687B"/>
    <w:lvl w:ilvl="0" w:tentative="0">
      <w:start w:val="1"/>
      <w:numFmt w:val="decimal"/>
      <w:lvlText w:val="26.%1"/>
      <w:lvlJc w:val="left"/>
      <w:pPr>
        <w:ind w:left="420" w:hanging="420"/>
      </w:pPr>
      <w:rPr>
        <w:rFonts w:hint="default" w:ascii="Times New Roman" w:hAnsi="Times New Roman" w:cs="Times New Roman"/>
        <w:b w:val="0"/>
        <w:bCs w:val="0"/>
        <w:i w:val="0"/>
        <w:iCs w:val="0"/>
      </w:rPr>
    </w:lvl>
    <w:lvl w:ilvl="1" w:tentative="0">
      <w:start w:val="1"/>
      <w:numFmt w:val="lowerLetter"/>
      <w:lvlText w:val="%2)"/>
      <w:lvlJc w:val="left"/>
      <w:pPr>
        <w:ind w:left="840" w:hanging="420"/>
      </w:pPr>
    </w:lvl>
    <w:lvl w:ilvl="2" w:tentative="0">
      <w:start w:val="1"/>
      <w:numFmt w:val="decimal"/>
      <w:lvlText w:val="27.%3"/>
      <w:lvlJc w:val="left"/>
      <w:pPr>
        <w:tabs>
          <w:tab w:val="left" w:pos="0"/>
        </w:tabs>
        <w:ind w:left="1260" w:hanging="420"/>
      </w:pPr>
      <w:rPr>
        <w:rFonts w:hint="default" w:ascii="Times New Roman" w:hAnsi="Times New Roman" w:cs="Times New Roman"/>
        <w:b w:val="0"/>
        <w:bCs w:val="0"/>
        <w:i w:val="0"/>
        <w:iCs w:val="0"/>
        <w:color w:val="auto"/>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3EF47A1"/>
    <w:multiLevelType w:val="multilevel"/>
    <w:tmpl w:val="53EF47A1"/>
    <w:lvl w:ilvl="0" w:tentative="0">
      <w:start w:val="1"/>
      <w:numFmt w:val="decimal"/>
      <w:lvlText w:val="28.%1"/>
      <w:lvlJc w:val="left"/>
      <w:pPr>
        <w:tabs>
          <w:tab w:val="left" w:pos="0"/>
        </w:tabs>
        <w:ind w:left="1260" w:hanging="420"/>
      </w:pPr>
      <w:rPr>
        <w:rFonts w:hint="default" w:ascii="Times New Roman" w:hAnsi="Times New Roman" w:eastAsia="宋体"/>
        <w:b w:val="0"/>
        <w:bCs w:val="0"/>
        <w:i w:val="0"/>
        <w:iCs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44">
    <w:nsid w:val="58BC59F2"/>
    <w:multiLevelType w:val="multilevel"/>
    <w:tmpl w:val="58BC59F2"/>
    <w:lvl w:ilvl="0" w:tentative="0">
      <w:start w:val="1"/>
      <w:numFmt w:val="decimal"/>
      <w:lvlText w:val="3.%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25" w:hanging="405"/>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59C22B04"/>
    <w:multiLevelType w:val="multilevel"/>
    <w:tmpl w:val="59C22B04"/>
    <w:lvl w:ilvl="0" w:tentative="0">
      <w:start w:val="1"/>
      <w:numFmt w:val="ideographDigital"/>
      <w:lvlText w:val="第%1条"/>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A5D5973"/>
    <w:multiLevelType w:val="multilevel"/>
    <w:tmpl w:val="5A5D5973"/>
    <w:lvl w:ilvl="0" w:tentative="0">
      <w:start w:val="1"/>
      <w:numFmt w:val="decimal"/>
      <w:lvlText w:val="(%1)"/>
      <w:lvlJc w:val="left"/>
      <w:pPr>
        <w:ind w:left="420" w:hanging="420"/>
      </w:pPr>
      <w:rPr>
        <w:rFonts w:hint="eastAsia"/>
      </w:rPr>
    </w:lvl>
    <w:lvl w:ilvl="1" w:tentative="0">
      <w:start w:val="1"/>
      <w:numFmt w:val="decimal"/>
      <w:lvlText w:val="(%2)"/>
      <w:lvlJc w:val="left"/>
      <w:pPr>
        <w:ind w:left="420" w:hanging="420"/>
      </w:pPr>
      <w:rPr>
        <w:rFonts w:hint="eastAsia"/>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CD51FE0"/>
    <w:multiLevelType w:val="multilevel"/>
    <w:tmpl w:val="5CD51FE0"/>
    <w:lvl w:ilvl="0" w:tentative="0">
      <w:start w:val="1"/>
      <w:numFmt w:val="decimal"/>
      <w:lvlText w:val="10.%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8">
    <w:nsid w:val="5FF748D3"/>
    <w:multiLevelType w:val="multilevel"/>
    <w:tmpl w:val="5FF748D3"/>
    <w:lvl w:ilvl="0" w:tentative="0">
      <w:start w:val="1"/>
      <w:numFmt w:val="decimal"/>
      <w:lvlText w:val="25.%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61694D6C"/>
    <w:multiLevelType w:val="singleLevel"/>
    <w:tmpl w:val="61694D6C"/>
    <w:lvl w:ilvl="0" w:tentative="0">
      <w:start w:val="1"/>
      <w:numFmt w:val="decimal"/>
      <w:suff w:val="nothing"/>
      <w:lvlText w:val="%1、"/>
      <w:lvlJc w:val="left"/>
    </w:lvl>
  </w:abstractNum>
  <w:abstractNum w:abstractNumId="50">
    <w:nsid w:val="62257693"/>
    <w:multiLevelType w:val="multilevel"/>
    <w:tmpl w:val="62257693"/>
    <w:lvl w:ilvl="0" w:tentative="0">
      <w:start w:val="1"/>
      <w:numFmt w:val="decimal"/>
      <w:lvlText w:val="17.%1"/>
      <w:lvlJc w:val="left"/>
      <w:pPr>
        <w:ind w:left="420" w:hanging="420"/>
      </w:pPr>
      <w:rPr>
        <w:rFonts w:hint="default" w:ascii="Times New Roman" w:hAnsi="Times New Roman"/>
        <w:b w:val="0"/>
        <w:bCs w:val="0"/>
        <w:i w:val="0"/>
        <w:iCs w:val="0"/>
        <w:color w:val="auto"/>
        <w:spacing w:val="0"/>
        <w:kern w:val="2"/>
        <w:sz w:val="24"/>
        <w:szCs w:val="24"/>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38C4BB5"/>
    <w:multiLevelType w:val="multilevel"/>
    <w:tmpl w:val="638C4BB5"/>
    <w:lvl w:ilvl="0" w:tentative="0">
      <w:start w:val="1"/>
      <w:numFmt w:val="decimal"/>
      <w:lvlText w:val="13.%1"/>
      <w:lvlJc w:val="left"/>
      <w:pPr>
        <w:tabs>
          <w:tab w:val="left" w:pos="1468"/>
        </w:tabs>
        <w:ind w:left="1468" w:firstLine="1260"/>
      </w:pPr>
      <w:rPr>
        <w:rFonts w:hint="default" w:ascii="Times New Roman" w:hAnsi="Times New Roman" w:cs="Times New Roman"/>
        <w:b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65CE644A"/>
    <w:multiLevelType w:val="multilevel"/>
    <w:tmpl w:val="65CE644A"/>
    <w:lvl w:ilvl="0" w:tentative="0">
      <w:start w:val="1"/>
      <w:numFmt w:val="decimal"/>
      <w:lvlText w:val="24.%1"/>
      <w:lvlJc w:val="left"/>
      <w:pPr>
        <w:tabs>
          <w:tab w:val="left" w:pos="120"/>
        </w:tabs>
        <w:ind w:left="54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53">
    <w:nsid w:val="671B442A"/>
    <w:multiLevelType w:val="multilevel"/>
    <w:tmpl w:val="671B442A"/>
    <w:lvl w:ilvl="0" w:tentative="0">
      <w:start w:val="1"/>
      <w:numFmt w:val="decimal"/>
      <w:lvlText w:val="9.%1"/>
      <w:lvlJc w:val="left"/>
      <w:pPr>
        <w:tabs>
          <w:tab w:val="left" w:pos="840"/>
        </w:tabs>
        <w:ind w:left="840" w:hanging="420"/>
      </w:pPr>
      <w:rPr>
        <w:rFonts w:hint="eastAsia"/>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left"/>
      <w:pPr>
        <w:tabs>
          <w:tab w:val="left" w:pos="420"/>
        </w:tabs>
        <w:ind w:left="420" w:hanging="420"/>
      </w:pPr>
      <w:rPr>
        <w:rFonts w:hint="default" w:ascii="Times New Roman" w:hAnsi="Times New Roman" w:cs="Times New Roman"/>
        <w:b w:val="0"/>
        <w:bCs w:val="0"/>
        <w:i w:val="0"/>
        <w:iCs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67A163D5"/>
    <w:multiLevelType w:val="multilevel"/>
    <w:tmpl w:val="67A163D5"/>
    <w:lvl w:ilvl="0" w:tentative="0">
      <w:start w:val="1"/>
      <w:numFmt w:val="decimal"/>
      <w:lvlText w:val="6.%1"/>
      <w:lvlJc w:val="left"/>
      <w:pPr>
        <w:tabs>
          <w:tab w:val="left" w:pos="2728"/>
        </w:tabs>
        <w:ind w:left="3148" w:hanging="420"/>
      </w:pPr>
      <w:rPr>
        <w:rFonts w:hint="default" w:ascii="Times New Roman" w:hAnsi="Times New Roman" w:cs="Times New Roman"/>
        <w:b w:val="0"/>
        <w:bCs w:val="0"/>
        <w:i w:val="0"/>
        <w:iCs w:val="0"/>
        <w:color w:val="00000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67A55F7A"/>
    <w:multiLevelType w:val="multilevel"/>
    <w:tmpl w:val="67A55F7A"/>
    <w:lvl w:ilvl="0" w:tentative="0">
      <w:start w:val="1"/>
      <w:numFmt w:val="decimal"/>
      <w:lvlText w:val="8.%1"/>
      <w:lvlJc w:val="left"/>
      <w:pPr>
        <w:ind w:left="418" w:hanging="420"/>
      </w:pPr>
      <w:rPr>
        <w:rFonts w:hint="default" w:ascii="Times New Roman" w:hAnsi="Times New Roman" w:cs="Times New Roman"/>
        <w:b w:val="0"/>
        <w:i w:val="0"/>
        <w:color w:val="auto"/>
        <w:sz w:val="24"/>
      </w:rPr>
    </w:lvl>
    <w:lvl w:ilvl="1" w:tentative="0">
      <w:start w:val="1"/>
      <w:numFmt w:val="decimal"/>
      <w:lvlText w:val="(%2)"/>
      <w:lvlJc w:val="left"/>
      <w:pPr>
        <w:ind w:left="808" w:hanging="390"/>
      </w:pPr>
      <w:rPr>
        <w:rFonts w:hint="default" w:cs="Times New Roman"/>
      </w:rPr>
    </w:lvl>
    <w:lvl w:ilvl="2" w:tentative="0">
      <w:start w:val="1"/>
      <w:numFmt w:val="lowerRoman"/>
      <w:lvlText w:val="%3."/>
      <w:lvlJc w:val="right"/>
      <w:pPr>
        <w:ind w:left="1258" w:hanging="420"/>
      </w:pPr>
      <w:rPr>
        <w:rFonts w:cs="Times New Roman"/>
      </w:rPr>
    </w:lvl>
    <w:lvl w:ilvl="3" w:tentative="0">
      <w:start w:val="1"/>
      <w:numFmt w:val="decimal"/>
      <w:lvlText w:val="%4."/>
      <w:lvlJc w:val="left"/>
      <w:pPr>
        <w:ind w:left="1678" w:hanging="420"/>
      </w:pPr>
      <w:rPr>
        <w:rFonts w:cs="Times New Roman"/>
      </w:rPr>
    </w:lvl>
    <w:lvl w:ilvl="4" w:tentative="0">
      <w:start w:val="1"/>
      <w:numFmt w:val="lowerLetter"/>
      <w:lvlText w:val="%5)"/>
      <w:lvlJc w:val="left"/>
      <w:pPr>
        <w:ind w:left="2098" w:hanging="420"/>
      </w:pPr>
      <w:rPr>
        <w:rFonts w:cs="Times New Roman"/>
      </w:rPr>
    </w:lvl>
    <w:lvl w:ilvl="5" w:tentative="0">
      <w:start w:val="1"/>
      <w:numFmt w:val="lowerRoman"/>
      <w:lvlText w:val="%6."/>
      <w:lvlJc w:val="right"/>
      <w:pPr>
        <w:ind w:left="2518" w:hanging="420"/>
      </w:pPr>
      <w:rPr>
        <w:rFonts w:cs="Times New Roman"/>
      </w:rPr>
    </w:lvl>
    <w:lvl w:ilvl="6" w:tentative="0">
      <w:start w:val="1"/>
      <w:numFmt w:val="decimal"/>
      <w:lvlText w:val="%7."/>
      <w:lvlJc w:val="left"/>
      <w:pPr>
        <w:ind w:left="2938" w:hanging="420"/>
      </w:pPr>
      <w:rPr>
        <w:rFonts w:cs="Times New Roman"/>
      </w:rPr>
    </w:lvl>
    <w:lvl w:ilvl="7" w:tentative="0">
      <w:start w:val="1"/>
      <w:numFmt w:val="lowerLetter"/>
      <w:lvlText w:val="%8)"/>
      <w:lvlJc w:val="left"/>
      <w:pPr>
        <w:ind w:left="3358" w:hanging="420"/>
      </w:pPr>
      <w:rPr>
        <w:rFonts w:cs="Times New Roman"/>
      </w:rPr>
    </w:lvl>
    <w:lvl w:ilvl="8" w:tentative="0">
      <w:start w:val="1"/>
      <w:numFmt w:val="lowerRoman"/>
      <w:lvlText w:val="%9."/>
      <w:lvlJc w:val="right"/>
      <w:pPr>
        <w:ind w:left="3778" w:hanging="420"/>
      </w:pPr>
      <w:rPr>
        <w:rFonts w:cs="Times New Roman"/>
      </w:rPr>
    </w:lvl>
  </w:abstractNum>
  <w:abstractNum w:abstractNumId="56">
    <w:nsid w:val="693A1FA8"/>
    <w:multiLevelType w:val="multilevel"/>
    <w:tmpl w:val="693A1FA8"/>
    <w:lvl w:ilvl="0" w:tentative="0">
      <w:start w:val="1"/>
      <w:numFmt w:val="decimal"/>
      <w:lvlText w:val="23.%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6A896198"/>
    <w:multiLevelType w:val="multilevel"/>
    <w:tmpl w:val="6A896198"/>
    <w:lvl w:ilvl="0" w:tentative="0">
      <w:start w:val="1"/>
      <w:numFmt w:val="decimal"/>
      <w:lvlText w:val="4.%1"/>
      <w:lvlJc w:val="left"/>
      <w:pPr>
        <w:tabs>
          <w:tab w:val="left" w:pos="1468"/>
        </w:tabs>
        <w:ind w:left="1468" w:firstLine="1260"/>
      </w:pPr>
      <w:rPr>
        <w:rFonts w:hint="default" w:ascii="Times New Roman" w:hAnsi="Times New Roman" w:cs="Times New Roman"/>
        <w:b w:val="0"/>
      </w:rPr>
    </w:lvl>
    <w:lvl w:ilvl="1" w:tentative="0">
      <w:start w:val="1"/>
      <w:numFmt w:val="decimal"/>
      <w:lvlText w:val="(%2)"/>
      <w:lvlJc w:val="left"/>
      <w:pPr>
        <w:ind w:left="780" w:hanging="360"/>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75F9288F"/>
    <w:multiLevelType w:val="multilevel"/>
    <w:tmpl w:val="75F9288F"/>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60">
    <w:nsid w:val="760A4196"/>
    <w:multiLevelType w:val="multilevel"/>
    <w:tmpl w:val="760A4196"/>
    <w:lvl w:ilvl="0" w:tentative="0">
      <w:start w:val="1"/>
      <w:numFmt w:val="ideographDigital"/>
      <w:lvlText w:val="第%1条"/>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6FC7CCA"/>
    <w:multiLevelType w:val="multilevel"/>
    <w:tmpl w:val="76FC7CCA"/>
    <w:lvl w:ilvl="0" w:tentative="0">
      <w:start w:val="1"/>
      <w:numFmt w:val="decimal"/>
      <w:lvlText w:val="12.%1"/>
      <w:lvlJc w:val="left"/>
      <w:pPr>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2">
    <w:nsid w:val="79494086"/>
    <w:multiLevelType w:val="multilevel"/>
    <w:tmpl w:val="79494086"/>
    <w:lvl w:ilvl="0" w:tentative="0">
      <w:start w:val="1"/>
      <w:numFmt w:val="decimal"/>
      <w:lvlText w:val="20.%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9504466"/>
    <w:multiLevelType w:val="multilevel"/>
    <w:tmpl w:val="79504466"/>
    <w:lvl w:ilvl="0" w:tentative="0">
      <w:start w:val="1"/>
      <w:numFmt w:val="ideographDigital"/>
      <w:lvlText w:val="第%1条"/>
      <w:lvlJc w:val="left"/>
      <w:pPr>
        <w:tabs>
          <w:tab w:val="left" w:pos="3728"/>
        </w:tabs>
        <w:ind w:left="3728" w:hanging="1000"/>
      </w:pPr>
      <w:rPr>
        <w:rFonts w:hint="eastAsia"/>
      </w:rPr>
    </w:lvl>
    <w:lvl w:ilvl="1" w:tentative="0">
      <w:start w:val="1"/>
      <w:numFmt w:val="ideographDigital"/>
      <w:lvlText w:val="第%2条"/>
      <w:lvlJc w:val="left"/>
      <w:pPr>
        <w:tabs>
          <w:tab w:val="left" w:pos="3688"/>
        </w:tabs>
        <w:ind w:left="3688" w:hanging="9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79504467"/>
    <w:multiLevelType w:val="multilevel"/>
    <w:tmpl w:val="79504467"/>
    <w:lvl w:ilvl="0" w:tentative="0">
      <w:start w:val="1"/>
      <w:numFmt w:val="decimal"/>
      <w:lvlText w:val="%1"/>
      <w:lvlJc w:val="left"/>
      <w:pPr>
        <w:tabs>
          <w:tab w:val="left" w:pos="540"/>
        </w:tabs>
        <w:ind w:left="540" w:hanging="540"/>
      </w:pPr>
      <w:rPr>
        <w:rFonts w:hint="default" w:hAnsi="Times New Roman"/>
      </w:rPr>
    </w:lvl>
    <w:lvl w:ilvl="1" w:tentative="0">
      <w:start w:val="1"/>
      <w:numFmt w:val="decimal"/>
      <w:lvlText w:val="1.%2"/>
      <w:lvlJc w:val="left"/>
      <w:pPr>
        <w:tabs>
          <w:tab w:val="left" w:pos="1440"/>
        </w:tabs>
        <w:ind w:left="542" w:hanging="542"/>
      </w:pPr>
      <w:rPr>
        <w:rFonts w:hint="default" w:ascii="Times New Roman" w:hAnsi="Times New Roman" w:cs="Times New Roman"/>
      </w:rPr>
    </w:lvl>
    <w:lvl w:ilvl="2" w:tentative="0">
      <w:start w:val="1"/>
      <w:numFmt w:val="decimal"/>
      <w:lvlText w:val="%1.%2.%3"/>
      <w:lvlJc w:val="left"/>
      <w:pPr>
        <w:tabs>
          <w:tab w:val="left" w:pos="724"/>
        </w:tabs>
        <w:ind w:left="724" w:hanging="720"/>
      </w:pPr>
      <w:rPr>
        <w:rFonts w:hint="default" w:hAnsi="Times New Roman"/>
      </w:rPr>
    </w:lvl>
    <w:lvl w:ilvl="3" w:tentative="0">
      <w:start w:val="1"/>
      <w:numFmt w:val="decimal"/>
      <w:lvlText w:val="%1.%2.%3.%4"/>
      <w:lvlJc w:val="left"/>
      <w:pPr>
        <w:tabs>
          <w:tab w:val="left" w:pos="726"/>
        </w:tabs>
        <w:ind w:left="726" w:hanging="720"/>
      </w:pPr>
      <w:rPr>
        <w:rFonts w:hint="default" w:hAnsi="Times New Roman"/>
      </w:rPr>
    </w:lvl>
    <w:lvl w:ilvl="4" w:tentative="0">
      <w:start w:val="1"/>
      <w:numFmt w:val="decimal"/>
      <w:lvlText w:val="%1.%2.%3.%4.%5"/>
      <w:lvlJc w:val="left"/>
      <w:pPr>
        <w:tabs>
          <w:tab w:val="left" w:pos="1088"/>
        </w:tabs>
        <w:ind w:left="1088" w:hanging="1080"/>
      </w:pPr>
      <w:rPr>
        <w:rFonts w:hint="default" w:hAnsi="Times New Roman"/>
      </w:rPr>
    </w:lvl>
    <w:lvl w:ilvl="5" w:tentative="0">
      <w:start w:val="1"/>
      <w:numFmt w:val="decimal"/>
      <w:lvlText w:val="%1.%2.%3.%4.%5.%6"/>
      <w:lvlJc w:val="left"/>
      <w:pPr>
        <w:tabs>
          <w:tab w:val="left" w:pos="1090"/>
        </w:tabs>
        <w:ind w:left="1090" w:hanging="1080"/>
      </w:pPr>
      <w:rPr>
        <w:rFonts w:hint="default" w:hAnsi="Times New Roman"/>
      </w:rPr>
    </w:lvl>
    <w:lvl w:ilvl="6" w:tentative="0">
      <w:start w:val="1"/>
      <w:numFmt w:val="decimal"/>
      <w:lvlText w:val="%1.%2.%3.%4.%5.%6.%7"/>
      <w:lvlJc w:val="left"/>
      <w:pPr>
        <w:tabs>
          <w:tab w:val="left" w:pos="1452"/>
        </w:tabs>
        <w:ind w:left="1452" w:hanging="1440"/>
      </w:pPr>
      <w:rPr>
        <w:rFonts w:hint="default" w:hAnsi="Times New Roman"/>
      </w:rPr>
    </w:lvl>
    <w:lvl w:ilvl="7" w:tentative="0">
      <w:start w:val="1"/>
      <w:numFmt w:val="decimal"/>
      <w:lvlText w:val="%1.%2.%3.%4.%5.%6.%7.%8"/>
      <w:lvlJc w:val="left"/>
      <w:pPr>
        <w:tabs>
          <w:tab w:val="left" w:pos="1454"/>
        </w:tabs>
        <w:ind w:left="1454" w:hanging="1440"/>
      </w:pPr>
      <w:rPr>
        <w:rFonts w:hint="default" w:hAnsi="Times New Roman"/>
      </w:rPr>
    </w:lvl>
    <w:lvl w:ilvl="8" w:tentative="0">
      <w:start w:val="1"/>
      <w:numFmt w:val="decimal"/>
      <w:lvlText w:val="%1.%2.%3.%4.%5.%6.%7.%8.%9"/>
      <w:lvlJc w:val="left"/>
      <w:pPr>
        <w:tabs>
          <w:tab w:val="left" w:pos="1816"/>
        </w:tabs>
        <w:ind w:left="1816" w:hanging="1800"/>
      </w:pPr>
      <w:rPr>
        <w:rFonts w:hint="default" w:hAnsi="Times New Roman"/>
      </w:rPr>
    </w:lvl>
  </w:abstractNum>
  <w:abstractNum w:abstractNumId="65">
    <w:nsid w:val="79504468"/>
    <w:multiLevelType w:val="multilevel"/>
    <w:tmpl w:val="79504468"/>
    <w:lvl w:ilvl="0" w:tentative="0">
      <w:start w:val="1"/>
      <w:numFmt w:val="decimal"/>
      <w:lvlText w:val="2.%1"/>
      <w:lvlJc w:val="left"/>
      <w:pPr>
        <w:ind w:left="422" w:hanging="420"/>
      </w:pPr>
      <w:rPr>
        <w:rFonts w:hint="default" w:ascii="Times New Roman" w:hAnsi="Times New Roman" w:cs="Times New Roman"/>
        <w:sz w:val="24"/>
        <w:szCs w:val="24"/>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66">
    <w:nsid w:val="79504469"/>
    <w:multiLevelType w:val="multilevel"/>
    <w:tmpl w:val="79504469"/>
    <w:lvl w:ilvl="0" w:tentative="0">
      <w:start w:val="1"/>
      <w:numFmt w:val="ideographDigital"/>
      <w:lvlText w:val="第%1条"/>
      <w:lvlJc w:val="left"/>
      <w:pPr>
        <w:tabs>
          <w:tab w:val="left" w:pos="3688"/>
        </w:tabs>
        <w:ind w:left="3688" w:hanging="960"/>
      </w:pPr>
      <w:rPr>
        <w:rFonts w:hint="eastAsia"/>
      </w:rPr>
    </w:lvl>
    <w:lvl w:ilvl="1" w:tentative="0">
      <w:start w:val="1"/>
      <w:numFmt w:val="ideographDigital"/>
      <w:lvlText w:val="第%2条"/>
      <w:lvlJc w:val="left"/>
      <w:pPr>
        <w:tabs>
          <w:tab w:val="left" w:pos="1380"/>
        </w:tabs>
        <w:ind w:left="1380" w:hanging="960"/>
      </w:pPr>
      <w:rPr>
        <w:rFonts w:hint="eastAsia"/>
      </w:rPr>
    </w:lvl>
    <w:lvl w:ilvl="2" w:tentative="0">
      <w:start w:val="1"/>
      <w:numFmt w:val="decimal"/>
      <w:lvlText w:val="1.%3"/>
      <w:lvlJc w:val="left"/>
      <w:pPr>
        <w:tabs>
          <w:tab w:val="left" w:pos="1468"/>
        </w:tabs>
        <w:ind w:left="1468" w:firstLine="1260"/>
      </w:pPr>
      <w:rPr>
        <w:rFonts w:hint="default" w:ascii="Times New Roman" w:hAnsi="Times New Roman" w:eastAsia="宋体"/>
      </w:rPr>
    </w:lvl>
    <w:lvl w:ilvl="3" w:tentative="0">
      <w:start w:val="1"/>
      <w:numFmt w:val="decimal"/>
      <w:lvlText w:val="3.%4"/>
      <w:lvlJc w:val="left"/>
      <w:pPr>
        <w:tabs>
          <w:tab w:val="left" w:pos="1468"/>
        </w:tabs>
        <w:ind w:left="1468" w:firstLine="1260"/>
      </w:pPr>
      <w:rPr>
        <w:rFonts w:hint="default" w:ascii="Times New Roman" w:hAnsi="Times New Roman" w:eastAsia="宋体"/>
      </w:rPr>
    </w:lvl>
    <w:lvl w:ilvl="4" w:tentative="0">
      <w:start w:val="1"/>
      <w:numFmt w:val="lowerLetter"/>
      <w:lvlText w:val="%5)"/>
      <w:lvlJc w:val="left"/>
      <w:pPr>
        <w:tabs>
          <w:tab w:val="left" w:pos="2100"/>
        </w:tabs>
        <w:ind w:left="2100" w:hanging="420"/>
      </w:pPr>
    </w:lvl>
    <w:lvl w:ilvl="5" w:tentative="0">
      <w:start w:val="1"/>
      <w:numFmt w:val="decimal"/>
      <w:lvlText w:val="(%6)"/>
      <w:lvlJc w:val="left"/>
      <w:pPr>
        <w:ind w:left="2490" w:hanging="390"/>
      </w:pPr>
      <w:rPr>
        <w:rFonts w:hint="default" w:ascii="Times New Roman" w:hAnsi="Times New Roman" w:cs="Times New Roman"/>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7950446A"/>
    <w:multiLevelType w:val="multilevel"/>
    <w:tmpl w:val="7950446A"/>
    <w:lvl w:ilvl="0" w:tentative="0">
      <w:start w:val="1"/>
      <w:numFmt w:val="decimal"/>
      <w:lvlText w:val="4.%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10" w:hanging="390"/>
      </w:pPr>
      <w:rPr>
        <w:rFonts w:hint="default" w:ascii="Times New Roman" w:hAnsi="Times New Roman" w:cs="Times New Roman"/>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8">
    <w:nsid w:val="7950446B"/>
    <w:multiLevelType w:val="multilevel"/>
    <w:tmpl w:val="7950446B"/>
    <w:lvl w:ilvl="0" w:tentative="0">
      <w:start w:val="1"/>
      <w:numFmt w:val="decimal"/>
      <w:lvlText w:val="5.%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9">
    <w:nsid w:val="7950446C"/>
    <w:multiLevelType w:val="multilevel"/>
    <w:tmpl w:val="7950446C"/>
    <w:lvl w:ilvl="0" w:tentative="0">
      <w:start w:val="1"/>
      <w:numFmt w:val="decimal"/>
      <w:lvlText w:val="6.%1"/>
      <w:lvlJc w:val="left"/>
      <w:pPr>
        <w:tabs>
          <w:tab w:val="left" w:pos="1468"/>
        </w:tabs>
        <w:ind w:left="1468" w:firstLine="1260"/>
      </w:pPr>
      <w:rPr>
        <w:rFonts w:hint="default" w:ascii="Times New Roman" w:hAnsi="Times New Roman" w:eastAsia="宋体"/>
        <w:b w:val="0"/>
        <w:i w:val="0"/>
        <w:color w:val="auto"/>
      </w:rPr>
    </w:lvl>
    <w:lvl w:ilvl="1" w:tentative="0">
      <w:start w:val="2"/>
      <w:numFmt w:val="ideographDigital"/>
      <w:lvlText w:val="第%2条"/>
      <w:lvlJc w:val="left"/>
      <w:pPr>
        <w:tabs>
          <w:tab w:val="left" w:pos="4020"/>
        </w:tabs>
        <w:ind w:left="4020" w:hanging="9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0">
    <w:nsid w:val="7950446D"/>
    <w:multiLevelType w:val="multilevel"/>
    <w:tmpl w:val="7950446D"/>
    <w:lvl w:ilvl="0" w:tentative="0">
      <w:start w:val="11"/>
      <w:numFmt w:val="bullet"/>
      <w:lvlText w:val="□"/>
      <w:lvlJc w:val="left"/>
      <w:pPr>
        <w:ind w:left="840" w:hanging="42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1"/>
      <w:numFmt w:val="bullet"/>
      <w:lvlText w:val="□"/>
      <w:lvlJc w:val="left"/>
      <w:pPr>
        <w:ind w:left="420" w:hanging="420"/>
      </w:pPr>
      <w:rPr>
        <w:rFonts w:hint="eastAsia" w:ascii="宋体" w:hAnsi="宋体" w:eastAsia="宋体"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1">
    <w:nsid w:val="7A57321B"/>
    <w:multiLevelType w:val="multilevel"/>
    <w:tmpl w:val="7A57321B"/>
    <w:lvl w:ilvl="0" w:tentative="0">
      <w:start w:val="10"/>
      <w:numFmt w:val="decimal"/>
      <w:lvlText w:val="%1"/>
      <w:lvlJc w:val="left"/>
      <w:pPr>
        <w:tabs>
          <w:tab w:val="left" w:pos="420"/>
        </w:tabs>
        <w:ind w:left="420" w:hanging="420"/>
      </w:pPr>
      <w:rPr>
        <w:rFonts w:hint="default"/>
      </w:rPr>
    </w:lvl>
    <w:lvl w:ilvl="1" w:tentative="0">
      <w:start w:val="1"/>
      <w:numFmt w:val="decimal"/>
      <w:lvlText w:val="11.%2"/>
      <w:lvlJc w:val="left"/>
      <w:pPr>
        <w:tabs>
          <w:tab w:val="left" w:pos="420"/>
        </w:tabs>
        <w:ind w:left="420" w:hanging="420"/>
      </w:pPr>
      <w:rPr>
        <w:rFonts w:hint="default" w:ascii="Times New Roman" w:hAnsi="Times New Roman" w:eastAsia="宋体"/>
        <w:b w:val="0"/>
        <w:i w:val="0"/>
        <w:color w:val="auto"/>
        <w:sz w:val="24"/>
        <w:szCs w:val="24"/>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2">
    <w:nsid w:val="7BFA0A54"/>
    <w:multiLevelType w:val="multilevel"/>
    <w:tmpl w:val="7BFA0A54"/>
    <w:lvl w:ilvl="0" w:tentative="0">
      <w:start w:val="1"/>
      <w:numFmt w:val="decimal"/>
      <w:lvlText w:val="8.%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10" w:hanging="390"/>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63"/>
  </w:num>
  <w:num w:numId="3">
    <w:abstractNumId w:val="64"/>
  </w:num>
  <w:num w:numId="4">
    <w:abstractNumId w:val="65"/>
  </w:num>
  <w:num w:numId="5">
    <w:abstractNumId w:val="66"/>
  </w:num>
  <w:num w:numId="6">
    <w:abstractNumId w:val="67"/>
  </w:num>
  <w:num w:numId="7">
    <w:abstractNumId w:val="13"/>
  </w:num>
  <w:num w:numId="8">
    <w:abstractNumId w:val="68"/>
  </w:num>
  <w:num w:numId="9">
    <w:abstractNumId w:val="69"/>
  </w:num>
  <w:num w:numId="10">
    <w:abstractNumId w:val="70"/>
  </w:num>
  <w:num w:numId="11">
    <w:abstractNumId w:val="45"/>
  </w:num>
  <w:num w:numId="12">
    <w:abstractNumId w:val="3"/>
  </w:num>
  <w:num w:numId="13">
    <w:abstractNumId w:val="35"/>
  </w:num>
  <w:num w:numId="14">
    <w:abstractNumId w:val="11"/>
  </w:num>
  <w:num w:numId="15">
    <w:abstractNumId w:val="44"/>
  </w:num>
  <w:num w:numId="16">
    <w:abstractNumId w:val="21"/>
  </w:num>
  <w:num w:numId="17">
    <w:abstractNumId w:val="29"/>
  </w:num>
  <w:num w:numId="18">
    <w:abstractNumId w:val="26"/>
  </w:num>
  <w:num w:numId="19">
    <w:abstractNumId w:val="6"/>
  </w:num>
  <w:num w:numId="20">
    <w:abstractNumId w:val="54"/>
  </w:num>
  <w:num w:numId="21">
    <w:abstractNumId w:val="40"/>
  </w:num>
  <w:num w:numId="22">
    <w:abstractNumId w:val="25"/>
  </w:num>
  <w:num w:numId="23">
    <w:abstractNumId w:val="22"/>
  </w:num>
  <w:num w:numId="24">
    <w:abstractNumId w:val="27"/>
  </w:num>
  <w:num w:numId="25">
    <w:abstractNumId w:val="71"/>
  </w:num>
  <w:num w:numId="26">
    <w:abstractNumId w:val="4"/>
  </w:num>
  <w:num w:numId="27">
    <w:abstractNumId w:val="24"/>
  </w:num>
  <w:num w:numId="28">
    <w:abstractNumId w:val="60"/>
  </w:num>
  <w:num w:numId="29">
    <w:abstractNumId w:val="12"/>
  </w:num>
  <w:num w:numId="30">
    <w:abstractNumId w:val="39"/>
  </w:num>
  <w:num w:numId="31">
    <w:abstractNumId w:val="30"/>
  </w:num>
  <w:num w:numId="32">
    <w:abstractNumId w:val="5"/>
  </w:num>
  <w:num w:numId="33">
    <w:abstractNumId w:val="18"/>
  </w:num>
  <w:num w:numId="34">
    <w:abstractNumId w:val="58"/>
  </w:num>
  <w:num w:numId="35">
    <w:abstractNumId w:val="2"/>
  </w:num>
  <w:num w:numId="36">
    <w:abstractNumId w:val="72"/>
  </w:num>
  <w:num w:numId="37">
    <w:abstractNumId w:val="15"/>
  </w:num>
  <w:num w:numId="38">
    <w:abstractNumId w:val="32"/>
  </w:num>
  <w:num w:numId="39">
    <w:abstractNumId w:val="55"/>
  </w:num>
  <w:num w:numId="40">
    <w:abstractNumId w:val="59"/>
  </w:num>
  <w:num w:numId="41">
    <w:abstractNumId w:val="33"/>
  </w:num>
  <w:num w:numId="42">
    <w:abstractNumId w:val="7"/>
  </w:num>
  <w:num w:numId="43">
    <w:abstractNumId w:val="34"/>
  </w:num>
  <w:num w:numId="44">
    <w:abstractNumId w:val="17"/>
  </w:num>
  <w:num w:numId="45">
    <w:abstractNumId w:val="46"/>
  </w:num>
  <w:num w:numId="46">
    <w:abstractNumId w:val="47"/>
  </w:num>
  <w:num w:numId="47">
    <w:abstractNumId w:val="10"/>
  </w:num>
  <w:num w:numId="48">
    <w:abstractNumId w:val="61"/>
  </w:num>
  <w:num w:numId="49">
    <w:abstractNumId w:val="51"/>
  </w:num>
  <w:num w:numId="50">
    <w:abstractNumId w:val="19"/>
  </w:num>
  <w:num w:numId="51">
    <w:abstractNumId w:val="8"/>
  </w:num>
  <w:num w:numId="52">
    <w:abstractNumId w:val="53"/>
  </w:num>
  <w:num w:numId="53">
    <w:abstractNumId w:val="14"/>
  </w:num>
  <w:num w:numId="54">
    <w:abstractNumId w:val="28"/>
  </w:num>
  <w:num w:numId="55">
    <w:abstractNumId w:val="23"/>
  </w:num>
  <w:num w:numId="56">
    <w:abstractNumId w:val="50"/>
  </w:num>
  <w:num w:numId="57">
    <w:abstractNumId w:val="36"/>
  </w:num>
  <w:num w:numId="58">
    <w:abstractNumId w:val="1"/>
    <w:lvlOverride w:ilvl="0">
      <w:lvl w:ilvl="0" w:tentative="1">
        <w:start w:val="1"/>
        <w:numFmt w:val="decimal"/>
        <w:lvlText w:val="19.%1"/>
        <w:lvlJc w:val="left"/>
        <w:pPr>
          <w:ind w:left="420" w:hanging="420"/>
        </w:pPr>
        <w:rPr>
          <w:rFonts w:hint="default" w:ascii="Times New Roman" w:hAnsi="Times New Roman" w:cs="Times New Roman"/>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59">
    <w:abstractNumId w:val="62"/>
  </w:num>
  <w:num w:numId="60">
    <w:abstractNumId w:val="43"/>
  </w:num>
  <w:num w:numId="61">
    <w:abstractNumId w:val="9"/>
    <w:lvlOverride w:ilvl="0">
      <w:lvl w:ilvl="0" w:tentative="1">
        <w:start w:val="1"/>
        <w:numFmt w:val="decimal"/>
        <w:lvlText w:val="22.%1"/>
        <w:lvlJc w:val="left"/>
        <w:pPr>
          <w:ind w:left="420" w:hanging="420"/>
        </w:pPr>
        <w:rPr>
          <w:rFonts w:hint="default" w:ascii="Times New Roman" w:hAnsi="Times New Roman" w:cs="Times New Roman"/>
          <w:b w:val="0"/>
          <w:i w:val="0"/>
          <w:color w:val="auto"/>
          <w:sz w:val="24"/>
          <w:szCs w:val="24"/>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62">
    <w:abstractNumId w:val="56"/>
  </w:num>
  <w:num w:numId="63">
    <w:abstractNumId w:val="52"/>
  </w:num>
  <w:num w:numId="64">
    <w:abstractNumId w:val="48"/>
  </w:num>
  <w:num w:numId="65">
    <w:abstractNumId w:val="31"/>
  </w:num>
  <w:num w:numId="66">
    <w:abstractNumId w:val="20"/>
  </w:num>
  <w:num w:numId="67">
    <w:abstractNumId w:val="41"/>
  </w:num>
  <w:num w:numId="68">
    <w:abstractNumId w:val="42"/>
  </w:num>
  <w:num w:numId="69">
    <w:abstractNumId w:val="38"/>
  </w:num>
  <w:num w:numId="70">
    <w:abstractNumId w:val="37"/>
  </w:num>
  <w:num w:numId="71">
    <w:abstractNumId w:val="16"/>
  </w:num>
  <w:num w:numId="72">
    <w:abstractNumId w:val="49"/>
  </w:num>
  <w:num w:numId="73">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3130"/>
    <w:rsid w:val="004D0EBD"/>
    <w:rsid w:val="009C34F0"/>
    <w:rsid w:val="00F30CA0"/>
    <w:rsid w:val="01D70F12"/>
    <w:rsid w:val="02006853"/>
    <w:rsid w:val="02EE5895"/>
    <w:rsid w:val="037F66DB"/>
    <w:rsid w:val="03E76233"/>
    <w:rsid w:val="042658DF"/>
    <w:rsid w:val="04375579"/>
    <w:rsid w:val="04453F9C"/>
    <w:rsid w:val="04674A9C"/>
    <w:rsid w:val="068A6CC7"/>
    <w:rsid w:val="06E120EF"/>
    <w:rsid w:val="07280C98"/>
    <w:rsid w:val="073272F5"/>
    <w:rsid w:val="0757641B"/>
    <w:rsid w:val="0790348B"/>
    <w:rsid w:val="07C71F52"/>
    <w:rsid w:val="0875428E"/>
    <w:rsid w:val="087C5572"/>
    <w:rsid w:val="09573962"/>
    <w:rsid w:val="0A81181F"/>
    <w:rsid w:val="0ADD677E"/>
    <w:rsid w:val="0B466FE3"/>
    <w:rsid w:val="0B5D4FB1"/>
    <w:rsid w:val="0D29713B"/>
    <w:rsid w:val="0D8F1A4E"/>
    <w:rsid w:val="0E452476"/>
    <w:rsid w:val="0E747ED9"/>
    <w:rsid w:val="0EC664DA"/>
    <w:rsid w:val="0EEB1D0A"/>
    <w:rsid w:val="0F2E5C77"/>
    <w:rsid w:val="0F530435"/>
    <w:rsid w:val="0FEE50CB"/>
    <w:rsid w:val="0FF5346F"/>
    <w:rsid w:val="10ED4953"/>
    <w:rsid w:val="11042EC5"/>
    <w:rsid w:val="113918C4"/>
    <w:rsid w:val="11995900"/>
    <w:rsid w:val="12073A1C"/>
    <w:rsid w:val="12F3448D"/>
    <w:rsid w:val="134712AF"/>
    <w:rsid w:val="137D719C"/>
    <w:rsid w:val="13B43468"/>
    <w:rsid w:val="13E16ECE"/>
    <w:rsid w:val="14B561ED"/>
    <w:rsid w:val="14D931C3"/>
    <w:rsid w:val="15DD256A"/>
    <w:rsid w:val="16D70AE8"/>
    <w:rsid w:val="172B1928"/>
    <w:rsid w:val="173C79BB"/>
    <w:rsid w:val="17985CB9"/>
    <w:rsid w:val="189B6BED"/>
    <w:rsid w:val="18F25CE8"/>
    <w:rsid w:val="192E0C57"/>
    <w:rsid w:val="19AA6DAB"/>
    <w:rsid w:val="1A5A3C35"/>
    <w:rsid w:val="1AD7108E"/>
    <w:rsid w:val="1AE37DAC"/>
    <w:rsid w:val="1AE9389D"/>
    <w:rsid w:val="1B662AAD"/>
    <w:rsid w:val="1D9E7C25"/>
    <w:rsid w:val="1E1A27E4"/>
    <w:rsid w:val="1E7C2C0C"/>
    <w:rsid w:val="1F3C3B8C"/>
    <w:rsid w:val="1F764CB2"/>
    <w:rsid w:val="1FB42B93"/>
    <w:rsid w:val="20387CC7"/>
    <w:rsid w:val="205D25BA"/>
    <w:rsid w:val="216E6872"/>
    <w:rsid w:val="21C8547B"/>
    <w:rsid w:val="21DB5D37"/>
    <w:rsid w:val="21DC4F2F"/>
    <w:rsid w:val="21F77AA4"/>
    <w:rsid w:val="231B4D01"/>
    <w:rsid w:val="23BC3852"/>
    <w:rsid w:val="23F06802"/>
    <w:rsid w:val="240F0E72"/>
    <w:rsid w:val="248841DD"/>
    <w:rsid w:val="265170F2"/>
    <w:rsid w:val="26AE7B71"/>
    <w:rsid w:val="279E49F6"/>
    <w:rsid w:val="27F32EDB"/>
    <w:rsid w:val="2874590C"/>
    <w:rsid w:val="28AC573F"/>
    <w:rsid w:val="295D6401"/>
    <w:rsid w:val="29DE7695"/>
    <w:rsid w:val="2A3755D1"/>
    <w:rsid w:val="2ADE7961"/>
    <w:rsid w:val="2D3B2645"/>
    <w:rsid w:val="2DA635AA"/>
    <w:rsid w:val="2DE769A6"/>
    <w:rsid w:val="2E283D2E"/>
    <w:rsid w:val="2E431D9A"/>
    <w:rsid w:val="2E922BF6"/>
    <w:rsid w:val="2E943AE9"/>
    <w:rsid w:val="2F4E2FA9"/>
    <w:rsid w:val="2F6D0DF3"/>
    <w:rsid w:val="2FD33202"/>
    <w:rsid w:val="30054CD6"/>
    <w:rsid w:val="31F93045"/>
    <w:rsid w:val="323F587B"/>
    <w:rsid w:val="329C187B"/>
    <w:rsid w:val="32D009ED"/>
    <w:rsid w:val="343A21BD"/>
    <w:rsid w:val="345C5525"/>
    <w:rsid w:val="3465020F"/>
    <w:rsid w:val="3491015A"/>
    <w:rsid w:val="356868D5"/>
    <w:rsid w:val="35EF3A01"/>
    <w:rsid w:val="361E5946"/>
    <w:rsid w:val="36794C6B"/>
    <w:rsid w:val="36B450AF"/>
    <w:rsid w:val="36E20E17"/>
    <w:rsid w:val="376F3EFE"/>
    <w:rsid w:val="37F5325E"/>
    <w:rsid w:val="382117A3"/>
    <w:rsid w:val="38D171D2"/>
    <w:rsid w:val="3A247C6F"/>
    <w:rsid w:val="3A973157"/>
    <w:rsid w:val="3B20468F"/>
    <w:rsid w:val="3B3C3FBF"/>
    <w:rsid w:val="3B5A0327"/>
    <w:rsid w:val="3BAD090F"/>
    <w:rsid w:val="3C577F8F"/>
    <w:rsid w:val="3D034B2E"/>
    <w:rsid w:val="3DDF16E9"/>
    <w:rsid w:val="3E1F74E7"/>
    <w:rsid w:val="3E2C300D"/>
    <w:rsid w:val="3EFB495F"/>
    <w:rsid w:val="3F5A2111"/>
    <w:rsid w:val="3FBA02C3"/>
    <w:rsid w:val="407C4107"/>
    <w:rsid w:val="40C020C5"/>
    <w:rsid w:val="428432CD"/>
    <w:rsid w:val="428C263D"/>
    <w:rsid w:val="4377079F"/>
    <w:rsid w:val="43A7131A"/>
    <w:rsid w:val="44197845"/>
    <w:rsid w:val="441A35FA"/>
    <w:rsid w:val="456A371B"/>
    <w:rsid w:val="4576148D"/>
    <w:rsid w:val="47221418"/>
    <w:rsid w:val="477E361F"/>
    <w:rsid w:val="48686C1D"/>
    <w:rsid w:val="486A6F43"/>
    <w:rsid w:val="487B7DFA"/>
    <w:rsid w:val="48F16B2C"/>
    <w:rsid w:val="49507080"/>
    <w:rsid w:val="49514E3C"/>
    <w:rsid w:val="49574F07"/>
    <w:rsid w:val="49966842"/>
    <w:rsid w:val="4A161D99"/>
    <w:rsid w:val="4A1D43F5"/>
    <w:rsid w:val="4A345EA7"/>
    <w:rsid w:val="4AE97B73"/>
    <w:rsid w:val="4B4760DF"/>
    <w:rsid w:val="4BE90D9B"/>
    <w:rsid w:val="4BED5D0A"/>
    <w:rsid w:val="4BFA15E5"/>
    <w:rsid w:val="4C476857"/>
    <w:rsid w:val="4C673E0C"/>
    <w:rsid w:val="4CA868A3"/>
    <w:rsid w:val="4CBE4B74"/>
    <w:rsid w:val="4CCA6704"/>
    <w:rsid w:val="4D324894"/>
    <w:rsid w:val="4D3F0047"/>
    <w:rsid w:val="4D9B295F"/>
    <w:rsid w:val="4DA201CB"/>
    <w:rsid w:val="4E516D9B"/>
    <w:rsid w:val="4EF7601C"/>
    <w:rsid w:val="4F310A30"/>
    <w:rsid w:val="4FBF6DB3"/>
    <w:rsid w:val="507937F0"/>
    <w:rsid w:val="52114FB5"/>
    <w:rsid w:val="526770C0"/>
    <w:rsid w:val="52FD7421"/>
    <w:rsid w:val="536A2D3B"/>
    <w:rsid w:val="53A067BD"/>
    <w:rsid w:val="53A9514E"/>
    <w:rsid w:val="53EF05CA"/>
    <w:rsid w:val="53FE5A62"/>
    <w:rsid w:val="54B64D97"/>
    <w:rsid w:val="55727FBD"/>
    <w:rsid w:val="558105D7"/>
    <w:rsid w:val="55A41A91"/>
    <w:rsid w:val="55F27611"/>
    <w:rsid w:val="55FB32E5"/>
    <w:rsid w:val="564C5785"/>
    <w:rsid w:val="567C34FB"/>
    <w:rsid w:val="57CE6254"/>
    <w:rsid w:val="580B7C81"/>
    <w:rsid w:val="582174D0"/>
    <w:rsid w:val="586E1F24"/>
    <w:rsid w:val="59A91297"/>
    <w:rsid w:val="59D57C94"/>
    <w:rsid w:val="5A4A66DB"/>
    <w:rsid w:val="5A5907CA"/>
    <w:rsid w:val="5ADD347B"/>
    <w:rsid w:val="5BCE7E23"/>
    <w:rsid w:val="5C464AF3"/>
    <w:rsid w:val="5D457E32"/>
    <w:rsid w:val="5D65308C"/>
    <w:rsid w:val="5DB623CB"/>
    <w:rsid w:val="5E872AA3"/>
    <w:rsid w:val="5EBF52BD"/>
    <w:rsid w:val="5ED9003C"/>
    <w:rsid w:val="5F3E47D0"/>
    <w:rsid w:val="603D7867"/>
    <w:rsid w:val="61BE67BD"/>
    <w:rsid w:val="625B57DB"/>
    <w:rsid w:val="62EA1329"/>
    <w:rsid w:val="62EA2E75"/>
    <w:rsid w:val="63776102"/>
    <w:rsid w:val="639F303E"/>
    <w:rsid w:val="63BC7730"/>
    <w:rsid w:val="650D10F3"/>
    <w:rsid w:val="65443899"/>
    <w:rsid w:val="65AC2C8F"/>
    <w:rsid w:val="664065D2"/>
    <w:rsid w:val="673E51F0"/>
    <w:rsid w:val="694F2250"/>
    <w:rsid w:val="6979104D"/>
    <w:rsid w:val="699A4D82"/>
    <w:rsid w:val="69A233F9"/>
    <w:rsid w:val="69FF27F5"/>
    <w:rsid w:val="6A1926AB"/>
    <w:rsid w:val="6AC64D38"/>
    <w:rsid w:val="6B3612AB"/>
    <w:rsid w:val="6B715BF2"/>
    <w:rsid w:val="6D3B7744"/>
    <w:rsid w:val="6DEC7814"/>
    <w:rsid w:val="6E7A5957"/>
    <w:rsid w:val="6F8D656F"/>
    <w:rsid w:val="6FF923E0"/>
    <w:rsid w:val="709F7DD6"/>
    <w:rsid w:val="70DB6E3A"/>
    <w:rsid w:val="71275730"/>
    <w:rsid w:val="712B5FF7"/>
    <w:rsid w:val="717E6225"/>
    <w:rsid w:val="71BD085E"/>
    <w:rsid w:val="72BA079C"/>
    <w:rsid w:val="72C154D1"/>
    <w:rsid w:val="72E63415"/>
    <w:rsid w:val="74252B9A"/>
    <w:rsid w:val="75691CF2"/>
    <w:rsid w:val="757537C1"/>
    <w:rsid w:val="75B4514C"/>
    <w:rsid w:val="75C319CF"/>
    <w:rsid w:val="75E148ED"/>
    <w:rsid w:val="769A13A5"/>
    <w:rsid w:val="76C92DEE"/>
    <w:rsid w:val="7733508F"/>
    <w:rsid w:val="78340EE0"/>
    <w:rsid w:val="783A477B"/>
    <w:rsid w:val="784616B8"/>
    <w:rsid w:val="78961331"/>
    <w:rsid w:val="78D75C86"/>
    <w:rsid w:val="79142542"/>
    <w:rsid w:val="791847ED"/>
    <w:rsid w:val="795060B0"/>
    <w:rsid w:val="797A647E"/>
    <w:rsid w:val="79A67D23"/>
    <w:rsid w:val="7AF60ADD"/>
    <w:rsid w:val="7C8F7B36"/>
    <w:rsid w:val="7D412A8D"/>
    <w:rsid w:val="7E5C27F5"/>
    <w:rsid w:val="7E95593D"/>
    <w:rsid w:val="7EB90709"/>
    <w:rsid w:val="7F230A24"/>
    <w:rsid w:val="7F530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kern w:val="44"/>
      <w:sz w:val="44"/>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6">
    <w:name w:val="Normal Indent"/>
    <w:basedOn w:val="1"/>
    <w:next w:val="1"/>
    <w:qFormat/>
    <w:uiPriority w:val="0"/>
    <w:pPr>
      <w:ind w:firstLine="420" w:firstLineChars="200"/>
    </w:pPr>
    <w:rPr>
      <w:rFonts w:ascii="Times New Roman" w:hAnsi="Times New Roman"/>
      <w:szCs w:val="24"/>
    </w:rPr>
  </w:style>
  <w:style w:type="paragraph" w:styleId="7">
    <w:name w:val="annotation text"/>
    <w:basedOn w:val="1"/>
    <w:unhideWhenUsed/>
    <w:qFormat/>
    <w:uiPriority w:val="99"/>
    <w:pPr>
      <w:jc w:val="left"/>
    </w:pPr>
  </w:style>
  <w:style w:type="paragraph" w:styleId="8">
    <w:name w:val="Body Text"/>
    <w:basedOn w:val="1"/>
    <w:next w:val="1"/>
    <w:qFormat/>
    <w:uiPriority w:val="1"/>
    <w:pPr>
      <w:spacing w:before="36"/>
      <w:ind w:left="780"/>
      <w:jc w:val="left"/>
    </w:pPr>
    <w:rPr>
      <w:rFonts w:ascii="宋体" w:hAnsi="宋体" w:eastAsia="宋体"/>
      <w:kern w:val="0"/>
      <w:szCs w:val="21"/>
      <w:lang w:eastAsia="en-US"/>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11">
    <w:name w:val="Title"/>
    <w:basedOn w:val="1"/>
    <w:qFormat/>
    <w:uiPriority w:val="10"/>
    <w:pPr>
      <w:jc w:val="center"/>
      <w:outlineLvl w:val="0"/>
    </w:pPr>
    <w:rPr>
      <w:rFonts w:ascii="Arial" w:hAnsi="Arial"/>
      <w:b/>
      <w:sz w:val="32"/>
    </w:rPr>
  </w:style>
  <w:style w:type="paragraph" w:styleId="12">
    <w:name w:val="annotation subject"/>
    <w:next w:val="7"/>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3">
    <w:name w:val="Body Text First Indent"/>
    <w:basedOn w:val="8"/>
    <w:unhideWhenUsed/>
    <w:qFormat/>
    <w:uiPriority w:val="99"/>
    <w:pPr>
      <w:ind w:firstLine="420" w:firstLineChars="100"/>
    </w:p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书目1"/>
    <w:basedOn w:val="1"/>
    <w:next w:val="1"/>
    <w:unhideWhenUsed/>
    <w:qFormat/>
    <w:uiPriority w:val="37"/>
  </w:style>
  <w:style w:type="paragraph" w:customStyle="1" w:styleId="18">
    <w:name w:val="Table Paragraph"/>
    <w:basedOn w:val="1"/>
    <w:qFormat/>
    <w:uiPriority w:val="0"/>
    <w:pPr>
      <w:jc w:val="left"/>
    </w:pPr>
    <w:rPr>
      <w:kern w:val="0"/>
      <w:sz w:val="22"/>
      <w:lang w:eastAsia="en-US"/>
    </w:rPr>
  </w:style>
  <w:style w:type="paragraph" w:styleId="19">
    <w:name w:val="List Paragraph"/>
    <w:basedOn w:val="1"/>
    <w:qFormat/>
    <w:uiPriority w:val="34"/>
    <w:pPr>
      <w:widowControl/>
      <w:ind w:firstLine="420"/>
    </w:pPr>
    <w:rPr>
      <w:rFonts w:ascii="Calibri" w:hAnsi="Calibri" w:eastAsia="宋体" w:cs="Calibri"/>
      <w:kern w:val="0"/>
      <w:szCs w:val="21"/>
    </w:rPr>
  </w:style>
  <w:style w:type="character" w:customStyle="1" w:styleId="20">
    <w:name w:val="font01"/>
    <w:basedOn w:val="16"/>
    <w:qFormat/>
    <w:uiPriority w:val="0"/>
    <w:rPr>
      <w:rFonts w:hint="eastAsia" w:ascii="宋体" w:hAnsi="宋体" w:eastAsia="宋体" w:cs="宋体"/>
      <w:color w:val="000000"/>
      <w:sz w:val="20"/>
      <w:szCs w:val="20"/>
      <w:u w:val="none"/>
    </w:rPr>
  </w:style>
  <w:style w:type="paragraph" w:customStyle="1" w:styleId="21">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2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3">
    <w:name w:val="Normal_1"/>
    <w:next w:val="24"/>
    <w:qFormat/>
    <w:uiPriority w:val="0"/>
    <w:rPr>
      <w:rFonts w:ascii="Times New Roman" w:hAnsi="Times New Roman" w:eastAsia="Times New Roman" w:cs="Times New Roman"/>
      <w:sz w:val="24"/>
      <w:szCs w:val="24"/>
    </w:rPr>
  </w:style>
  <w:style w:type="paragraph" w:customStyle="1" w:styleId="24">
    <w:name w:val="默认段落字体 Para Char"/>
    <w:basedOn w:val="25"/>
    <w:next w:val="1"/>
    <w:qFormat/>
    <w:uiPriority w:val="0"/>
    <w:pPr>
      <w:widowControl w:val="0"/>
      <w:spacing w:before="80" w:after="80" w:line="360" w:lineRule="auto"/>
      <w:jc w:val="both"/>
    </w:pPr>
    <w:rPr>
      <w:rFonts w:ascii="Calibri" w:hAnsi="Calibri" w:cs="Times New Roman"/>
      <w:kern w:val="2"/>
      <w:szCs w:val="20"/>
    </w:rPr>
  </w:style>
  <w:style w:type="paragraph" w:customStyle="1" w:styleId="25">
    <w:name w:val="Normal_0"/>
    <w:next w:val="24"/>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26">
    <w:name w:val="正文_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标题 2_0"/>
    <w:basedOn w:val="26"/>
    <w:next w:val="26"/>
    <w:unhideWhenUsed/>
    <w:qFormat/>
    <w:uiPriority w:val="0"/>
    <w:pPr>
      <w:keepNext/>
      <w:keepLines/>
      <w:spacing w:before="260" w:after="260" w:line="416" w:lineRule="auto"/>
      <w:ind w:right="5" w:rightChars="5"/>
      <w:jc w:val="left"/>
      <w:outlineLvl w:val="1"/>
    </w:pPr>
    <w:rPr>
      <w:rFonts w:ascii="Cambria" w:hAnsi="Cambria"/>
      <w:b/>
      <w:bCs/>
      <w:kern w:val="0"/>
      <w:sz w:val="32"/>
      <w:szCs w:val="32"/>
      <w:lang w:eastAsia="en-US"/>
    </w:rPr>
  </w:style>
  <w:style w:type="paragraph" w:customStyle="1" w:styleId="28">
    <w:name w:val="列出段落_0"/>
    <w:basedOn w:val="29"/>
    <w:qFormat/>
    <w:uiPriority w:val="34"/>
    <w:pPr>
      <w:ind w:firstLine="420" w:firstLineChars="200"/>
    </w:pPr>
  </w:style>
  <w:style w:type="paragraph" w:customStyle="1" w:styleId="29">
    <w:name w:val="正文_0_0_0"/>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30">
    <w:name w:val="标题 1_0"/>
    <w:basedOn w:val="26"/>
    <w:next w:val="26"/>
    <w:qFormat/>
    <w:uiPriority w:val="99"/>
    <w:pPr>
      <w:keepNext/>
      <w:keepLines/>
      <w:spacing w:before="340" w:after="330" w:line="578" w:lineRule="auto"/>
      <w:ind w:right="5" w:rightChars="5"/>
      <w:jc w:val="left"/>
      <w:outlineLvl w:val="0"/>
    </w:pPr>
    <w:rPr>
      <w:rFonts w:ascii="Calibri" w:hAnsi="Calibri"/>
      <w:b/>
      <w:bCs/>
      <w:kern w:val="44"/>
      <w:sz w:val="44"/>
      <w:szCs w:val="44"/>
      <w:lang w:eastAsia="en-US"/>
    </w:rPr>
  </w:style>
  <w:style w:type="paragraph" w:customStyle="1" w:styleId="31">
    <w:name w:val="列出段落1"/>
    <w:basedOn w:val="1"/>
    <w:qFormat/>
    <w:uiPriority w:val="34"/>
    <w:pPr>
      <w:widowControl/>
      <w:ind w:left="720"/>
      <w:contextualSpacing/>
      <w:jc w:val="left"/>
    </w:pPr>
    <w:rPr>
      <w:rFonts w:ascii="Calibri" w:hAnsi="Calibri" w:eastAsia="宋体" w:cs="Times New Roman"/>
      <w:kern w:val="0"/>
      <w:sz w:val="24"/>
      <w:szCs w:val="24"/>
    </w:rPr>
  </w:style>
  <w:style w:type="paragraph" w:customStyle="1" w:styleId="32">
    <w:name w:val="_Style 378"/>
    <w:basedOn w:val="1"/>
    <w:next w:val="19"/>
    <w:qFormat/>
    <w:uiPriority w:val="34"/>
    <w:pPr>
      <w:widowControl/>
      <w:overflowPunct w:val="0"/>
      <w:autoSpaceDE w:val="0"/>
      <w:autoSpaceDN w:val="0"/>
      <w:adjustRightInd w:val="0"/>
      <w:ind w:firstLine="420" w:firstLineChars="200"/>
      <w:jc w:val="left"/>
      <w:textAlignment w:val="baseline"/>
    </w:pPr>
    <w:rPr>
      <w:rFonts w:ascii="Calibri" w:hAnsi="Calibri" w:eastAsia="宋体" w:cs="Times New Roman"/>
      <w:kern w:val="0"/>
      <w:sz w:val="20"/>
      <w:szCs w:val="20"/>
      <w:lang w:eastAsia="en-US"/>
    </w:rPr>
  </w:style>
  <w:style w:type="character" w:customStyle="1" w:styleId="33">
    <w:name w:val="fontstyle01"/>
    <w:basedOn w:val="16"/>
    <w:qFormat/>
    <w:uiPriority w:val="0"/>
    <w:rPr>
      <w:rFonts w:hint="default" w:ascii="Helvetica" w:hAnsi="Helvetica"/>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1374</Words>
  <Characters>1480</Characters>
  <Lines>0</Lines>
  <Paragraphs>0</Paragraphs>
  <TotalTime>3</TotalTime>
  <ScaleCrop>false</ScaleCrop>
  <LinksUpToDate>false</LinksUpToDate>
  <CharactersWithSpaces>1511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2024-06-18T02:05:00Z</dcterms:created>
  <dc:creator>yuwch2</dc:creator>
  <cp:lastModifiedBy>WPS_1692263543</cp:lastModifiedBy>
  <dcterms:modified xsi:type="dcterms:W3CDTF">2025-08-13T11:35:59Z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1A37AB23E7564E72BDF5D110A6D4A87B</vt:lpwstr>
  </property>
  <property fmtid="{D5CDD505-2E9C-101B-9397-08002B2CF9AE}" pid="4" name="KSOTemplateDocerSaveRecord">
    <vt:lpwstr>eyJoZGlkIjoiODE0YjI3MzIwY2FlMmVlYWY4YjFkZWZmN2QyYjVhYjYiLCJ1c2VySWQiOiIxNTIxNzMwOTUzIn0=</vt:lpwstr>
  </property>
</Properties>
</file>