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color w:val="auto"/>
          <w:sz w:val="30"/>
          <w:szCs w:val="30"/>
        </w:rPr>
      </w:pPr>
      <w:r>
        <w:rPr>
          <w:rFonts w:hint="eastAsia" w:ascii="黑体" w:hAnsi="黑体" w:eastAsia="黑体"/>
          <w:b/>
          <w:color w:val="auto"/>
          <w:sz w:val="30"/>
          <w:szCs w:val="30"/>
        </w:rPr>
        <w:t>询价文件（函）</w:t>
      </w:r>
    </w:p>
    <w:p>
      <w:pPr>
        <w:spacing w:line="360" w:lineRule="auto"/>
        <w:jc w:val="center"/>
        <w:rPr>
          <w:rFonts w:hint="eastAsia" w:ascii="黑体" w:hAnsi="黑体" w:eastAsia="黑体"/>
          <w:b/>
          <w:color w:val="auto"/>
          <w:sz w:val="30"/>
          <w:szCs w:val="30"/>
        </w:rPr>
      </w:pPr>
    </w:p>
    <w:p>
      <w:pPr>
        <w:spacing w:line="360" w:lineRule="auto"/>
        <w:ind w:firstLine="480" w:firstLineChars="200"/>
        <w:jc w:val="left"/>
        <w:rPr>
          <w:rFonts w:asciiTheme="minorEastAsia" w:hAnsiTheme="minorEastAsia"/>
          <w:color w:val="auto"/>
          <w:sz w:val="24"/>
          <w:szCs w:val="24"/>
          <w:highlight w:val="none"/>
        </w:rPr>
      </w:pPr>
      <w:r>
        <w:rPr>
          <w:rFonts w:hint="eastAsia" w:asciiTheme="minorEastAsia" w:hAnsiTheme="minorEastAsia"/>
          <w:b w:val="0"/>
          <w:bCs w:val="0"/>
          <w:color w:val="auto"/>
          <w:sz w:val="24"/>
          <w:szCs w:val="24"/>
          <w:highlight w:val="none"/>
          <w:u w:val="single"/>
          <w:lang w:val="en-US" w:eastAsia="zh-CN"/>
        </w:rPr>
        <w:t>油服天津通用-通用阀门-250827</w:t>
      </w:r>
      <w:r>
        <w:rPr>
          <w:rFonts w:hint="eastAsia" w:asciiTheme="minorEastAsia" w:hAnsiTheme="minorEastAsia"/>
          <w:b/>
          <w:bCs/>
          <w:color w:val="auto"/>
          <w:sz w:val="24"/>
          <w:szCs w:val="24"/>
          <w:highlight w:val="none"/>
          <w:lang w:val="en-US" w:eastAsia="zh-CN"/>
        </w:rPr>
        <w:t>采购项目</w:t>
      </w:r>
      <w:r>
        <w:rPr>
          <w:rFonts w:hint="eastAsia" w:asciiTheme="minorEastAsia" w:hAnsiTheme="minorEastAsia"/>
          <w:b/>
          <w:bCs/>
          <w:color w:val="auto"/>
          <w:sz w:val="24"/>
          <w:szCs w:val="24"/>
          <w:highlight w:val="none"/>
          <w:u w:val="single"/>
          <w:lang w:val="en-US" w:eastAsia="zh-CN"/>
        </w:rPr>
        <w:t>（</w:t>
      </w:r>
      <w:r>
        <w:rPr>
          <w:rFonts w:hint="eastAsia" w:asciiTheme="minorEastAsia" w:hAnsiTheme="minorEastAsia"/>
          <w:b/>
          <w:bCs/>
          <w:color w:val="auto"/>
          <w:sz w:val="24"/>
          <w:szCs w:val="24"/>
          <w:highlight w:val="none"/>
          <w:u w:val="single"/>
        </w:rPr>
        <w:t>项目</w:t>
      </w:r>
      <w:r>
        <w:rPr>
          <w:rFonts w:hint="eastAsia" w:asciiTheme="minorEastAsia" w:hAnsiTheme="minorEastAsia"/>
          <w:b/>
          <w:bCs/>
          <w:color w:val="auto"/>
          <w:sz w:val="24"/>
          <w:szCs w:val="24"/>
          <w:highlight w:val="none"/>
          <w:u w:val="single"/>
          <w:lang w:val="en-US" w:eastAsia="zh-CN"/>
        </w:rPr>
        <w:t>询价</w:t>
      </w:r>
      <w:r>
        <w:rPr>
          <w:rFonts w:hint="eastAsia" w:asciiTheme="minorEastAsia" w:hAnsiTheme="minorEastAsia"/>
          <w:b/>
          <w:bCs/>
          <w:color w:val="auto"/>
          <w:sz w:val="24"/>
          <w:szCs w:val="24"/>
          <w:highlight w:val="none"/>
          <w:u w:val="single"/>
        </w:rPr>
        <w:t>编号</w:t>
      </w:r>
      <w:r>
        <w:rPr>
          <w:rFonts w:hint="eastAsia" w:asciiTheme="minorEastAsia" w:hAnsiTheme="minorEastAsia"/>
          <w:b/>
          <w:bCs/>
          <w:color w:val="auto"/>
          <w:sz w:val="24"/>
          <w:szCs w:val="24"/>
          <w:highlight w:val="none"/>
          <w:u w:val="single"/>
          <w:lang w:eastAsia="zh-CN"/>
        </w:rPr>
        <w:t>：</w:t>
      </w:r>
      <w:r>
        <w:rPr>
          <w:rFonts w:hint="eastAsia" w:asciiTheme="minorEastAsia" w:hAnsiTheme="minorEastAsia"/>
          <w:b w:val="0"/>
          <w:bCs w:val="0"/>
          <w:color w:val="auto"/>
          <w:sz w:val="24"/>
          <w:szCs w:val="24"/>
          <w:highlight w:val="none"/>
          <w:u w:val="single"/>
          <w:lang w:val="en-US" w:eastAsia="zh-CN"/>
        </w:rPr>
        <w:t>1023-lishl7-250827-002/01</w:t>
      </w:r>
      <w:r>
        <w:rPr>
          <w:rFonts w:hint="eastAsia" w:asciiTheme="minorEastAsia" w:hAnsiTheme="minorEastAsia"/>
          <w:b/>
          <w:bCs/>
          <w:color w:val="auto"/>
          <w:sz w:val="24"/>
          <w:szCs w:val="24"/>
          <w:highlight w:val="none"/>
          <w:u w:val="single"/>
        </w:rPr>
        <w:t>）</w:t>
      </w:r>
      <w:r>
        <w:rPr>
          <w:rFonts w:hint="eastAsia" w:asciiTheme="minorEastAsia" w:hAnsiTheme="minorEastAsia"/>
          <w:color w:val="auto"/>
          <w:sz w:val="24"/>
          <w:szCs w:val="24"/>
          <w:highlight w:val="none"/>
        </w:rPr>
        <w:t>已具备采购条件，现公开邀请供应商参加询价采购活动。现将有关事项明确如下：</w:t>
      </w: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项目简介</w:t>
      </w:r>
    </w:p>
    <w:p>
      <w:pPr>
        <w:pStyle w:val="29"/>
        <w:snapToGrid w:val="0"/>
        <w:spacing w:before="120" w:beforeLines="50" w:after="120" w:afterLines="50"/>
        <w:ind w:left="210" w:leftChars="100" w:firstLine="241" w:firstLineChars="100"/>
        <w:rPr>
          <w:rFonts w:eastAsia="宋体" w:cs="Calibri" w:asciiTheme="minorEastAsia" w:hAnsiTheme="minorEastAsia"/>
          <w:b/>
          <w:color w:val="auto"/>
          <w:highlight w:val="none"/>
        </w:rPr>
      </w:pPr>
      <w:r>
        <w:rPr>
          <w:rFonts w:hint="eastAsia" w:eastAsia="宋体" w:cs="Calibri" w:asciiTheme="minorEastAsia" w:hAnsiTheme="minorEastAsia"/>
          <w:b/>
          <w:color w:val="auto"/>
          <w:highlight w:val="none"/>
        </w:rPr>
        <w:t>采购范围及相关要求</w:t>
      </w:r>
      <w:r>
        <w:rPr>
          <w:rFonts w:eastAsia="宋体" w:cs="Calibri" w:asciiTheme="minorEastAsia" w:hAnsiTheme="minorEastAsia"/>
          <w:b/>
          <w:color w:val="auto"/>
          <w:highlight w:val="none"/>
        </w:rPr>
        <w:t xml:space="preserve"> </w:t>
      </w:r>
    </w:p>
    <w:p>
      <w:pPr>
        <w:pStyle w:val="6"/>
        <w:numPr>
          <w:ilvl w:val="0"/>
          <w:numId w:val="3"/>
        </w:numPr>
        <w:snapToGrid w:val="0"/>
        <w:ind w:left="425" w:leftChars="0" w:right="10" w:hanging="425" w:firstLineChars="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采购范围：</w:t>
      </w:r>
      <w:r>
        <w:rPr>
          <w:rFonts w:ascii="微软雅黑" w:hAnsi="微软雅黑" w:eastAsia="微软雅黑"/>
          <w:color w:val="auto"/>
          <w:spacing w:val="6"/>
          <w:highlight w:val="none"/>
          <w:lang w:eastAsia="zh-CN"/>
        </w:rPr>
        <w:t xml:space="preserve"> </w:t>
      </w:r>
      <w:r>
        <w:rPr>
          <w:rFonts w:hint="eastAsia" w:ascii="微软雅黑" w:hAnsi="微软雅黑" w:eastAsia="微软雅黑"/>
          <w:color w:val="auto"/>
          <w:spacing w:val="6"/>
          <w:highlight w:val="none"/>
          <w:lang w:eastAsia="zh-CN"/>
        </w:rPr>
        <w:t>见本询价文件附件</w:t>
      </w:r>
      <w:r>
        <w:rPr>
          <w:rFonts w:hint="eastAsia" w:ascii="微软雅黑" w:hAnsi="微软雅黑" w:eastAsia="微软雅黑"/>
          <w:color w:val="auto"/>
          <w:spacing w:val="6"/>
          <w:highlight w:val="none"/>
          <w:lang w:val="en-US" w:eastAsia="zh-CN"/>
        </w:rPr>
        <w:t>1</w:t>
      </w:r>
      <w:r>
        <w:rPr>
          <w:rFonts w:hint="eastAsia" w:ascii="微软雅黑" w:hAnsi="微软雅黑" w:eastAsia="微软雅黑"/>
          <w:color w:val="auto"/>
          <w:spacing w:val="6"/>
          <w:highlight w:val="none"/>
          <w:lang w:eastAsia="zh-CN"/>
        </w:rPr>
        <w:t>。</w:t>
      </w:r>
    </w:p>
    <w:p>
      <w:pPr>
        <w:pStyle w:val="6"/>
        <w:numPr>
          <w:ilvl w:val="0"/>
          <w:numId w:val="3"/>
        </w:numPr>
        <w:snapToGrid w:val="0"/>
        <w:ind w:left="425" w:leftChars="0" w:right="10" w:hanging="425" w:firstLineChars="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交货期：</w:t>
      </w:r>
      <w:r>
        <w:rPr>
          <w:rFonts w:ascii="微软雅黑" w:hAnsi="微软雅黑" w:eastAsia="微软雅黑"/>
          <w:color w:val="auto"/>
          <w:spacing w:val="6"/>
          <w:highlight w:val="none"/>
          <w:lang w:eastAsia="zh-CN"/>
        </w:rPr>
        <w:t xml:space="preserve"> </w:t>
      </w:r>
      <w:r>
        <w:rPr>
          <w:rFonts w:hint="eastAsia" w:ascii="微软雅黑" w:hAnsi="微软雅黑" w:eastAsia="微软雅黑"/>
          <w:color w:val="auto"/>
          <w:spacing w:val="6"/>
          <w:highlight w:val="none"/>
          <w:lang w:val="en-US" w:eastAsia="zh-CN"/>
        </w:rPr>
        <w:t>2个月</w:t>
      </w:r>
    </w:p>
    <w:p>
      <w:pPr>
        <w:pStyle w:val="6"/>
        <w:numPr>
          <w:ilvl w:val="0"/>
          <w:numId w:val="3"/>
        </w:numPr>
        <w:snapToGrid w:val="0"/>
        <w:ind w:left="425" w:leftChars="0" w:right="10" w:hanging="425" w:firstLineChars="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交货地点：</w:t>
      </w:r>
      <w:r>
        <w:rPr>
          <w:rFonts w:ascii="微软雅黑" w:hAnsi="微软雅黑" w:eastAsia="微软雅黑"/>
          <w:color w:val="auto"/>
          <w:spacing w:val="6"/>
          <w:highlight w:val="none"/>
          <w:lang w:eastAsia="zh-CN"/>
        </w:rPr>
        <w:t xml:space="preserve"> </w:t>
      </w:r>
      <w:r>
        <w:rPr>
          <w:rFonts w:hint="eastAsia" w:ascii="微软雅黑" w:hAnsi="微软雅黑" w:eastAsia="微软雅黑"/>
          <w:color w:val="auto"/>
          <w:spacing w:val="6"/>
          <w:highlight w:val="none"/>
          <w:lang w:val="en-US" w:eastAsia="zh-CN"/>
        </w:rPr>
        <w:t>天津/舟山</w:t>
      </w:r>
      <w:bookmarkStart w:id="7" w:name="_GoBack"/>
      <w:bookmarkEnd w:id="7"/>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r>
        <w:rPr>
          <w:rFonts w:asciiTheme="minorEastAsia" w:hAnsiTheme="minorEastAsia"/>
          <w:b/>
          <w:color w:val="auto"/>
          <w:sz w:val="24"/>
          <w:szCs w:val="24"/>
          <w:highlight w:val="none"/>
        </w:rPr>
        <w:t>投标人资格要求</w:t>
      </w:r>
      <w:r>
        <w:rPr>
          <w:rFonts w:hint="eastAsia" w:asciiTheme="minorEastAsia" w:hAnsiTheme="minorEastAsia"/>
          <w:b/>
          <w:color w:val="auto"/>
          <w:sz w:val="24"/>
          <w:szCs w:val="24"/>
          <w:highlight w:val="none"/>
        </w:rPr>
        <w:t xml:space="preserve">  </w:t>
      </w:r>
    </w:p>
    <w:p>
      <w:pPr>
        <w:pStyle w:val="6"/>
        <w:snapToGrid w:val="0"/>
        <w:ind w:left="446" w:right="10" w:hanging="446" w:hangingChars="201"/>
        <w:rPr>
          <w:rFonts w:ascii="微软雅黑" w:hAnsi="微软雅黑" w:eastAsia="微软雅黑"/>
          <w:b/>
          <w:color w:val="auto"/>
          <w:spacing w:val="6"/>
          <w:highlight w:val="none"/>
          <w:lang w:eastAsia="zh-CN"/>
        </w:rPr>
      </w:pPr>
      <w:r>
        <w:rPr>
          <w:rFonts w:hint="eastAsia" w:ascii="微软雅黑" w:hAnsi="微软雅黑" w:eastAsia="微软雅黑"/>
          <w:b/>
          <w:color w:val="auto"/>
          <w:spacing w:val="6"/>
          <w:highlight w:val="none"/>
          <w:lang w:eastAsia="zh-CN"/>
        </w:rPr>
        <w:t>1、</w:t>
      </w:r>
      <w:r>
        <w:rPr>
          <w:rFonts w:ascii="微软雅黑" w:hAnsi="微软雅黑" w:eastAsia="微软雅黑"/>
          <w:b/>
          <w:color w:val="auto"/>
          <w:spacing w:val="6"/>
          <w:highlight w:val="none"/>
          <w:lang w:eastAsia="zh-CN"/>
        </w:rPr>
        <w:t>资质</w:t>
      </w:r>
      <w:r>
        <w:rPr>
          <w:rFonts w:hint="eastAsia" w:ascii="微软雅黑" w:hAnsi="微软雅黑" w:eastAsia="微软雅黑"/>
          <w:b/>
          <w:color w:val="auto"/>
          <w:spacing w:val="6"/>
          <w:highlight w:val="none"/>
          <w:lang w:eastAsia="zh-CN"/>
        </w:rPr>
        <w:t>要求：</w:t>
      </w:r>
    </w:p>
    <w:p>
      <w:pPr>
        <w:pStyle w:val="29"/>
        <w:snapToGrid w:val="0"/>
        <w:ind w:left="424" w:hanging="424" w:hangingChars="202"/>
        <w:rPr>
          <w:rFonts w:ascii="微软雅黑" w:hAnsi="微软雅黑" w:eastAsia="微软雅黑" w:cs="宋体"/>
          <w:color w:val="auto"/>
          <w:sz w:val="21"/>
          <w:szCs w:val="21"/>
          <w:highlight w:val="none"/>
        </w:rPr>
      </w:pPr>
      <w:bookmarkStart w:id="0" w:name="_Hlk25503035"/>
      <w:r>
        <w:rPr>
          <w:rFonts w:hint="eastAsia" w:ascii="微软雅黑" w:hAnsi="微软雅黑" w:eastAsia="微软雅黑" w:cs="宋体"/>
          <w:color w:val="auto"/>
          <w:sz w:val="21"/>
          <w:szCs w:val="21"/>
          <w:highlight w:val="none"/>
        </w:rPr>
        <w:t>1</w:t>
      </w:r>
      <w:r>
        <w:rPr>
          <w:rFonts w:ascii="微软雅黑" w:hAnsi="微软雅黑" w:eastAsia="微软雅黑" w:cs="宋体"/>
          <w:color w:val="auto"/>
          <w:sz w:val="21"/>
          <w:szCs w:val="21"/>
          <w:highlight w:val="none"/>
        </w:rPr>
        <w:t xml:space="preserve">.1 </w:t>
      </w:r>
      <w:r>
        <w:rPr>
          <w:rFonts w:hint="eastAsia" w:ascii="微软雅黑" w:hAnsi="微软雅黑" w:eastAsia="微软雅黑" w:cs="宋体"/>
          <w:color w:val="auto"/>
          <w:sz w:val="21"/>
          <w:szCs w:val="21"/>
          <w:highlight w:val="none"/>
        </w:rPr>
        <w:t>申请人须是中华人民共和国境内注册的独立法人单位，具备法律主体资格，具有独立订立及履行合同的能力。</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1.2 信誉要求：</w:t>
      </w:r>
      <w:r>
        <w:rPr>
          <w:rFonts w:hint="eastAsia" w:ascii="微软雅黑" w:hAnsi="微软雅黑" w:eastAsia="微软雅黑" w:cs="宋体"/>
          <w:color w:val="auto"/>
          <w:sz w:val="21"/>
          <w:szCs w:val="21"/>
          <w:highlight w:val="none"/>
        </w:rPr>
        <w:t>申请人不得是最高人民法院在“信用中国”网站（</w:t>
      </w:r>
      <w:r>
        <w:rPr>
          <w:rFonts w:ascii="微软雅黑" w:hAnsi="微软雅黑" w:eastAsia="微软雅黑" w:cs="宋体"/>
          <w:color w:val="auto"/>
          <w:sz w:val="21"/>
          <w:szCs w:val="21"/>
          <w:highlight w:val="none"/>
        </w:rPr>
        <w:t>www.creditchina.gov.cn</w:t>
      </w:r>
      <w:r>
        <w:rPr>
          <w:rFonts w:hint="eastAsia" w:ascii="微软雅黑" w:hAnsi="微软雅黑" w:eastAsia="微软雅黑" w:cs="宋体"/>
          <w:color w:val="auto"/>
          <w:sz w:val="21"/>
          <w:szCs w:val="21"/>
          <w:highlight w:val="none"/>
        </w:rPr>
        <w:t>）或各级法院列入失信被执行人名单；</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1.3 </w:t>
      </w:r>
      <w:r>
        <w:rPr>
          <w:rFonts w:hint="eastAsia" w:ascii="微软雅黑" w:hAnsi="微软雅黑" w:eastAsia="微软雅黑" w:cs="宋体"/>
          <w:color w:val="auto"/>
          <w:sz w:val="21"/>
          <w:szCs w:val="21"/>
          <w:highlight w:val="none"/>
        </w:rPr>
        <w:t>近三年（</w:t>
      </w:r>
      <w:r>
        <w:rPr>
          <w:rFonts w:hint="eastAsia" w:ascii="微软雅黑" w:hAnsi="微软雅黑" w:eastAsia="微软雅黑" w:cs="宋体"/>
          <w:color w:val="auto"/>
          <w:sz w:val="21"/>
          <w:szCs w:val="21"/>
          <w:highlight w:val="none"/>
          <w:lang w:val="en-US" w:eastAsia="zh-CN"/>
        </w:rPr>
        <w:t>报价</w:t>
      </w:r>
      <w:r>
        <w:rPr>
          <w:rFonts w:hint="eastAsia" w:ascii="微软雅黑" w:hAnsi="微软雅黑" w:eastAsia="微软雅黑" w:cs="宋体"/>
          <w:color w:val="auto"/>
          <w:sz w:val="21"/>
          <w:szCs w:val="21"/>
          <w:highlight w:val="none"/>
        </w:rPr>
        <w:t>截止日前3年）内申请人或其法定代表人、拟委任的项目负责人不得有行贿犯罪行为；</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1.4 </w:t>
      </w:r>
      <w:r>
        <w:rPr>
          <w:rFonts w:hint="eastAsia" w:ascii="微软雅黑" w:hAnsi="微软雅黑" w:eastAsia="微软雅黑" w:cs="宋体"/>
          <w:color w:val="auto"/>
          <w:sz w:val="21"/>
          <w:szCs w:val="21"/>
          <w:highlight w:val="none"/>
        </w:rPr>
        <w:t>申请人不得被工商行政管理机关在全国企业信用信息公示系统（http://www.gsxt.gov.cn）中列入严重违法失信企业名；</w:t>
      </w:r>
    </w:p>
    <w:bookmarkEnd w:id="0"/>
    <w:p>
      <w:pPr>
        <w:pStyle w:val="6"/>
        <w:snapToGrid w:val="0"/>
        <w:ind w:left="446" w:right="10" w:hanging="446" w:hangingChars="201"/>
        <w:rPr>
          <w:rFonts w:ascii="微软雅黑" w:hAnsi="微软雅黑" w:eastAsia="微软雅黑"/>
          <w:b/>
          <w:color w:val="auto"/>
          <w:spacing w:val="6"/>
          <w:highlight w:val="none"/>
          <w:lang w:eastAsia="zh-CN"/>
        </w:rPr>
      </w:pPr>
      <w:r>
        <w:rPr>
          <w:rFonts w:ascii="微软雅黑" w:hAnsi="微软雅黑" w:eastAsia="微软雅黑"/>
          <w:b/>
          <w:color w:val="auto"/>
          <w:spacing w:val="6"/>
          <w:highlight w:val="none"/>
          <w:lang w:eastAsia="zh-CN"/>
        </w:rPr>
        <w:t>2</w:t>
      </w:r>
      <w:r>
        <w:rPr>
          <w:rFonts w:hint="eastAsia" w:ascii="微软雅黑" w:hAnsi="微软雅黑" w:eastAsia="微软雅黑"/>
          <w:b/>
          <w:color w:val="auto"/>
          <w:spacing w:val="6"/>
          <w:highlight w:val="none"/>
          <w:lang w:eastAsia="zh-CN"/>
        </w:rPr>
        <w:t>、</w:t>
      </w:r>
      <w:r>
        <w:rPr>
          <w:rFonts w:ascii="微软雅黑" w:hAnsi="微软雅黑" w:eastAsia="微软雅黑"/>
          <w:b/>
          <w:color w:val="auto"/>
          <w:spacing w:val="6"/>
          <w:highlight w:val="none"/>
          <w:lang w:eastAsia="zh-CN"/>
        </w:rPr>
        <w:t xml:space="preserve"> 业绩</w:t>
      </w:r>
      <w:r>
        <w:rPr>
          <w:rFonts w:hint="eastAsia" w:ascii="微软雅黑" w:hAnsi="微软雅黑" w:eastAsia="微软雅黑"/>
          <w:b/>
          <w:color w:val="auto"/>
          <w:spacing w:val="6"/>
          <w:highlight w:val="none"/>
          <w:lang w:eastAsia="zh-CN"/>
        </w:rPr>
        <w:t>要求：</w:t>
      </w:r>
    </w:p>
    <w:p>
      <w:pPr>
        <w:pStyle w:val="29"/>
        <w:snapToGrid w:val="0"/>
        <w:ind w:left="424" w:hanging="424" w:hangingChars="202"/>
        <w:rPr>
          <w:rFonts w:hint="default" w:ascii="微软雅黑" w:hAnsi="微软雅黑" w:eastAsia="微软雅黑" w:cs="宋体"/>
          <w:color w:val="auto"/>
          <w:sz w:val="21"/>
          <w:szCs w:val="21"/>
          <w:highlight w:val="none"/>
          <w:lang w:val="en-US" w:eastAsia="zh-CN"/>
        </w:rPr>
      </w:pPr>
      <w:bookmarkStart w:id="1" w:name="_Hlk25517692"/>
      <w:r>
        <w:rPr>
          <w:rFonts w:ascii="微软雅黑" w:hAnsi="微软雅黑" w:eastAsia="微软雅黑" w:cs="宋体"/>
          <w:color w:val="auto"/>
          <w:sz w:val="21"/>
          <w:szCs w:val="21"/>
          <w:highlight w:val="none"/>
        </w:rPr>
        <w:t xml:space="preserve">2.1 </w:t>
      </w:r>
      <w:r>
        <w:rPr>
          <w:rFonts w:hint="eastAsia" w:ascii="微软雅黑" w:hAnsi="微软雅黑" w:eastAsia="微软雅黑" w:cs="宋体"/>
          <w:color w:val="auto"/>
          <w:sz w:val="21"/>
          <w:szCs w:val="21"/>
          <w:highlight w:val="none"/>
        </w:rPr>
        <w:t>满足</w:t>
      </w:r>
      <w:r>
        <w:rPr>
          <w:rFonts w:hint="eastAsia" w:ascii="微软雅黑" w:hAnsi="微软雅黑" w:eastAsia="微软雅黑" w:cs="宋体"/>
          <w:color w:val="auto"/>
          <w:sz w:val="21"/>
          <w:szCs w:val="21"/>
          <w:highlight w:val="none"/>
          <w:lang w:val="en-US" w:eastAsia="zh-CN"/>
        </w:rPr>
        <w:t>询价</w:t>
      </w:r>
      <w:r>
        <w:rPr>
          <w:rFonts w:hint="eastAsia" w:ascii="微软雅黑" w:hAnsi="微软雅黑" w:eastAsia="微软雅黑" w:cs="宋体"/>
          <w:color w:val="auto"/>
          <w:sz w:val="21"/>
          <w:szCs w:val="21"/>
          <w:highlight w:val="none"/>
        </w:rPr>
        <w:t>要求的投标产品/服务需在</w:t>
      </w:r>
      <w:r>
        <w:rPr>
          <w:rFonts w:hint="eastAsia" w:ascii="微软雅黑" w:hAnsi="微软雅黑" w:eastAsia="微软雅黑" w:cs="Times New Roman"/>
          <w:b/>
          <w:bCs/>
          <w:color w:val="auto"/>
          <w:spacing w:val="6"/>
          <w:kern w:val="0"/>
          <w:sz w:val="21"/>
          <w:szCs w:val="21"/>
          <w:highlight w:val="none"/>
          <w:lang w:val="en-US" w:eastAsia="zh-CN" w:bidi="ar-SA"/>
        </w:rPr>
        <w:t>三</w:t>
      </w:r>
      <w:r>
        <w:rPr>
          <w:rFonts w:hint="eastAsia" w:ascii="微软雅黑" w:hAnsi="微软雅黑" w:eastAsia="微软雅黑" w:cs="Times New Roman"/>
          <w:b/>
          <w:bCs/>
          <w:color w:val="auto"/>
          <w:spacing w:val="6"/>
          <w:kern w:val="0"/>
          <w:sz w:val="21"/>
          <w:szCs w:val="21"/>
          <w:highlight w:val="none"/>
          <w:lang w:val="zh-CN" w:eastAsia="zh-CN" w:bidi="ar-SA"/>
        </w:rPr>
        <w:t>年内具有</w:t>
      </w:r>
      <w:r>
        <w:rPr>
          <w:rFonts w:hint="eastAsia" w:ascii="微软雅黑" w:hAnsi="微软雅黑" w:eastAsia="微软雅黑" w:cs="Times New Roman"/>
          <w:b/>
          <w:bCs/>
          <w:color w:val="auto"/>
          <w:spacing w:val="6"/>
          <w:kern w:val="0"/>
          <w:sz w:val="21"/>
          <w:szCs w:val="21"/>
          <w:highlight w:val="none"/>
          <w:lang w:val="en-US" w:eastAsia="zh-CN" w:bidi="ar-SA"/>
        </w:rPr>
        <w:t>同类产品</w:t>
      </w:r>
      <w:r>
        <w:rPr>
          <w:rFonts w:hint="eastAsia" w:ascii="微软雅黑" w:hAnsi="微软雅黑" w:eastAsia="微软雅黑" w:cs="Times New Roman"/>
          <w:b/>
          <w:bCs/>
          <w:color w:val="auto"/>
          <w:spacing w:val="6"/>
          <w:kern w:val="0"/>
          <w:sz w:val="21"/>
          <w:szCs w:val="21"/>
          <w:highlight w:val="none"/>
          <w:lang w:val="zh-CN" w:eastAsia="zh-CN" w:bidi="ar-SA"/>
        </w:rPr>
        <w:t>业</w:t>
      </w:r>
      <w:r>
        <w:rPr>
          <w:rFonts w:hint="eastAsia" w:ascii="微软雅黑" w:hAnsi="微软雅黑" w:eastAsia="微软雅黑" w:cs="宋体"/>
          <w:color w:val="auto"/>
          <w:sz w:val="21"/>
          <w:szCs w:val="21"/>
          <w:highlight w:val="none"/>
        </w:rPr>
        <w:t>绩并具有符合本项目技术要求的良好记录</w:t>
      </w:r>
      <w:r>
        <w:rPr>
          <w:rFonts w:hint="eastAsia" w:ascii="微软雅黑" w:hAnsi="微软雅黑" w:eastAsia="微软雅黑" w:cs="宋体"/>
          <w:color w:val="auto"/>
          <w:sz w:val="21"/>
          <w:szCs w:val="21"/>
          <w:highlight w:val="none"/>
          <w:lang w:eastAsia="zh-CN"/>
        </w:rPr>
        <w:t>。</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2.2 </w:t>
      </w:r>
      <w:r>
        <w:rPr>
          <w:rFonts w:hint="eastAsia" w:ascii="微软雅黑" w:hAnsi="微软雅黑" w:eastAsia="微软雅黑" w:cs="宋体"/>
          <w:color w:val="auto"/>
          <w:sz w:val="21"/>
          <w:szCs w:val="21"/>
          <w:highlight w:val="none"/>
        </w:rPr>
        <w:t>投标人须按规定格式提交业绩表，并提交相关业绩证明文件。业绩证明文件包括但不限于：</w:t>
      </w:r>
    </w:p>
    <w:p>
      <w:pPr>
        <w:pStyle w:val="29"/>
        <w:snapToGrid w:val="0"/>
        <w:ind w:left="707" w:leftChars="201" w:hanging="285" w:hangingChars="136"/>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A</w:t>
      </w:r>
      <w:r>
        <w:rPr>
          <w:rFonts w:hint="eastAsia" w:ascii="微软雅黑" w:hAnsi="微软雅黑" w:eastAsia="微软雅黑" w:cs="宋体"/>
          <w:color w:val="auto"/>
          <w:sz w:val="21"/>
          <w:szCs w:val="21"/>
          <w:highlight w:val="none"/>
        </w:rPr>
        <w:t>、销售合同复印件（含相关技术附件）；</w:t>
      </w:r>
    </w:p>
    <w:p>
      <w:pPr>
        <w:pStyle w:val="29"/>
        <w:snapToGrid w:val="0"/>
        <w:ind w:left="707" w:leftChars="201" w:hanging="285" w:hangingChars="136"/>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B</w:t>
      </w:r>
      <w:r>
        <w:rPr>
          <w:rFonts w:hint="eastAsia" w:ascii="微软雅黑" w:hAnsi="微软雅黑" w:eastAsia="微软雅黑" w:cs="宋体"/>
          <w:color w:val="auto"/>
          <w:sz w:val="21"/>
          <w:szCs w:val="21"/>
          <w:highlight w:val="none"/>
        </w:rPr>
        <w:t>、用户签字盖章的成功</w:t>
      </w:r>
      <w:r>
        <w:rPr>
          <w:rFonts w:hint="eastAsia" w:ascii="微软雅黑" w:hAnsi="微软雅黑" w:eastAsia="微软雅黑" w:cs="宋体"/>
          <w:color w:val="auto"/>
          <w:sz w:val="21"/>
          <w:szCs w:val="21"/>
          <w:highlight w:val="none"/>
          <w:lang w:val="en-US" w:eastAsia="zh-CN"/>
        </w:rPr>
        <w:t>履行</w:t>
      </w:r>
      <w:r>
        <w:rPr>
          <w:rFonts w:hint="eastAsia" w:ascii="微软雅黑" w:hAnsi="微软雅黑" w:eastAsia="微软雅黑" w:cs="宋体"/>
          <w:color w:val="auto"/>
          <w:sz w:val="21"/>
          <w:szCs w:val="21"/>
          <w:highlight w:val="none"/>
        </w:rPr>
        <w:t>证明文件和</w:t>
      </w:r>
      <w:r>
        <w:rPr>
          <w:rFonts w:ascii="微软雅黑" w:hAnsi="微软雅黑" w:eastAsia="微软雅黑" w:cs="宋体"/>
          <w:color w:val="auto"/>
          <w:sz w:val="21"/>
          <w:szCs w:val="21"/>
          <w:highlight w:val="none"/>
        </w:rPr>
        <w:t>/</w:t>
      </w:r>
      <w:r>
        <w:rPr>
          <w:rFonts w:hint="eastAsia" w:ascii="微软雅黑" w:hAnsi="微软雅黑" w:eastAsia="微软雅黑" w:cs="宋体"/>
          <w:color w:val="auto"/>
          <w:sz w:val="21"/>
          <w:szCs w:val="21"/>
          <w:highlight w:val="none"/>
        </w:rPr>
        <w:t>或用户签发的临时接受证书和</w:t>
      </w:r>
      <w:r>
        <w:rPr>
          <w:rFonts w:ascii="微软雅黑" w:hAnsi="微软雅黑" w:eastAsia="微软雅黑" w:cs="宋体"/>
          <w:color w:val="auto"/>
          <w:sz w:val="21"/>
          <w:szCs w:val="21"/>
          <w:highlight w:val="none"/>
        </w:rPr>
        <w:t>/</w:t>
      </w:r>
      <w:r>
        <w:rPr>
          <w:rFonts w:hint="eastAsia" w:ascii="微软雅黑" w:hAnsi="微软雅黑" w:eastAsia="微软雅黑" w:cs="宋体"/>
          <w:color w:val="auto"/>
          <w:sz w:val="21"/>
          <w:szCs w:val="21"/>
          <w:highlight w:val="none"/>
        </w:rPr>
        <w:t>或调试记录报告的复印件。</w:t>
      </w:r>
    </w:p>
    <w:p>
      <w:pPr>
        <w:pStyle w:val="29"/>
        <w:snapToGrid w:val="0"/>
        <w:ind w:left="707" w:leftChars="201" w:hanging="285" w:hangingChars="136"/>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C</w:t>
      </w:r>
      <w:r>
        <w:rPr>
          <w:rFonts w:hint="eastAsia" w:ascii="微软雅黑" w:hAnsi="微软雅黑" w:eastAsia="微软雅黑" w:cs="宋体"/>
          <w:color w:val="auto"/>
          <w:sz w:val="21"/>
          <w:szCs w:val="21"/>
          <w:highlight w:val="none"/>
        </w:rPr>
        <w:t>、未提交业绩证明文件，或所提供的业绩证明文件无法验证以上内容的，均视为无效业绩。</w:t>
      </w:r>
    </w:p>
    <w:bookmarkEnd w:id="1"/>
    <w:p>
      <w:pPr>
        <w:pStyle w:val="6"/>
        <w:snapToGrid w:val="0"/>
        <w:ind w:left="446" w:right="10" w:hanging="446" w:hangingChars="201"/>
        <w:rPr>
          <w:rFonts w:ascii="微软雅黑" w:hAnsi="微软雅黑" w:eastAsia="微软雅黑"/>
          <w:b/>
          <w:color w:val="auto"/>
          <w:spacing w:val="6"/>
          <w:highlight w:val="none"/>
          <w:lang w:eastAsia="zh-CN"/>
        </w:rPr>
      </w:pPr>
      <w:r>
        <w:rPr>
          <w:rFonts w:ascii="微软雅黑" w:hAnsi="微软雅黑" w:eastAsia="微软雅黑"/>
          <w:b/>
          <w:color w:val="auto"/>
          <w:spacing w:val="6"/>
          <w:highlight w:val="none"/>
          <w:lang w:eastAsia="zh-CN"/>
        </w:rPr>
        <w:t>3</w:t>
      </w:r>
      <w:r>
        <w:rPr>
          <w:rFonts w:hint="eastAsia" w:ascii="微软雅黑" w:hAnsi="微软雅黑" w:eastAsia="微软雅黑"/>
          <w:b/>
          <w:color w:val="auto"/>
          <w:spacing w:val="6"/>
          <w:highlight w:val="none"/>
          <w:lang w:eastAsia="zh-CN"/>
        </w:rPr>
        <w:t>、财务状况、信誉等要求：</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.1 </w:t>
      </w:r>
      <w:r>
        <w:rPr>
          <w:rFonts w:hint="eastAsia" w:ascii="微软雅黑" w:hAnsi="微软雅黑" w:eastAsia="微软雅黑" w:cs="宋体"/>
          <w:color w:val="auto"/>
          <w:sz w:val="21"/>
          <w:szCs w:val="21"/>
          <w:highlight w:val="none"/>
        </w:rPr>
        <w:t>投标人须提供最近三年财务报表（</w:t>
      </w:r>
      <w:r>
        <w:rPr>
          <w:rFonts w:hint="eastAsia" w:ascii="微软雅黑" w:hAnsi="微软雅黑" w:eastAsia="微软雅黑" w:cs="宋体"/>
          <w:color w:val="auto"/>
          <w:sz w:val="21"/>
          <w:szCs w:val="21"/>
          <w:highlight w:val="none"/>
          <w:lang w:val="en-US" w:eastAsia="zh-CN"/>
        </w:rPr>
        <w:t>成立不满三年，提交成立之日起至今的</w:t>
      </w:r>
      <w:r>
        <w:rPr>
          <w:rFonts w:hint="eastAsia" w:ascii="微软雅黑" w:hAnsi="微软雅黑" w:eastAsia="微软雅黑" w:cs="宋体"/>
          <w:color w:val="auto"/>
          <w:sz w:val="21"/>
          <w:szCs w:val="21"/>
          <w:highlight w:val="none"/>
        </w:rPr>
        <w:t>）</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.2 </w:t>
      </w:r>
      <w:r>
        <w:rPr>
          <w:rFonts w:hint="eastAsia" w:ascii="微软雅黑" w:hAnsi="微软雅黑" w:eastAsia="微软雅黑" w:cs="宋体"/>
          <w:color w:val="auto"/>
          <w:sz w:val="21"/>
          <w:szCs w:val="21"/>
          <w:highlight w:val="none"/>
        </w:rPr>
        <w:t>下列任何情形出现时，其投标将被拒绝：</w:t>
      </w:r>
    </w:p>
    <w:p>
      <w:pPr>
        <w:pStyle w:val="6"/>
        <w:numPr>
          <w:ilvl w:val="0"/>
          <w:numId w:val="4"/>
        </w:numPr>
        <w:ind w:left="851" w:right="10" w:hanging="425"/>
        <w:rPr>
          <w:rFonts w:ascii="微软雅黑" w:hAnsi="微软雅黑" w:eastAsia="微软雅黑" w:cs="宋体"/>
          <w:color w:val="auto"/>
          <w:szCs w:val="24"/>
          <w:highlight w:val="none"/>
          <w:lang w:val="en-US" w:eastAsia="zh-CN"/>
        </w:rPr>
      </w:pPr>
      <w:r>
        <w:rPr>
          <w:rFonts w:hint="eastAsia" w:ascii="微软雅黑" w:hAnsi="微软雅黑" w:eastAsia="微软雅黑" w:cs="宋体"/>
          <w:color w:val="auto"/>
          <w:szCs w:val="24"/>
          <w:highlight w:val="none"/>
          <w:lang w:val="en-US" w:eastAsia="zh-CN"/>
        </w:rPr>
        <w:t>投标人被中国海洋石油集团有限公司处以“禁用”及以上处罚，且仍在处罚期内或处罚期满但在系统中的供应商档案中的“档案状态”为“采购冻结”、“业务状态”为“冻结”的；</w:t>
      </w:r>
    </w:p>
    <w:p>
      <w:pPr>
        <w:pStyle w:val="6"/>
        <w:numPr>
          <w:ilvl w:val="0"/>
          <w:numId w:val="4"/>
        </w:numPr>
        <w:ind w:left="851" w:right="10" w:hanging="425"/>
        <w:rPr>
          <w:rFonts w:ascii="微软雅黑" w:hAnsi="微软雅黑" w:eastAsia="微软雅黑" w:cs="宋体"/>
          <w:color w:val="auto"/>
          <w:szCs w:val="24"/>
          <w:highlight w:val="none"/>
          <w:lang w:val="en-US" w:eastAsia="zh-CN"/>
        </w:rPr>
      </w:pPr>
      <w:r>
        <w:rPr>
          <w:rFonts w:hint="eastAsia" w:ascii="微软雅黑" w:hAnsi="微软雅黑" w:eastAsia="微软雅黑" w:cs="宋体"/>
          <w:color w:val="auto"/>
          <w:szCs w:val="24"/>
          <w:highlight w:val="none"/>
          <w:lang w:val="en-US" w:eastAsia="zh-CN"/>
        </w:rPr>
        <w:t>投标人被询价人所属单位处以“禁用”及以上处罚，且仍在处罚期内或处罚期满但在系统中的供应商档案中的“业务状态”为“冻结”的；</w:t>
      </w:r>
    </w:p>
    <w:p>
      <w:pPr>
        <w:pStyle w:val="6"/>
        <w:numPr>
          <w:ilvl w:val="0"/>
          <w:numId w:val="4"/>
        </w:numPr>
        <w:ind w:left="851" w:right="10" w:hanging="425"/>
        <w:rPr>
          <w:rFonts w:ascii="微软雅黑" w:hAnsi="微软雅黑" w:eastAsia="微软雅黑" w:cs="宋体"/>
          <w:color w:val="auto"/>
          <w:szCs w:val="24"/>
          <w:highlight w:val="none"/>
          <w:lang w:val="en-US" w:eastAsia="zh-CN"/>
        </w:rPr>
      </w:pPr>
      <w:r>
        <w:rPr>
          <w:rFonts w:hint="eastAsia" w:ascii="微软雅黑" w:hAnsi="微软雅黑" w:eastAsia="微软雅黑" w:cs="宋体"/>
          <w:color w:val="auto"/>
          <w:szCs w:val="24"/>
          <w:highlight w:val="none"/>
          <w:lang w:val="en-US" w:eastAsia="zh-CN"/>
        </w:rPr>
        <w:t>投标人被中国海洋石油集团有限公司在集团范围内进行风险提示，且在系统中被采购冻结，进入调查程序的；</w:t>
      </w:r>
    </w:p>
    <w:p>
      <w:pPr>
        <w:pStyle w:val="6"/>
        <w:numPr>
          <w:ilvl w:val="0"/>
          <w:numId w:val="4"/>
        </w:numPr>
        <w:ind w:left="851" w:right="10" w:hanging="425"/>
        <w:rPr>
          <w:rFonts w:ascii="微软雅黑" w:hAnsi="微软雅黑" w:eastAsia="微软雅黑" w:cs="宋体"/>
          <w:color w:val="auto"/>
          <w:szCs w:val="24"/>
          <w:highlight w:val="none"/>
          <w:lang w:val="en-US" w:eastAsia="zh-CN"/>
        </w:rPr>
      </w:pPr>
      <w:r>
        <w:rPr>
          <w:rFonts w:hint="eastAsia" w:ascii="微软雅黑" w:hAnsi="微软雅黑" w:eastAsia="微软雅黑" w:cs="宋体"/>
          <w:color w:val="auto"/>
          <w:szCs w:val="24"/>
          <w:highlight w:val="none"/>
          <w:lang w:val="en-US" w:eastAsia="zh-CN"/>
        </w:rPr>
        <w:t>被工商行政管理机关在全国企业信用信息公示系统（http://www.gsxt.gov.cn）中列入严重违法失信企业名单的；</w:t>
      </w:r>
    </w:p>
    <w:p>
      <w:pPr>
        <w:pStyle w:val="6"/>
        <w:numPr>
          <w:ilvl w:val="0"/>
          <w:numId w:val="4"/>
        </w:numPr>
        <w:ind w:left="851" w:right="10" w:hanging="425"/>
        <w:rPr>
          <w:rFonts w:ascii="微软雅黑" w:hAnsi="微软雅黑" w:eastAsia="微软雅黑" w:cs="宋体"/>
          <w:color w:val="auto"/>
          <w:szCs w:val="24"/>
          <w:highlight w:val="none"/>
          <w:lang w:val="en-US" w:eastAsia="zh-CN"/>
        </w:rPr>
      </w:pPr>
      <w:r>
        <w:rPr>
          <w:rFonts w:hint="eastAsia" w:ascii="微软雅黑" w:hAnsi="微软雅黑" w:eastAsia="微软雅黑" w:cs="宋体"/>
          <w:color w:val="auto"/>
          <w:szCs w:val="24"/>
          <w:highlight w:val="none"/>
          <w:lang w:val="en-US" w:eastAsia="zh-CN"/>
        </w:rPr>
        <w:t>在“信用中国”网站（www.creditchina.gov.cn）列入失信被执行人名单的；</w:t>
      </w:r>
    </w:p>
    <w:p>
      <w:pPr>
        <w:pStyle w:val="6"/>
        <w:numPr>
          <w:ilvl w:val="0"/>
          <w:numId w:val="4"/>
        </w:numPr>
        <w:ind w:left="851" w:right="10" w:hanging="425"/>
        <w:rPr>
          <w:rFonts w:ascii="微软雅黑" w:hAnsi="微软雅黑" w:eastAsia="微软雅黑" w:cs="宋体"/>
          <w:color w:val="auto"/>
          <w:szCs w:val="24"/>
          <w:highlight w:val="none"/>
          <w:lang w:val="en-US" w:eastAsia="zh-CN"/>
        </w:rPr>
      </w:pPr>
      <w:r>
        <w:rPr>
          <w:rFonts w:hint="eastAsia" w:ascii="微软雅黑" w:hAnsi="微软雅黑" w:eastAsia="微软雅黑" w:cs="宋体"/>
          <w:color w:val="auto"/>
          <w:szCs w:val="24"/>
          <w:highlight w:val="none"/>
          <w:lang w:val="en-US" w:eastAsia="zh-CN"/>
        </w:rPr>
        <w:t>在近三年内投标人或其法定代表人、拟委任的项目负责人、授权代表有行贿犯罪行为的。</w:t>
      </w:r>
    </w:p>
    <w:p>
      <w:pPr>
        <w:pStyle w:val="6"/>
        <w:snapToGrid w:val="0"/>
        <w:ind w:left="446" w:right="10" w:hanging="446" w:hangingChars="201"/>
        <w:rPr>
          <w:rFonts w:hint="default" w:ascii="微软雅黑" w:hAnsi="微软雅黑" w:eastAsia="微软雅黑"/>
          <w:b/>
          <w:color w:val="auto"/>
          <w:spacing w:val="6"/>
          <w:highlight w:val="none"/>
          <w:lang w:val="en-US" w:eastAsia="zh-CN"/>
        </w:rPr>
      </w:pPr>
      <w:r>
        <w:rPr>
          <w:rFonts w:ascii="微软雅黑" w:hAnsi="微软雅黑" w:eastAsia="微软雅黑"/>
          <w:b/>
          <w:color w:val="auto"/>
          <w:spacing w:val="6"/>
          <w:highlight w:val="none"/>
          <w:lang w:eastAsia="zh-CN"/>
        </w:rPr>
        <w:t>4</w:t>
      </w:r>
      <w:r>
        <w:rPr>
          <w:rFonts w:hint="eastAsia" w:ascii="微软雅黑" w:hAnsi="微软雅黑" w:eastAsia="微软雅黑"/>
          <w:b/>
          <w:color w:val="auto"/>
          <w:spacing w:val="6"/>
          <w:highlight w:val="none"/>
          <w:lang w:eastAsia="zh-CN"/>
        </w:rPr>
        <w:t>、其他要求：</w:t>
      </w:r>
      <w:r>
        <w:rPr>
          <w:rFonts w:hint="eastAsia" w:ascii="微软雅黑" w:hAnsi="微软雅黑" w:eastAsia="微软雅黑"/>
          <w:b/>
          <w:color w:val="auto"/>
          <w:spacing w:val="6"/>
          <w:highlight w:val="none"/>
          <w:lang w:val="en-US" w:eastAsia="zh-CN"/>
        </w:rPr>
        <w:t>_________________________________________________________________________________</w:t>
      </w:r>
    </w:p>
    <w:p>
      <w:pPr>
        <w:pStyle w:val="6"/>
        <w:snapToGrid w:val="0"/>
        <w:ind w:left="446" w:right="10" w:hanging="446" w:hangingChars="201"/>
        <w:rPr>
          <w:rFonts w:ascii="微软雅黑" w:hAnsi="微软雅黑" w:eastAsia="微软雅黑"/>
          <w:b/>
          <w:color w:val="auto"/>
          <w:spacing w:val="6"/>
          <w:highlight w:val="none"/>
          <w:lang w:eastAsia="zh-CN"/>
        </w:rPr>
      </w:pPr>
      <w:r>
        <w:rPr>
          <w:rFonts w:hint="eastAsia" w:ascii="微软雅黑" w:hAnsi="微软雅黑" w:eastAsia="微软雅黑"/>
          <w:b/>
          <w:color w:val="auto"/>
          <w:spacing w:val="6"/>
          <w:highlight w:val="none"/>
          <w:lang w:eastAsia="zh-CN"/>
        </w:rPr>
        <w:t>5、</w:t>
      </w:r>
      <w:r>
        <w:rPr>
          <w:rFonts w:ascii="微软雅黑" w:hAnsi="微软雅黑" w:eastAsia="微软雅黑"/>
          <w:b/>
          <w:color w:val="auto"/>
          <w:spacing w:val="6"/>
          <w:highlight w:val="none"/>
          <w:lang w:eastAsia="zh-CN"/>
        </w:rPr>
        <w:t>本次</w:t>
      </w:r>
      <w:r>
        <w:rPr>
          <w:rFonts w:hint="eastAsia" w:ascii="微软雅黑" w:hAnsi="微软雅黑" w:eastAsia="微软雅黑"/>
          <w:b/>
          <w:color w:val="auto"/>
          <w:spacing w:val="6"/>
          <w:highlight w:val="none"/>
          <w:lang w:val="en-US" w:eastAsia="zh-CN"/>
        </w:rPr>
        <w:t>询价</w:t>
      </w:r>
      <w:r>
        <w:rPr>
          <w:rFonts w:hint="eastAsia" w:ascii="微软雅黑" w:hAnsi="微软雅黑" w:eastAsia="微软雅黑"/>
          <w:b/>
          <w:color w:val="auto"/>
          <w:spacing w:val="6"/>
          <w:highlight w:val="none"/>
          <w:lang w:eastAsia="zh-CN"/>
        </w:rPr>
        <w:t>不接受</w:t>
      </w:r>
      <w:r>
        <w:rPr>
          <w:rFonts w:ascii="微软雅黑" w:hAnsi="微软雅黑" w:eastAsia="微软雅黑"/>
          <w:b/>
          <w:color w:val="auto"/>
          <w:spacing w:val="6"/>
          <w:highlight w:val="none"/>
          <w:lang w:eastAsia="zh-CN"/>
        </w:rPr>
        <w:t>联合体投标。</w:t>
      </w: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bookmarkStart w:id="2" w:name="_bookmark5"/>
      <w:bookmarkEnd w:id="2"/>
      <w:bookmarkStart w:id="3" w:name="_Toc13240515"/>
      <w:r>
        <w:rPr>
          <w:rFonts w:hint="eastAsia" w:asciiTheme="minorEastAsia" w:hAnsiTheme="minorEastAsia"/>
          <w:b/>
          <w:color w:val="auto"/>
          <w:sz w:val="24"/>
          <w:szCs w:val="24"/>
          <w:highlight w:val="none"/>
          <w:lang w:val="en-US" w:eastAsia="zh-CN"/>
        </w:rPr>
        <w:t>询价</w:t>
      </w:r>
      <w:r>
        <w:rPr>
          <w:rFonts w:asciiTheme="minorEastAsia" w:hAnsiTheme="minorEastAsia"/>
          <w:b/>
          <w:color w:val="auto"/>
          <w:sz w:val="24"/>
          <w:szCs w:val="24"/>
          <w:highlight w:val="none"/>
        </w:rPr>
        <w:t>文件的获取</w:t>
      </w:r>
      <w:bookmarkEnd w:id="3"/>
    </w:p>
    <w:p>
      <w:pPr>
        <w:pStyle w:val="6"/>
        <w:ind w:left="446" w:right="10" w:hanging="446" w:hangingChars="201"/>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1、</w:t>
      </w:r>
      <w:r>
        <w:rPr>
          <w:rFonts w:ascii="微软雅黑" w:hAnsi="微软雅黑" w:eastAsia="微软雅黑"/>
          <w:color w:val="auto"/>
          <w:spacing w:val="6"/>
          <w:highlight w:val="none"/>
          <w:lang w:eastAsia="zh-CN"/>
        </w:rPr>
        <w:t>凡有意参加投标者，</w:t>
      </w:r>
      <w:r>
        <w:rPr>
          <w:rFonts w:hint="eastAsia" w:ascii="微软雅黑" w:hAnsi="微软雅黑" w:eastAsia="微软雅黑"/>
          <w:color w:val="auto"/>
          <w:spacing w:val="6"/>
          <w:highlight w:val="none"/>
          <w:lang w:eastAsia="zh-CN"/>
        </w:rPr>
        <w:t>请登录中国海洋</w:t>
      </w:r>
      <w:r>
        <w:rPr>
          <w:rFonts w:hint="eastAsia" w:ascii="微软雅黑" w:hAnsi="微软雅黑" w:eastAsia="微软雅黑"/>
          <w:color w:val="auto"/>
          <w:spacing w:val="6"/>
          <w:highlight w:val="none"/>
          <w:lang w:val="en-US" w:eastAsia="zh-CN"/>
        </w:rPr>
        <w:t>供应链数字化平台</w:t>
      </w:r>
      <w:r>
        <w:rPr>
          <w:rFonts w:hint="eastAsia" w:ascii="微软雅黑" w:hAnsi="微软雅黑" w:eastAsia="微软雅黑"/>
          <w:color w:val="auto"/>
          <w:spacing w:val="6"/>
          <w:highlight w:val="none"/>
          <w:lang w:eastAsia="zh-CN"/>
        </w:rPr>
        <w:t>（以下简称“系统”）（https://bid.cnooc.com.cn/home/#/navigation）的“招标</w:t>
      </w:r>
      <w:r>
        <w:rPr>
          <w:rFonts w:hint="eastAsia" w:ascii="微软雅黑" w:hAnsi="微软雅黑" w:eastAsia="微软雅黑"/>
          <w:color w:val="auto"/>
          <w:spacing w:val="6"/>
          <w:highlight w:val="none"/>
          <w:lang w:val="en-US" w:eastAsia="zh-CN"/>
        </w:rPr>
        <w:t>采购/非招标公告</w:t>
      </w:r>
      <w:r>
        <w:rPr>
          <w:rFonts w:hint="eastAsia" w:ascii="微软雅黑" w:hAnsi="微软雅黑" w:eastAsia="微软雅黑"/>
          <w:color w:val="auto"/>
          <w:spacing w:val="6"/>
          <w:highlight w:val="none"/>
          <w:lang w:eastAsia="zh-CN"/>
        </w:rPr>
        <w:t>”页面进行</w:t>
      </w:r>
      <w:r>
        <w:rPr>
          <w:rFonts w:hint="eastAsia" w:ascii="微软雅黑" w:hAnsi="微软雅黑" w:eastAsia="微软雅黑"/>
          <w:color w:val="auto"/>
          <w:spacing w:val="6"/>
          <w:highlight w:val="none"/>
          <w:lang w:val="en-US" w:eastAsia="zh-CN"/>
        </w:rPr>
        <w:t>下载</w:t>
      </w:r>
      <w:r>
        <w:rPr>
          <w:rFonts w:hint="eastAsia" w:ascii="微软雅黑" w:hAnsi="微软雅黑" w:eastAsia="微软雅黑"/>
          <w:color w:val="auto"/>
          <w:spacing w:val="6"/>
          <w:highlight w:val="none"/>
          <w:lang w:eastAsia="zh-CN"/>
        </w:rPr>
        <w:t>购买（</w:t>
      </w:r>
      <w:r>
        <w:rPr>
          <w:rFonts w:hint="eastAsia" w:ascii="微软雅黑" w:hAnsi="微软雅黑" w:eastAsia="微软雅黑"/>
          <w:color w:val="auto"/>
          <w:spacing w:val="6"/>
          <w:highlight w:val="none"/>
          <w:lang w:val="en-US" w:eastAsia="zh-CN"/>
        </w:rPr>
        <w:t>本项目采购文件免费</w:t>
      </w:r>
      <w:r>
        <w:rPr>
          <w:rFonts w:hint="eastAsia" w:ascii="微软雅黑" w:hAnsi="微软雅黑" w:eastAsia="微软雅黑"/>
          <w:color w:val="auto"/>
          <w:spacing w:val="6"/>
          <w:highlight w:val="none"/>
          <w:lang w:eastAsia="zh-CN"/>
        </w:rPr>
        <w:t>）。首次登录必须先进行注册（免费），注册成功后，方可购买</w:t>
      </w:r>
      <w:r>
        <w:rPr>
          <w:rFonts w:hint="eastAsia" w:ascii="微软雅黑" w:hAnsi="微软雅黑" w:eastAsia="微软雅黑"/>
          <w:color w:val="auto"/>
          <w:spacing w:val="6"/>
          <w:highlight w:val="none"/>
          <w:lang w:val="en-US" w:eastAsia="zh-CN"/>
        </w:rPr>
        <w:t>询价</w:t>
      </w:r>
      <w:r>
        <w:rPr>
          <w:rFonts w:hint="eastAsia" w:ascii="微软雅黑" w:hAnsi="微软雅黑" w:eastAsia="微软雅黑"/>
          <w:color w:val="auto"/>
          <w:spacing w:val="6"/>
          <w:highlight w:val="none"/>
          <w:lang w:eastAsia="zh-CN"/>
        </w:rPr>
        <w:t>文件。</w:t>
      </w:r>
      <w:r>
        <w:rPr>
          <w:rFonts w:ascii="微软雅黑" w:hAnsi="微软雅黑" w:eastAsia="微软雅黑"/>
          <w:color w:val="auto"/>
          <w:spacing w:val="6"/>
          <w:highlight w:val="none"/>
          <w:lang w:eastAsia="zh-CN"/>
        </w:rPr>
        <w:t>购买过程必须全程在系统中操作，投标人可自行在系统中下载</w:t>
      </w:r>
      <w:r>
        <w:rPr>
          <w:rFonts w:hint="eastAsia" w:ascii="微软雅黑" w:hAnsi="微软雅黑" w:eastAsia="微软雅黑"/>
          <w:color w:val="auto"/>
          <w:spacing w:val="6"/>
          <w:highlight w:val="none"/>
          <w:lang w:val="en-US" w:eastAsia="zh-CN"/>
        </w:rPr>
        <w:t>询价</w:t>
      </w:r>
      <w:r>
        <w:rPr>
          <w:rFonts w:ascii="微软雅黑" w:hAnsi="微软雅黑" w:eastAsia="微软雅黑"/>
          <w:color w:val="auto"/>
          <w:spacing w:val="6"/>
          <w:highlight w:val="none"/>
          <w:lang w:eastAsia="zh-CN"/>
        </w:rPr>
        <w:t>文件。如未在系统中领购</w:t>
      </w:r>
      <w:r>
        <w:rPr>
          <w:rFonts w:hint="eastAsia" w:ascii="微软雅黑" w:hAnsi="微软雅黑" w:eastAsia="微软雅黑"/>
          <w:color w:val="auto"/>
          <w:spacing w:val="6"/>
          <w:highlight w:val="none"/>
          <w:lang w:val="en-US" w:eastAsia="zh-CN"/>
        </w:rPr>
        <w:t>询价</w:t>
      </w:r>
      <w:r>
        <w:rPr>
          <w:rFonts w:ascii="微软雅黑" w:hAnsi="微软雅黑" w:eastAsia="微软雅黑"/>
          <w:color w:val="auto"/>
          <w:spacing w:val="6"/>
          <w:highlight w:val="none"/>
          <w:lang w:eastAsia="zh-CN"/>
        </w:rPr>
        <w:t>文件，不可参加投标。</w:t>
      </w:r>
    </w:p>
    <w:p>
      <w:pPr>
        <w:pStyle w:val="6"/>
        <w:ind w:left="0" w:right="1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2、</w:t>
      </w:r>
      <w:r>
        <w:rPr>
          <w:rFonts w:hint="eastAsia" w:ascii="微软雅黑" w:hAnsi="微软雅黑" w:eastAsia="微软雅黑"/>
          <w:color w:val="auto"/>
          <w:spacing w:val="6"/>
          <w:highlight w:val="none"/>
          <w:lang w:val="en-US" w:eastAsia="zh-CN"/>
        </w:rPr>
        <w:t>询价</w:t>
      </w:r>
      <w:r>
        <w:rPr>
          <w:rFonts w:ascii="微软雅黑" w:hAnsi="微软雅黑" w:eastAsia="微软雅黑"/>
          <w:color w:val="auto"/>
          <w:spacing w:val="6"/>
          <w:highlight w:val="none"/>
          <w:lang w:eastAsia="zh-CN"/>
        </w:rPr>
        <w:t>文件每套售价</w:t>
      </w:r>
      <w:r>
        <w:rPr>
          <w:rFonts w:hint="eastAsia" w:ascii="微软雅黑" w:hAnsi="微软雅黑" w:eastAsia="微软雅黑"/>
          <w:color w:val="auto"/>
          <w:spacing w:val="6"/>
          <w:highlight w:val="none"/>
          <w:lang w:eastAsia="zh-CN"/>
        </w:rPr>
        <w:t>【0】</w:t>
      </w:r>
      <w:r>
        <w:rPr>
          <w:rFonts w:ascii="微软雅黑" w:hAnsi="微软雅黑" w:eastAsia="微软雅黑"/>
          <w:color w:val="auto"/>
          <w:spacing w:val="6"/>
          <w:highlight w:val="none"/>
          <w:lang w:eastAsia="zh-CN"/>
        </w:rPr>
        <w:t>元，售后不退。</w:t>
      </w:r>
    </w:p>
    <w:p>
      <w:pPr>
        <w:pStyle w:val="6"/>
        <w:ind w:left="446" w:right="10" w:hanging="446" w:hangingChars="201"/>
        <w:rPr>
          <w:rFonts w:hint="default" w:ascii="微软雅黑" w:hAnsi="微软雅黑" w:eastAsia="微软雅黑"/>
          <w:color w:val="auto"/>
          <w:spacing w:val="6"/>
          <w:highlight w:val="none"/>
          <w:lang w:val="en-US" w:eastAsia="zh-CN"/>
        </w:rPr>
      </w:pPr>
      <w:r>
        <w:rPr>
          <w:rFonts w:ascii="微软雅黑" w:hAnsi="微软雅黑" w:eastAsia="微软雅黑"/>
          <w:color w:val="auto"/>
          <w:spacing w:val="6"/>
          <w:highlight w:val="none"/>
          <w:lang w:eastAsia="zh-CN"/>
        </w:rPr>
        <w:t>3</w:t>
      </w:r>
      <w:r>
        <w:rPr>
          <w:rFonts w:hint="eastAsia" w:ascii="微软雅黑" w:hAnsi="微软雅黑" w:eastAsia="微软雅黑"/>
          <w:color w:val="auto"/>
          <w:spacing w:val="6"/>
          <w:highlight w:val="none"/>
          <w:lang w:eastAsia="zh-CN"/>
        </w:rPr>
        <w:t>、</w:t>
      </w:r>
      <w:r>
        <w:rPr>
          <w:rFonts w:hint="eastAsia" w:ascii="微软雅黑" w:hAnsi="微软雅黑" w:eastAsia="微软雅黑"/>
          <w:color w:val="auto"/>
          <w:spacing w:val="6"/>
          <w:highlight w:val="none"/>
          <w:lang w:val="en-US" w:eastAsia="zh-CN"/>
        </w:rPr>
        <w:t>询价</w:t>
      </w:r>
      <w:r>
        <w:rPr>
          <w:rFonts w:hint="eastAsia" w:ascii="微软雅黑" w:hAnsi="微软雅黑" w:eastAsia="微软雅黑"/>
          <w:color w:val="auto"/>
          <w:spacing w:val="6"/>
          <w:highlight w:val="none"/>
          <w:lang w:eastAsia="zh-CN"/>
        </w:rPr>
        <w:t>文件领购时间：</w:t>
      </w:r>
      <w:r>
        <w:rPr>
          <w:rFonts w:hint="eastAsia" w:ascii="微软雅黑" w:hAnsi="微软雅黑" w:eastAsia="微软雅黑"/>
          <w:color w:val="auto"/>
          <w:spacing w:val="6"/>
          <w:highlight w:val="none"/>
          <w:lang w:val="en-US" w:eastAsia="zh-CN"/>
        </w:rPr>
        <w:t>以</w:t>
      </w:r>
      <w:r>
        <w:rPr>
          <w:rFonts w:hint="eastAsia" w:ascii="微软雅黑" w:hAnsi="微软雅黑" w:eastAsia="微软雅黑"/>
          <w:color w:val="auto"/>
          <w:spacing w:val="6"/>
          <w:highlight w:val="none"/>
          <w:lang w:eastAsia="zh-CN"/>
        </w:rPr>
        <w:t>“系统”</w:t>
      </w:r>
      <w:r>
        <w:rPr>
          <w:rFonts w:hint="eastAsia" w:ascii="微软雅黑" w:hAnsi="微软雅黑" w:eastAsia="微软雅黑"/>
          <w:color w:val="auto"/>
          <w:spacing w:val="6"/>
          <w:highlight w:val="none"/>
          <w:lang w:val="en-US" w:eastAsia="zh-CN"/>
        </w:rPr>
        <w:t>发售时间为准。</w:t>
      </w: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bookmarkStart w:id="4" w:name="_bookmark6"/>
      <w:bookmarkEnd w:id="4"/>
      <w:bookmarkStart w:id="5" w:name="_Toc13240516"/>
      <w:r>
        <w:rPr>
          <w:rFonts w:asciiTheme="minorEastAsia" w:hAnsiTheme="minorEastAsia"/>
          <w:b/>
          <w:color w:val="auto"/>
          <w:sz w:val="24"/>
          <w:szCs w:val="24"/>
          <w:highlight w:val="none"/>
        </w:rPr>
        <w:t>投标文件的递交</w:t>
      </w:r>
      <w:bookmarkEnd w:id="5"/>
    </w:p>
    <w:p>
      <w:pPr>
        <w:pStyle w:val="6"/>
        <w:numPr>
          <w:ilvl w:val="0"/>
          <w:numId w:val="5"/>
        </w:numPr>
        <w:ind w:left="425" w:leftChars="0" w:right="10" w:hanging="425" w:firstLineChars="0"/>
        <w:rPr>
          <w:rFonts w:hint="eastAsia" w:ascii="微软雅黑" w:hAnsi="微软雅黑" w:eastAsia="微软雅黑"/>
          <w:color w:val="auto"/>
          <w:spacing w:val="6"/>
          <w:highlight w:val="none"/>
          <w:lang w:val="en-US" w:eastAsia="zh-CN"/>
        </w:rPr>
      </w:pPr>
      <w:r>
        <w:rPr>
          <w:rFonts w:hint="eastAsia" w:ascii="微软雅黑" w:hAnsi="微软雅黑" w:eastAsia="微软雅黑"/>
          <w:color w:val="auto"/>
          <w:spacing w:val="6"/>
          <w:highlight w:val="none"/>
          <w:lang w:val="en-US" w:eastAsia="zh-CN"/>
        </w:rPr>
        <w:t>投标人的应答文件分为无价格商务文件、技术文件、价格文件三部分上传中海油采办业务系统，应答文件包括以下内容：</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响应承诺书</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报价一览表</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分项报价表</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授权委托书</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供应商基本情况表</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具有独立承担民事责任的能力的证明材料</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具有良好的商业信誉和健全的财务会计制度的相关材料</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 xml:space="preserve">依法缴纳税收和社会保障资金的良好记录的相关材料 </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具有履行合同所必需的设备和专业技术能力的证明材料</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参加本次采购活动前3年内在经营活动中没有重大违法记录的书面声明</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主要商务要求承诺书（商务响应表）</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技术响应表</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项目组成人员一览表</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项目实施方案、质量保证及售后服务承诺等</w:t>
      </w:r>
    </w:p>
    <w:p>
      <w:pPr>
        <w:pStyle w:val="6"/>
        <w:numPr>
          <w:ilvl w:val="0"/>
          <w:numId w:val="6"/>
        </w:numPr>
        <w:ind w:left="845" w:leftChars="0" w:right="10" w:hanging="425" w:firstLineChars="0"/>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供应商业绩情况表</w:t>
      </w:r>
    </w:p>
    <w:p>
      <w:pPr>
        <w:pStyle w:val="6"/>
        <w:numPr>
          <w:ilvl w:val="0"/>
          <w:numId w:val="6"/>
        </w:numPr>
        <w:ind w:left="845" w:leftChars="0" w:right="10" w:hanging="425" w:firstLineChars="0"/>
        <w:rPr>
          <w:rFonts w:hint="default"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其他证明材料</w:t>
      </w:r>
    </w:p>
    <w:p>
      <w:pPr>
        <w:pStyle w:val="6"/>
        <w:numPr>
          <w:ilvl w:val="0"/>
          <w:numId w:val="5"/>
        </w:numPr>
        <w:ind w:left="425" w:leftChars="0" w:right="10" w:hanging="425" w:firstLineChars="0"/>
        <w:rPr>
          <w:rFonts w:hint="default"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投标人应按照文件要求逐一对采购文件中的一般性条款和重要条款或参数（注星号“★”）进行响应，如不满足任一带星号（“★”）的重要条款或参数将被视为不满足采购文件实质性要求，并导致响应文件被否决。</w:t>
      </w:r>
    </w:p>
    <w:p>
      <w:pPr>
        <w:pStyle w:val="6"/>
        <w:numPr>
          <w:ilvl w:val="0"/>
          <w:numId w:val="5"/>
        </w:numPr>
        <w:ind w:left="425" w:leftChars="0" w:right="10" w:hanging="425" w:firstLineChars="0"/>
        <w:rPr>
          <w:rFonts w:ascii="微软雅黑" w:hAnsi="微软雅黑" w:eastAsia="微软雅黑"/>
          <w:color w:val="auto"/>
          <w:spacing w:val="6"/>
          <w:highlight w:val="none"/>
          <w:lang w:eastAsia="zh-CN"/>
        </w:rPr>
      </w:pPr>
      <w:r>
        <w:rPr>
          <w:rFonts w:ascii="微软雅黑" w:hAnsi="微软雅黑" w:eastAsia="微软雅黑"/>
          <w:color w:val="auto"/>
          <w:spacing w:val="6"/>
          <w:highlight w:val="none"/>
          <w:lang w:eastAsia="zh-CN"/>
        </w:rPr>
        <w:t>投标文件</w:t>
      </w:r>
      <w:r>
        <w:rPr>
          <w:rFonts w:hint="default" w:ascii="微软雅黑" w:hAnsi="微软雅黑" w:eastAsia="微软雅黑"/>
          <w:color w:val="auto"/>
          <w:spacing w:val="6"/>
          <w:highlight w:val="none"/>
          <w:lang w:val="en-US" w:eastAsia="zh-CN"/>
        </w:rPr>
        <w:t>递交</w:t>
      </w:r>
      <w:r>
        <w:rPr>
          <w:rFonts w:ascii="微软雅黑" w:hAnsi="微软雅黑" w:eastAsia="微软雅黑"/>
          <w:color w:val="auto"/>
          <w:spacing w:val="6"/>
          <w:highlight w:val="none"/>
          <w:lang w:eastAsia="zh-CN"/>
        </w:rPr>
        <w:t>的截止时间</w:t>
      </w:r>
      <w:r>
        <w:rPr>
          <w:rFonts w:hint="eastAsia" w:ascii="微软雅黑" w:hAnsi="微软雅黑" w:eastAsia="微软雅黑"/>
          <w:color w:val="auto"/>
          <w:spacing w:val="6"/>
          <w:highlight w:val="none"/>
          <w:lang w:eastAsia="zh-CN"/>
        </w:rPr>
        <w:t>：</w:t>
      </w:r>
      <w:r>
        <w:rPr>
          <w:rFonts w:hint="eastAsia" w:ascii="微软雅黑" w:hAnsi="微软雅黑" w:eastAsia="微软雅黑"/>
          <w:color w:val="auto"/>
          <w:spacing w:val="6"/>
          <w:highlight w:val="none"/>
          <w:lang w:val="en-US" w:eastAsia="zh-CN"/>
        </w:rPr>
        <w:t>以</w:t>
      </w:r>
      <w:r>
        <w:rPr>
          <w:rFonts w:hint="eastAsia" w:ascii="微软雅黑" w:hAnsi="微软雅黑" w:eastAsia="微软雅黑"/>
          <w:color w:val="auto"/>
          <w:spacing w:val="6"/>
          <w:highlight w:val="none"/>
          <w:lang w:eastAsia="zh-CN"/>
        </w:rPr>
        <w:t>“系统”</w:t>
      </w:r>
      <w:r>
        <w:rPr>
          <w:rFonts w:hint="eastAsia" w:ascii="微软雅黑" w:hAnsi="微软雅黑" w:eastAsia="微软雅黑"/>
          <w:color w:val="auto"/>
          <w:spacing w:val="6"/>
          <w:highlight w:val="none"/>
          <w:lang w:val="en-US" w:eastAsia="zh-CN"/>
        </w:rPr>
        <w:t>显示的截止时间为准。</w:t>
      </w:r>
    </w:p>
    <w:p>
      <w:pPr>
        <w:pStyle w:val="6"/>
        <w:numPr>
          <w:ilvl w:val="0"/>
          <w:numId w:val="5"/>
        </w:numPr>
        <w:ind w:left="425" w:leftChars="0" w:right="10" w:hanging="425" w:firstLineChars="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投标文件的递交方法：请在规定报价截止时间前通过系统报价及挂接PDF形式的电子报价文件附件。</w:t>
      </w:r>
      <w:r>
        <w:rPr>
          <w:rFonts w:hint="eastAsia" w:ascii="微软雅黑" w:hAnsi="微软雅黑" w:eastAsia="微软雅黑"/>
          <w:color w:val="auto"/>
          <w:spacing w:val="6"/>
          <w:highlight w:val="none"/>
          <w:lang w:val="en-US" w:eastAsia="zh-CN"/>
        </w:rPr>
        <w:t>挂接的电子报价文件应有法人或被授权人签字（被授权人签字的应提供法人授权书和双方身份证复印件）并加盖公章，投标人应在投标截止时间前通过中国海洋供应链数字化平台</w:t>
      </w:r>
      <w:r>
        <w:rPr>
          <w:rFonts w:hint="eastAsia" w:ascii="微软雅黑" w:hAnsi="微软雅黑" w:eastAsia="微软雅黑"/>
          <w:color w:val="auto"/>
          <w:spacing w:val="6"/>
          <w:highlight w:val="none"/>
          <w:lang w:eastAsia="zh-CN"/>
        </w:rPr>
        <w:t>（https://bid.cnooc.com.cn/home/#/navigation）递交电子投标文件。</w:t>
      </w:r>
    </w:p>
    <w:p>
      <w:pPr>
        <w:pStyle w:val="6"/>
        <w:numPr>
          <w:ilvl w:val="0"/>
          <w:numId w:val="5"/>
        </w:numPr>
        <w:ind w:left="425" w:leftChars="0" w:right="10" w:hanging="425" w:firstLineChars="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开标时间：</w:t>
      </w:r>
      <w:r>
        <w:rPr>
          <w:rFonts w:hint="eastAsia" w:ascii="微软雅黑" w:hAnsi="微软雅黑" w:eastAsia="微软雅黑"/>
          <w:color w:val="auto"/>
          <w:spacing w:val="6"/>
          <w:highlight w:val="none"/>
          <w:lang w:val="en-US" w:eastAsia="zh-CN"/>
        </w:rPr>
        <w:t>以</w:t>
      </w:r>
      <w:r>
        <w:rPr>
          <w:rFonts w:hint="eastAsia" w:ascii="微软雅黑" w:hAnsi="微软雅黑" w:eastAsia="微软雅黑"/>
          <w:color w:val="auto"/>
          <w:spacing w:val="6"/>
          <w:highlight w:val="none"/>
          <w:lang w:eastAsia="zh-CN"/>
        </w:rPr>
        <w:t>“系统”</w:t>
      </w:r>
      <w:r>
        <w:rPr>
          <w:rFonts w:hint="eastAsia" w:ascii="微软雅黑" w:hAnsi="微软雅黑" w:eastAsia="微软雅黑"/>
          <w:color w:val="auto"/>
          <w:spacing w:val="6"/>
          <w:highlight w:val="none"/>
          <w:lang w:val="en-US" w:eastAsia="zh-CN"/>
        </w:rPr>
        <w:t>显示的截止时间为准（默认投标截止时间即为开标时间）。</w:t>
      </w:r>
    </w:p>
    <w:p>
      <w:pPr>
        <w:pStyle w:val="6"/>
        <w:numPr>
          <w:ilvl w:val="0"/>
          <w:numId w:val="5"/>
        </w:numPr>
        <w:ind w:left="425" w:leftChars="0" w:right="10" w:hanging="425" w:firstLineChars="0"/>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开标地点：【中国海洋</w:t>
      </w:r>
      <w:r>
        <w:rPr>
          <w:rFonts w:hint="eastAsia" w:ascii="微软雅黑" w:hAnsi="微软雅黑" w:eastAsia="微软雅黑"/>
          <w:color w:val="auto"/>
          <w:spacing w:val="6"/>
          <w:highlight w:val="none"/>
          <w:lang w:val="en-US" w:eastAsia="zh-CN"/>
        </w:rPr>
        <w:t>供应链数字化平台</w:t>
      </w:r>
      <w:r>
        <w:rPr>
          <w:rFonts w:hint="eastAsia" w:ascii="微软雅黑" w:hAnsi="微软雅黑" w:eastAsia="微软雅黑"/>
          <w:color w:val="auto"/>
          <w:spacing w:val="6"/>
          <w:highlight w:val="none"/>
          <w:lang w:eastAsia="zh-CN"/>
        </w:rPr>
        <w:t>电子开标大厅】</w:t>
      </w:r>
    </w:p>
    <w:p>
      <w:pPr>
        <w:pStyle w:val="6"/>
        <w:numPr>
          <w:ilvl w:val="0"/>
          <w:numId w:val="5"/>
        </w:numPr>
        <w:ind w:left="425" w:leftChars="0" w:right="10" w:hanging="425" w:firstLineChars="0"/>
        <w:rPr>
          <w:rFonts w:hint="default" w:ascii="微软雅黑" w:hAnsi="微软雅黑" w:eastAsia="微软雅黑"/>
          <w:color w:val="auto"/>
          <w:spacing w:val="6"/>
          <w:highlight w:val="none"/>
          <w:lang w:val="en-US" w:eastAsia="zh-CN"/>
        </w:rPr>
      </w:pPr>
      <w:bookmarkStart w:id="6" w:name="_bookmark7"/>
      <w:bookmarkEnd w:id="6"/>
      <w:r>
        <w:rPr>
          <w:rFonts w:hint="eastAsia" w:ascii="微软雅黑" w:hAnsi="微软雅黑" w:eastAsia="微软雅黑"/>
          <w:color w:val="auto"/>
          <w:spacing w:val="6"/>
          <w:highlight w:val="none"/>
          <w:lang w:eastAsia="zh-CN"/>
        </w:rPr>
        <w:t>提交响应文件截止之日前，采购人可以对已发出的询价</w:t>
      </w:r>
      <w:r>
        <w:rPr>
          <w:rFonts w:hint="eastAsia" w:ascii="微软雅黑" w:hAnsi="微软雅黑" w:eastAsia="微软雅黑"/>
          <w:color w:val="auto"/>
          <w:spacing w:val="6"/>
          <w:highlight w:val="none"/>
          <w:lang w:val="en-US" w:eastAsia="zh-CN"/>
        </w:rPr>
        <w:t>文件</w:t>
      </w:r>
      <w:r>
        <w:rPr>
          <w:rFonts w:hint="eastAsia" w:ascii="微软雅黑" w:hAnsi="微软雅黑" w:eastAsia="微软雅黑"/>
          <w:color w:val="auto"/>
          <w:spacing w:val="6"/>
          <w:highlight w:val="none"/>
          <w:lang w:eastAsia="zh-CN"/>
        </w:rPr>
        <w:t>进行必要的澄清或者修改，</w:t>
      </w:r>
      <w:r>
        <w:rPr>
          <w:rFonts w:hint="eastAsia" w:ascii="微软雅黑" w:hAnsi="微软雅黑" w:eastAsia="微软雅黑"/>
          <w:color w:val="auto"/>
          <w:spacing w:val="6"/>
          <w:highlight w:val="none"/>
          <w:lang w:val="en-US" w:eastAsia="zh-CN"/>
        </w:rPr>
        <w:t>澄清或者修改的内容作为询价文件的组成部分，</w:t>
      </w:r>
    </w:p>
    <w:p>
      <w:pPr>
        <w:pStyle w:val="6"/>
        <w:numPr>
          <w:ilvl w:val="0"/>
          <w:numId w:val="5"/>
        </w:numPr>
        <w:ind w:left="425" w:leftChars="0" w:right="10" w:hanging="425" w:firstLineChars="0"/>
        <w:rPr>
          <w:rFonts w:ascii="微软雅黑" w:hAnsi="微软雅黑" w:eastAsia="微软雅黑"/>
          <w:color w:val="auto"/>
          <w:spacing w:val="6"/>
          <w:highlight w:val="none"/>
          <w:lang w:eastAsia="zh-CN"/>
        </w:rPr>
      </w:pPr>
      <w:r>
        <w:rPr>
          <w:rFonts w:hint="default" w:ascii="微软雅黑" w:hAnsi="微软雅黑" w:eastAsia="微软雅黑"/>
          <w:color w:val="auto"/>
          <w:spacing w:val="6"/>
          <w:highlight w:val="none"/>
          <w:lang w:val="en-US" w:eastAsia="zh-CN"/>
        </w:rPr>
        <w:t>供应商在提交响应文件截止时间前，可以对所提交的响应文件进行补充、修改或者撤回</w:t>
      </w:r>
      <w:r>
        <w:rPr>
          <w:rFonts w:hint="eastAsia" w:ascii="微软雅黑" w:hAnsi="微软雅黑" w:eastAsia="微软雅黑"/>
          <w:color w:val="auto"/>
          <w:spacing w:val="6"/>
          <w:highlight w:val="none"/>
          <w:lang w:val="en-US" w:eastAsia="zh-CN"/>
        </w:rPr>
        <w:t>，</w:t>
      </w:r>
      <w:r>
        <w:rPr>
          <w:rFonts w:hint="default" w:ascii="微软雅黑" w:hAnsi="微软雅黑" w:eastAsia="微软雅黑"/>
          <w:color w:val="auto"/>
          <w:spacing w:val="6"/>
          <w:highlight w:val="none"/>
          <w:lang w:val="en-US" w:eastAsia="zh-CN"/>
        </w:rPr>
        <w:t>在提交响应文件截止时间后，供应商不得补充、修改或者撤回其响应文件。</w:t>
      </w: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询价文件评审</w:t>
      </w:r>
    </w:p>
    <w:p>
      <w:pPr>
        <w:pStyle w:val="6"/>
        <w:ind w:left="424" w:right="10" w:hanging="424" w:hangingChars="191"/>
        <w:rPr>
          <w:rFonts w:ascii="微软雅黑" w:hAnsi="微软雅黑" w:eastAsia="微软雅黑"/>
          <w:b/>
          <w:color w:val="auto"/>
          <w:spacing w:val="6"/>
          <w:highlight w:val="none"/>
          <w:lang w:eastAsia="zh-CN"/>
        </w:rPr>
      </w:pPr>
      <w:r>
        <w:rPr>
          <w:rFonts w:ascii="微软雅黑" w:hAnsi="微软雅黑" w:eastAsia="微软雅黑"/>
          <w:b/>
          <w:color w:val="auto"/>
          <w:spacing w:val="6"/>
          <w:highlight w:val="none"/>
          <w:lang w:eastAsia="zh-CN"/>
        </w:rPr>
        <w:t>1</w:t>
      </w:r>
      <w:r>
        <w:rPr>
          <w:rFonts w:hint="eastAsia" w:ascii="微软雅黑" w:hAnsi="微软雅黑" w:eastAsia="微软雅黑"/>
          <w:b/>
          <w:color w:val="auto"/>
          <w:spacing w:val="6"/>
          <w:highlight w:val="none"/>
          <w:lang w:eastAsia="zh-CN"/>
        </w:rPr>
        <w:t>、评审原则：</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1</w:t>
      </w:r>
      <w:r>
        <w:rPr>
          <w:rFonts w:ascii="微软雅黑" w:hAnsi="微软雅黑" w:eastAsia="微软雅黑" w:cs="宋体"/>
          <w:color w:val="auto"/>
          <w:sz w:val="21"/>
          <w:szCs w:val="21"/>
          <w:highlight w:val="none"/>
        </w:rPr>
        <w:t xml:space="preserve">.1 </w:t>
      </w:r>
      <w:r>
        <w:rPr>
          <w:rFonts w:hint="eastAsia" w:ascii="微软雅黑" w:hAnsi="微软雅黑" w:eastAsia="微软雅黑" w:cs="宋体"/>
          <w:color w:val="auto"/>
          <w:sz w:val="21"/>
          <w:szCs w:val="21"/>
          <w:highlight w:val="none"/>
        </w:rPr>
        <w:t>满足询价文件要求且</w:t>
      </w:r>
      <w:r>
        <w:rPr>
          <w:rFonts w:hint="eastAsia" w:ascii="微软雅黑" w:hAnsi="微软雅黑" w:eastAsia="微软雅黑" w:cs="宋体"/>
          <w:color w:val="auto"/>
          <w:sz w:val="21"/>
          <w:szCs w:val="21"/>
          <w:highlight w:val="none"/>
          <w:lang w:val="en-US" w:eastAsia="zh-CN"/>
        </w:rPr>
        <w:t>评比价格</w:t>
      </w:r>
      <w:r>
        <w:rPr>
          <w:rFonts w:hint="eastAsia" w:ascii="微软雅黑" w:hAnsi="微软雅黑" w:eastAsia="微软雅黑" w:cs="宋体"/>
          <w:color w:val="auto"/>
          <w:sz w:val="21"/>
          <w:szCs w:val="21"/>
          <w:highlight w:val="none"/>
        </w:rPr>
        <w:t>最低</w:t>
      </w:r>
      <w:r>
        <w:rPr>
          <w:rFonts w:hint="eastAsia" w:ascii="微软雅黑" w:hAnsi="微软雅黑" w:eastAsia="微软雅黑" w:cs="宋体"/>
          <w:color w:val="auto"/>
          <w:sz w:val="21"/>
          <w:szCs w:val="21"/>
          <w:highlight w:val="none"/>
          <w:lang w:val="en-US" w:eastAsia="zh-CN"/>
        </w:rPr>
        <w:t>中标</w:t>
      </w:r>
      <w:r>
        <w:rPr>
          <w:rFonts w:hint="eastAsia" w:ascii="微软雅黑" w:hAnsi="微软雅黑" w:eastAsia="微软雅黑" w:cs="宋体"/>
          <w:color w:val="auto"/>
          <w:sz w:val="21"/>
          <w:szCs w:val="21"/>
          <w:highlight w:val="none"/>
        </w:rPr>
        <w:t>原则。</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1</w:t>
      </w:r>
      <w:r>
        <w:rPr>
          <w:rFonts w:ascii="微软雅黑" w:hAnsi="微软雅黑" w:eastAsia="微软雅黑" w:cs="宋体"/>
          <w:color w:val="auto"/>
          <w:sz w:val="21"/>
          <w:szCs w:val="21"/>
          <w:highlight w:val="none"/>
        </w:rPr>
        <w:t xml:space="preserve">.2 </w:t>
      </w:r>
      <w:r>
        <w:rPr>
          <w:rFonts w:hint="eastAsia" w:ascii="微软雅黑" w:hAnsi="微软雅黑" w:eastAsia="微软雅黑" w:cs="宋体"/>
          <w:color w:val="auto"/>
          <w:sz w:val="21"/>
          <w:szCs w:val="21"/>
          <w:highlight w:val="none"/>
        </w:rPr>
        <w:t>本项目如响应供应商众多，将依据项目需要对排名前</w:t>
      </w:r>
      <w:r>
        <w:rPr>
          <w:rFonts w:ascii="微软雅黑" w:hAnsi="微软雅黑" w:eastAsia="微软雅黑" w:cs="宋体"/>
          <w:color w:val="auto"/>
          <w:sz w:val="21"/>
          <w:szCs w:val="21"/>
          <w:highlight w:val="none"/>
        </w:rPr>
        <w:t>5</w:t>
      </w:r>
      <w:r>
        <w:rPr>
          <w:rFonts w:hint="eastAsia" w:ascii="微软雅黑" w:hAnsi="微软雅黑" w:eastAsia="微软雅黑" w:cs="宋体"/>
          <w:color w:val="auto"/>
          <w:sz w:val="21"/>
          <w:szCs w:val="21"/>
          <w:highlight w:val="none"/>
        </w:rPr>
        <w:t>名候选供应商进行评审，如评比后不能满足项目的技术、资质、能力等要求，可依次扩大评审范围。</w:t>
      </w:r>
    </w:p>
    <w:p>
      <w:pPr>
        <w:pStyle w:val="29"/>
        <w:snapToGrid w:val="0"/>
        <w:ind w:left="424" w:hanging="424" w:hangingChars="202"/>
        <w:rPr>
          <w:rFonts w:hint="eastAsia"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1.3</w:t>
      </w:r>
      <w:r>
        <w:rPr>
          <w:rFonts w:hint="eastAsia" w:ascii="微软雅黑" w:hAnsi="微软雅黑" w:eastAsia="微软雅黑" w:cs="Times New Roman"/>
          <w:color w:val="auto"/>
          <w:spacing w:val="6"/>
          <w:kern w:val="0"/>
          <w:sz w:val="21"/>
          <w:szCs w:val="21"/>
          <w:highlight w:val="none"/>
          <w:lang w:val="en-US" w:eastAsia="zh-CN" w:bidi="ar-SA"/>
        </w:rPr>
        <w:t xml:space="preserve"> 当询价结果出现最低价有2家及以上的情况时，采购人将按照付款条件、交货期、质保期等优先顺序确定成交供应商。</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1.4 在评审过程中，如需澄清，我方书面形式（或</w:t>
      </w:r>
      <w:r>
        <w:rPr>
          <w:rFonts w:hint="eastAsia" w:ascii="微软雅黑" w:hAnsi="微软雅黑" w:eastAsia="微软雅黑" w:cs="宋体"/>
          <w:color w:val="auto"/>
          <w:sz w:val="21"/>
          <w:szCs w:val="21"/>
          <w:highlight w:val="none"/>
          <w:lang w:eastAsia="zh-CN"/>
        </w:rPr>
        <w:t>中国海洋</w:t>
      </w:r>
      <w:r>
        <w:rPr>
          <w:rFonts w:hint="eastAsia" w:ascii="微软雅黑" w:hAnsi="微软雅黑" w:eastAsia="微软雅黑" w:cs="宋体"/>
          <w:color w:val="auto"/>
          <w:sz w:val="21"/>
          <w:szCs w:val="21"/>
          <w:highlight w:val="none"/>
          <w:lang w:val="en-US" w:eastAsia="zh-CN"/>
        </w:rPr>
        <w:t>供应链数字化平台</w:t>
      </w:r>
      <w:r>
        <w:rPr>
          <w:rFonts w:hint="eastAsia" w:ascii="微软雅黑" w:hAnsi="微软雅黑" w:eastAsia="微软雅黑" w:cs="宋体"/>
          <w:color w:val="auto"/>
          <w:sz w:val="21"/>
          <w:szCs w:val="21"/>
          <w:highlight w:val="none"/>
          <w:lang w:eastAsia="zh-CN"/>
        </w:rPr>
        <w:t>）进行，澄清回复后，澄清文件的发函和回复均应全体询价评审小组成员确认，</w:t>
      </w:r>
      <w:r>
        <w:rPr>
          <w:rFonts w:hint="eastAsia" w:ascii="微软雅黑" w:hAnsi="微软雅黑" w:eastAsia="微软雅黑" w:cs="宋体"/>
          <w:color w:val="auto"/>
          <w:sz w:val="21"/>
          <w:szCs w:val="21"/>
          <w:highlight w:val="none"/>
        </w:rPr>
        <w:t>作为评价依据。</w:t>
      </w:r>
    </w:p>
    <w:p>
      <w:pPr>
        <w:pStyle w:val="29"/>
        <w:snapToGrid w:val="0"/>
        <w:ind w:left="424" w:hanging="424" w:hangingChars="202"/>
        <w:rPr>
          <w:rFonts w:hint="eastAsia"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1</w:t>
      </w:r>
      <w:r>
        <w:rPr>
          <w:rFonts w:ascii="微软雅黑" w:hAnsi="微软雅黑" w:eastAsia="微软雅黑" w:cs="宋体"/>
          <w:color w:val="auto"/>
          <w:sz w:val="21"/>
          <w:szCs w:val="21"/>
          <w:highlight w:val="none"/>
        </w:rPr>
        <w:t xml:space="preserve">.5 </w:t>
      </w:r>
      <w:r>
        <w:rPr>
          <w:rFonts w:hint="eastAsia" w:ascii="微软雅黑" w:hAnsi="微软雅黑" w:eastAsia="微软雅黑" w:cs="宋体"/>
          <w:color w:val="auto"/>
          <w:sz w:val="21"/>
          <w:szCs w:val="21"/>
          <w:highlight w:val="none"/>
        </w:rPr>
        <w:t>在评审过程中，不接受投标方的主动澄清。</w:t>
      </w:r>
    </w:p>
    <w:p>
      <w:pPr>
        <w:pStyle w:val="29"/>
        <w:snapToGrid w:val="0"/>
        <w:ind w:left="424" w:hanging="424" w:hangingChars="202"/>
        <w:rPr>
          <w:rFonts w:hint="default"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1.6 具体评审内容详见采购系统评审项。</w:t>
      </w:r>
    </w:p>
    <w:p>
      <w:pPr>
        <w:pStyle w:val="6"/>
        <w:ind w:left="424" w:right="10" w:hanging="424" w:hangingChars="191"/>
        <w:rPr>
          <w:rFonts w:ascii="微软雅黑" w:hAnsi="微软雅黑" w:eastAsia="微软雅黑"/>
          <w:b/>
          <w:color w:val="auto"/>
          <w:spacing w:val="6"/>
          <w:highlight w:val="none"/>
          <w:lang w:eastAsia="zh-CN"/>
        </w:rPr>
      </w:pPr>
      <w:r>
        <w:rPr>
          <w:rFonts w:ascii="微软雅黑" w:hAnsi="微软雅黑" w:eastAsia="微软雅黑"/>
          <w:b/>
          <w:color w:val="auto"/>
          <w:spacing w:val="6"/>
          <w:highlight w:val="none"/>
          <w:lang w:eastAsia="zh-CN"/>
        </w:rPr>
        <w:t>2</w:t>
      </w:r>
      <w:r>
        <w:rPr>
          <w:rFonts w:hint="eastAsia" w:ascii="微软雅黑" w:hAnsi="微软雅黑" w:eastAsia="微软雅黑"/>
          <w:b/>
          <w:color w:val="auto"/>
          <w:spacing w:val="6"/>
          <w:highlight w:val="none"/>
          <w:lang w:eastAsia="zh-CN"/>
        </w:rPr>
        <w:t>、响应报价有算术错误及其他错误的，评审小组按以下原则要求报价人对响应报价进行修正，并要求供应商澄清确认。供应商拒不澄清确认的，评审小组</w:t>
      </w:r>
      <w:r>
        <w:rPr>
          <w:rFonts w:hint="eastAsia" w:ascii="微软雅黑" w:hAnsi="微软雅黑" w:eastAsia="微软雅黑"/>
          <w:b/>
          <w:color w:val="auto"/>
          <w:spacing w:val="6"/>
          <w:highlight w:val="none"/>
          <w:lang w:val="en-US" w:eastAsia="zh-CN"/>
        </w:rPr>
        <w:t>将</w:t>
      </w:r>
      <w:r>
        <w:rPr>
          <w:rFonts w:hint="eastAsia" w:ascii="微软雅黑" w:hAnsi="微软雅黑" w:eastAsia="微软雅黑"/>
          <w:b/>
          <w:color w:val="auto"/>
          <w:spacing w:val="6"/>
          <w:highlight w:val="none"/>
          <w:lang w:eastAsia="zh-CN"/>
        </w:rPr>
        <w:t xml:space="preserve">否决其响应文件： </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2.1 </w:t>
      </w:r>
      <w:r>
        <w:rPr>
          <w:rFonts w:hint="eastAsia" w:ascii="微软雅黑" w:hAnsi="微软雅黑" w:eastAsia="微软雅黑" w:cs="宋体"/>
          <w:color w:val="auto"/>
          <w:sz w:val="21"/>
          <w:szCs w:val="21"/>
          <w:highlight w:val="none"/>
        </w:rPr>
        <w:t xml:space="preserve">响应文件中的大写金额与小写金额不一致的，以大写金额为准； </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2.2 </w:t>
      </w:r>
      <w:r>
        <w:rPr>
          <w:rFonts w:hint="eastAsia" w:ascii="微软雅黑" w:hAnsi="微软雅黑" w:eastAsia="微软雅黑" w:cs="宋体"/>
          <w:color w:val="auto"/>
          <w:sz w:val="21"/>
          <w:szCs w:val="21"/>
          <w:highlight w:val="none"/>
        </w:rPr>
        <w:t xml:space="preserve">总价金额与单价金额不一致的，以单价金额为准，但单价金额小数点有明显错误的除外； </w:t>
      </w:r>
    </w:p>
    <w:p>
      <w:pPr>
        <w:pStyle w:val="29"/>
        <w:snapToGrid w:val="0"/>
        <w:ind w:left="424" w:hanging="424" w:hangingChars="202"/>
        <w:rPr>
          <w:rFonts w:hint="eastAsia"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2.3 </w:t>
      </w:r>
      <w:r>
        <w:rPr>
          <w:rFonts w:hint="eastAsia" w:ascii="微软雅黑" w:hAnsi="微软雅黑" w:eastAsia="微软雅黑" w:cs="宋体"/>
          <w:color w:val="auto"/>
          <w:sz w:val="21"/>
          <w:szCs w:val="21"/>
          <w:highlight w:val="none"/>
        </w:rPr>
        <w:t>响应报价为各分项报价金额之和，响应报价与分项报价的合价不一致的， 应以各分项合价累计数为准，修正响应报价。</w:t>
      </w:r>
    </w:p>
    <w:p>
      <w:pPr>
        <w:pStyle w:val="29"/>
        <w:snapToGrid w:val="0"/>
        <w:ind w:left="424" w:hanging="424" w:hangingChars="202"/>
        <w:rPr>
          <w:rFonts w:hint="default"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 xml:space="preserve">2.4 </w:t>
      </w:r>
      <w:r>
        <w:rPr>
          <w:rFonts w:hint="eastAsia" w:ascii="微软雅黑" w:hAnsi="微软雅黑" w:eastAsia="微软雅黑" w:cs="Times New Roman"/>
          <w:color w:val="auto"/>
          <w:spacing w:val="6"/>
          <w:kern w:val="0"/>
          <w:sz w:val="21"/>
          <w:szCs w:val="21"/>
          <w:highlight w:val="none"/>
          <w:lang w:val="en-US" w:eastAsia="zh-CN" w:bidi="ar-SA"/>
        </w:rPr>
        <w:t>报价文件出现税率错误的，采购人将与供应商进行澄清确认，以确认后的税率修正评比价格。当出现不含税价格与含税价格计算错误时，采购方将按照含税价格和税率修正其不含税价格，最终评比价格将按照供应商不含税报价与修正后的不含税价格进行对比，按照就低不就高的原则确定评比价格，并请供应商确认（明显含税价格和不含税价格填写位置错误的除外）。</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2.</w:t>
      </w:r>
      <w:r>
        <w:rPr>
          <w:rFonts w:hint="eastAsia" w:ascii="微软雅黑" w:hAnsi="微软雅黑" w:eastAsia="微软雅黑" w:cs="宋体"/>
          <w:color w:val="auto"/>
          <w:sz w:val="21"/>
          <w:szCs w:val="21"/>
          <w:highlight w:val="none"/>
          <w:lang w:val="en-US" w:eastAsia="zh-CN"/>
        </w:rPr>
        <w:t>5</w:t>
      </w:r>
      <w:r>
        <w:rPr>
          <w:rFonts w:ascii="微软雅黑" w:hAnsi="微软雅黑" w:eastAsia="微软雅黑" w:cs="宋体"/>
          <w:color w:val="auto"/>
          <w:sz w:val="21"/>
          <w:szCs w:val="21"/>
          <w:highlight w:val="none"/>
        </w:rPr>
        <w:t xml:space="preserve"> </w:t>
      </w:r>
      <w:r>
        <w:rPr>
          <w:rFonts w:hint="eastAsia" w:ascii="微软雅黑" w:hAnsi="微软雅黑" w:eastAsia="微软雅黑" w:cs="宋体"/>
          <w:color w:val="auto"/>
          <w:sz w:val="21"/>
          <w:szCs w:val="21"/>
          <w:highlight w:val="none"/>
        </w:rPr>
        <w:t>采</w:t>
      </w:r>
      <w:r>
        <w:rPr>
          <w:rFonts w:ascii="微软雅黑" w:hAnsi="微软雅黑" w:eastAsia="微软雅黑" w:cs="宋体"/>
          <w:color w:val="auto"/>
          <w:sz w:val="21"/>
          <w:szCs w:val="21"/>
          <w:highlight w:val="none"/>
        </w:rPr>
        <w:t>办业务系统中报价与系统中挂接</w:t>
      </w:r>
      <w:r>
        <w:rPr>
          <w:rFonts w:hint="eastAsia" w:ascii="微软雅黑" w:hAnsi="微软雅黑" w:eastAsia="微软雅黑" w:cs="宋体"/>
          <w:color w:val="auto"/>
          <w:sz w:val="21"/>
          <w:szCs w:val="21"/>
          <w:highlight w:val="none"/>
        </w:rPr>
        <w:t>PDF形式</w:t>
      </w:r>
      <w:r>
        <w:rPr>
          <w:rFonts w:ascii="微软雅黑" w:hAnsi="微软雅黑" w:eastAsia="微软雅黑" w:cs="宋体"/>
          <w:color w:val="auto"/>
          <w:sz w:val="21"/>
          <w:szCs w:val="21"/>
          <w:highlight w:val="none"/>
        </w:rPr>
        <w:t>价格应保持一致</w:t>
      </w:r>
      <w:r>
        <w:rPr>
          <w:rFonts w:hint="eastAsia" w:ascii="微软雅黑" w:hAnsi="微软雅黑" w:eastAsia="微软雅黑" w:cs="宋体"/>
          <w:color w:val="auto"/>
          <w:sz w:val="21"/>
          <w:szCs w:val="21"/>
          <w:highlight w:val="none"/>
        </w:rPr>
        <w:t>；当</w:t>
      </w:r>
      <w:r>
        <w:rPr>
          <w:rFonts w:ascii="微软雅黑" w:hAnsi="微软雅黑" w:eastAsia="微软雅黑" w:cs="宋体"/>
          <w:color w:val="auto"/>
          <w:sz w:val="21"/>
          <w:szCs w:val="21"/>
          <w:highlight w:val="none"/>
        </w:rPr>
        <w:t>系统报价与挂接</w:t>
      </w:r>
      <w:r>
        <w:rPr>
          <w:rFonts w:hint="eastAsia" w:ascii="微软雅黑" w:hAnsi="微软雅黑" w:eastAsia="微软雅黑" w:cs="宋体"/>
          <w:color w:val="auto"/>
          <w:sz w:val="21"/>
          <w:szCs w:val="21"/>
          <w:highlight w:val="none"/>
        </w:rPr>
        <w:t>PDF形式报</w:t>
      </w:r>
      <w:r>
        <w:rPr>
          <w:rFonts w:ascii="微软雅黑" w:hAnsi="微软雅黑" w:eastAsia="微软雅黑" w:cs="宋体"/>
          <w:color w:val="auto"/>
          <w:sz w:val="21"/>
          <w:szCs w:val="21"/>
          <w:highlight w:val="none"/>
        </w:rPr>
        <w:t>价不一致的，以“</w:t>
      </w:r>
      <w:r>
        <w:rPr>
          <w:rFonts w:hint="eastAsia" w:ascii="微软雅黑" w:hAnsi="微软雅黑" w:eastAsia="微软雅黑" w:cs="宋体"/>
          <w:color w:val="auto"/>
          <w:sz w:val="21"/>
          <w:szCs w:val="21"/>
          <w:highlight w:val="none"/>
          <w:lang w:eastAsia="zh-CN"/>
        </w:rPr>
        <w:t>中国海洋</w:t>
      </w:r>
      <w:r>
        <w:rPr>
          <w:rFonts w:hint="eastAsia" w:ascii="微软雅黑" w:hAnsi="微软雅黑" w:eastAsia="微软雅黑" w:cs="宋体"/>
          <w:color w:val="auto"/>
          <w:sz w:val="21"/>
          <w:szCs w:val="21"/>
          <w:highlight w:val="none"/>
          <w:lang w:val="en-US" w:eastAsia="zh-CN"/>
        </w:rPr>
        <w:t>供应链数字化平台系统</w:t>
      </w:r>
      <w:r>
        <w:rPr>
          <w:rFonts w:hint="eastAsia" w:ascii="微软雅黑" w:hAnsi="微软雅黑" w:eastAsia="微软雅黑" w:cs="宋体"/>
          <w:color w:val="auto"/>
          <w:sz w:val="21"/>
          <w:szCs w:val="21"/>
          <w:highlight w:val="none"/>
        </w:rPr>
        <w:t>报价</w:t>
      </w:r>
      <w:r>
        <w:rPr>
          <w:rFonts w:ascii="微软雅黑" w:hAnsi="微软雅黑" w:eastAsia="微软雅黑" w:cs="宋体"/>
          <w:b/>
          <w:bCs/>
          <w:color w:val="auto"/>
          <w:sz w:val="21"/>
          <w:szCs w:val="21"/>
          <w:highlight w:val="none"/>
        </w:rPr>
        <w:t>”</w:t>
      </w:r>
      <w:r>
        <w:rPr>
          <w:rFonts w:ascii="微软雅黑" w:hAnsi="微软雅黑" w:eastAsia="微软雅黑" w:cs="宋体"/>
          <w:color w:val="auto"/>
          <w:sz w:val="21"/>
          <w:szCs w:val="21"/>
          <w:highlight w:val="none"/>
        </w:rPr>
        <w:t>为准；</w:t>
      </w:r>
    </w:p>
    <w:p>
      <w:pPr>
        <w:pStyle w:val="29"/>
        <w:snapToGrid w:val="0"/>
        <w:ind w:left="424" w:hanging="424" w:hangingChars="202"/>
        <w:rPr>
          <w:rFonts w:hint="eastAsia" w:ascii="微软雅黑" w:hAnsi="微软雅黑" w:eastAsia="微软雅黑" w:cs="Times New Roman"/>
          <w:color w:val="auto"/>
          <w:spacing w:val="6"/>
          <w:kern w:val="0"/>
          <w:sz w:val="21"/>
          <w:szCs w:val="21"/>
          <w:highlight w:val="none"/>
          <w:lang w:val="en-US" w:eastAsia="zh-CN" w:bidi="ar-SA"/>
        </w:rPr>
      </w:pPr>
      <w:r>
        <w:rPr>
          <w:rFonts w:ascii="微软雅黑" w:hAnsi="微软雅黑" w:eastAsia="微软雅黑" w:cs="宋体"/>
          <w:color w:val="auto"/>
          <w:sz w:val="21"/>
          <w:szCs w:val="21"/>
          <w:highlight w:val="none"/>
        </w:rPr>
        <w:t>2.</w:t>
      </w:r>
      <w:r>
        <w:rPr>
          <w:rFonts w:hint="eastAsia" w:ascii="微软雅黑" w:hAnsi="微软雅黑" w:eastAsia="微软雅黑" w:cs="宋体"/>
          <w:color w:val="auto"/>
          <w:sz w:val="21"/>
          <w:szCs w:val="21"/>
          <w:highlight w:val="none"/>
          <w:lang w:val="en-US" w:eastAsia="zh-CN"/>
        </w:rPr>
        <w:t>6</w:t>
      </w:r>
      <w:r>
        <w:rPr>
          <w:rFonts w:ascii="微软雅黑" w:hAnsi="微软雅黑" w:eastAsia="微软雅黑" w:cs="宋体"/>
          <w:color w:val="auto"/>
          <w:sz w:val="21"/>
          <w:szCs w:val="21"/>
          <w:highlight w:val="none"/>
        </w:rPr>
        <w:t xml:space="preserve"> </w:t>
      </w:r>
      <w:r>
        <w:rPr>
          <w:rFonts w:hint="eastAsia" w:ascii="微软雅黑" w:hAnsi="微软雅黑" w:eastAsia="微软雅黑" w:cs="Times New Roman"/>
          <w:color w:val="auto"/>
          <w:spacing w:val="6"/>
          <w:kern w:val="0"/>
          <w:sz w:val="21"/>
          <w:szCs w:val="21"/>
          <w:highlight w:val="none"/>
          <w:lang w:val="en-US" w:eastAsia="zh-CN" w:bidi="ar-SA"/>
        </w:rPr>
        <w:t>对于报价中存在缺漏项的，除本文件中另有明确规定，在比价时计入其余4名合格报价各方的该项最高价，拉平比价。拉平后比价结果最低的供应商，将对其缺漏项进行澄清，澄清后的单项价格不应超过其它合格报价方的最高价。对于报价缺漏项数量或金额（评审价格）超过20%的，视为非实质性响应，评议不合格。</w:t>
      </w:r>
    </w:p>
    <w:p>
      <w:pPr>
        <w:pStyle w:val="2"/>
        <w:keepNext w:val="0"/>
        <w:keepLines w:val="0"/>
        <w:pageBreakBefore w:val="0"/>
        <w:kinsoku/>
        <w:wordWrap/>
        <w:overflowPunct/>
        <w:topLinePunct w:val="0"/>
        <w:autoSpaceDE/>
        <w:autoSpaceDN/>
        <w:bidi w:val="0"/>
        <w:spacing w:line="20" w:lineRule="atLeast"/>
        <w:ind w:left="0" w:leftChars="0" w:firstLine="0" w:firstLineChars="0"/>
        <w:jc w:val="left"/>
        <w:textAlignment w:val="auto"/>
        <w:rPr>
          <w:rFonts w:hint="eastAsia" w:ascii="微软雅黑" w:hAnsi="微软雅黑" w:eastAsia="微软雅黑" w:cs="Times New Roman"/>
          <w:color w:val="auto"/>
          <w:spacing w:val="6"/>
          <w:kern w:val="0"/>
          <w:sz w:val="21"/>
          <w:szCs w:val="21"/>
          <w:highlight w:val="none"/>
          <w:lang w:val="en-US" w:eastAsia="zh-CN" w:bidi="ar-SA"/>
        </w:rPr>
      </w:pPr>
      <w:r>
        <w:rPr>
          <w:rFonts w:ascii="微软雅黑" w:hAnsi="微软雅黑" w:eastAsia="微软雅黑" w:cs="宋体"/>
          <w:color w:val="auto"/>
          <w:sz w:val="21"/>
          <w:szCs w:val="21"/>
          <w:highlight w:val="none"/>
        </w:rPr>
        <w:t>2.</w:t>
      </w:r>
      <w:r>
        <w:rPr>
          <w:rFonts w:hint="eastAsia" w:ascii="微软雅黑" w:hAnsi="微软雅黑" w:eastAsia="微软雅黑" w:cs="宋体"/>
          <w:color w:val="auto"/>
          <w:sz w:val="21"/>
          <w:szCs w:val="21"/>
          <w:highlight w:val="none"/>
          <w:lang w:val="en-US" w:eastAsia="zh-CN"/>
        </w:rPr>
        <w:t>7</w:t>
      </w:r>
      <w:r>
        <w:rPr>
          <w:rFonts w:ascii="微软雅黑" w:hAnsi="微软雅黑" w:eastAsia="微软雅黑" w:cs="宋体"/>
          <w:color w:val="auto"/>
          <w:sz w:val="21"/>
          <w:szCs w:val="21"/>
          <w:highlight w:val="none"/>
        </w:rPr>
        <w:t xml:space="preserve"> </w:t>
      </w:r>
      <w:r>
        <w:rPr>
          <w:rFonts w:hint="eastAsia" w:ascii="微软雅黑" w:hAnsi="微软雅黑" w:eastAsia="微软雅黑" w:cs="Times New Roman"/>
          <w:color w:val="auto"/>
          <w:spacing w:val="6"/>
          <w:kern w:val="0"/>
          <w:sz w:val="21"/>
          <w:szCs w:val="21"/>
          <w:highlight w:val="none"/>
          <w:lang w:val="en-US" w:eastAsia="zh-CN" w:bidi="ar-SA"/>
        </w:rPr>
        <w:t>评审内容</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886"/>
        <w:gridCol w:w="609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b/>
                <w:bCs/>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序号</w:t>
            </w:r>
          </w:p>
        </w:tc>
        <w:tc>
          <w:tcPr>
            <w:tcW w:w="947" w:type="pct"/>
            <w:noWrap w:val="0"/>
            <w:vAlign w:val="center"/>
          </w:tcPr>
          <w:p>
            <w:pPr>
              <w:pStyle w:val="2"/>
              <w:spacing w:line="240" w:lineRule="auto"/>
              <w:ind w:left="0" w:leftChars="0" w:firstLine="0" w:firstLineChars="0"/>
              <w:jc w:val="center"/>
              <w:rPr>
                <w:rFonts w:hint="eastAsia" w:ascii="华文仿宋" w:hAnsi="华文仿宋" w:eastAsia="华文仿宋" w:cs="华文仿宋"/>
                <w:b/>
                <w:bCs/>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评审项名称</w:t>
            </w:r>
          </w:p>
        </w:tc>
        <w:tc>
          <w:tcPr>
            <w:tcW w:w="3062" w:type="pct"/>
            <w:noWrap w:val="0"/>
            <w:vAlign w:val="center"/>
          </w:tcPr>
          <w:p>
            <w:pPr>
              <w:pStyle w:val="2"/>
              <w:spacing w:line="240" w:lineRule="auto"/>
              <w:ind w:left="0" w:leftChars="0" w:firstLine="0" w:firstLineChars="0"/>
              <w:jc w:val="center"/>
              <w:rPr>
                <w:rFonts w:hint="eastAsia" w:ascii="华文仿宋" w:hAnsi="华文仿宋" w:eastAsia="华文仿宋" w:cs="华文仿宋"/>
                <w:b/>
                <w:bCs/>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评审标准</w:t>
            </w:r>
          </w:p>
        </w:tc>
        <w:tc>
          <w:tcPr>
            <w:tcW w:w="558" w:type="pct"/>
            <w:noWrap w:val="0"/>
            <w:vAlign w:val="center"/>
          </w:tcPr>
          <w:p>
            <w:pPr>
              <w:pStyle w:val="2"/>
              <w:spacing w:line="240" w:lineRule="auto"/>
              <w:ind w:left="0" w:leftChars="0" w:firstLine="0" w:firstLineChars="0"/>
              <w:jc w:val="center"/>
              <w:rPr>
                <w:rFonts w:hint="eastAsia" w:ascii="华文仿宋" w:hAnsi="华文仿宋" w:eastAsia="华文仿宋" w:cs="华文仿宋"/>
                <w:b/>
                <w:bCs/>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D7D7D7"/>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符合性检查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1"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233" w:leftChars="0" w:hanging="233" w:hangingChars="111"/>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1</w:t>
            </w:r>
          </w:p>
        </w:tc>
        <w:tc>
          <w:tcPr>
            <w:tcW w:w="947"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sz w:val="21"/>
                <w:szCs w:val="21"/>
                <w:vertAlign w:val="baseline"/>
                <w:lang w:val="en-US" w:eastAsia="zh-CN"/>
              </w:rPr>
              <w:t>应答人名称</w:t>
            </w:r>
          </w:p>
        </w:tc>
        <w:tc>
          <w:tcPr>
            <w:tcW w:w="3062"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应答人名称与营业执照、资质证书一致。</w:t>
            </w:r>
          </w:p>
        </w:tc>
        <w:tc>
          <w:tcPr>
            <w:tcW w:w="558"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jc w:val="both"/>
              <w:textAlignment w:val="auto"/>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233" w:leftChars="0" w:hanging="233" w:hangingChars="111"/>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2</w:t>
            </w:r>
          </w:p>
        </w:tc>
        <w:tc>
          <w:tcPr>
            <w:tcW w:w="947"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sz w:val="21"/>
                <w:szCs w:val="21"/>
                <w:vertAlign w:val="baseline"/>
                <w:lang w:val="en-US" w:eastAsia="zh-CN"/>
              </w:rPr>
              <w:t>法人授权书</w:t>
            </w:r>
          </w:p>
        </w:tc>
        <w:tc>
          <w:tcPr>
            <w:tcW w:w="3062"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有法定代表人或其委托代理人签字或加盖单位章。由法定代表人签字的，应附法定代表人身份证明，由代理人签字的，应附授权委托书，身份证明或授权委托书。</w:t>
            </w:r>
          </w:p>
        </w:tc>
        <w:tc>
          <w:tcPr>
            <w:tcW w:w="558" w:type="pct"/>
            <w:noWrap w:val="0"/>
            <w:vAlign w:val="top"/>
          </w:tcPr>
          <w:p>
            <w:pPr>
              <w:pStyle w:val="2"/>
              <w:keepNext w:val="0"/>
              <w:keepLines w:val="0"/>
              <w:pageBreakBefore w:val="0"/>
              <w:widowControl/>
              <w:kinsoku/>
              <w:wordWrap/>
              <w:overflowPunct/>
              <w:topLinePunct w:val="0"/>
              <w:autoSpaceDE/>
              <w:autoSpaceDN/>
              <w:bidi w:val="0"/>
              <w:adjustRightInd/>
              <w:snapToGrid/>
              <w:spacing w:line="240" w:lineRule="auto"/>
              <w:ind w:left="0" w:leftChars="0"/>
              <w:textAlignment w:val="auto"/>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233" w:leftChars="0" w:hanging="233" w:hangingChars="111"/>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3</w:t>
            </w:r>
          </w:p>
        </w:tc>
        <w:tc>
          <w:tcPr>
            <w:tcW w:w="947"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sz w:val="21"/>
                <w:szCs w:val="21"/>
                <w:vertAlign w:val="baseline"/>
                <w:lang w:val="en-US" w:eastAsia="zh-CN"/>
              </w:rPr>
              <w:t>应答文件</w:t>
            </w:r>
          </w:p>
        </w:tc>
        <w:tc>
          <w:tcPr>
            <w:tcW w:w="3062" w:type="pct"/>
            <w:noWrap w:val="0"/>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按照采购文件要求上传应答资料，包括但不限于公司的营业执照、业绩、财务报告、报价清单等。</w:t>
            </w:r>
          </w:p>
        </w:tc>
        <w:tc>
          <w:tcPr>
            <w:tcW w:w="558" w:type="pct"/>
            <w:noWrap w:val="0"/>
            <w:vAlign w:val="top"/>
          </w:tcPr>
          <w:p>
            <w:pPr>
              <w:pStyle w:val="2"/>
              <w:keepNext w:val="0"/>
              <w:keepLines w:val="0"/>
              <w:pageBreakBefore w:val="0"/>
              <w:widowControl/>
              <w:kinsoku/>
              <w:wordWrap/>
              <w:overflowPunct/>
              <w:topLinePunct w:val="0"/>
              <w:autoSpaceDE/>
              <w:autoSpaceDN/>
              <w:bidi w:val="0"/>
              <w:adjustRightInd/>
              <w:snapToGrid/>
              <w:spacing w:line="240" w:lineRule="auto"/>
              <w:ind w:left="0" w:leftChars="0"/>
              <w:textAlignment w:val="auto"/>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D7D7D7"/>
            <w:noWrap w:val="0"/>
            <w:vAlign w:val="center"/>
          </w:tcPr>
          <w:p>
            <w:pPr>
              <w:pStyle w:val="2"/>
              <w:spacing w:line="240" w:lineRule="auto"/>
              <w:ind w:left="0" w:leftChars="0" w:firstLine="468" w:firstLineChars="222"/>
              <w:jc w:val="both"/>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b/>
                <w:bCs/>
                <w:color w:val="auto"/>
                <w:sz w:val="21"/>
                <w:szCs w:val="21"/>
                <w:shd w:val="clear" w:color="auto" w:fill="D7D7D7"/>
                <w:vertAlign w:val="baseline"/>
                <w:lang w:val="en-US" w:eastAsia="zh-CN"/>
              </w:rPr>
              <w:t>资质评审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1</w:t>
            </w:r>
          </w:p>
        </w:tc>
        <w:tc>
          <w:tcPr>
            <w:tcW w:w="947" w:type="pct"/>
            <w:noWrap w:val="0"/>
            <w:vAlign w:val="center"/>
          </w:tcPr>
          <w:p>
            <w:pPr>
              <w:pStyle w:val="2"/>
              <w:spacing w:line="240" w:lineRule="auto"/>
              <w:ind w:left="0" w:leftChars="0" w:firstLine="0" w:firstLineChars="0"/>
              <w:jc w:val="both"/>
              <w:rPr>
                <w:rFonts w:hint="default" w:ascii="华文仿宋" w:hAnsi="华文仿宋" w:eastAsia="华文仿宋" w:cs="华文仿宋"/>
                <w:color w:val="auto"/>
                <w:kern w:val="2"/>
                <w:sz w:val="21"/>
                <w:szCs w:val="21"/>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kern w:val="2"/>
                <w:sz w:val="21"/>
                <w:szCs w:val="21"/>
                <w:lang w:val="en-US" w:eastAsia="zh-CN"/>
              </w:rPr>
              <w:t>企业类型</w:t>
            </w:r>
          </w:p>
        </w:tc>
        <w:tc>
          <w:tcPr>
            <w:tcW w:w="3062" w:type="pct"/>
            <w:noWrap w:val="0"/>
            <w:vAlign w:val="center"/>
          </w:tcPr>
          <w:p>
            <w:pPr>
              <w:pStyle w:val="2"/>
              <w:spacing w:line="240" w:lineRule="auto"/>
              <w:ind w:left="0" w:leftChars="0" w:firstLine="0" w:firstLineChars="0"/>
              <w:jc w:val="both"/>
              <w:rPr>
                <w:rFonts w:hint="default" w:ascii="华文仿宋" w:hAnsi="华文仿宋" w:eastAsia="华文仿宋" w:cs="华文仿宋"/>
                <w:color w:val="auto"/>
                <w:kern w:val="2"/>
                <w:sz w:val="21"/>
                <w:szCs w:val="21"/>
                <w:lang w:val="en-US" w:eastAsia="zh-CN"/>
              </w:rPr>
            </w:pPr>
            <w:r>
              <w:rPr>
                <w:rFonts w:hint="eastAsia" w:ascii="华文仿宋" w:hAnsi="华文仿宋" w:eastAsia="华文仿宋" w:cs="华文仿宋"/>
                <w:color w:val="auto"/>
                <w:kern w:val="2"/>
                <w:sz w:val="21"/>
                <w:szCs w:val="21"/>
                <w:lang w:val="en-US" w:eastAsia="zh-CN"/>
              </w:rPr>
              <w:t>应答人须是阀门生产商/制造商，不接受贸易商、代理商。</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2</w:t>
            </w:r>
          </w:p>
        </w:tc>
        <w:tc>
          <w:tcPr>
            <w:tcW w:w="947" w:type="pct"/>
            <w:noWrap w:val="0"/>
            <w:vAlign w:val="center"/>
          </w:tcPr>
          <w:p>
            <w:pPr>
              <w:pStyle w:val="2"/>
              <w:spacing w:line="240" w:lineRule="auto"/>
              <w:ind w:left="0" w:leftChars="0" w:firstLine="0" w:firstLineChars="0"/>
              <w:jc w:val="both"/>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★营业执照</w:t>
            </w:r>
          </w:p>
        </w:tc>
        <w:tc>
          <w:tcPr>
            <w:tcW w:w="3062" w:type="pct"/>
            <w:noWrap w:val="0"/>
            <w:vAlign w:val="center"/>
          </w:tcPr>
          <w:p>
            <w:pPr>
              <w:pStyle w:val="2"/>
              <w:spacing w:line="240" w:lineRule="auto"/>
              <w:ind w:left="0" w:leftChars="0" w:firstLine="0" w:firstLineChars="0"/>
              <w:jc w:val="both"/>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val="en-US" w:eastAsia="zh-CN"/>
              </w:rPr>
              <w:t>应答人应上传</w:t>
            </w:r>
            <w:r>
              <w:rPr>
                <w:rFonts w:hint="eastAsia" w:ascii="华文仿宋" w:hAnsi="华文仿宋" w:eastAsia="华文仿宋" w:cs="华文仿宋"/>
                <w:color w:val="auto"/>
                <w:kern w:val="2"/>
                <w:sz w:val="21"/>
                <w:szCs w:val="21"/>
                <w:lang w:eastAsia="zh-CN"/>
              </w:rPr>
              <w:t>具有合法有效的营业执照，</w:t>
            </w:r>
            <w:r>
              <w:rPr>
                <w:rFonts w:hint="eastAsia" w:ascii="华文仿宋" w:hAnsi="华文仿宋" w:eastAsia="华文仿宋" w:cs="华文仿宋"/>
                <w:color w:val="auto"/>
                <w:kern w:val="2"/>
                <w:sz w:val="21"/>
                <w:szCs w:val="21"/>
                <w:lang w:val="en-US" w:eastAsia="zh-CN"/>
              </w:rPr>
              <w:t>如应答人</w:t>
            </w:r>
            <w:r>
              <w:rPr>
                <w:rFonts w:hint="eastAsia" w:ascii="华文仿宋" w:hAnsi="华文仿宋" w:eastAsia="华文仿宋" w:cs="华文仿宋"/>
                <w:color w:val="auto"/>
                <w:kern w:val="2"/>
                <w:sz w:val="21"/>
                <w:szCs w:val="21"/>
                <w:lang w:eastAsia="zh-CN"/>
              </w:rPr>
              <w:t>为分公司的，应具有合法有效的营业执照和上级法人单位授权书。</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3</w:t>
            </w:r>
          </w:p>
        </w:tc>
        <w:tc>
          <w:tcPr>
            <w:tcW w:w="947" w:type="pct"/>
            <w:noWrap w:val="0"/>
            <w:vAlign w:val="center"/>
          </w:tcPr>
          <w:p>
            <w:pPr>
              <w:pStyle w:val="2"/>
              <w:spacing w:line="240" w:lineRule="auto"/>
              <w:ind w:left="0" w:leftChars="0" w:firstLine="0" w:firstLineChars="0"/>
              <w:jc w:val="both"/>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★财务要求</w:t>
            </w:r>
          </w:p>
        </w:tc>
        <w:tc>
          <w:tcPr>
            <w:tcW w:w="3062" w:type="pct"/>
            <w:noWrap w:val="0"/>
            <w:vAlign w:val="center"/>
          </w:tcPr>
          <w:p>
            <w:pPr>
              <w:pStyle w:val="2"/>
              <w:spacing w:line="240" w:lineRule="auto"/>
              <w:ind w:left="0" w:leftChars="0" w:firstLine="0" w:firstLineChars="0"/>
              <w:jc w:val="both"/>
              <w:rPr>
                <w:rFonts w:hint="default"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val="en-US" w:eastAsia="zh-CN"/>
              </w:rPr>
              <w:t>应答人应</w:t>
            </w:r>
            <w:r>
              <w:rPr>
                <w:rFonts w:hint="eastAsia" w:ascii="华文仿宋" w:hAnsi="华文仿宋" w:eastAsia="华文仿宋" w:cs="华文仿宋"/>
                <w:b w:val="0"/>
                <w:bCs w:val="0"/>
                <w:color w:val="auto"/>
                <w:kern w:val="2"/>
                <w:sz w:val="21"/>
                <w:szCs w:val="21"/>
                <w:lang w:eastAsia="zh-CN"/>
              </w:rPr>
              <w:t>提供</w:t>
            </w:r>
            <w:r>
              <w:rPr>
                <w:rFonts w:hint="eastAsia" w:ascii="华文仿宋" w:hAnsi="华文仿宋" w:eastAsia="华文仿宋" w:cs="华文仿宋"/>
                <w:b w:val="0"/>
                <w:bCs w:val="0"/>
                <w:color w:val="auto"/>
                <w:kern w:val="2"/>
                <w:sz w:val="21"/>
                <w:szCs w:val="21"/>
                <w:lang w:val="en-US" w:eastAsia="zh-CN"/>
              </w:rPr>
              <w:t>近三</w:t>
            </w:r>
            <w:r>
              <w:rPr>
                <w:rFonts w:hint="eastAsia" w:ascii="华文仿宋" w:hAnsi="华文仿宋" w:eastAsia="华文仿宋" w:cs="华文仿宋"/>
                <w:b w:val="0"/>
                <w:bCs w:val="0"/>
                <w:color w:val="auto"/>
                <w:kern w:val="2"/>
                <w:sz w:val="21"/>
                <w:szCs w:val="21"/>
                <w:lang w:eastAsia="zh-CN"/>
              </w:rPr>
              <w:t>年财务报表，包括资产负债表、利润表、现金流量表、所有者权益变动表及财务报表附注‌</w:t>
            </w: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kern w:val="2"/>
                <w:sz w:val="21"/>
                <w:szCs w:val="21"/>
                <w:lang w:val="en-US" w:eastAsia="zh-CN"/>
              </w:rPr>
              <w:t>中小企业必须提供</w:t>
            </w:r>
            <w:r>
              <w:rPr>
                <w:rFonts w:hint="eastAsia" w:ascii="华文仿宋" w:hAnsi="华文仿宋" w:eastAsia="华文仿宋" w:cs="华文仿宋"/>
                <w:b w:val="0"/>
                <w:bCs w:val="0"/>
                <w:color w:val="auto"/>
                <w:kern w:val="2"/>
                <w:sz w:val="21"/>
                <w:szCs w:val="21"/>
                <w:lang w:eastAsia="zh-CN"/>
              </w:rPr>
              <w:t>资产负债表、利润表、现金流量表</w:t>
            </w:r>
            <w:r>
              <w:rPr>
                <w:rFonts w:hint="eastAsia" w:ascii="华文仿宋" w:hAnsi="华文仿宋" w:eastAsia="华文仿宋" w:cs="华文仿宋"/>
                <w:color w:val="auto"/>
                <w:kern w:val="2"/>
                <w:sz w:val="21"/>
                <w:szCs w:val="21"/>
                <w:lang w:eastAsia="zh-CN"/>
              </w:rPr>
              <w:t>）。成立时间少于三年的，应提供自成立之日起的财报表。</w:t>
            </w:r>
            <w:r>
              <w:rPr>
                <w:rFonts w:hint="eastAsia" w:ascii="华文仿宋" w:hAnsi="华文仿宋" w:eastAsia="华文仿宋" w:cs="华文仿宋"/>
                <w:color w:val="auto"/>
                <w:kern w:val="2"/>
                <w:sz w:val="21"/>
                <w:szCs w:val="21"/>
                <w:lang w:val="en-US" w:eastAsia="zh-CN"/>
              </w:rPr>
              <w:t>未提供的其报价将被否决。</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4</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kern w:val="2"/>
                <w:sz w:val="21"/>
                <w:szCs w:val="21"/>
                <w:lang w:val="en-US" w:eastAsia="zh-CN"/>
              </w:rPr>
              <w:t>提交一项海油外业绩</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sz w:val="21"/>
                <w:szCs w:val="21"/>
                <w:lang w:val="en-US" w:eastAsia="zh-CN"/>
              </w:rPr>
              <w:t>为落实“中国海油”相关要求，参与本项目供应商应至少具备一项“中国海油系统外”业绩。并提交相关业绩证明文件。业绩证明文件包括但不限于：1）销售合同复印件（含相关技术附件）和2）到货验收材料。未提交业绩证明文件，或所提供的业绩证明文件无法体现合同签署时间、制造商名称、货物名称、项目名称、技术要求及到货验收材料的，均视为无效业绩。</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5</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的情形（1）</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highlight w:val="none"/>
                <w:lang w:val="en-US" w:eastAsia="zh-CN"/>
              </w:rPr>
              <w:t>应答人所报</w:t>
            </w:r>
            <w:r>
              <w:rPr>
                <w:rFonts w:hint="eastAsia" w:ascii="华文仿宋" w:hAnsi="华文仿宋" w:eastAsia="华文仿宋" w:cs="华文仿宋"/>
                <w:color w:val="auto"/>
                <w:kern w:val="2"/>
                <w:sz w:val="21"/>
                <w:szCs w:val="21"/>
                <w:lang w:eastAsia="zh-CN"/>
              </w:rPr>
              <w:t>产品</w:t>
            </w:r>
            <w:r>
              <w:rPr>
                <w:rFonts w:hint="eastAsia" w:ascii="华文仿宋" w:hAnsi="华文仿宋" w:eastAsia="华文仿宋" w:cs="华文仿宋"/>
                <w:color w:val="auto"/>
                <w:kern w:val="2"/>
                <w:sz w:val="21"/>
                <w:szCs w:val="21"/>
                <w:lang w:val="en-US" w:eastAsia="zh-CN"/>
              </w:rPr>
              <w:t>近三年内（至截标时间止）</w:t>
            </w:r>
            <w:r>
              <w:rPr>
                <w:rFonts w:hint="eastAsia" w:ascii="华文仿宋" w:hAnsi="华文仿宋" w:eastAsia="华文仿宋" w:cs="华文仿宋"/>
                <w:color w:val="auto"/>
                <w:kern w:val="2"/>
                <w:sz w:val="21"/>
                <w:szCs w:val="21"/>
                <w:lang w:eastAsia="zh-CN"/>
              </w:rPr>
              <w:t>出现重大质量问题（</w:t>
            </w:r>
            <w:r>
              <w:rPr>
                <w:rFonts w:hint="eastAsia" w:ascii="华文仿宋" w:hAnsi="华文仿宋" w:eastAsia="华文仿宋" w:cs="华文仿宋"/>
                <w:color w:val="auto"/>
                <w:kern w:val="2"/>
                <w:sz w:val="21"/>
                <w:szCs w:val="21"/>
                <w:lang w:val="en-US" w:eastAsia="zh-CN"/>
              </w:rPr>
              <w:t>从公开资料获悉</w:t>
            </w:r>
            <w:r>
              <w:rPr>
                <w:rFonts w:hint="eastAsia" w:ascii="华文仿宋" w:hAnsi="华文仿宋" w:eastAsia="华文仿宋" w:cs="华文仿宋"/>
                <w:color w:val="auto"/>
                <w:kern w:val="2"/>
                <w:sz w:val="21"/>
                <w:szCs w:val="21"/>
                <w:lang w:eastAsia="zh-CN"/>
              </w:rPr>
              <w:t>），且经过官方机构或第三方权威机构调查并出具了明确的书面证据。</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6</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的情形（2）</w:t>
            </w:r>
          </w:p>
        </w:tc>
        <w:tc>
          <w:tcPr>
            <w:tcW w:w="30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rPr>
              <w:t>应答人在中国海油供应链数字化平台“供应商档案”被标注为“违规冻结”的；或“供应商档案”被标注为“品类受控”，且受控品类为本次招标相关品类的</w:t>
            </w:r>
            <w:r>
              <w:rPr>
                <w:rFonts w:hint="eastAsia" w:ascii="华文仿宋" w:hAnsi="华文仿宋" w:eastAsia="华文仿宋" w:cs="华文仿宋"/>
                <w:color w:val="auto"/>
                <w:kern w:val="2"/>
                <w:sz w:val="21"/>
                <w:szCs w:val="21"/>
                <w:lang w:eastAsia="zh-CN"/>
              </w:rPr>
              <w:t>；</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7</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的情形（3）</w:t>
            </w:r>
          </w:p>
        </w:tc>
        <w:tc>
          <w:tcPr>
            <w:tcW w:w="30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rPr>
              <w:t>应答人在中国海油数字化供应链系统“供应商管理模块”中 “供应商风控管理”的“企业快捷查询”结果显示的登记状态为“存续”之外的其它情形的</w:t>
            </w:r>
            <w:r>
              <w:rPr>
                <w:rFonts w:hint="eastAsia" w:ascii="华文仿宋" w:hAnsi="华文仿宋" w:eastAsia="华文仿宋" w:cs="华文仿宋"/>
                <w:color w:val="auto"/>
                <w:kern w:val="2"/>
                <w:sz w:val="21"/>
                <w:szCs w:val="21"/>
                <w:lang w:eastAsia="zh-CN"/>
              </w:rPr>
              <w:t>；</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8</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的情形（4）</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eastAsia="zh-CN"/>
              </w:rPr>
              <w:t>应答人在“信用中国”网站被列入严重失信主体名单；（https://www.creditchina.gov.cn/）</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9</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w:t>
            </w:r>
            <w:r>
              <w:rPr>
                <w:rFonts w:hint="eastAsia" w:ascii="华文仿宋" w:hAnsi="华文仿宋" w:eastAsia="华文仿宋" w:cs="华文仿宋"/>
                <w:color w:val="auto"/>
                <w:kern w:val="2"/>
                <w:sz w:val="21"/>
                <w:szCs w:val="21"/>
                <w:lang w:val="en-US" w:eastAsia="zh-CN"/>
              </w:rPr>
              <w:t>5</w:t>
            </w:r>
            <w:r>
              <w:rPr>
                <w:rFonts w:hint="eastAsia" w:ascii="华文仿宋" w:hAnsi="华文仿宋" w:eastAsia="华文仿宋" w:cs="华文仿宋"/>
                <w:color w:val="auto"/>
                <w:kern w:val="2"/>
                <w:sz w:val="21"/>
                <w:szCs w:val="21"/>
                <w:lang w:eastAsia="zh-CN"/>
              </w:rPr>
              <w:t>）</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eastAsia="zh-CN"/>
              </w:rPr>
              <w:t>应答人在全国企业信用信息公示系统被列入严重违法失信名单（黑名单）信息或营业执照登记状态为吊销或注销的；（http://www.gsxt.gov.cn）</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10</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w:t>
            </w:r>
            <w:r>
              <w:rPr>
                <w:rFonts w:hint="eastAsia" w:ascii="华文仿宋" w:hAnsi="华文仿宋" w:eastAsia="华文仿宋" w:cs="华文仿宋"/>
                <w:color w:val="auto"/>
                <w:kern w:val="2"/>
                <w:sz w:val="21"/>
                <w:szCs w:val="21"/>
                <w:lang w:val="en-US" w:eastAsia="zh-CN"/>
              </w:rPr>
              <w:t>6</w:t>
            </w:r>
            <w:r>
              <w:rPr>
                <w:rFonts w:hint="eastAsia" w:ascii="华文仿宋" w:hAnsi="华文仿宋" w:eastAsia="华文仿宋" w:cs="华文仿宋"/>
                <w:color w:val="auto"/>
                <w:kern w:val="2"/>
                <w:sz w:val="21"/>
                <w:szCs w:val="21"/>
                <w:lang w:eastAsia="zh-CN"/>
              </w:rPr>
              <w:t>）</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eastAsia="zh-CN"/>
              </w:rPr>
              <w:t>应答人在“中国执行信息公开网”网站被列入失信被执行人名单；（http://zxgk.court.gov.cn/）</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31" w:type="pct"/>
            <w:noWrap w:val="0"/>
            <w:vAlign w:val="center"/>
          </w:tcPr>
          <w:p>
            <w:pPr>
              <w:pStyle w:val="2"/>
              <w:spacing w:line="240" w:lineRule="auto"/>
              <w:ind w:left="0" w:leftChars="0" w:firstLine="0" w:firstLineChars="0"/>
              <w:jc w:val="center"/>
              <w:rPr>
                <w:rFonts w:hint="default" w:ascii="华文仿宋" w:hAnsi="华文仿宋" w:eastAsia="华文仿宋" w:cs="华文仿宋"/>
                <w:color w:val="auto"/>
                <w:kern w:val="10"/>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11</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w:t>
            </w:r>
            <w:r>
              <w:rPr>
                <w:rFonts w:hint="eastAsia" w:ascii="华文仿宋" w:hAnsi="华文仿宋" w:eastAsia="华文仿宋" w:cs="华文仿宋"/>
                <w:color w:val="auto"/>
                <w:kern w:val="2"/>
                <w:sz w:val="21"/>
                <w:szCs w:val="21"/>
                <w:lang w:val="en-US" w:eastAsia="zh-CN"/>
              </w:rPr>
              <w:t>7</w:t>
            </w:r>
            <w:r>
              <w:rPr>
                <w:rFonts w:hint="eastAsia" w:ascii="华文仿宋" w:hAnsi="华文仿宋" w:eastAsia="华文仿宋" w:cs="华文仿宋"/>
                <w:color w:val="auto"/>
                <w:kern w:val="2"/>
                <w:sz w:val="21"/>
                <w:szCs w:val="21"/>
                <w:lang w:eastAsia="zh-CN"/>
              </w:rPr>
              <w:t>）</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eastAsia="zh-CN"/>
              </w:rPr>
              <w:t>应答人与</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本</w:t>
            </w:r>
            <w:r>
              <w:rPr>
                <w:rFonts w:hint="eastAsia" w:ascii="华文仿宋" w:hAnsi="华文仿宋" w:eastAsia="华文仿宋" w:cs="华文仿宋"/>
                <w:color w:val="auto"/>
                <w:kern w:val="2"/>
                <w:sz w:val="21"/>
                <w:szCs w:val="21"/>
                <w:lang w:val="en-US" w:eastAsia="zh-CN"/>
              </w:rPr>
              <w:t>此采购活动的</w:t>
            </w:r>
            <w:r>
              <w:rPr>
                <w:rFonts w:hint="eastAsia" w:ascii="华文仿宋" w:hAnsi="华文仿宋" w:eastAsia="华文仿宋" w:cs="华文仿宋"/>
                <w:color w:val="auto"/>
                <w:kern w:val="2"/>
                <w:sz w:val="21"/>
                <w:szCs w:val="21"/>
                <w:lang w:eastAsia="zh-CN"/>
              </w:rPr>
              <w:t>其他应答人</w:t>
            </w:r>
            <w:r>
              <w:rPr>
                <w:rFonts w:hint="eastAsia" w:ascii="华文仿宋" w:hAnsi="华文仿宋" w:eastAsia="华文仿宋" w:cs="华文仿宋"/>
                <w:color w:val="auto"/>
                <w:kern w:val="2"/>
                <w:sz w:val="21"/>
                <w:szCs w:val="21"/>
                <w:lang w:val="en-US" w:eastAsia="zh-CN"/>
              </w:rPr>
              <w:t>法定代表人（或</w:t>
            </w:r>
            <w:r>
              <w:rPr>
                <w:rFonts w:hint="eastAsia" w:ascii="华文仿宋" w:hAnsi="华文仿宋" w:eastAsia="华文仿宋" w:cs="华文仿宋"/>
                <w:color w:val="auto"/>
                <w:kern w:val="2"/>
                <w:sz w:val="21"/>
                <w:szCs w:val="21"/>
                <w:lang w:eastAsia="zh-CN"/>
              </w:rPr>
              <w:t>负责人</w:t>
            </w:r>
            <w:r>
              <w:rPr>
                <w:rFonts w:hint="eastAsia" w:ascii="华文仿宋" w:hAnsi="华文仿宋" w:eastAsia="华文仿宋" w:cs="华文仿宋"/>
                <w:color w:val="auto"/>
                <w:kern w:val="2"/>
                <w:sz w:val="21"/>
                <w:szCs w:val="21"/>
                <w:lang w:val="en-US" w:eastAsia="zh-CN"/>
              </w:rPr>
              <w:t>）</w:t>
            </w:r>
            <w:r>
              <w:rPr>
                <w:rFonts w:hint="eastAsia" w:ascii="华文仿宋" w:hAnsi="华文仿宋" w:eastAsia="华文仿宋" w:cs="华文仿宋"/>
                <w:color w:val="auto"/>
                <w:kern w:val="2"/>
                <w:sz w:val="21"/>
                <w:szCs w:val="21"/>
                <w:lang w:eastAsia="zh-CN"/>
              </w:rPr>
              <w:t>为同一人或存在控股、管理关系的；</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31" w:type="pct"/>
            <w:noWrap w:val="0"/>
            <w:vAlign w:val="center"/>
          </w:tcPr>
          <w:p>
            <w:pPr>
              <w:pStyle w:val="2"/>
              <w:spacing w:line="240" w:lineRule="auto"/>
              <w:ind w:left="0" w:leftChars="0" w:firstLine="0" w:firstLineChars="0"/>
              <w:jc w:val="center"/>
              <w:rPr>
                <w:rFonts w:hint="default"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12</w:t>
            </w:r>
          </w:p>
        </w:tc>
        <w:tc>
          <w:tcPr>
            <w:tcW w:w="947"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★不存在禁止</w:t>
            </w:r>
            <w:r>
              <w:rPr>
                <w:rFonts w:hint="eastAsia" w:ascii="华文仿宋" w:hAnsi="华文仿宋" w:eastAsia="华文仿宋" w:cs="华文仿宋"/>
                <w:color w:val="auto"/>
                <w:kern w:val="2"/>
                <w:sz w:val="21"/>
                <w:szCs w:val="21"/>
                <w:lang w:val="en-US" w:eastAsia="zh-CN"/>
              </w:rPr>
              <w:t>参与</w:t>
            </w:r>
            <w:r>
              <w:rPr>
                <w:rFonts w:hint="eastAsia" w:ascii="华文仿宋" w:hAnsi="华文仿宋" w:eastAsia="华文仿宋" w:cs="华文仿宋"/>
                <w:color w:val="auto"/>
                <w:kern w:val="2"/>
                <w:sz w:val="21"/>
                <w:szCs w:val="21"/>
                <w:lang w:eastAsia="zh-CN"/>
              </w:rPr>
              <w:t>的情形（</w:t>
            </w:r>
            <w:r>
              <w:rPr>
                <w:rFonts w:hint="eastAsia" w:ascii="华文仿宋" w:hAnsi="华文仿宋" w:eastAsia="华文仿宋" w:cs="华文仿宋"/>
                <w:color w:val="auto"/>
                <w:kern w:val="2"/>
                <w:sz w:val="21"/>
                <w:szCs w:val="21"/>
                <w:lang w:val="en-US" w:eastAsia="zh-CN"/>
              </w:rPr>
              <w:t>8</w:t>
            </w:r>
            <w:r>
              <w:rPr>
                <w:rFonts w:hint="eastAsia" w:ascii="华文仿宋" w:hAnsi="华文仿宋" w:eastAsia="华文仿宋" w:cs="华文仿宋"/>
                <w:color w:val="auto"/>
                <w:kern w:val="2"/>
                <w:sz w:val="21"/>
                <w:szCs w:val="21"/>
                <w:lang w:eastAsia="zh-CN"/>
              </w:rPr>
              <w:t>）</w:t>
            </w:r>
          </w:p>
        </w:tc>
        <w:tc>
          <w:tcPr>
            <w:tcW w:w="3062" w:type="pct"/>
            <w:noWrap w:val="0"/>
            <w:vAlign w:val="center"/>
          </w:tcPr>
          <w:p>
            <w:pPr>
              <w:keepNext w:val="0"/>
              <w:keepLines w:val="0"/>
              <w:pageBreakBefore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both"/>
              <w:textAlignment w:val="auto"/>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eastAsia="zh-CN"/>
              </w:rPr>
              <w:t>应答人与</w:t>
            </w:r>
            <w:r>
              <w:rPr>
                <w:rFonts w:hint="eastAsia" w:ascii="华文仿宋" w:hAnsi="华文仿宋" w:eastAsia="华文仿宋" w:cs="华文仿宋"/>
                <w:color w:val="auto"/>
                <w:kern w:val="2"/>
                <w:sz w:val="21"/>
                <w:szCs w:val="21"/>
                <w:lang w:val="en-US" w:eastAsia="zh-CN"/>
              </w:rPr>
              <w:t>采购人</w:t>
            </w:r>
            <w:r>
              <w:rPr>
                <w:rFonts w:hint="eastAsia" w:ascii="华文仿宋" w:hAnsi="华文仿宋" w:eastAsia="华文仿宋" w:cs="华文仿宋"/>
                <w:color w:val="auto"/>
                <w:kern w:val="2"/>
                <w:sz w:val="21"/>
                <w:szCs w:val="21"/>
                <w:lang w:eastAsia="zh-CN"/>
              </w:rPr>
              <w:t>有利害关系且可能影响</w:t>
            </w:r>
            <w:r>
              <w:rPr>
                <w:rFonts w:hint="eastAsia" w:ascii="华文仿宋" w:hAnsi="华文仿宋" w:eastAsia="华文仿宋" w:cs="华文仿宋"/>
                <w:color w:val="auto"/>
                <w:kern w:val="2"/>
                <w:sz w:val="21"/>
                <w:szCs w:val="21"/>
                <w:lang w:val="en-US" w:eastAsia="zh-CN"/>
              </w:rPr>
              <w:t>采购</w:t>
            </w:r>
            <w:r>
              <w:rPr>
                <w:rFonts w:hint="eastAsia" w:ascii="华文仿宋" w:hAnsi="华文仿宋" w:eastAsia="华文仿宋" w:cs="华文仿宋"/>
                <w:color w:val="auto"/>
                <w:kern w:val="2"/>
                <w:sz w:val="21"/>
                <w:szCs w:val="21"/>
                <w:lang w:eastAsia="zh-CN"/>
              </w:rPr>
              <w:t>公正性的；</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D7D7D7"/>
            <w:noWrap w:val="0"/>
            <w:vAlign w:val="center"/>
          </w:tcPr>
          <w:p>
            <w:pPr>
              <w:pStyle w:val="2"/>
              <w:spacing w:line="240" w:lineRule="auto"/>
              <w:ind w:left="0" w:leftChars="0"/>
              <w:jc w:val="left"/>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1</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0"/>
                <w:sz w:val="21"/>
                <w:szCs w:val="21"/>
                <w:lang w:bidi="ar"/>
              </w:rPr>
              <w:t>中小企业声明函</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eastAsia="zh-CN" w:bidi="ar"/>
              </w:rPr>
              <w:t>应答人应答</w:t>
            </w:r>
            <w:r>
              <w:rPr>
                <w:rFonts w:hint="eastAsia" w:ascii="华文仿宋" w:hAnsi="华文仿宋" w:eastAsia="华文仿宋" w:cs="华文仿宋"/>
                <w:color w:val="auto"/>
                <w:kern w:val="0"/>
                <w:sz w:val="21"/>
                <w:szCs w:val="21"/>
                <w:lang w:bidi="ar"/>
              </w:rPr>
              <w:t>时提供自身中小企业声明函（不是中小企业也需要盖章说明）详见附件，中小企业划型标准相关规定详见附件。</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2</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0"/>
                <w:sz w:val="21"/>
                <w:szCs w:val="21"/>
                <w:lang w:bidi="ar"/>
              </w:rPr>
              <w:t>★承诺书</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eastAsia="zh-CN" w:bidi="ar"/>
              </w:rPr>
              <w:t>应答人</w:t>
            </w:r>
            <w:r>
              <w:rPr>
                <w:rFonts w:hint="eastAsia" w:ascii="华文仿宋" w:hAnsi="华文仿宋" w:eastAsia="华文仿宋" w:cs="华文仿宋"/>
                <w:color w:val="auto"/>
                <w:kern w:val="0"/>
                <w:sz w:val="21"/>
                <w:szCs w:val="21"/>
                <w:lang w:bidi="ar"/>
              </w:rPr>
              <w:t>提供</w:t>
            </w:r>
            <w:r>
              <w:rPr>
                <w:rFonts w:hint="eastAsia" w:ascii="华文仿宋" w:hAnsi="华文仿宋" w:eastAsia="华文仿宋" w:cs="华文仿宋"/>
                <w:color w:val="auto"/>
                <w:kern w:val="0"/>
                <w:sz w:val="21"/>
                <w:szCs w:val="21"/>
                <w:lang w:val="en-US" w:eastAsia="zh-CN" w:bidi="ar"/>
              </w:rPr>
              <w:t>响应</w:t>
            </w:r>
            <w:r>
              <w:rPr>
                <w:rFonts w:hint="eastAsia" w:ascii="华文仿宋" w:hAnsi="华文仿宋" w:eastAsia="华文仿宋" w:cs="华文仿宋"/>
                <w:color w:val="auto"/>
                <w:kern w:val="0"/>
                <w:sz w:val="21"/>
                <w:szCs w:val="21"/>
                <w:lang w:bidi="ar"/>
              </w:rPr>
              <w:t>承诺书。</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4</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left"/>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0"/>
                <w:sz w:val="21"/>
                <w:szCs w:val="21"/>
                <w:lang w:bidi="ar"/>
              </w:rPr>
              <w:t>★交货期</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1、合同签订后</w:t>
            </w:r>
            <w:r>
              <w:rPr>
                <w:rFonts w:hint="eastAsia" w:ascii="华文仿宋" w:hAnsi="华文仿宋" w:eastAsia="华文仿宋" w:cs="华文仿宋"/>
                <w:color w:val="auto"/>
                <w:kern w:val="0"/>
                <w:sz w:val="21"/>
                <w:szCs w:val="21"/>
                <w:u w:val="single"/>
                <w:lang w:val="en-US" w:eastAsia="zh-CN" w:bidi="ar"/>
              </w:rPr>
              <w:t>60</w:t>
            </w:r>
            <w:r>
              <w:rPr>
                <w:rFonts w:hint="eastAsia" w:ascii="华文仿宋" w:hAnsi="华文仿宋" w:eastAsia="华文仿宋" w:cs="华文仿宋"/>
                <w:color w:val="auto"/>
                <w:kern w:val="0"/>
                <w:sz w:val="21"/>
                <w:szCs w:val="21"/>
                <w:lang w:val="en-US" w:eastAsia="zh-CN" w:bidi="ar"/>
              </w:rPr>
              <w:t>天内；</w:t>
            </w:r>
          </w:p>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2、特殊物资可根据实际情况适当延长交货期。</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5</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left"/>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0"/>
                <w:sz w:val="21"/>
                <w:szCs w:val="21"/>
                <w:lang w:bidi="ar"/>
              </w:rPr>
              <w:t>★质保期</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交货验收后</w:t>
            </w:r>
            <w:r>
              <w:rPr>
                <w:rFonts w:hint="eastAsia" w:ascii="华文仿宋" w:hAnsi="华文仿宋" w:eastAsia="华文仿宋" w:cs="华文仿宋"/>
                <w:color w:val="auto"/>
                <w:kern w:val="0"/>
                <w:sz w:val="21"/>
                <w:szCs w:val="21"/>
                <w:u w:val="single"/>
                <w:lang w:val="en-US" w:eastAsia="zh-CN" w:bidi="ar"/>
              </w:rPr>
              <w:t>12</w:t>
            </w:r>
            <w:r>
              <w:rPr>
                <w:rFonts w:hint="eastAsia" w:ascii="华文仿宋" w:hAnsi="华文仿宋" w:eastAsia="华文仿宋" w:cs="华文仿宋"/>
                <w:color w:val="auto"/>
                <w:kern w:val="0"/>
                <w:sz w:val="21"/>
                <w:szCs w:val="21"/>
                <w:lang w:val="en-US" w:eastAsia="zh-CN" w:bidi="ar"/>
              </w:rPr>
              <w:t>个月</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6</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bidi="ar"/>
              </w:rPr>
              <w:t>★交货地点</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default"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见询价单要求</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7</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left"/>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0"/>
                <w:sz w:val="21"/>
                <w:szCs w:val="21"/>
                <w:lang w:bidi="ar"/>
              </w:rPr>
              <w:t>★</w:t>
            </w:r>
            <w:r>
              <w:rPr>
                <w:rFonts w:hint="eastAsia" w:ascii="华文仿宋" w:hAnsi="华文仿宋" w:eastAsia="华文仿宋" w:cs="华文仿宋"/>
                <w:color w:val="auto"/>
                <w:kern w:val="0"/>
                <w:sz w:val="21"/>
                <w:szCs w:val="21"/>
                <w:lang w:val="en-US" w:eastAsia="zh-CN" w:bidi="ar"/>
              </w:rPr>
              <w:t>价格条件</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指定地点落地含税价</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8</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0"/>
                <w:sz w:val="21"/>
                <w:szCs w:val="21"/>
                <w:lang w:bidi="ar"/>
              </w:rPr>
              <w:t>★</w:t>
            </w:r>
            <w:r>
              <w:rPr>
                <w:rFonts w:hint="eastAsia" w:ascii="华文仿宋" w:hAnsi="华文仿宋" w:eastAsia="华文仿宋" w:cs="华文仿宋"/>
                <w:color w:val="auto"/>
                <w:kern w:val="0"/>
                <w:sz w:val="21"/>
                <w:szCs w:val="21"/>
                <w:lang w:val="en-US" w:eastAsia="zh-CN" w:bidi="ar"/>
              </w:rPr>
              <w:t>付款方式</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2"/>
                <w:sz w:val="21"/>
                <w:szCs w:val="21"/>
                <w:lang w:val="en-US" w:eastAsia="zh-CN"/>
              </w:rPr>
              <w:t>T/T,账期</w:t>
            </w:r>
            <w:r>
              <w:rPr>
                <w:rFonts w:hint="eastAsia" w:ascii="华文仿宋" w:hAnsi="华文仿宋" w:eastAsia="华文仿宋" w:cs="华文仿宋"/>
                <w:color w:val="auto"/>
                <w:kern w:val="2"/>
                <w:sz w:val="21"/>
                <w:szCs w:val="21"/>
                <w:u w:val="single"/>
                <w:lang w:val="en-US" w:eastAsia="zh-CN"/>
              </w:rPr>
              <w:t>60</w:t>
            </w:r>
            <w:r>
              <w:rPr>
                <w:rFonts w:hint="eastAsia" w:ascii="华文仿宋" w:hAnsi="华文仿宋" w:eastAsia="华文仿宋" w:cs="华文仿宋"/>
                <w:color w:val="auto"/>
                <w:kern w:val="2"/>
                <w:sz w:val="21"/>
                <w:szCs w:val="21"/>
                <w:lang w:val="en-US" w:eastAsia="zh-CN"/>
              </w:rPr>
              <w:t>天</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D7D7D7"/>
            <w:noWrap w:val="0"/>
            <w:vAlign w:val="center"/>
          </w:tcPr>
          <w:p>
            <w:pPr>
              <w:pStyle w:val="2"/>
              <w:spacing w:line="240" w:lineRule="auto"/>
              <w:ind w:left="0" w:leftChars="0"/>
              <w:jc w:val="left"/>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4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20" w:beforeAutospacing="0" w:after="120" w:afterAutospacing="0" w:line="240" w:lineRule="auto"/>
              <w:ind w:left="0" w:leftChars="0" w:right="0" w:firstLine="0" w:firstLineChars="0"/>
              <w:jc w:val="center"/>
              <w:textAlignment w:val="auto"/>
              <w:rPr>
                <w:rFonts w:hint="eastAsia" w:ascii="华文仿宋" w:hAnsi="华文仿宋" w:eastAsia="华文仿宋" w:cs="华文仿宋"/>
                <w:color w:val="auto"/>
                <w:kern w:val="2"/>
                <w:sz w:val="21"/>
                <w:szCs w:val="21"/>
                <w:lang w:val="en-US" w:eastAsia="zh-CN"/>
              </w:rPr>
            </w:pPr>
            <w:r>
              <w:rPr>
                <w:rFonts w:hint="eastAsia" w:ascii="华文仿宋" w:hAnsi="华文仿宋" w:eastAsia="华文仿宋" w:cs="华文仿宋"/>
                <w:color w:val="auto"/>
                <w:kern w:val="2"/>
                <w:sz w:val="21"/>
                <w:szCs w:val="21"/>
                <w:lang w:val="en-US" w:eastAsia="zh-CN"/>
              </w:rPr>
              <w:t>1</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华文仿宋" w:hAnsi="华文仿宋" w:eastAsia="华文仿宋" w:cs="华文仿宋"/>
                <w:color w:val="auto"/>
                <w:kern w:val="10"/>
                <w:sz w:val="21"/>
                <w:szCs w:val="21"/>
                <w:lang w:val="en-US" w:eastAsia="zh-CN"/>
              </w:rPr>
            </w:pPr>
          </w:p>
        </w:tc>
        <w:tc>
          <w:tcPr>
            <w:tcW w:w="94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20" w:beforeAutospacing="0" w:after="120" w:afterAutospacing="0" w:line="240" w:lineRule="auto"/>
              <w:ind w:left="0" w:leftChars="0" w:right="0" w:firstLine="0" w:firstLineChars="0"/>
              <w:jc w:val="left"/>
              <w:textAlignment w:val="auto"/>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kern w:val="10"/>
                <w:sz w:val="21"/>
                <w:szCs w:val="21"/>
                <w:lang w:val="en-US" w:eastAsia="zh-CN"/>
              </w:rPr>
              <w:t>重要物资技术参数评审</w:t>
            </w:r>
          </w:p>
        </w:tc>
        <w:tc>
          <w:tcPr>
            <w:tcW w:w="306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120" w:beforeAutospacing="0" w:after="120" w:afterAutospacing="0" w:line="240" w:lineRule="auto"/>
              <w:ind w:left="0" w:leftChars="0" w:right="0" w:rightChars="0" w:firstLine="0" w:firstLineChars="0"/>
              <w:jc w:val="left"/>
              <w:textAlignment w:val="auto"/>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询价单中的</w:t>
            </w:r>
            <w:r>
              <w:rPr>
                <w:rFonts w:hint="eastAsia" w:ascii="华文仿宋" w:hAnsi="华文仿宋" w:eastAsia="华文仿宋" w:cs="华文仿宋"/>
                <w:color w:val="auto"/>
                <w:kern w:val="0"/>
                <w:sz w:val="21"/>
                <w:szCs w:val="21"/>
                <w:lang w:bidi="ar"/>
              </w:rPr>
              <w:t>★</w:t>
            </w:r>
            <w:r>
              <w:rPr>
                <w:rFonts w:hint="eastAsia" w:ascii="华文仿宋" w:hAnsi="华文仿宋" w:eastAsia="华文仿宋" w:cs="华文仿宋"/>
                <w:color w:val="auto"/>
                <w:kern w:val="0"/>
                <w:sz w:val="21"/>
                <w:szCs w:val="21"/>
                <w:lang w:val="en-US" w:eastAsia="zh-CN" w:bidi="ar"/>
              </w:rPr>
              <w:t>物资技术参数和要求不接受负偏离，否则技术评审不合格。</w:t>
            </w:r>
          </w:p>
        </w:tc>
        <w:tc>
          <w:tcPr>
            <w:tcW w:w="558" w:type="pct"/>
            <w:noWrap w:val="0"/>
            <w:vAlign w:val="top"/>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2</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firstLine="0" w:firstLineChars="0"/>
              <w:jc w:val="left"/>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w:t>
            </w:r>
            <w:r>
              <w:rPr>
                <w:rFonts w:hint="eastAsia" w:ascii="华文仿宋" w:hAnsi="华文仿宋" w:eastAsia="华文仿宋" w:cs="华文仿宋"/>
                <w:color w:val="auto"/>
                <w:kern w:val="2"/>
                <w:sz w:val="21"/>
                <w:szCs w:val="21"/>
                <w:lang w:val="en-US" w:eastAsia="zh-CN"/>
              </w:rPr>
              <w:t>实质性</w:t>
            </w:r>
            <w:r>
              <w:rPr>
                <w:rFonts w:hint="eastAsia" w:ascii="华文仿宋" w:hAnsi="华文仿宋" w:eastAsia="华文仿宋" w:cs="华文仿宋"/>
                <w:color w:val="auto"/>
                <w:kern w:val="0"/>
                <w:sz w:val="21"/>
                <w:szCs w:val="21"/>
                <w:lang w:val="en-US" w:eastAsia="zh-CN" w:bidi="ar"/>
              </w:rPr>
              <w:t>未响应</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0"/>
                <w:sz w:val="21"/>
                <w:szCs w:val="21"/>
                <w:lang w:val="en-US" w:eastAsia="zh-CN" w:bidi="ar"/>
              </w:rPr>
            </w:pPr>
            <w:r>
              <w:rPr>
                <w:rFonts w:hint="eastAsia" w:ascii="华文仿宋" w:hAnsi="华文仿宋" w:eastAsia="华文仿宋" w:cs="华文仿宋"/>
                <w:color w:val="auto"/>
                <w:kern w:val="0"/>
                <w:sz w:val="21"/>
                <w:szCs w:val="21"/>
                <w:lang w:val="en-US" w:eastAsia="zh-CN" w:bidi="ar"/>
              </w:rPr>
              <w:t>报价单不得有缺项，视为实质性要求未响应，技术评审不合格。</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431"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center"/>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val="en-US" w:eastAsia="zh-CN"/>
              </w:rPr>
              <w:t>3</w:t>
            </w:r>
          </w:p>
        </w:tc>
        <w:tc>
          <w:tcPr>
            <w:tcW w:w="947"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both"/>
              <w:rPr>
                <w:rFonts w:hint="eastAsia" w:ascii="华文仿宋" w:hAnsi="华文仿宋" w:eastAsia="华文仿宋" w:cs="华文仿宋"/>
                <w:color w:val="auto"/>
                <w:kern w:val="10"/>
                <w:sz w:val="21"/>
                <w:szCs w:val="21"/>
                <w:lang w:val="en-US" w:eastAsia="zh-CN"/>
              </w:rPr>
            </w:pPr>
            <w:r>
              <w:rPr>
                <w:rFonts w:hint="eastAsia" w:ascii="华文仿宋" w:hAnsi="华文仿宋" w:eastAsia="华文仿宋" w:cs="华文仿宋"/>
                <w:color w:val="auto"/>
                <w:kern w:val="2"/>
                <w:sz w:val="21"/>
                <w:szCs w:val="21"/>
                <w:lang w:eastAsia="zh-CN"/>
              </w:rPr>
              <w:t>★指标偏离</w:t>
            </w:r>
          </w:p>
        </w:tc>
        <w:tc>
          <w:tcPr>
            <w:tcW w:w="3062" w:type="pct"/>
            <w:noWrap w:val="0"/>
            <w:vAlign w:val="center"/>
          </w:tcPr>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sz w:val="21"/>
                <w:szCs w:val="21"/>
                <w:lang w:val="en-US" w:eastAsia="zh-CN"/>
              </w:rPr>
            </w:pPr>
            <w:r>
              <w:rPr>
                <w:rFonts w:hint="eastAsia" w:ascii="华文仿宋" w:hAnsi="华文仿宋" w:eastAsia="华文仿宋" w:cs="华文仿宋"/>
                <w:color w:val="auto"/>
                <w:sz w:val="21"/>
                <w:szCs w:val="21"/>
                <w:lang w:eastAsia="zh-CN"/>
              </w:rPr>
              <w:t>一般技术指标偏离超过3项（不含3项），则技术评议不合格。</w:t>
            </w:r>
            <w:r>
              <w:rPr>
                <w:rFonts w:hint="eastAsia" w:ascii="华文仿宋" w:hAnsi="华文仿宋" w:eastAsia="华文仿宋" w:cs="华文仿宋"/>
                <w:color w:val="auto"/>
                <w:sz w:val="21"/>
                <w:szCs w:val="21"/>
                <w:lang w:val="en-US" w:eastAsia="zh-CN"/>
              </w:rPr>
              <w:t>依据技术偏离表。如技术偏离表未完全反映响应文件技术参数有负偏离，则技术评审不合格。</w:t>
            </w:r>
          </w:p>
          <w:p>
            <w:pPr>
              <w:keepNext w:val="0"/>
              <w:keepLines w:val="0"/>
              <w:pageBreakBefore w:val="0"/>
              <w:suppressLineNumbers w:val="0"/>
              <w:kinsoku/>
              <w:wordWrap/>
              <w:overflowPunct/>
              <w:topLinePunct w:val="0"/>
              <w:autoSpaceDE/>
              <w:autoSpaceDN/>
              <w:bidi w:val="0"/>
              <w:spacing w:before="120" w:beforeAutospacing="0" w:after="120" w:afterAutospacing="0" w:line="240" w:lineRule="auto"/>
              <w:ind w:left="0" w:leftChars="0" w:right="0" w:rightChars="0" w:firstLine="0" w:firstLineChars="0"/>
              <w:jc w:val="left"/>
              <w:rPr>
                <w:rFonts w:hint="eastAsia" w:ascii="华文仿宋" w:hAnsi="华文仿宋" w:eastAsia="华文仿宋" w:cs="华文仿宋"/>
                <w:color w:val="auto"/>
                <w:kern w:val="2"/>
                <w:sz w:val="21"/>
                <w:szCs w:val="21"/>
                <w:lang w:val="en-US" w:eastAsia="zh-CN" w:bidi="ar-SA"/>
              </w:rPr>
            </w:pPr>
            <w:r>
              <w:rPr>
                <w:rFonts w:hint="eastAsia" w:ascii="华文仿宋" w:hAnsi="华文仿宋" w:eastAsia="华文仿宋" w:cs="华文仿宋"/>
                <w:color w:val="auto"/>
                <w:kern w:val="0"/>
                <w:sz w:val="21"/>
                <w:szCs w:val="21"/>
                <w:lang w:val="en-US" w:eastAsia="zh-CN" w:bidi="ar"/>
              </w:rPr>
              <w:t>注：品牌差异不属于负偏离。</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shd w:val="clear" w:color="auto" w:fill="D7D7D7"/>
            <w:noWrap w:val="0"/>
            <w:vAlign w:val="center"/>
          </w:tcPr>
          <w:p>
            <w:pPr>
              <w:pStyle w:val="2"/>
              <w:spacing w:line="240" w:lineRule="auto"/>
              <w:ind w:left="0" w:leftChars="0"/>
              <w:jc w:val="left"/>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b/>
                <w:bCs/>
                <w:color w:val="auto"/>
                <w:sz w:val="21"/>
                <w:szCs w:val="21"/>
                <w:vertAlign w:val="baseline"/>
                <w:lang w:val="en-US" w:eastAsia="zh-CN"/>
              </w:rPr>
              <w:t>价格评审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1</w:t>
            </w:r>
          </w:p>
        </w:tc>
        <w:tc>
          <w:tcPr>
            <w:tcW w:w="947"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w:t>
            </w:r>
            <w:r>
              <w:rPr>
                <w:rStyle w:val="14"/>
                <w:rFonts w:hint="eastAsia" w:ascii="华文仿宋" w:hAnsi="华文仿宋" w:eastAsia="华文仿宋" w:cs="华文仿宋"/>
                <w:b w:val="0"/>
                <w:color w:val="auto"/>
                <w:sz w:val="21"/>
                <w:szCs w:val="21"/>
                <w:highlight w:val="none"/>
                <w:u w:val="none"/>
                <w:lang w:val="en-US" w:eastAsia="zh-CN"/>
              </w:rPr>
              <w:t>缺漏项报价</w:t>
            </w:r>
          </w:p>
        </w:tc>
        <w:tc>
          <w:tcPr>
            <w:tcW w:w="3062" w:type="pct"/>
            <w:noWrap w:val="0"/>
            <w:vAlign w:val="center"/>
          </w:tcPr>
          <w:p>
            <w:pPr>
              <w:pStyle w:val="2"/>
              <w:spacing w:line="240" w:lineRule="auto"/>
              <w:ind w:left="0" w:leftChars="0" w:firstLine="0" w:firstLineChars="0"/>
              <w:jc w:val="both"/>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0"/>
                <w:sz w:val="21"/>
                <w:szCs w:val="21"/>
                <w:lang w:val="en-US" w:eastAsia="zh-CN" w:bidi="ar"/>
              </w:rPr>
              <w:t>应答报价不允许缺漏项，否则将导致应答被否决。</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2</w:t>
            </w:r>
          </w:p>
        </w:tc>
        <w:tc>
          <w:tcPr>
            <w:tcW w:w="947"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kern w:val="2"/>
                <w:sz w:val="21"/>
                <w:szCs w:val="21"/>
                <w:lang w:eastAsia="zh-CN"/>
              </w:rPr>
              <w:t>★</w:t>
            </w:r>
            <w:r>
              <w:rPr>
                <w:rStyle w:val="14"/>
                <w:rFonts w:hint="eastAsia" w:ascii="华文仿宋" w:hAnsi="华文仿宋" w:eastAsia="华文仿宋" w:cs="华文仿宋"/>
                <w:b w:val="0"/>
                <w:color w:val="auto"/>
                <w:kern w:val="2"/>
                <w:sz w:val="21"/>
                <w:szCs w:val="21"/>
                <w:highlight w:val="none"/>
                <w:u w:val="none"/>
                <w:lang w:val="en-US" w:eastAsia="zh-CN" w:bidi="ar-SA"/>
              </w:rPr>
              <w:t>算术修正</w:t>
            </w:r>
          </w:p>
        </w:tc>
        <w:tc>
          <w:tcPr>
            <w:tcW w:w="3062" w:type="pct"/>
            <w:noWrap w:val="0"/>
            <w:vAlign w:val="center"/>
          </w:tcPr>
          <w:p>
            <w:pPr>
              <w:pStyle w:val="2"/>
              <w:spacing w:line="240" w:lineRule="auto"/>
              <w:ind w:left="0" w:leftChars="0" w:firstLine="0" w:firstLineChars="0"/>
              <w:jc w:val="left"/>
              <w:rPr>
                <w:rStyle w:val="14"/>
                <w:rFonts w:hint="eastAsia" w:ascii="华文仿宋" w:hAnsi="华文仿宋" w:eastAsia="华文仿宋" w:cs="华文仿宋"/>
                <w:b w:val="0"/>
                <w:color w:val="auto"/>
                <w:sz w:val="21"/>
                <w:szCs w:val="21"/>
                <w:highlight w:val="none"/>
                <w:u w:val="none"/>
              </w:rPr>
            </w:pPr>
            <w:r>
              <w:rPr>
                <w:rStyle w:val="14"/>
                <w:rFonts w:hint="eastAsia" w:ascii="华文仿宋" w:hAnsi="华文仿宋" w:eastAsia="华文仿宋" w:cs="华文仿宋"/>
                <w:b w:val="0"/>
                <w:color w:val="auto"/>
                <w:sz w:val="21"/>
                <w:szCs w:val="21"/>
                <w:highlight w:val="none"/>
                <w:u w:val="none"/>
                <w:lang w:val="en-US" w:eastAsia="zh-CN"/>
              </w:rPr>
              <w:t>询价小组</w:t>
            </w:r>
            <w:r>
              <w:rPr>
                <w:rStyle w:val="14"/>
                <w:rFonts w:hint="eastAsia" w:ascii="华文仿宋" w:hAnsi="华文仿宋" w:eastAsia="华文仿宋" w:cs="华文仿宋"/>
                <w:b w:val="0"/>
                <w:color w:val="auto"/>
                <w:sz w:val="21"/>
                <w:szCs w:val="21"/>
                <w:highlight w:val="none"/>
                <w:u w:val="none"/>
              </w:rPr>
              <w:t>应修正计算错误。修正后的价格(不含增值税)将作为</w:t>
            </w:r>
            <w:r>
              <w:rPr>
                <w:rStyle w:val="14"/>
                <w:rFonts w:hint="eastAsia" w:ascii="华文仿宋" w:hAnsi="华文仿宋" w:eastAsia="华文仿宋" w:cs="华文仿宋"/>
                <w:b w:val="0"/>
                <w:color w:val="auto"/>
                <w:sz w:val="21"/>
                <w:szCs w:val="21"/>
                <w:highlight w:val="none"/>
                <w:u w:val="none"/>
                <w:lang w:eastAsia="zh-CN"/>
              </w:rPr>
              <w:t>应答人</w:t>
            </w:r>
            <w:r>
              <w:rPr>
                <w:rStyle w:val="14"/>
                <w:rFonts w:hint="eastAsia" w:ascii="华文仿宋" w:hAnsi="华文仿宋" w:eastAsia="华文仿宋" w:cs="华文仿宋"/>
                <w:b w:val="0"/>
                <w:color w:val="auto"/>
                <w:sz w:val="21"/>
                <w:szCs w:val="21"/>
                <w:highlight w:val="none"/>
                <w:u w:val="none"/>
              </w:rPr>
              <w:t>的</w:t>
            </w:r>
            <w:r>
              <w:rPr>
                <w:rStyle w:val="14"/>
                <w:rFonts w:hint="eastAsia" w:ascii="华文仿宋" w:hAnsi="华文仿宋" w:eastAsia="华文仿宋" w:cs="华文仿宋"/>
                <w:b w:val="0"/>
                <w:color w:val="auto"/>
                <w:sz w:val="21"/>
                <w:szCs w:val="21"/>
                <w:highlight w:val="none"/>
                <w:u w:val="none"/>
                <w:lang w:val="en-US" w:eastAsia="zh-CN"/>
              </w:rPr>
              <w:t>应答</w:t>
            </w:r>
            <w:r>
              <w:rPr>
                <w:rStyle w:val="14"/>
                <w:rFonts w:hint="eastAsia" w:ascii="华文仿宋" w:hAnsi="华文仿宋" w:eastAsia="华文仿宋" w:cs="华文仿宋"/>
                <w:b w:val="0"/>
                <w:color w:val="auto"/>
                <w:sz w:val="21"/>
                <w:szCs w:val="21"/>
                <w:highlight w:val="none"/>
                <w:u w:val="none"/>
              </w:rPr>
              <w:t>价格(不含增值税)。算术错误将按以下方法更正：</w:t>
            </w:r>
          </w:p>
          <w:p>
            <w:pPr>
              <w:pStyle w:val="2"/>
              <w:numPr>
                <w:ilvl w:val="0"/>
                <w:numId w:val="7"/>
              </w:numPr>
              <w:spacing w:line="240" w:lineRule="auto"/>
              <w:ind w:left="0" w:leftChars="0" w:firstLine="0" w:firstLineChars="0"/>
              <w:jc w:val="left"/>
              <w:rPr>
                <w:rStyle w:val="14"/>
                <w:rFonts w:hint="eastAsia" w:ascii="华文仿宋" w:hAnsi="华文仿宋" w:eastAsia="华文仿宋" w:cs="华文仿宋"/>
                <w:b w:val="0"/>
                <w:color w:val="auto"/>
                <w:sz w:val="21"/>
                <w:szCs w:val="21"/>
                <w:highlight w:val="none"/>
                <w:u w:val="none"/>
              </w:rPr>
            </w:pPr>
            <w:r>
              <w:rPr>
                <w:rStyle w:val="14"/>
                <w:rFonts w:hint="eastAsia" w:ascii="华文仿宋" w:hAnsi="华文仿宋" w:eastAsia="华文仿宋" w:cs="华文仿宋"/>
                <w:b w:val="0"/>
                <w:color w:val="auto"/>
                <w:sz w:val="21"/>
                <w:szCs w:val="21"/>
                <w:highlight w:val="none"/>
                <w:u w:val="none"/>
                <w:lang w:val="en-US" w:eastAsia="zh-CN"/>
              </w:rPr>
              <w:t>应答</w:t>
            </w:r>
            <w:r>
              <w:rPr>
                <w:rStyle w:val="14"/>
                <w:rFonts w:hint="eastAsia" w:ascii="华文仿宋" w:hAnsi="华文仿宋" w:eastAsia="华文仿宋" w:cs="华文仿宋"/>
                <w:b w:val="0"/>
                <w:color w:val="auto"/>
                <w:sz w:val="21"/>
                <w:szCs w:val="21"/>
                <w:highlight w:val="none"/>
                <w:u w:val="none"/>
              </w:rPr>
              <w:t>文件中含增值税价与不含增值税价和增值税率的计算结果不一致时，以不含增值税</w:t>
            </w:r>
            <w:r>
              <w:rPr>
                <w:rStyle w:val="14"/>
                <w:rFonts w:hint="eastAsia" w:ascii="华文仿宋" w:hAnsi="华文仿宋" w:eastAsia="华文仿宋" w:cs="华文仿宋"/>
                <w:b w:val="0"/>
                <w:color w:val="auto"/>
                <w:sz w:val="21"/>
                <w:szCs w:val="21"/>
                <w:highlight w:val="none"/>
                <w:u w:val="none"/>
                <w:lang w:eastAsia="zh-CN"/>
              </w:rPr>
              <w:t>应答</w:t>
            </w:r>
            <w:r>
              <w:rPr>
                <w:rStyle w:val="14"/>
                <w:rFonts w:hint="eastAsia" w:ascii="华文仿宋" w:hAnsi="华文仿宋" w:eastAsia="华文仿宋" w:cs="华文仿宋"/>
                <w:b w:val="0"/>
                <w:color w:val="auto"/>
                <w:sz w:val="21"/>
                <w:szCs w:val="21"/>
                <w:highlight w:val="none"/>
                <w:u w:val="none"/>
              </w:rPr>
              <w:t>分项报价内容为准（增值税税率保持不变）并修正含增值税价格。</w:t>
            </w:r>
          </w:p>
          <w:p>
            <w:pPr>
              <w:pStyle w:val="2"/>
              <w:numPr>
                <w:ilvl w:val="0"/>
                <w:numId w:val="7"/>
              </w:numPr>
              <w:spacing w:line="240" w:lineRule="auto"/>
              <w:ind w:left="0" w:leftChars="0" w:firstLine="0" w:firstLineChars="0"/>
              <w:jc w:val="left"/>
              <w:rPr>
                <w:rFonts w:hint="eastAsia" w:ascii="华文仿宋" w:hAnsi="华文仿宋" w:eastAsia="华文仿宋" w:cs="华文仿宋"/>
                <w:color w:val="auto"/>
                <w:sz w:val="21"/>
                <w:szCs w:val="21"/>
                <w:vertAlign w:val="baseline"/>
                <w:lang w:val="en-US" w:eastAsia="zh-CN"/>
              </w:rPr>
            </w:pPr>
            <w:r>
              <w:rPr>
                <w:rStyle w:val="14"/>
                <w:rFonts w:hint="eastAsia" w:ascii="华文仿宋" w:hAnsi="华文仿宋" w:eastAsia="华文仿宋" w:cs="华文仿宋"/>
                <w:b w:val="0"/>
                <w:color w:val="auto"/>
                <w:sz w:val="21"/>
                <w:szCs w:val="21"/>
                <w:highlight w:val="none"/>
                <w:u w:val="none"/>
                <w:lang w:val="en-US" w:eastAsia="zh-CN"/>
              </w:rPr>
              <w:t>应答</w:t>
            </w:r>
            <w:r>
              <w:rPr>
                <w:rStyle w:val="14"/>
                <w:rFonts w:hint="eastAsia" w:ascii="华文仿宋" w:hAnsi="华文仿宋" w:eastAsia="华文仿宋" w:cs="华文仿宋"/>
                <w:b w:val="0"/>
                <w:color w:val="auto"/>
                <w:sz w:val="21"/>
                <w:szCs w:val="21"/>
                <w:highlight w:val="none"/>
                <w:u w:val="none"/>
              </w:rPr>
              <w:t>总价内容与</w:t>
            </w:r>
            <w:r>
              <w:rPr>
                <w:rStyle w:val="14"/>
                <w:rFonts w:hint="eastAsia" w:ascii="华文仿宋" w:hAnsi="华文仿宋" w:eastAsia="华文仿宋" w:cs="华文仿宋"/>
                <w:b w:val="0"/>
                <w:color w:val="auto"/>
                <w:sz w:val="21"/>
                <w:szCs w:val="21"/>
                <w:highlight w:val="none"/>
                <w:u w:val="none"/>
                <w:lang w:val="en-US" w:eastAsia="zh-CN"/>
              </w:rPr>
              <w:t>应答</w:t>
            </w:r>
            <w:r>
              <w:rPr>
                <w:rStyle w:val="14"/>
                <w:rFonts w:hint="eastAsia" w:ascii="华文仿宋" w:hAnsi="华文仿宋" w:eastAsia="华文仿宋" w:cs="华文仿宋"/>
                <w:b w:val="0"/>
                <w:color w:val="auto"/>
                <w:sz w:val="21"/>
                <w:szCs w:val="21"/>
                <w:highlight w:val="none"/>
                <w:u w:val="none"/>
              </w:rPr>
              <w:t>文件中分项报价表内容不一致的，以</w:t>
            </w:r>
            <w:r>
              <w:rPr>
                <w:rStyle w:val="14"/>
                <w:rFonts w:hint="eastAsia" w:ascii="华文仿宋" w:hAnsi="华文仿宋" w:eastAsia="华文仿宋" w:cs="华文仿宋"/>
                <w:b w:val="0"/>
                <w:color w:val="auto"/>
                <w:sz w:val="21"/>
                <w:szCs w:val="21"/>
                <w:highlight w:val="none"/>
                <w:u w:val="none"/>
                <w:lang w:val="en-US" w:eastAsia="zh-CN"/>
              </w:rPr>
              <w:t>应答文件</w:t>
            </w:r>
            <w:r>
              <w:rPr>
                <w:rStyle w:val="14"/>
                <w:rFonts w:hint="eastAsia" w:ascii="华文仿宋" w:hAnsi="华文仿宋" w:eastAsia="华文仿宋" w:cs="华文仿宋"/>
                <w:b w:val="0"/>
                <w:color w:val="auto"/>
                <w:sz w:val="21"/>
                <w:szCs w:val="21"/>
                <w:highlight w:val="none"/>
                <w:u w:val="none"/>
              </w:rPr>
              <w:t>分项报价表内容为准；</w:t>
            </w:r>
          </w:p>
          <w:p>
            <w:pPr>
              <w:pStyle w:val="2"/>
              <w:numPr>
                <w:ilvl w:val="0"/>
                <w:numId w:val="7"/>
              </w:numPr>
              <w:spacing w:line="240" w:lineRule="auto"/>
              <w:ind w:left="0" w:leftChars="0" w:firstLine="0" w:firstLineChars="0"/>
              <w:jc w:val="left"/>
              <w:rPr>
                <w:rFonts w:hint="eastAsia" w:ascii="华文仿宋" w:hAnsi="华文仿宋" w:eastAsia="华文仿宋" w:cs="华文仿宋"/>
                <w:color w:val="auto"/>
                <w:sz w:val="21"/>
                <w:szCs w:val="21"/>
                <w:vertAlign w:val="baseline"/>
                <w:lang w:val="en-US" w:eastAsia="zh-CN"/>
              </w:rPr>
            </w:pPr>
            <w:r>
              <w:rPr>
                <w:rStyle w:val="14"/>
                <w:rFonts w:hint="eastAsia" w:ascii="华文仿宋" w:hAnsi="华文仿宋" w:eastAsia="华文仿宋" w:cs="华文仿宋"/>
                <w:b w:val="0"/>
                <w:color w:val="auto"/>
                <w:sz w:val="21"/>
                <w:szCs w:val="21"/>
                <w:highlight w:val="none"/>
                <w:u w:val="none"/>
                <w:lang w:eastAsia="zh-CN"/>
              </w:rPr>
              <w:t>应答</w:t>
            </w:r>
            <w:r>
              <w:rPr>
                <w:rStyle w:val="14"/>
                <w:rFonts w:hint="eastAsia" w:ascii="华文仿宋" w:hAnsi="华文仿宋" w:eastAsia="华文仿宋" w:cs="华文仿宋"/>
                <w:b w:val="0"/>
                <w:color w:val="auto"/>
                <w:sz w:val="21"/>
                <w:szCs w:val="21"/>
                <w:highlight w:val="none"/>
                <w:u w:val="none"/>
              </w:rPr>
              <w:t>文件的大写金额和小写金额不一致的，以大写金额为准；</w:t>
            </w:r>
          </w:p>
          <w:p>
            <w:pPr>
              <w:pStyle w:val="2"/>
              <w:numPr>
                <w:ilvl w:val="0"/>
                <w:numId w:val="7"/>
              </w:numPr>
              <w:spacing w:line="240" w:lineRule="auto"/>
              <w:ind w:left="0" w:leftChars="0" w:firstLine="0" w:firstLineChars="0"/>
              <w:jc w:val="left"/>
              <w:rPr>
                <w:rFonts w:hint="eastAsia" w:ascii="华文仿宋" w:hAnsi="华文仿宋" w:eastAsia="华文仿宋" w:cs="华文仿宋"/>
                <w:color w:val="auto"/>
                <w:sz w:val="21"/>
                <w:szCs w:val="21"/>
                <w:vertAlign w:val="baseline"/>
                <w:lang w:val="en-US" w:eastAsia="zh-CN"/>
              </w:rPr>
            </w:pPr>
            <w:r>
              <w:rPr>
                <w:rStyle w:val="14"/>
                <w:rFonts w:hint="eastAsia" w:ascii="华文仿宋" w:hAnsi="华文仿宋" w:eastAsia="华文仿宋" w:cs="华文仿宋"/>
                <w:b w:val="0"/>
                <w:color w:val="auto"/>
                <w:sz w:val="21"/>
                <w:szCs w:val="21"/>
                <w:highlight w:val="none"/>
                <w:u w:val="none"/>
              </w:rPr>
              <w:t>总价金额与按单价汇总金额不一致的，以单价金额计算结果为准；单价金额小数点有明显错位的，以总价为准，并修改单价；</w:t>
            </w:r>
          </w:p>
          <w:p>
            <w:pPr>
              <w:pStyle w:val="2"/>
              <w:numPr>
                <w:ilvl w:val="0"/>
                <w:numId w:val="7"/>
              </w:numPr>
              <w:spacing w:line="240" w:lineRule="auto"/>
              <w:ind w:left="0" w:leftChars="0" w:firstLine="0" w:firstLineChars="0"/>
              <w:jc w:val="left"/>
              <w:rPr>
                <w:rFonts w:hint="eastAsia" w:ascii="华文仿宋" w:hAnsi="华文仿宋" w:eastAsia="华文仿宋" w:cs="华文仿宋"/>
                <w:color w:val="auto"/>
                <w:sz w:val="21"/>
                <w:szCs w:val="21"/>
                <w:vertAlign w:val="baseline"/>
                <w:lang w:val="en-US" w:eastAsia="zh-CN"/>
              </w:rPr>
            </w:pPr>
            <w:r>
              <w:rPr>
                <w:rStyle w:val="14"/>
                <w:rFonts w:hint="eastAsia" w:ascii="华文仿宋" w:hAnsi="华文仿宋" w:eastAsia="华文仿宋" w:cs="华文仿宋"/>
                <w:b w:val="0"/>
                <w:color w:val="auto"/>
                <w:sz w:val="21"/>
                <w:szCs w:val="21"/>
                <w:highlight w:val="none"/>
                <w:u w:val="none"/>
              </w:rPr>
              <w:t>如果</w:t>
            </w:r>
            <w:r>
              <w:rPr>
                <w:rStyle w:val="14"/>
                <w:rFonts w:hint="eastAsia" w:ascii="华文仿宋" w:hAnsi="华文仿宋" w:eastAsia="华文仿宋" w:cs="华文仿宋"/>
                <w:b w:val="0"/>
                <w:color w:val="auto"/>
                <w:sz w:val="21"/>
                <w:szCs w:val="21"/>
                <w:highlight w:val="none"/>
                <w:u w:val="none"/>
                <w:lang w:eastAsia="zh-CN"/>
              </w:rPr>
              <w:t>应答人</w:t>
            </w:r>
            <w:r>
              <w:rPr>
                <w:rStyle w:val="14"/>
                <w:rFonts w:hint="eastAsia" w:ascii="华文仿宋" w:hAnsi="华文仿宋" w:eastAsia="华文仿宋" w:cs="华文仿宋"/>
                <w:b w:val="0"/>
                <w:color w:val="auto"/>
                <w:sz w:val="21"/>
                <w:szCs w:val="21"/>
                <w:highlight w:val="none"/>
                <w:u w:val="none"/>
              </w:rPr>
              <w:t>不接受对其错误的修正，其</w:t>
            </w:r>
            <w:r>
              <w:rPr>
                <w:rStyle w:val="14"/>
                <w:rFonts w:hint="eastAsia" w:ascii="华文仿宋" w:hAnsi="华文仿宋" w:eastAsia="华文仿宋" w:cs="华文仿宋"/>
                <w:b w:val="0"/>
                <w:color w:val="auto"/>
                <w:sz w:val="21"/>
                <w:szCs w:val="21"/>
                <w:highlight w:val="none"/>
                <w:u w:val="none"/>
                <w:lang w:eastAsia="zh-CN"/>
              </w:rPr>
              <w:t>应答</w:t>
            </w:r>
            <w:r>
              <w:rPr>
                <w:rStyle w:val="14"/>
                <w:rFonts w:hint="eastAsia" w:ascii="华文仿宋" w:hAnsi="华文仿宋" w:eastAsia="华文仿宋" w:cs="华文仿宋"/>
                <w:b w:val="0"/>
                <w:color w:val="auto"/>
                <w:sz w:val="21"/>
                <w:szCs w:val="21"/>
                <w:highlight w:val="none"/>
                <w:u w:val="none"/>
              </w:rPr>
              <w:t>将被拒绝。（1）</w:t>
            </w:r>
            <w:r>
              <w:rPr>
                <w:rStyle w:val="14"/>
                <w:rFonts w:hint="eastAsia" w:ascii="华文仿宋" w:hAnsi="华文仿宋" w:eastAsia="华文仿宋" w:cs="华文仿宋"/>
                <w:b w:val="0"/>
                <w:color w:val="auto"/>
                <w:sz w:val="21"/>
                <w:szCs w:val="21"/>
                <w:highlight w:val="none"/>
                <w:u w:val="none"/>
                <w:lang w:eastAsia="zh-CN"/>
              </w:rPr>
              <w:t>应答</w:t>
            </w:r>
            <w:r>
              <w:rPr>
                <w:rStyle w:val="14"/>
                <w:rFonts w:hint="eastAsia" w:ascii="华文仿宋" w:hAnsi="华文仿宋" w:eastAsia="华文仿宋" w:cs="华文仿宋"/>
                <w:b w:val="0"/>
                <w:color w:val="auto"/>
                <w:sz w:val="21"/>
                <w:szCs w:val="21"/>
                <w:highlight w:val="none"/>
                <w:u w:val="none"/>
              </w:rPr>
              <w:t>文件中开标一览表（报价表）内容与</w:t>
            </w:r>
            <w:r>
              <w:rPr>
                <w:rStyle w:val="14"/>
                <w:rFonts w:hint="eastAsia" w:ascii="华文仿宋" w:hAnsi="华文仿宋" w:eastAsia="华文仿宋" w:cs="华文仿宋"/>
                <w:b w:val="0"/>
                <w:color w:val="auto"/>
                <w:sz w:val="21"/>
                <w:szCs w:val="21"/>
                <w:highlight w:val="none"/>
                <w:u w:val="none"/>
                <w:lang w:eastAsia="zh-CN"/>
              </w:rPr>
              <w:t>应答</w:t>
            </w:r>
            <w:r>
              <w:rPr>
                <w:rStyle w:val="14"/>
                <w:rFonts w:hint="eastAsia" w:ascii="华文仿宋" w:hAnsi="华文仿宋" w:eastAsia="华文仿宋" w:cs="华文仿宋"/>
                <w:b w:val="0"/>
                <w:color w:val="auto"/>
                <w:sz w:val="21"/>
                <w:szCs w:val="21"/>
                <w:highlight w:val="none"/>
                <w:u w:val="none"/>
              </w:rPr>
              <w:t>文件中相应内容不一致的，以开标一览表（报价表）为准；（2）</w:t>
            </w:r>
            <w:r>
              <w:rPr>
                <w:rStyle w:val="14"/>
                <w:rFonts w:hint="eastAsia" w:ascii="华文仿宋" w:hAnsi="华文仿宋" w:eastAsia="华文仿宋" w:cs="华文仿宋"/>
                <w:b w:val="0"/>
                <w:color w:val="auto"/>
                <w:sz w:val="21"/>
                <w:szCs w:val="21"/>
                <w:highlight w:val="none"/>
                <w:u w:val="none"/>
                <w:lang w:eastAsia="zh-CN"/>
              </w:rPr>
              <w:t>应答</w:t>
            </w:r>
            <w:r>
              <w:rPr>
                <w:rStyle w:val="14"/>
                <w:rFonts w:hint="eastAsia" w:ascii="华文仿宋" w:hAnsi="华文仿宋" w:eastAsia="华文仿宋" w:cs="华文仿宋"/>
                <w:b w:val="0"/>
                <w:color w:val="auto"/>
                <w:sz w:val="21"/>
                <w:szCs w:val="21"/>
                <w:highlight w:val="none"/>
                <w:u w:val="none"/>
              </w:rPr>
              <w:t>文件中的大写金额与小写金额不一致的，以大写金额为准；（3）单价金额小数点或者百分比有明显错位的，以开标一览表的总价为准，并修改单价；（4）总价金额与按单价汇总金额不一致的，以单价金额计算结果为准。同时出现两种以上不一致的，按照前款规定的顺序修正，即按照上述（1）至（4）项的顺序，逐项进行修正。</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3</w:t>
            </w:r>
          </w:p>
        </w:tc>
        <w:tc>
          <w:tcPr>
            <w:tcW w:w="947" w:type="pct"/>
            <w:noWrap w:val="0"/>
            <w:vAlign w:val="center"/>
          </w:tcPr>
          <w:p>
            <w:pPr>
              <w:pStyle w:val="2"/>
              <w:numPr>
                <w:ilvl w:val="0"/>
                <w:numId w:val="0"/>
              </w:numPr>
              <w:spacing w:line="240" w:lineRule="auto"/>
              <w:ind w:leftChars="0"/>
              <w:jc w:val="center"/>
              <w:rPr>
                <w:rStyle w:val="14"/>
                <w:rFonts w:hint="eastAsia" w:ascii="华文仿宋" w:hAnsi="华文仿宋" w:eastAsia="华文仿宋" w:cs="华文仿宋"/>
                <w:b w:val="0"/>
                <w:color w:val="auto"/>
                <w:sz w:val="21"/>
                <w:szCs w:val="21"/>
                <w:highlight w:val="none"/>
                <w:u w:val="none"/>
                <w:lang w:val="en-US" w:eastAsia="zh-CN"/>
              </w:rPr>
            </w:pPr>
            <w:r>
              <w:rPr>
                <w:rFonts w:hint="eastAsia" w:ascii="华文仿宋" w:hAnsi="华文仿宋" w:eastAsia="华文仿宋" w:cs="华文仿宋"/>
                <w:color w:val="auto"/>
                <w:kern w:val="2"/>
                <w:sz w:val="21"/>
                <w:szCs w:val="21"/>
                <w:lang w:eastAsia="zh-CN"/>
              </w:rPr>
              <w:t>★</w:t>
            </w:r>
            <w:r>
              <w:rPr>
                <w:rStyle w:val="14"/>
                <w:rFonts w:hint="eastAsia" w:ascii="华文仿宋" w:hAnsi="华文仿宋" w:eastAsia="华文仿宋" w:cs="华文仿宋"/>
                <w:b w:val="0"/>
                <w:color w:val="auto"/>
                <w:sz w:val="21"/>
                <w:szCs w:val="21"/>
                <w:highlight w:val="none"/>
                <w:u w:val="none"/>
                <w:lang w:val="en-US" w:eastAsia="zh-CN"/>
              </w:rPr>
              <w:t>价格澄清</w:t>
            </w:r>
          </w:p>
        </w:tc>
        <w:tc>
          <w:tcPr>
            <w:tcW w:w="3062" w:type="pct"/>
            <w:noWrap w:val="0"/>
            <w:vAlign w:val="center"/>
          </w:tcPr>
          <w:p>
            <w:pPr>
              <w:pStyle w:val="2"/>
              <w:numPr>
                <w:ilvl w:val="0"/>
                <w:numId w:val="0"/>
              </w:numPr>
              <w:spacing w:line="240" w:lineRule="auto"/>
              <w:ind w:leftChars="0"/>
              <w:jc w:val="left"/>
              <w:rPr>
                <w:rStyle w:val="14"/>
                <w:rFonts w:hint="eastAsia" w:ascii="华文仿宋" w:hAnsi="华文仿宋" w:eastAsia="华文仿宋" w:cs="华文仿宋"/>
                <w:b w:val="0"/>
                <w:color w:val="auto"/>
                <w:sz w:val="21"/>
                <w:szCs w:val="21"/>
                <w:highlight w:val="none"/>
                <w:u w:val="none"/>
                <w:lang w:val="en-US" w:eastAsia="zh-CN"/>
              </w:rPr>
            </w:pPr>
            <w:r>
              <w:rPr>
                <w:rStyle w:val="14"/>
                <w:rFonts w:hint="eastAsia" w:ascii="华文仿宋" w:hAnsi="华文仿宋" w:eastAsia="华文仿宋" w:cs="华文仿宋"/>
                <w:b w:val="0"/>
                <w:color w:val="auto"/>
                <w:sz w:val="21"/>
                <w:szCs w:val="21"/>
                <w:highlight w:val="none"/>
                <w:u w:val="none"/>
                <w:lang w:val="en-US" w:eastAsia="zh-CN"/>
              </w:rPr>
              <w:t>当存在以下情况时，为确保采购人利益，询价小组应该要求应答人进行价格合理性说明。</w:t>
            </w:r>
          </w:p>
          <w:p>
            <w:pPr>
              <w:pStyle w:val="2"/>
              <w:numPr>
                <w:ilvl w:val="0"/>
                <w:numId w:val="8"/>
              </w:numPr>
              <w:spacing w:line="240" w:lineRule="auto"/>
              <w:ind w:left="0" w:leftChars="0" w:firstLine="0" w:firstLineChars="0"/>
              <w:jc w:val="left"/>
              <w:rPr>
                <w:rStyle w:val="14"/>
                <w:rFonts w:hint="eastAsia" w:ascii="华文仿宋" w:hAnsi="华文仿宋" w:eastAsia="华文仿宋" w:cs="华文仿宋"/>
                <w:b w:val="0"/>
                <w:color w:val="auto"/>
                <w:sz w:val="21"/>
                <w:szCs w:val="21"/>
                <w:highlight w:val="none"/>
                <w:u w:val="none"/>
                <w:lang w:val="en-US" w:eastAsia="zh-CN"/>
              </w:rPr>
            </w:pPr>
            <w:r>
              <w:rPr>
                <w:rStyle w:val="14"/>
                <w:rFonts w:hint="eastAsia" w:ascii="华文仿宋" w:hAnsi="华文仿宋" w:eastAsia="华文仿宋" w:cs="华文仿宋"/>
                <w:b w:val="0"/>
                <w:color w:val="auto"/>
                <w:sz w:val="21"/>
                <w:szCs w:val="21"/>
                <w:highlight w:val="none"/>
                <w:u w:val="none"/>
                <w:lang w:val="en-US" w:eastAsia="zh-CN"/>
              </w:rPr>
              <w:t>应答人报价中有“零”圆报价或已响应无报价情况；</w:t>
            </w:r>
          </w:p>
          <w:p>
            <w:pPr>
              <w:pStyle w:val="2"/>
              <w:numPr>
                <w:ilvl w:val="0"/>
                <w:numId w:val="8"/>
              </w:numPr>
              <w:spacing w:line="240" w:lineRule="auto"/>
              <w:ind w:left="0" w:leftChars="0" w:firstLine="0" w:firstLineChars="0"/>
              <w:jc w:val="left"/>
              <w:rPr>
                <w:rFonts w:hint="eastAsia" w:ascii="华文仿宋" w:hAnsi="华文仿宋" w:eastAsia="华文仿宋" w:cs="华文仿宋"/>
                <w:color w:val="auto"/>
                <w:sz w:val="21"/>
                <w:szCs w:val="21"/>
                <w:lang w:val="en-US" w:eastAsia="zh-CN"/>
              </w:rPr>
            </w:pPr>
            <w:r>
              <w:rPr>
                <w:rStyle w:val="14"/>
                <w:rFonts w:hint="eastAsia" w:ascii="华文仿宋" w:hAnsi="华文仿宋" w:eastAsia="华文仿宋" w:cs="华文仿宋"/>
                <w:b w:val="0"/>
                <w:color w:val="auto"/>
                <w:sz w:val="21"/>
                <w:szCs w:val="21"/>
                <w:highlight w:val="none"/>
                <w:u w:val="none"/>
                <w:lang w:val="en-US" w:eastAsia="zh-CN"/>
              </w:rPr>
              <w:t>应答人报价单价超出平均报价200%或者低于平均报价40%的（平均价指经评审的应答人评价单价）。</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1" w:type="pct"/>
            <w:noWrap w:val="0"/>
            <w:vAlign w:val="center"/>
          </w:tcPr>
          <w:p>
            <w:pPr>
              <w:pStyle w:val="2"/>
              <w:spacing w:line="240" w:lineRule="auto"/>
              <w:ind w:left="0" w:leftChars="0" w:firstLine="0" w:firstLineChars="0"/>
              <w:jc w:val="center"/>
              <w:rPr>
                <w:rFonts w:hint="eastAsia" w:ascii="华文仿宋" w:hAnsi="华文仿宋" w:eastAsia="华文仿宋" w:cs="华文仿宋"/>
                <w:color w:val="auto"/>
                <w:sz w:val="21"/>
                <w:szCs w:val="21"/>
                <w:vertAlign w:val="baseline"/>
                <w:lang w:val="en-US" w:eastAsia="zh-CN"/>
              </w:rPr>
            </w:pPr>
            <w:r>
              <w:rPr>
                <w:rFonts w:hint="eastAsia" w:ascii="华文仿宋" w:hAnsi="华文仿宋" w:eastAsia="华文仿宋" w:cs="华文仿宋"/>
                <w:color w:val="auto"/>
                <w:sz w:val="21"/>
                <w:szCs w:val="21"/>
                <w:vertAlign w:val="baseline"/>
                <w:lang w:val="en-US" w:eastAsia="zh-CN"/>
              </w:rPr>
              <w:t>4</w:t>
            </w:r>
          </w:p>
        </w:tc>
        <w:tc>
          <w:tcPr>
            <w:tcW w:w="947" w:type="pct"/>
            <w:noWrap w:val="0"/>
            <w:vAlign w:val="center"/>
          </w:tcPr>
          <w:p>
            <w:pPr>
              <w:pStyle w:val="2"/>
              <w:numPr>
                <w:ilvl w:val="0"/>
                <w:numId w:val="0"/>
              </w:numPr>
              <w:spacing w:line="240" w:lineRule="auto"/>
              <w:ind w:leftChars="0"/>
              <w:jc w:val="center"/>
              <w:rPr>
                <w:rStyle w:val="14"/>
                <w:rFonts w:hint="eastAsia" w:ascii="华文仿宋" w:hAnsi="华文仿宋" w:eastAsia="华文仿宋" w:cs="华文仿宋"/>
                <w:b w:val="0"/>
                <w:color w:val="auto"/>
                <w:sz w:val="21"/>
                <w:szCs w:val="21"/>
                <w:highlight w:val="none"/>
                <w:u w:val="none"/>
                <w:lang w:val="en-US" w:eastAsia="zh-CN"/>
              </w:rPr>
            </w:pPr>
            <w:r>
              <w:rPr>
                <w:rFonts w:hint="eastAsia" w:ascii="华文仿宋" w:hAnsi="华文仿宋" w:eastAsia="华文仿宋" w:cs="华文仿宋"/>
                <w:color w:val="auto"/>
                <w:kern w:val="2"/>
                <w:sz w:val="21"/>
                <w:szCs w:val="21"/>
                <w:lang w:eastAsia="zh-CN"/>
              </w:rPr>
              <w:t>★</w:t>
            </w:r>
            <w:r>
              <w:rPr>
                <w:rStyle w:val="14"/>
                <w:rFonts w:hint="eastAsia" w:ascii="华文仿宋" w:hAnsi="华文仿宋" w:eastAsia="华文仿宋" w:cs="华文仿宋"/>
                <w:b w:val="0"/>
                <w:color w:val="auto"/>
                <w:sz w:val="21"/>
                <w:szCs w:val="21"/>
                <w:highlight w:val="none"/>
                <w:u w:val="none"/>
                <w:lang w:val="en-US" w:eastAsia="zh-CN"/>
              </w:rPr>
              <w:t>其它</w:t>
            </w:r>
          </w:p>
        </w:tc>
        <w:tc>
          <w:tcPr>
            <w:tcW w:w="3062" w:type="pct"/>
            <w:noWrap w:val="0"/>
            <w:vAlign w:val="center"/>
          </w:tcPr>
          <w:p>
            <w:pPr>
              <w:pStyle w:val="2"/>
              <w:numPr>
                <w:ilvl w:val="0"/>
                <w:numId w:val="0"/>
              </w:numPr>
              <w:spacing w:line="240" w:lineRule="auto"/>
              <w:ind w:leftChars="0"/>
              <w:jc w:val="left"/>
              <w:rPr>
                <w:rStyle w:val="14"/>
                <w:rFonts w:hint="eastAsia" w:ascii="华文仿宋" w:hAnsi="华文仿宋" w:eastAsia="华文仿宋" w:cs="华文仿宋"/>
                <w:b w:val="0"/>
                <w:color w:val="auto"/>
                <w:sz w:val="21"/>
                <w:szCs w:val="21"/>
                <w:highlight w:val="none"/>
                <w:u w:val="none"/>
                <w:lang w:val="en-US" w:eastAsia="zh-CN"/>
              </w:rPr>
            </w:pPr>
            <w:r>
              <w:rPr>
                <w:rStyle w:val="14"/>
                <w:rFonts w:hint="eastAsia" w:ascii="华文仿宋" w:hAnsi="华文仿宋" w:eastAsia="华文仿宋" w:cs="华文仿宋"/>
                <w:b w:val="0"/>
                <w:color w:val="auto"/>
                <w:sz w:val="21"/>
                <w:szCs w:val="21"/>
                <w:highlight w:val="none"/>
                <w:u w:val="none"/>
                <w:lang w:val="en-US" w:eastAsia="zh-CN"/>
              </w:rPr>
              <w:t>按照报价行项目计：应答人报价中有“零”圆报价或已经响应但无报价超过总报价行项目20%（含20%）。价格评审将不合格。</w:t>
            </w:r>
          </w:p>
        </w:tc>
        <w:tc>
          <w:tcPr>
            <w:tcW w:w="558" w:type="pct"/>
            <w:noWrap w:val="0"/>
            <w:vAlign w:val="top"/>
          </w:tcPr>
          <w:p>
            <w:pPr>
              <w:pStyle w:val="2"/>
              <w:spacing w:line="240" w:lineRule="auto"/>
              <w:ind w:left="0" w:leftChars="0"/>
              <w:rPr>
                <w:rFonts w:hint="eastAsia" w:ascii="华文仿宋" w:hAnsi="华文仿宋" w:eastAsia="华文仿宋" w:cs="华文仿宋"/>
                <w:color w:val="auto"/>
                <w:sz w:val="21"/>
                <w:szCs w:val="21"/>
                <w:vertAlign w:val="baseline"/>
                <w:lang w:val="en-US" w:eastAsia="zh-CN"/>
              </w:rPr>
            </w:pPr>
          </w:p>
        </w:tc>
      </w:tr>
    </w:tbl>
    <w:p>
      <w:pPr>
        <w:rPr>
          <w:rFonts w:hint="default"/>
          <w:lang w:val="en-US" w:eastAsia="zh-CN"/>
        </w:rPr>
      </w:pPr>
    </w:p>
    <w:p>
      <w:pPr>
        <w:pStyle w:val="6"/>
        <w:ind w:left="424" w:right="10" w:hanging="424" w:hangingChars="191"/>
        <w:rPr>
          <w:rFonts w:ascii="微软雅黑" w:hAnsi="微软雅黑" w:eastAsia="微软雅黑"/>
          <w:b/>
          <w:color w:val="auto"/>
          <w:spacing w:val="6"/>
          <w:highlight w:val="none"/>
          <w:lang w:eastAsia="zh-CN"/>
        </w:rPr>
      </w:pPr>
      <w:r>
        <w:rPr>
          <w:rFonts w:ascii="微软雅黑" w:hAnsi="微软雅黑" w:eastAsia="微软雅黑"/>
          <w:b/>
          <w:color w:val="auto"/>
          <w:spacing w:val="6"/>
          <w:highlight w:val="none"/>
          <w:lang w:eastAsia="zh-CN"/>
        </w:rPr>
        <w:t>3</w:t>
      </w:r>
      <w:r>
        <w:rPr>
          <w:rFonts w:hint="eastAsia" w:ascii="微软雅黑" w:hAnsi="微软雅黑" w:eastAsia="微软雅黑"/>
          <w:b/>
          <w:color w:val="auto"/>
          <w:spacing w:val="6"/>
          <w:highlight w:val="none"/>
          <w:lang w:eastAsia="zh-CN"/>
        </w:rPr>
        <w:t>．响应文件有下列情形之一的作无效报价处理</w:t>
      </w:r>
      <w:r>
        <w:rPr>
          <w:rFonts w:hint="eastAsia" w:ascii="微软雅黑" w:hAnsi="微软雅黑" w:eastAsia="微软雅黑"/>
          <w:b/>
          <w:color w:val="auto"/>
          <w:spacing w:val="6"/>
          <w:highlight w:val="none"/>
          <w:lang w:val="en-US" w:eastAsia="zh-CN"/>
        </w:rPr>
        <w:t>，后期将评审不合格</w:t>
      </w:r>
      <w:r>
        <w:rPr>
          <w:rFonts w:hint="eastAsia" w:ascii="微软雅黑" w:hAnsi="微软雅黑" w:eastAsia="微软雅黑"/>
          <w:b/>
          <w:color w:val="auto"/>
          <w:spacing w:val="6"/>
          <w:highlight w:val="none"/>
          <w:lang w:eastAsia="zh-CN"/>
        </w:rPr>
        <w:t>：</w:t>
      </w:r>
    </w:p>
    <w:p>
      <w:pPr>
        <w:pStyle w:val="29"/>
        <w:snapToGrid w:val="0"/>
        <w:ind w:left="424" w:hanging="424" w:hangingChars="202"/>
        <w:rPr>
          <w:rFonts w:ascii="微软雅黑" w:hAnsi="微软雅黑" w:eastAsia="微软雅黑" w:cs="宋体"/>
          <w:color w:val="auto"/>
          <w:sz w:val="21"/>
          <w:szCs w:val="21"/>
          <w:highlight w:val="none"/>
        </w:rPr>
      </w:pPr>
      <w:r>
        <w:rPr>
          <w:rFonts w:ascii="微软雅黑" w:hAnsi="微软雅黑" w:eastAsia="微软雅黑" w:cs="宋体"/>
          <w:color w:val="auto"/>
          <w:sz w:val="21"/>
          <w:szCs w:val="21"/>
          <w:highlight w:val="none"/>
        </w:rPr>
        <w:t xml:space="preserve">3.1 </w:t>
      </w:r>
      <w:r>
        <w:rPr>
          <w:rFonts w:hint="eastAsia" w:ascii="微软雅黑" w:hAnsi="微软雅黑" w:eastAsia="微软雅黑" w:cs="宋体"/>
          <w:color w:val="auto"/>
          <w:sz w:val="21"/>
          <w:szCs w:val="21"/>
          <w:highlight w:val="none"/>
        </w:rPr>
        <w:t>报价文件未加盖公章的；</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.2 </w:t>
      </w:r>
      <w:r>
        <w:rPr>
          <w:rFonts w:hint="eastAsia" w:ascii="微软雅黑" w:hAnsi="微软雅黑" w:eastAsia="微软雅黑" w:cs="宋体"/>
          <w:color w:val="auto"/>
          <w:sz w:val="21"/>
          <w:szCs w:val="21"/>
          <w:highlight w:val="none"/>
        </w:rPr>
        <w:t>报价文件无法定代表人或者负责人签字,也没有授权委托人签字的；</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.3 </w:t>
      </w:r>
      <w:r>
        <w:rPr>
          <w:rFonts w:hint="eastAsia" w:ascii="微软雅黑" w:hAnsi="微软雅黑" w:eastAsia="微软雅黑" w:cs="宋体"/>
          <w:color w:val="auto"/>
          <w:sz w:val="21"/>
          <w:szCs w:val="21"/>
          <w:highlight w:val="none"/>
        </w:rPr>
        <w:t>委托他人办理而未提供授权委托书和委托代理人身份证复印件的；</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.4 </w:t>
      </w:r>
      <w:r>
        <w:rPr>
          <w:rFonts w:hint="eastAsia" w:ascii="微软雅黑" w:hAnsi="微软雅黑" w:eastAsia="微软雅黑" w:cs="宋体"/>
          <w:color w:val="auto"/>
          <w:sz w:val="21"/>
          <w:szCs w:val="21"/>
          <w:highlight w:val="none"/>
        </w:rPr>
        <w:t>报价一经涂改，未在涂改处加盖公章或者未经法定代表人或授权委托人签字或盖章的；</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.5 </w:t>
      </w:r>
      <w:r>
        <w:rPr>
          <w:rFonts w:hint="eastAsia" w:ascii="微软雅黑" w:hAnsi="微软雅黑" w:eastAsia="微软雅黑" w:cs="宋体"/>
          <w:color w:val="auto"/>
          <w:sz w:val="21"/>
          <w:szCs w:val="21"/>
          <w:highlight w:val="none"/>
        </w:rPr>
        <w:t>对技术要求未详细应答或未能说明报价标的内容有关技术要求、偏离情况的，致使其响应文件无法评审的；</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.6 </w:t>
      </w:r>
      <w:r>
        <w:rPr>
          <w:rFonts w:hint="eastAsia" w:ascii="微软雅黑" w:hAnsi="微软雅黑" w:eastAsia="微软雅黑" w:cs="宋体"/>
          <w:color w:val="auto"/>
          <w:sz w:val="21"/>
          <w:szCs w:val="21"/>
          <w:highlight w:val="none"/>
        </w:rPr>
        <w:t>报价文件未实质性响应询价文件要求的；</w:t>
      </w:r>
    </w:p>
    <w:p>
      <w:pPr>
        <w:pStyle w:val="29"/>
        <w:snapToGrid w:val="0"/>
        <w:ind w:left="424" w:hanging="424" w:hangingChars="202"/>
        <w:rPr>
          <w:rFonts w:hint="eastAsia"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 xml:space="preserve">.7 </w:t>
      </w:r>
      <w:r>
        <w:rPr>
          <w:rFonts w:hint="eastAsia" w:ascii="微软雅黑" w:hAnsi="微软雅黑" w:eastAsia="微软雅黑" w:cs="宋体"/>
          <w:color w:val="auto"/>
          <w:sz w:val="21"/>
          <w:szCs w:val="21"/>
          <w:highlight w:val="none"/>
        </w:rPr>
        <w:t>评审小组认定有重大偏差的；</w:t>
      </w:r>
    </w:p>
    <w:p>
      <w:pPr>
        <w:pStyle w:val="29"/>
        <w:snapToGrid w:val="0"/>
        <w:ind w:left="424" w:hanging="424" w:hangingChars="202"/>
        <w:rPr>
          <w:rFonts w:hint="eastAsia"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 xml:space="preserve">3.8 </w:t>
      </w:r>
      <w:r>
        <w:rPr>
          <w:rFonts w:hint="eastAsia" w:ascii="微软雅黑" w:hAnsi="微软雅黑" w:eastAsia="微软雅黑" w:cs="宋体"/>
          <w:color w:val="auto"/>
          <w:sz w:val="21"/>
          <w:szCs w:val="21"/>
          <w:highlight w:val="none"/>
        </w:rPr>
        <w:t>如申请人单位负责人为同一人或者存在控股、管理关系的不同单位，参加同一标段或者未划分标段的同一项目报价，则存在关联关系的申请人报价均视为无效</w:t>
      </w:r>
      <w:r>
        <w:rPr>
          <w:rFonts w:hint="eastAsia" w:ascii="微软雅黑" w:hAnsi="微软雅黑" w:eastAsia="微软雅黑" w:cs="宋体"/>
          <w:color w:val="auto"/>
          <w:sz w:val="21"/>
          <w:szCs w:val="21"/>
          <w:highlight w:val="none"/>
          <w:lang w:eastAsia="zh-CN"/>
        </w:rPr>
        <w:t>；</w:t>
      </w:r>
    </w:p>
    <w:p>
      <w:pPr>
        <w:pStyle w:val="29"/>
        <w:snapToGrid w:val="0"/>
        <w:ind w:left="424" w:hanging="424" w:hangingChars="202"/>
        <w:rPr>
          <w:rFonts w:ascii="微软雅黑" w:hAnsi="微软雅黑" w:eastAsia="微软雅黑" w:cs="宋体"/>
          <w:color w:val="auto"/>
          <w:sz w:val="21"/>
          <w:szCs w:val="21"/>
          <w:highlight w:val="none"/>
        </w:rPr>
      </w:pPr>
      <w:r>
        <w:rPr>
          <w:rFonts w:hint="eastAsia" w:ascii="微软雅黑" w:hAnsi="微软雅黑" w:eastAsia="微软雅黑" w:cs="宋体"/>
          <w:color w:val="auto"/>
          <w:sz w:val="21"/>
          <w:szCs w:val="21"/>
          <w:highlight w:val="none"/>
        </w:rPr>
        <w:t>3</w:t>
      </w:r>
      <w:r>
        <w:rPr>
          <w:rFonts w:ascii="微软雅黑" w:hAnsi="微软雅黑" w:eastAsia="微软雅黑" w:cs="宋体"/>
          <w:color w:val="auto"/>
          <w:sz w:val="21"/>
          <w:szCs w:val="21"/>
          <w:highlight w:val="none"/>
        </w:rPr>
        <w:t>.</w:t>
      </w:r>
      <w:r>
        <w:rPr>
          <w:rFonts w:hint="eastAsia" w:ascii="微软雅黑" w:hAnsi="微软雅黑" w:eastAsia="微软雅黑" w:cs="宋体"/>
          <w:color w:val="auto"/>
          <w:sz w:val="21"/>
          <w:szCs w:val="21"/>
          <w:highlight w:val="none"/>
          <w:lang w:val="en-US" w:eastAsia="zh-CN"/>
        </w:rPr>
        <w:t xml:space="preserve">8 </w:t>
      </w:r>
      <w:r>
        <w:rPr>
          <w:rFonts w:hint="eastAsia" w:ascii="微软雅黑" w:hAnsi="微软雅黑" w:eastAsia="微软雅黑" w:cs="宋体"/>
          <w:color w:val="auto"/>
          <w:sz w:val="21"/>
          <w:szCs w:val="21"/>
          <w:highlight w:val="none"/>
        </w:rPr>
        <w:t>其他违反法律、法规的情形。</w:t>
      </w: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供应商须知</w:t>
      </w:r>
    </w:p>
    <w:p>
      <w:pPr>
        <w:pStyle w:val="6"/>
        <w:ind w:left="424" w:right="10" w:hanging="424" w:hangingChars="191"/>
        <w:rPr>
          <w:rFonts w:ascii="微软雅黑" w:hAnsi="微软雅黑" w:eastAsia="微软雅黑"/>
          <w:color w:val="auto"/>
          <w:spacing w:val="6"/>
          <w:highlight w:val="none"/>
          <w:lang w:eastAsia="zh-CN"/>
        </w:rPr>
      </w:pPr>
      <w:r>
        <w:rPr>
          <w:rFonts w:ascii="微软雅黑" w:hAnsi="微软雅黑" w:eastAsia="微软雅黑"/>
          <w:color w:val="auto"/>
          <w:spacing w:val="6"/>
          <w:highlight w:val="none"/>
          <w:lang w:eastAsia="zh-CN"/>
        </w:rPr>
        <w:t>1</w:t>
      </w:r>
      <w:r>
        <w:rPr>
          <w:rFonts w:hint="eastAsia" w:ascii="微软雅黑" w:hAnsi="微软雅黑" w:eastAsia="微软雅黑"/>
          <w:color w:val="auto"/>
          <w:spacing w:val="6"/>
          <w:highlight w:val="none"/>
          <w:lang w:eastAsia="zh-CN"/>
        </w:rPr>
        <w:t>、本次询价采购，采购人有权根据市场调查情况对采购结果进行对比，如有异常情况，采购人可以暂不采购。若认为本次采购确与市场调查不符的，可另行组织采购，无须向报价人解释具体原因。</w:t>
      </w:r>
    </w:p>
    <w:p>
      <w:pPr>
        <w:pStyle w:val="6"/>
        <w:ind w:left="424" w:right="10" w:hanging="424" w:hangingChars="191"/>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2、响应人如发现询价文件及其评审办法中存在含糊不清、相互矛盾、多种含义以及歧视性不公正条款或违法违规内容时，请在报价</w:t>
      </w:r>
      <w:r>
        <w:rPr>
          <w:rFonts w:ascii="微软雅黑" w:hAnsi="微软雅黑" w:eastAsia="微软雅黑"/>
          <w:color w:val="auto"/>
          <w:spacing w:val="6"/>
          <w:highlight w:val="none"/>
          <w:lang w:eastAsia="zh-CN"/>
        </w:rPr>
        <w:t>截止日到期前</w:t>
      </w:r>
      <w:r>
        <w:rPr>
          <w:rFonts w:hint="eastAsia" w:ascii="微软雅黑" w:hAnsi="微软雅黑" w:eastAsia="微软雅黑"/>
          <w:color w:val="auto"/>
          <w:spacing w:val="6"/>
          <w:highlight w:val="none"/>
          <w:lang w:eastAsia="zh-CN"/>
        </w:rPr>
        <w:t>一天书面形式反映，未对询价文件提出异议或要求澄清的，将视为完全理解并默认询价文件所有条款，并同意放弃对询价文件有不明或误解而询问、质疑、投诉的权利；</w:t>
      </w:r>
    </w:p>
    <w:p>
      <w:pPr>
        <w:pStyle w:val="6"/>
        <w:ind w:left="424" w:right="10" w:hanging="424" w:hangingChars="191"/>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3、凡参加的响应人均视作认同本次询价的各项约定事宜(包括供应商资格、技术参数、相关日期等)，响应人</w:t>
      </w:r>
      <w:r>
        <w:rPr>
          <w:rFonts w:hint="eastAsia" w:ascii="微软雅黑" w:hAnsi="微软雅黑" w:eastAsia="微软雅黑"/>
          <w:color w:val="auto"/>
          <w:spacing w:val="6"/>
          <w:highlight w:val="none"/>
          <w:lang w:val="en-US" w:eastAsia="zh-CN"/>
        </w:rPr>
        <w:t>如对本次采购活动有异议或澄清，请在规定的日期前在中国海洋供应链数字化平台上进行反馈</w:t>
      </w:r>
      <w:r>
        <w:rPr>
          <w:rFonts w:hint="eastAsia" w:ascii="微软雅黑" w:hAnsi="微软雅黑" w:eastAsia="微软雅黑"/>
          <w:color w:val="auto"/>
          <w:spacing w:val="6"/>
          <w:highlight w:val="none"/>
          <w:lang w:eastAsia="zh-CN"/>
        </w:rPr>
        <w:t>。</w:t>
      </w:r>
    </w:p>
    <w:p>
      <w:pPr>
        <w:pStyle w:val="6"/>
        <w:ind w:left="424" w:right="10" w:hanging="424" w:hangingChars="191"/>
        <w:rPr>
          <w:rFonts w:ascii="微软雅黑" w:hAnsi="微软雅黑" w:eastAsia="微软雅黑"/>
          <w:color w:val="auto"/>
          <w:spacing w:val="6"/>
          <w:highlight w:val="none"/>
          <w:lang w:eastAsia="zh-CN"/>
        </w:rPr>
      </w:pPr>
      <w:r>
        <w:rPr>
          <w:rFonts w:ascii="微软雅黑" w:hAnsi="微软雅黑" w:eastAsia="微软雅黑"/>
          <w:color w:val="auto"/>
          <w:spacing w:val="6"/>
          <w:highlight w:val="none"/>
          <w:lang w:eastAsia="zh-CN"/>
        </w:rPr>
        <w:t>4</w:t>
      </w:r>
      <w:r>
        <w:rPr>
          <w:rFonts w:hint="eastAsia" w:ascii="微软雅黑" w:hAnsi="微软雅黑" w:eastAsia="微软雅黑"/>
          <w:color w:val="auto"/>
          <w:spacing w:val="6"/>
          <w:highlight w:val="none"/>
          <w:lang w:eastAsia="zh-CN"/>
        </w:rPr>
        <w:t>、首次参与我公司项目请详细阅读中国海洋</w:t>
      </w:r>
      <w:r>
        <w:rPr>
          <w:rFonts w:hint="eastAsia" w:ascii="微软雅黑" w:hAnsi="微软雅黑" w:eastAsia="微软雅黑"/>
          <w:color w:val="auto"/>
          <w:spacing w:val="6"/>
          <w:highlight w:val="none"/>
          <w:lang w:val="en-US" w:eastAsia="zh-CN"/>
        </w:rPr>
        <w:t>供应链数字化平台</w:t>
      </w:r>
      <w:r>
        <w:rPr>
          <w:rFonts w:hint="eastAsia" w:ascii="微软雅黑" w:hAnsi="微软雅黑" w:eastAsia="微软雅黑"/>
          <w:color w:val="auto"/>
          <w:spacing w:val="6"/>
          <w:highlight w:val="none"/>
          <w:lang w:eastAsia="zh-CN"/>
        </w:rPr>
        <w:t>中供应商操作及公告相关内容。</w:t>
      </w:r>
    </w:p>
    <w:p>
      <w:pPr>
        <w:pStyle w:val="6"/>
        <w:ind w:left="424" w:right="10" w:hanging="424" w:hangingChars="191"/>
        <w:rPr>
          <w:rFonts w:hint="eastAsia"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5、投标人提出的异议必须通过中国海洋</w:t>
      </w:r>
      <w:r>
        <w:rPr>
          <w:rFonts w:hint="eastAsia" w:ascii="微软雅黑" w:hAnsi="微软雅黑" w:eastAsia="微软雅黑"/>
          <w:color w:val="auto"/>
          <w:spacing w:val="6"/>
          <w:highlight w:val="none"/>
          <w:lang w:val="en-US" w:eastAsia="zh-CN"/>
        </w:rPr>
        <w:t>供应链数字化平台</w:t>
      </w:r>
      <w:r>
        <w:rPr>
          <w:rFonts w:hint="eastAsia" w:ascii="微软雅黑" w:hAnsi="微软雅黑" w:eastAsia="微软雅黑"/>
          <w:color w:val="auto"/>
          <w:spacing w:val="6"/>
          <w:highlight w:val="none"/>
          <w:lang w:eastAsia="zh-CN"/>
        </w:rPr>
        <w:t>（https://bid.cnooc.com.cn/home/#/navigation）</w:t>
      </w:r>
      <w:r>
        <w:rPr>
          <w:rFonts w:hint="eastAsia" w:ascii="微软雅黑" w:hAnsi="微软雅黑" w:eastAsia="微软雅黑"/>
          <w:color w:val="auto"/>
          <w:spacing w:val="6"/>
          <w:highlight w:val="none"/>
          <w:lang w:val="en-US" w:eastAsia="zh-CN"/>
        </w:rPr>
        <w:t>或异议联系人</w:t>
      </w:r>
      <w:r>
        <w:rPr>
          <w:rFonts w:hint="eastAsia" w:ascii="微软雅黑" w:hAnsi="微软雅黑" w:eastAsia="微软雅黑"/>
          <w:color w:val="auto"/>
          <w:spacing w:val="6"/>
          <w:highlight w:val="none"/>
          <w:lang w:eastAsia="zh-CN"/>
        </w:rPr>
        <w:t>在最</w:t>
      </w:r>
      <w:r>
        <w:rPr>
          <w:rFonts w:hint="eastAsia" w:ascii="微软雅黑" w:hAnsi="微软雅黑" w:eastAsia="微软雅黑"/>
          <w:color w:val="auto"/>
          <w:spacing w:val="6"/>
          <w:highlight w:val="none"/>
          <w:lang w:val="en-US" w:eastAsia="zh-CN"/>
        </w:rPr>
        <w:t>晚</w:t>
      </w:r>
      <w:r>
        <w:rPr>
          <w:rFonts w:hint="eastAsia" w:ascii="微软雅黑" w:hAnsi="微软雅黑" w:eastAsia="微软雅黑"/>
          <w:color w:val="auto"/>
          <w:spacing w:val="6"/>
          <w:highlight w:val="none"/>
          <w:lang w:eastAsia="zh-CN"/>
        </w:rPr>
        <w:t>约定的时间段提交，其它形式提交的异议不予受理。</w:t>
      </w:r>
    </w:p>
    <w:p>
      <w:pPr>
        <w:pStyle w:val="6"/>
        <w:ind w:left="424" w:right="10" w:hanging="424" w:hangingChars="191"/>
        <w:rPr>
          <w:rFonts w:hint="eastAsia" w:ascii="微软雅黑" w:hAnsi="微软雅黑" w:eastAsia="微软雅黑"/>
          <w:color w:val="auto"/>
          <w:spacing w:val="6"/>
          <w:highlight w:val="none"/>
          <w:lang w:val="en-US" w:eastAsia="zh-CN"/>
        </w:rPr>
      </w:pPr>
      <w:r>
        <w:rPr>
          <w:rFonts w:hint="eastAsia" w:ascii="微软雅黑" w:hAnsi="微软雅黑" w:eastAsia="微软雅黑"/>
          <w:color w:val="auto"/>
          <w:spacing w:val="6"/>
          <w:highlight w:val="none"/>
          <w:lang w:val="en-US" w:eastAsia="zh-CN"/>
        </w:rPr>
        <w:t>6、</w:t>
      </w:r>
      <w:r>
        <w:rPr>
          <w:rFonts w:hint="eastAsia" w:ascii="微软雅黑" w:hAnsi="微软雅黑" w:eastAsia="微软雅黑"/>
          <w:color w:val="auto"/>
          <w:spacing w:val="6"/>
          <w:highlight w:val="none"/>
          <w:lang w:eastAsia="zh-CN"/>
        </w:rPr>
        <w:t>响应人</w:t>
      </w:r>
      <w:r>
        <w:rPr>
          <w:rFonts w:hint="eastAsia" w:ascii="微软雅黑" w:hAnsi="微软雅黑" w:eastAsia="微软雅黑"/>
          <w:color w:val="auto"/>
          <w:spacing w:val="6"/>
          <w:highlight w:val="none"/>
          <w:lang w:val="en-US" w:eastAsia="zh-CN"/>
        </w:rPr>
        <w:t>如在采购活动中有附件4所述情形，采购应附件4相关条款规定进行处罚。</w:t>
      </w:r>
    </w:p>
    <w:p>
      <w:pPr>
        <w:pStyle w:val="6"/>
        <w:ind w:left="424" w:right="10" w:hanging="424" w:hangingChars="191"/>
        <w:rPr>
          <w:rFonts w:hint="eastAsia"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val="en-US" w:eastAsia="zh-CN"/>
        </w:rPr>
        <w:t>7</w:t>
      </w:r>
      <w:r>
        <w:rPr>
          <w:rFonts w:hint="eastAsia" w:ascii="微软雅黑" w:hAnsi="微软雅黑" w:eastAsia="微软雅黑"/>
          <w:color w:val="auto"/>
          <w:spacing w:val="6"/>
          <w:highlight w:val="none"/>
          <w:lang w:eastAsia="zh-CN"/>
        </w:rPr>
        <w:t>、投标人提出异议</w:t>
      </w:r>
      <w:r>
        <w:rPr>
          <w:rFonts w:hint="eastAsia" w:ascii="微软雅黑" w:hAnsi="微软雅黑" w:eastAsia="微软雅黑"/>
          <w:color w:val="auto"/>
          <w:spacing w:val="6"/>
          <w:highlight w:val="none"/>
          <w:lang w:val="en-US" w:eastAsia="zh-CN"/>
        </w:rPr>
        <w:t>应</w:t>
      </w:r>
      <w:r>
        <w:rPr>
          <w:rFonts w:hint="eastAsia" w:ascii="微软雅黑" w:hAnsi="微软雅黑" w:eastAsia="微软雅黑"/>
          <w:color w:val="auto"/>
          <w:spacing w:val="6"/>
          <w:highlight w:val="none"/>
          <w:lang w:eastAsia="zh-CN"/>
        </w:rPr>
        <w:t>通过中国海洋</w:t>
      </w:r>
      <w:r>
        <w:rPr>
          <w:rFonts w:hint="eastAsia" w:ascii="微软雅黑" w:hAnsi="微软雅黑" w:eastAsia="微软雅黑"/>
          <w:color w:val="auto"/>
          <w:spacing w:val="6"/>
          <w:highlight w:val="none"/>
          <w:lang w:val="en-US" w:eastAsia="zh-CN"/>
        </w:rPr>
        <w:t>供应链数字化平台</w:t>
      </w:r>
      <w:r>
        <w:rPr>
          <w:rFonts w:hint="eastAsia" w:ascii="微软雅黑" w:hAnsi="微软雅黑" w:eastAsia="微软雅黑"/>
          <w:color w:val="auto"/>
          <w:spacing w:val="6"/>
          <w:highlight w:val="none"/>
          <w:lang w:eastAsia="zh-CN"/>
        </w:rPr>
        <w:t>（https://bid.cnooc.com.cn/home/#/navigation）</w:t>
      </w:r>
      <w:r>
        <w:rPr>
          <w:rFonts w:hint="eastAsia" w:ascii="微软雅黑" w:hAnsi="微软雅黑" w:eastAsia="微软雅黑"/>
          <w:color w:val="auto"/>
          <w:spacing w:val="6"/>
          <w:highlight w:val="none"/>
          <w:lang w:val="en-US" w:eastAsia="zh-CN"/>
        </w:rPr>
        <w:t>或异议联系人</w:t>
      </w:r>
      <w:r>
        <w:rPr>
          <w:rFonts w:hint="eastAsia" w:ascii="微软雅黑" w:hAnsi="微软雅黑" w:eastAsia="微软雅黑"/>
          <w:color w:val="auto"/>
          <w:spacing w:val="6"/>
          <w:highlight w:val="none"/>
          <w:lang w:eastAsia="zh-CN"/>
        </w:rPr>
        <w:t>在最</w:t>
      </w:r>
      <w:r>
        <w:rPr>
          <w:rFonts w:hint="eastAsia" w:ascii="微软雅黑" w:hAnsi="微软雅黑" w:eastAsia="微软雅黑"/>
          <w:color w:val="auto"/>
          <w:spacing w:val="6"/>
          <w:highlight w:val="none"/>
          <w:lang w:val="en-US" w:eastAsia="zh-CN"/>
        </w:rPr>
        <w:t>晚</w:t>
      </w:r>
      <w:r>
        <w:rPr>
          <w:rFonts w:hint="eastAsia" w:ascii="微软雅黑" w:hAnsi="微软雅黑" w:eastAsia="微软雅黑"/>
          <w:color w:val="auto"/>
          <w:spacing w:val="6"/>
          <w:highlight w:val="none"/>
          <w:lang w:eastAsia="zh-CN"/>
        </w:rPr>
        <w:t>约定的时间段提交，其它形式提交的异议不予受理；</w:t>
      </w:r>
    </w:p>
    <w:p>
      <w:pPr>
        <w:pStyle w:val="6"/>
        <w:ind w:left="424" w:right="10" w:hanging="424" w:hangingChars="191"/>
        <w:rPr>
          <w:rFonts w:hint="eastAsia" w:ascii="微软雅黑" w:hAnsi="微软雅黑" w:eastAsia="微软雅黑"/>
          <w:color w:val="auto"/>
          <w:spacing w:val="6"/>
          <w:highlight w:val="none"/>
          <w:lang w:val="en-US" w:eastAsia="zh-CN"/>
        </w:rPr>
      </w:pPr>
      <w:r>
        <w:rPr>
          <w:rFonts w:hint="eastAsia" w:ascii="微软雅黑" w:hAnsi="微软雅黑" w:eastAsia="微软雅黑"/>
          <w:color w:val="auto"/>
          <w:spacing w:val="6"/>
          <w:highlight w:val="none"/>
          <w:lang w:val="en-US" w:eastAsia="zh-CN"/>
        </w:rPr>
        <w:t>8、</w:t>
      </w:r>
      <w:r>
        <w:rPr>
          <w:rFonts w:hint="eastAsia" w:ascii="微软雅黑" w:hAnsi="微软雅黑" w:eastAsia="微软雅黑"/>
          <w:color w:val="auto"/>
          <w:spacing w:val="6"/>
          <w:highlight w:val="none"/>
          <w:lang w:eastAsia="zh-CN"/>
        </w:rPr>
        <w:t>响应人</w:t>
      </w:r>
      <w:r>
        <w:rPr>
          <w:rFonts w:hint="eastAsia" w:ascii="微软雅黑" w:hAnsi="微软雅黑" w:eastAsia="微软雅黑"/>
          <w:color w:val="auto"/>
          <w:spacing w:val="6"/>
          <w:highlight w:val="none"/>
          <w:lang w:val="en-US" w:eastAsia="zh-CN"/>
        </w:rPr>
        <w:t>如在采购活动中有附件4所述情形，采购应附件4相关条款规定进行处罚；</w:t>
      </w:r>
    </w:p>
    <w:p>
      <w:pPr>
        <w:pStyle w:val="6"/>
        <w:ind w:left="424" w:right="10" w:hanging="424" w:hangingChars="191"/>
        <w:rPr>
          <w:rFonts w:hint="eastAsia" w:ascii="微软雅黑" w:hAnsi="微软雅黑" w:eastAsia="微软雅黑" w:cs="宋体"/>
          <w:color w:val="auto"/>
          <w:sz w:val="21"/>
          <w:szCs w:val="21"/>
          <w:highlight w:val="none"/>
          <w:lang w:val="en-US" w:eastAsia="zh-CN"/>
        </w:rPr>
      </w:pPr>
      <w:r>
        <w:rPr>
          <w:rFonts w:hint="eastAsia" w:ascii="微软雅黑" w:hAnsi="微软雅黑" w:eastAsia="微软雅黑"/>
          <w:color w:val="auto"/>
          <w:spacing w:val="6"/>
          <w:highlight w:val="none"/>
          <w:lang w:val="en-US" w:eastAsia="zh-CN"/>
        </w:rPr>
        <w:t>9、本次询价采购，如出现</w:t>
      </w:r>
      <w:r>
        <w:rPr>
          <w:rFonts w:hint="eastAsia" w:ascii="微软雅黑" w:hAnsi="微软雅黑" w:eastAsia="微软雅黑" w:cs="宋体"/>
          <w:color w:val="auto"/>
          <w:sz w:val="21"/>
          <w:szCs w:val="21"/>
          <w:highlight w:val="none"/>
        </w:rPr>
        <w:t>违反法律、法规的情形</w:t>
      </w:r>
      <w:r>
        <w:rPr>
          <w:rFonts w:hint="eastAsia" w:ascii="微软雅黑" w:hAnsi="微软雅黑" w:eastAsia="微软雅黑" w:cs="宋体"/>
          <w:color w:val="auto"/>
          <w:sz w:val="21"/>
          <w:szCs w:val="21"/>
          <w:highlight w:val="none"/>
          <w:lang w:eastAsia="zh-CN"/>
        </w:rPr>
        <w:t>，</w:t>
      </w:r>
      <w:r>
        <w:rPr>
          <w:rFonts w:hint="eastAsia" w:ascii="微软雅黑" w:hAnsi="微软雅黑" w:eastAsia="微软雅黑" w:cs="宋体"/>
          <w:color w:val="auto"/>
          <w:sz w:val="21"/>
          <w:szCs w:val="21"/>
          <w:highlight w:val="none"/>
          <w:lang w:val="en-US" w:eastAsia="zh-CN"/>
        </w:rPr>
        <w:t>采购人有权终止本次采购，重新组织采购，所有响应人应无异议；</w:t>
      </w:r>
    </w:p>
    <w:p>
      <w:pPr>
        <w:pStyle w:val="6"/>
        <w:ind w:left="424" w:right="10" w:hanging="401" w:hangingChars="191"/>
        <w:rPr>
          <w:rFonts w:hint="eastAsia"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10、成交公示、成交通知书</w:t>
      </w:r>
    </w:p>
    <w:p>
      <w:pPr>
        <w:pStyle w:val="6"/>
        <w:numPr>
          <w:ilvl w:val="0"/>
          <w:numId w:val="9"/>
        </w:numPr>
        <w:ind w:left="845" w:leftChars="0" w:right="10" w:hanging="425" w:firstLineChars="0"/>
        <w:rPr>
          <w:rFonts w:hint="eastAsia"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成交供应商确定后，采购部门在中海油采办业务与交易系统上发布成交结果公告，同时将成交结果以公告形式通知未成交的供应商，成交结果公告期为1个工作日；</w:t>
      </w:r>
    </w:p>
    <w:p>
      <w:pPr>
        <w:pStyle w:val="6"/>
        <w:numPr>
          <w:ilvl w:val="0"/>
          <w:numId w:val="9"/>
        </w:numPr>
        <w:ind w:left="845" w:leftChars="0" w:right="10" w:hanging="425" w:firstLineChars="0"/>
        <w:rPr>
          <w:rFonts w:hint="default"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项目“异常终止”后，采购部门将在中海油采办业务与交易系统上发布“流标公告”；</w:t>
      </w:r>
    </w:p>
    <w:p>
      <w:pPr>
        <w:pStyle w:val="6"/>
        <w:numPr>
          <w:ilvl w:val="0"/>
          <w:numId w:val="9"/>
        </w:numPr>
        <w:ind w:left="845" w:leftChars="0" w:right="10" w:hanging="425" w:firstLineChars="0"/>
        <w:rPr>
          <w:rFonts w:hint="default" w:ascii="微软雅黑" w:hAnsi="微软雅黑" w:eastAsia="微软雅黑" w:cs="宋体"/>
          <w:color w:val="auto"/>
          <w:sz w:val="21"/>
          <w:szCs w:val="21"/>
          <w:highlight w:val="none"/>
          <w:lang w:val="en-US" w:eastAsia="zh-CN"/>
        </w:rPr>
      </w:pPr>
      <w:r>
        <w:rPr>
          <w:rFonts w:hint="eastAsia" w:ascii="微软雅黑" w:hAnsi="微软雅黑" w:eastAsia="微软雅黑" w:cs="宋体"/>
          <w:color w:val="auto"/>
          <w:sz w:val="21"/>
          <w:szCs w:val="21"/>
          <w:highlight w:val="none"/>
          <w:lang w:val="en-US" w:eastAsia="zh-CN"/>
        </w:rPr>
        <w:t>如成交人不在中海油合格供应商库内，确定成交人后，采购人将组织供应商调研和办理供应商入库，入库完成后签订采购合同；</w:t>
      </w:r>
    </w:p>
    <w:p>
      <w:pPr>
        <w:pStyle w:val="6"/>
        <w:numPr>
          <w:ilvl w:val="0"/>
          <w:numId w:val="9"/>
        </w:numPr>
        <w:ind w:left="845" w:leftChars="0" w:right="10" w:hanging="425" w:firstLineChars="0"/>
        <w:rPr>
          <w:rFonts w:hint="default" w:ascii="微软雅黑" w:hAnsi="微软雅黑" w:eastAsia="微软雅黑"/>
          <w:color w:val="auto"/>
          <w:spacing w:val="6"/>
          <w:highlight w:val="none"/>
          <w:lang w:val="en-US" w:eastAsia="zh-CN"/>
        </w:rPr>
      </w:pPr>
      <w:r>
        <w:rPr>
          <w:rFonts w:hint="eastAsia" w:ascii="微软雅黑" w:hAnsi="微软雅黑" w:eastAsia="微软雅黑" w:cs="宋体"/>
          <w:color w:val="auto"/>
          <w:sz w:val="21"/>
          <w:szCs w:val="21"/>
          <w:highlight w:val="none"/>
          <w:lang w:val="en-US" w:eastAsia="zh-CN"/>
        </w:rPr>
        <w:t>发布成交结果的同时，成交供应商可自行登录“中海油采办业务与交易系统”打印成交通知书，成交通知书是合同的组成部分，成交通知书对采购人和成交供应商具有同等法律效力。</w:t>
      </w: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联系方式</w:t>
      </w:r>
    </w:p>
    <w:p>
      <w:pPr>
        <w:pStyle w:val="6"/>
        <w:ind w:left="422" w:leftChars="135" w:right="10" w:hanging="139" w:hangingChars="63"/>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联系单位：中海油服采办共享中心/</w:t>
      </w:r>
      <w:r>
        <w:rPr>
          <w:rFonts w:hint="eastAsia" w:ascii="微软雅黑" w:hAnsi="微软雅黑" w:eastAsia="微软雅黑"/>
          <w:color w:val="auto"/>
          <w:spacing w:val="6"/>
          <w:highlight w:val="none"/>
          <w:lang w:val="en-US" w:eastAsia="zh-CN"/>
        </w:rPr>
        <w:t>天津</w:t>
      </w:r>
      <w:r>
        <w:rPr>
          <w:rFonts w:hint="eastAsia" w:ascii="微软雅黑" w:hAnsi="微软雅黑" w:eastAsia="微软雅黑"/>
          <w:color w:val="auto"/>
          <w:spacing w:val="6"/>
          <w:highlight w:val="none"/>
          <w:lang w:eastAsia="zh-CN"/>
        </w:rPr>
        <w:t>分中心</w:t>
      </w:r>
    </w:p>
    <w:p>
      <w:pPr>
        <w:pStyle w:val="6"/>
        <w:ind w:left="422" w:leftChars="135" w:right="10" w:hanging="139" w:hangingChars="63"/>
        <w:rPr>
          <w:rFonts w:hint="default" w:ascii="微软雅黑" w:hAnsi="微软雅黑" w:eastAsia="微软雅黑"/>
          <w:color w:val="auto"/>
          <w:spacing w:val="6"/>
          <w:highlight w:val="none"/>
          <w:lang w:val="en-US" w:eastAsia="zh-CN"/>
        </w:rPr>
      </w:pPr>
      <w:r>
        <w:rPr>
          <w:rFonts w:hint="eastAsia" w:ascii="微软雅黑" w:hAnsi="微软雅黑" w:eastAsia="微软雅黑"/>
          <w:color w:val="auto"/>
          <w:spacing w:val="6"/>
          <w:highlight w:val="none"/>
          <w:lang w:eastAsia="zh-CN"/>
        </w:rPr>
        <w:t>联系人：</w:t>
      </w:r>
      <w:r>
        <w:rPr>
          <w:rFonts w:hint="eastAsia" w:ascii="微软雅黑" w:hAnsi="微软雅黑" w:eastAsia="微软雅黑"/>
          <w:color w:val="auto"/>
          <w:spacing w:val="6"/>
          <w:highlight w:val="none"/>
          <w:lang w:val="en-US" w:eastAsia="zh-CN"/>
        </w:rPr>
        <w:t>李石磊</w:t>
      </w:r>
    </w:p>
    <w:p>
      <w:pPr>
        <w:pStyle w:val="6"/>
        <w:ind w:left="422" w:leftChars="135" w:right="10" w:hanging="139" w:hangingChars="63"/>
        <w:rPr>
          <w:rFonts w:hint="default" w:ascii="微软雅黑" w:hAnsi="微软雅黑" w:eastAsia="微软雅黑"/>
          <w:color w:val="auto"/>
          <w:spacing w:val="6"/>
          <w:highlight w:val="none"/>
          <w:lang w:val="en-US" w:eastAsia="zh-CN"/>
        </w:rPr>
      </w:pPr>
      <w:r>
        <w:rPr>
          <w:rFonts w:hint="eastAsia" w:ascii="微软雅黑" w:hAnsi="微软雅黑" w:eastAsia="微软雅黑"/>
          <w:color w:val="auto"/>
          <w:spacing w:val="6"/>
          <w:highlight w:val="none"/>
          <w:lang w:eastAsia="zh-CN"/>
        </w:rPr>
        <w:t>联系电话：</w:t>
      </w:r>
      <w:r>
        <w:rPr>
          <w:rFonts w:hint="eastAsia" w:ascii="微软雅黑" w:hAnsi="微软雅黑" w:eastAsia="微软雅黑"/>
          <w:color w:val="auto"/>
          <w:spacing w:val="6"/>
          <w:highlight w:val="none"/>
          <w:lang w:val="en-US" w:eastAsia="zh-CN"/>
        </w:rPr>
        <w:t>022-59551137</w:t>
      </w:r>
    </w:p>
    <w:p>
      <w:pPr>
        <w:pStyle w:val="6"/>
        <w:ind w:left="422" w:leftChars="135" w:right="10" w:hanging="139" w:hangingChars="63"/>
        <w:rPr>
          <w:rFonts w:hint="default" w:ascii="微软雅黑" w:hAnsi="微软雅黑" w:eastAsia="微软雅黑"/>
          <w:color w:val="auto"/>
          <w:spacing w:val="6"/>
          <w:highlight w:val="none"/>
          <w:lang w:val="en-US" w:eastAsia="zh-CN"/>
        </w:rPr>
      </w:pPr>
      <w:r>
        <w:rPr>
          <w:rFonts w:hint="eastAsia" w:ascii="微软雅黑" w:hAnsi="微软雅黑" w:eastAsia="微软雅黑"/>
          <w:color w:val="auto"/>
          <w:spacing w:val="6"/>
          <w:highlight w:val="none"/>
          <w:lang w:eastAsia="zh-CN"/>
        </w:rPr>
        <w:t>邮  箱</w:t>
      </w:r>
      <w:r>
        <w:rPr>
          <w:rFonts w:ascii="微软雅黑" w:hAnsi="微软雅黑" w:eastAsia="微软雅黑"/>
          <w:color w:val="auto"/>
          <w:spacing w:val="6"/>
          <w:highlight w:val="none"/>
          <w:lang w:eastAsia="zh-CN"/>
        </w:rPr>
        <w:t>：</w:t>
      </w:r>
      <w:r>
        <w:rPr>
          <w:rFonts w:hint="eastAsia" w:ascii="微软雅黑" w:hAnsi="微软雅黑" w:eastAsia="微软雅黑"/>
          <w:color w:val="auto"/>
          <w:spacing w:val="6"/>
          <w:highlight w:val="none"/>
          <w:lang w:val="en-US" w:eastAsia="zh-CN"/>
        </w:rPr>
        <w:t>lishl7@cosl.com.cn</w:t>
      </w:r>
    </w:p>
    <w:p>
      <w:pPr>
        <w:pStyle w:val="6"/>
        <w:ind w:left="422" w:leftChars="135" w:right="10" w:hanging="139" w:hangingChars="63"/>
        <w:rPr>
          <w:rFonts w:ascii="微软雅黑" w:hAnsi="微软雅黑" w:eastAsia="微软雅黑"/>
          <w:color w:val="auto"/>
          <w:spacing w:val="6"/>
          <w:highlight w:val="none"/>
          <w:lang w:eastAsia="zh-CN"/>
        </w:rPr>
      </w:pPr>
    </w:p>
    <w:p>
      <w:pPr>
        <w:pStyle w:val="17"/>
        <w:numPr>
          <w:ilvl w:val="0"/>
          <w:numId w:val="2"/>
        </w:numPr>
        <w:snapToGrid w:val="0"/>
        <w:spacing w:before="120" w:beforeLines="50" w:after="120" w:afterLines="50" w:line="360" w:lineRule="auto"/>
        <w:ind w:left="567" w:hanging="567"/>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附件：</w:t>
      </w:r>
    </w:p>
    <w:p>
      <w:pPr>
        <w:pStyle w:val="6"/>
        <w:ind w:left="422" w:leftChars="135" w:right="10" w:hanging="139" w:hangingChars="63"/>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附件1</w:t>
      </w:r>
      <w:r>
        <w:rPr>
          <w:rFonts w:ascii="微软雅黑" w:hAnsi="微软雅黑" w:eastAsia="微软雅黑"/>
          <w:color w:val="auto"/>
          <w:spacing w:val="6"/>
          <w:highlight w:val="none"/>
          <w:lang w:eastAsia="zh-CN"/>
        </w:rPr>
        <w:t>：采</w:t>
      </w:r>
      <w:r>
        <w:rPr>
          <w:rFonts w:hint="eastAsia" w:ascii="微软雅黑" w:hAnsi="微软雅黑" w:eastAsia="微软雅黑"/>
          <w:color w:val="auto"/>
          <w:spacing w:val="6"/>
          <w:highlight w:val="none"/>
          <w:lang w:val="en-US" w:eastAsia="zh-CN"/>
        </w:rPr>
        <w:t>购</w:t>
      </w:r>
      <w:r>
        <w:rPr>
          <w:rFonts w:hint="eastAsia" w:ascii="微软雅黑" w:hAnsi="微软雅黑" w:eastAsia="微软雅黑"/>
          <w:color w:val="auto"/>
          <w:spacing w:val="6"/>
          <w:highlight w:val="none"/>
          <w:lang w:eastAsia="zh-CN"/>
        </w:rPr>
        <w:t>内容及</w:t>
      </w:r>
      <w:r>
        <w:rPr>
          <w:rFonts w:ascii="微软雅黑" w:hAnsi="微软雅黑" w:eastAsia="微软雅黑"/>
          <w:color w:val="auto"/>
          <w:spacing w:val="6"/>
          <w:highlight w:val="none"/>
          <w:lang w:eastAsia="zh-CN"/>
        </w:rPr>
        <w:t>技术要求；</w:t>
      </w:r>
    </w:p>
    <w:p>
      <w:pPr>
        <w:pStyle w:val="6"/>
        <w:ind w:left="422" w:leftChars="135" w:right="10" w:hanging="139" w:hangingChars="63"/>
        <w:rPr>
          <w:rFonts w:hint="eastAsia"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附件</w:t>
      </w:r>
      <w:r>
        <w:rPr>
          <w:rFonts w:hint="eastAsia" w:ascii="微软雅黑" w:hAnsi="微软雅黑" w:eastAsia="微软雅黑"/>
          <w:color w:val="auto"/>
          <w:spacing w:val="6"/>
          <w:highlight w:val="none"/>
          <w:lang w:val="en-US" w:eastAsia="zh-CN"/>
        </w:rPr>
        <w:t>2</w:t>
      </w:r>
      <w:r>
        <w:rPr>
          <w:rFonts w:ascii="微软雅黑" w:hAnsi="微软雅黑" w:eastAsia="微软雅黑"/>
          <w:color w:val="auto"/>
          <w:spacing w:val="6"/>
          <w:highlight w:val="none"/>
          <w:lang w:eastAsia="zh-CN"/>
        </w:rPr>
        <w:t>：合同文本</w:t>
      </w:r>
      <w:r>
        <w:rPr>
          <w:rFonts w:hint="eastAsia" w:ascii="微软雅黑" w:hAnsi="微软雅黑" w:eastAsia="微软雅黑"/>
          <w:color w:val="auto"/>
          <w:spacing w:val="6"/>
          <w:highlight w:val="none"/>
          <w:lang w:eastAsia="zh-CN"/>
        </w:rPr>
        <w:t>；</w:t>
      </w:r>
    </w:p>
    <w:p>
      <w:pPr>
        <w:pStyle w:val="6"/>
        <w:tabs>
          <w:tab w:val="center" w:pos="4587"/>
        </w:tabs>
        <w:ind w:left="422" w:leftChars="135" w:right="10" w:hanging="139" w:hangingChars="63"/>
        <w:rPr>
          <w:rFonts w:hint="eastAsia"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附件</w:t>
      </w:r>
      <w:r>
        <w:rPr>
          <w:rFonts w:hint="eastAsia" w:ascii="微软雅黑" w:hAnsi="微软雅黑" w:eastAsia="微软雅黑"/>
          <w:color w:val="auto"/>
          <w:spacing w:val="6"/>
          <w:highlight w:val="none"/>
          <w:lang w:val="en-US" w:eastAsia="zh-CN"/>
        </w:rPr>
        <w:t>3</w:t>
      </w:r>
      <w:r>
        <w:rPr>
          <w:rFonts w:hint="eastAsia" w:ascii="微软雅黑" w:hAnsi="微软雅黑" w:eastAsia="微软雅黑"/>
          <w:color w:val="auto"/>
          <w:spacing w:val="6"/>
          <w:highlight w:val="none"/>
          <w:lang w:eastAsia="zh-CN"/>
        </w:rPr>
        <w:t>：中海油服供应商名录准入资料提报要求；</w:t>
      </w:r>
    </w:p>
    <w:p>
      <w:pPr>
        <w:pStyle w:val="6"/>
        <w:ind w:left="422" w:leftChars="135" w:right="10" w:hanging="139" w:hangingChars="63"/>
        <w:rPr>
          <w:rFonts w:ascii="微软雅黑" w:hAnsi="微软雅黑" w:eastAsia="微软雅黑"/>
          <w:color w:val="auto"/>
          <w:spacing w:val="6"/>
          <w:highlight w:val="none"/>
          <w:lang w:eastAsia="zh-CN"/>
        </w:rPr>
      </w:pPr>
      <w:r>
        <w:rPr>
          <w:rFonts w:hint="eastAsia" w:ascii="微软雅黑" w:hAnsi="微软雅黑" w:eastAsia="微软雅黑"/>
          <w:color w:val="auto"/>
          <w:spacing w:val="6"/>
          <w:highlight w:val="none"/>
          <w:lang w:eastAsia="zh-CN"/>
        </w:rPr>
        <w:t>附件</w:t>
      </w:r>
      <w:r>
        <w:rPr>
          <w:rFonts w:hint="eastAsia" w:ascii="微软雅黑" w:hAnsi="微软雅黑" w:eastAsia="微软雅黑"/>
          <w:color w:val="auto"/>
          <w:spacing w:val="6"/>
          <w:highlight w:val="none"/>
          <w:lang w:val="en-US" w:eastAsia="zh-CN"/>
        </w:rPr>
        <w:t>4</w:t>
      </w:r>
      <w:r>
        <w:rPr>
          <w:rFonts w:hint="eastAsia" w:ascii="微软雅黑" w:hAnsi="微软雅黑" w:eastAsia="微软雅黑"/>
          <w:color w:val="auto"/>
          <w:spacing w:val="6"/>
          <w:highlight w:val="none"/>
          <w:lang w:eastAsia="zh-CN"/>
        </w:rPr>
        <w:t>：供应商违法违规处罚标准；</w:t>
      </w:r>
    </w:p>
    <w:p>
      <w:pPr>
        <w:pStyle w:val="6"/>
        <w:ind w:left="422" w:leftChars="135" w:right="10" w:hanging="139" w:hangingChars="63"/>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附件5：货物验收交接资料规范；</w:t>
      </w:r>
    </w:p>
    <w:p>
      <w:pPr>
        <w:pStyle w:val="6"/>
        <w:ind w:left="422" w:leftChars="135" w:right="10" w:hanging="139" w:hangingChars="63"/>
        <w:rPr>
          <w:rFonts w:hint="eastAsia"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附件6：投标响应文件格式</w:t>
      </w:r>
    </w:p>
    <w:p>
      <w:pPr>
        <w:pStyle w:val="6"/>
        <w:ind w:left="422" w:leftChars="135" w:right="10" w:hanging="139" w:hangingChars="63"/>
        <w:rPr>
          <w:rFonts w:hint="default" w:ascii="微软雅黑" w:hAnsi="微软雅黑" w:eastAsia="微软雅黑" w:cs="Times New Roman"/>
          <w:color w:val="auto"/>
          <w:spacing w:val="6"/>
          <w:highlight w:val="none"/>
          <w:lang w:val="en-US" w:eastAsia="zh-CN"/>
        </w:rPr>
      </w:pPr>
      <w:r>
        <w:rPr>
          <w:rFonts w:hint="eastAsia" w:ascii="微软雅黑" w:hAnsi="微软雅黑" w:eastAsia="微软雅黑" w:cs="Times New Roman"/>
          <w:color w:val="auto"/>
          <w:spacing w:val="6"/>
          <w:highlight w:val="none"/>
          <w:lang w:val="en-US" w:eastAsia="zh-CN"/>
        </w:rPr>
        <w:t>附件7：分项报价表</w:t>
      </w:r>
    </w:p>
    <w:sectPr>
      <w:pgSz w:w="11906" w:h="16838"/>
      <w:pgMar w:top="1440" w:right="1080" w:bottom="1440" w:left="108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F6983"/>
    <w:multiLevelType w:val="singleLevel"/>
    <w:tmpl w:val="C10F6983"/>
    <w:lvl w:ilvl="0" w:tentative="0">
      <w:start w:val="1"/>
      <w:numFmt w:val="decimal"/>
      <w:suff w:val="nothing"/>
      <w:lvlText w:val="%1、"/>
      <w:lvlJc w:val="left"/>
    </w:lvl>
  </w:abstractNum>
  <w:abstractNum w:abstractNumId="1">
    <w:nsid w:val="E92D6D03"/>
    <w:multiLevelType w:val="singleLevel"/>
    <w:tmpl w:val="E92D6D03"/>
    <w:lvl w:ilvl="0" w:tentative="0">
      <w:start w:val="1"/>
      <w:numFmt w:val="decimal"/>
      <w:lvlText w:val="(%1)"/>
      <w:lvlJc w:val="left"/>
      <w:pPr>
        <w:tabs>
          <w:tab w:val="left" w:pos="420"/>
        </w:tabs>
        <w:ind w:left="845" w:hanging="425"/>
      </w:pPr>
      <w:rPr>
        <w:rFonts w:hint="default"/>
      </w:rPr>
    </w:lvl>
  </w:abstractNum>
  <w:abstractNum w:abstractNumId="2">
    <w:nsid w:val="F246327D"/>
    <w:multiLevelType w:val="singleLevel"/>
    <w:tmpl w:val="F246327D"/>
    <w:lvl w:ilvl="0" w:tentative="0">
      <w:start w:val="1"/>
      <w:numFmt w:val="decimal"/>
      <w:lvlText w:val="%1."/>
      <w:lvlJc w:val="left"/>
      <w:pPr>
        <w:ind w:left="425" w:hanging="425"/>
      </w:pPr>
      <w:rPr>
        <w:rFonts w:hint="default"/>
      </w:rPr>
    </w:lvl>
  </w:abstractNum>
  <w:abstractNum w:abstractNumId="3">
    <w:nsid w:val="0E9239F3"/>
    <w:multiLevelType w:val="multilevel"/>
    <w:tmpl w:val="0E9239F3"/>
    <w:lvl w:ilvl="0" w:tentative="0">
      <w:start w:val="1"/>
      <w:numFmt w:val="japaneseCounting"/>
      <w:lvlText w:val="%1、"/>
      <w:lvlJc w:val="left"/>
      <w:pPr>
        <w:ind w:left="1140" w:hanging="720"/>
      </w:pPr>
      <w:rPr>
        <w:rFonts w:hint="default"/>
      </w:rPr>
    </w:lvl>
    <w:lvl w:ilvl="1" w:tentative="0">
      <w:start w:val="1"/>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C4B5FB4"/>
    <w:multiLevelType w:val="singleLevel"/>
    <w:tmpl w:val="1C4B5FB4"/>
    <w:lvl w:ilvl="0" w:tentative="0">
      <w:start w:val="1"/>
      <w:numFmt w:val="decimal"/>
      <w:lvlText w:val="%1)"/>
      <w:lvlJc w:val="left"/>
      <w:pPr>
        <w:tabs>
          <w:tab w:val="left" w:pos="420"/>
        </w:tabs>
        <w:ind w:left="845" w:hanging="425"/>
      </w:pPr>
      <w:rPr>
        <w:rFonts w:hint="default"/>
      </w:rPr>
    </w:lvl>
  </w:abstractNum>
  <w:abstractNum w:abstractNumId="5">
    <w:nsid w:val="307AD645"/>
    <w:multiLevelType w:val="multilevel"/>
    <w:tmpl w:val="307AD645"/>
    <w:lvl w:ilvl="0" w:tentative="0">
      <w:start w:val="1"/>
      <w:numFmt w:val="decimal"/>
      <w:lvlText w:val="%1"/>
      <w:lvlJc w:val="left"/>
      <w:pPr>
        <w:tabs>
          <w:tab w:val="left" w:pos="567"/>
        </w:tabs>
        <w:ind w:left="567" w:hanging="567"/>
      </w:pPr>
      <w:rPr>
        <w:rFonts w:hint="default"/>
        <w:sz w:val="22"/>
        <w:szCs w:val="22"/>
      </w:rPr>
    </w:lvl>
    <w:lvl w:ilvl="1" w:tentative="0">
      <w:start w:val="1"/>
      <w:numFmt w:val="decimal"/>
      <w:lvlText w:val="%1.%2"/>
      <w:lvlJc w:val="left"/>
      <w:pPr>
        <w:tabs>
          <w:tab w:val="left" w:pos="993"/>
        </w:tabs>
        <w:ind w:left="993" w:hanging="567"/>
      </w:pPr>
      <w:rPr>
        <w:rFonts w:hint="default"/>
        <w:sz w:val="22"/>
        <w:szCs w:val="22"/>
      </w:rPr>
    </w:lvl>
    <w:lvl w:ilvl="2" w:tentative="0">
      <w:start w:val="1"/>
      <w:numFmt w:val="decimal"/>
      <w:lvlText w:val="%1.%2.%3"/>
      <w:lvlJc w:val="left"/>
      <w:pPr>
        <w:tabs>
          <w:tab w:val="left" w:pos="978"/>
        </w:tabs>
        <w:ind w:left="1418" w:hanging="567"/>
      </w:pPr>
      <w:rPr>
        <w:rFonts w:hint="default"/>
        <w:b/>
        <w:bCs/>
        <w:sz w:val="21"/>
        <w:szCs w:val="21"/>
      </w:rPr>
    </w:lvl>
    <w:lvl w:ilvl="3" w:tentative="0">
      <w:start w:val="1"/>
      <w:numFmt w:val="decimal"/>
      <w:pStyle w:val="5"/>
      <w:lvlText w:val="%1.%2.%3.%4"/>
      <w:lvlJc w:val="left"/>
      <w:pPr>
        <w:tabs>
          <w:tab w:val="left" w:pos="851"/>
        </w:tabs>
        <w:ind w:left="565" w:leftChars="0" w:hanging="565" w:firstLineChars="0"/>
      </w:pPr>
      <w:rPr>
        <w:rFonts w:hint="default"/>
        <w:sz w:val="21"/>
        <w:szCs w:val="21"/>
      </w:rPr>
    </w:lvl>
    <w:lvl w:ilvl="4" w:tentative="0">
      <w:start w:val="1"/>
      <w:numFmt w:val="decimal"/>
      <w:lvlText w:val="%1.%2.%3.%4.%5"/>
      <w:lvlJc w:val="left"/>
      <w:pPr>
        <w:tabs>
          <w:tab w:val="left" w:pos="567"/>
        </w:tabs>
        <w:ind w:left="567" w:hanging="567"/>
      </w:pPr>
      <w:rPr>
        <w:rFonts w:hint="default"/>
      </w:rPr>
    </w:lvl>
    <w:lvl w:ilvl="5" w:tentative="0">
      <w:start w:val="1"/>
      <w:numFmt w:val="decimal"/>
      <w:lvlText w:val="%1.%2.%3.%4.%5.%6"/>
      <w:lvlJc w:val="left"/>
      <w:pPr>
        <w:tabs>
          <w:tab w:val="left" w:pos="567"/>
        </w:tabs>
        <w:ind w:left="567" w:hanging="567"/>
      </w:pPr>
      <w:rPr>
        <w:rFonts w:hint="default"/>
      </w:rPr>
    </w:lvl>
    <w:lvl w:ilvl="6" w:tentative="0">
      <w:start w:val="1"/>
      <w:numFmt w:val="decimal"/>
      <w:lvlText w:val="%1.%2.%3.%4.%5.%6.%7"/>
      <w:lvlJc w:val="left"/>
      <w:pPr>
        <w:tabs>
          <w:tab w:val="left" w:pos="567"/>
        </w:tabs>
        <w:ind w:left="567" w:hanging="567"/>
      </w:pPr>
      <w:rPr>
        <w:rFonts w:hint="default"/>
      </w:rPr>
    </w:lvl>
    <w:lvl w:ilvl="7" w:tentative="0">
      <w:start w:val="1"/>
      <w:numFmt w:val="decimal"/>
      <w:lvlText w:val="%1.%2.%3.%4.%5.%6.%7.%8"/>
      <w:lvlJc w:val="left"/>
      <w:pPr>
        <w:tabs>
          <w:tab w:val="left" w:pos="567"/>
        </w:tabs>
        <w:ind w:left="567" w:hanging="567"/>
      </w:pPr>
      <w:rPr>
        <w:rFonts w:hint="default"/>
      </w:rPr>
    </w:lvl>
    <w:lvl w:ilvl="8" w:tentative="0">
      <w:start w:val="1"/>
      <w:numFmt w:val="decimal"/>
      <w:lvlText w:val="%1.%2.%3.%4.%5.%6.%7.%8.%9"/>
      <w:lvlJc w:val="left"/>
      <w:pPr>
        <w:tabs>
          <w:tab w:val="left" w:pos="567"/>
        </w:tabs>
        <w:ind w:left="567" w:hanging="567"/>
      </w:pPr>
      <w:rPr>
        <w:rFonts w:hint="default"/>
      </w:rPr>
    </w:lvl>
  </w:abstractNum>
  <w:abstractNum w:abstractNumId="6">
    <w:nsid w:val="33353C8B"/>
    <w:multiLevelType w:val="multilevel"/>
    <w:tmpl w:val="33353C8B"/>
    <w:lvl w:ilvl="0" w:tentative="0">
      <w:start w:val="1"/>
      <w:numFmt w:val="lowerLetter"/>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7">
    <w:nsid w:val="383536F9"/>
    <w:multiLevelType w:val="singleLevel"/>
    <w:tmpl w:val="383536F9"/>
    <w:lvl w:ilvl="0" w:tentative="0">
      <w:start w:val="1"/>
      <w:numFmt w:val="decimal"/>
      <w:lvlText w:val="%1."/>
      <w:lvlJc w:val="left"/>
      <w:pPr>
        <w:ind w:left="425" w:hanging="425"/>
      </w:pPr>
      <w:rPr>
        <w:rFonts w:hint="default"/>
      </w:rPr>
    </w:lvl>
  </w:abstractNum>
  <w:abstractNum w:abstractNumId="8">
    <w:nsid w:val="7C5A8E20"/>
    <w:multiLevelType w:val="singleLevel"/>
    <w:tmpl w:val="7C5A8E20"/>
    <w:lvl w:ilvl="0" w:tentative="0">
      <w:start w:val="1"/>
      <w:numFmt w:val="decimal"/>
      <w:suff w:val="nothing"/>
      <w:lvlText w:val="%1）"/>
      <w:lvlJc w:val="left"/>
    </w:lvl>
  </w:abstractNum>
  <w:num w:numId="1">
    <w:abstractNumId w:val="5"/>
  </w:num>
  <w:num w:numId="2">
    <w:abstractNumId w:val="3"/>
  </w:num>
  <w:num w:numId="3">
    <w:abstractNumId w:val="7"/>
  </w:num>
  <w:num w:numId="4">
    <w:abstractNumId w:val="6"/>
  </w:num>
  <w:num w:numId="5">
    <w:abstractNumId w:val="2"/>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2C"/>
    <w:rsid w:val="000044E0"/>
    <w:rsid w:val="000076EB"/>
    <w:rsid w:val="00040F63"/>
    <w:rsid w:val="00073389"/>
    <w:rsid w:val="00087D76"/>
    <w:rsid w:val="00087F3D"/>
    <w:rsid w:val="000B1A0B"/>
    <w:rsid w:val="000B4F8A"/>
    <w:rsid w:val="000C4F62"/>
    <w:rsid w:val="000E1343"/>
    <w:rsid w:val="000E6039"/>
    <w:rsid w:val="00160E9C"/>
    <w:rsid w:val="00187256"/>
    <w:rsid w:val="00191EF7"/>
    <w:rsid w:val="001A73DF"/>
    <w:rsid w:val="001B6379"/>
    <w:rsid w:val="001E3AE4"/>
    <w:rsid w:val="001E4ADB"/>
    <w:rsid w:val="002153A5"/>
    <w:rsid w:val="00225A93"/>
    <w:rsid w:val="002731BE"/>
    <w:rsid w:val="00280CC7"/>
    <w:rsid w:val="00291FD3"/>
    <w:rsid w:val="002D2F52"/>
    <w:rsid w:val="0036478D"/>
    <w:rsid w:val="0039306B"/>
    <w:rsid w:val="00397854"/>
    <w:rsid w:val="003D3312"/>
    <w:rsid w:val="003D4D0E"/>
    <w:rsid w:val="003E288B"/>
    <w:rsid w:val="003E4139"/>
    <w:rsid w:val="00407752"/>
    <w:rsid w:val="004157FC"/>
    <w:rsid w:val="00424390"/>
    <w:rsid w:val="00441E74"/>
    <w:rsid w:val="00450F51"/>
    <w:rsid w:val="00472011"/>
    <w:rsid w:val="00475A66"/>
    <w:rsid w:val="00477194"/>
    <w:rsid w:val="004A66B6"/>
    <w:rsid w:val="004A7664"/>
    <w:rsid w:val="004A77F2"/>
    <w:rsid w:val="004B60BC"/>
    <w:rsid w:val="004E19D3"/>
    <w:rsid w:val="004E3E2C"/>
    <w:rsid w:val="00520CE4"/>
    <w:rsid w:val="00521136"/>
    <w:rsid w:val="00531C75"/>
    <w:rsid w:val="0056144E"/>
    <w:rsid w:val="00562B6F"/>
    <w:rsid w:val="00563959"/>
    <w:rsid w:val="0058462C"/>
    <w:rsid w:val="00595133"/>
    <w:rsid w:val="005E3049"/>
    <w:rsid w:val="0061794C"/>
    <w:rsid w:val="006534FA"/>
    <w:rsid w:val="00665C6E"/>
    <w:rsid w:val="006C2C6C"/>
    <w:rsid w:val="006E0EDE"/>
    <w:rsid w:val="006F618D"/>
    <w:rsid w:val="00731524"/>
    <w:rsid w:val="007476AB"/>
    <w:rsid w:val="007963B2"/>
    <w:rsid w:val="007A2364"/>
    <w:rsid w:val="007B52C4"/>
    <w:rsid w:val="007B6404"/>
    <w:rsid w:val="008379ED"/>
    <w:rsid w:val="008A6326"/>
    <w:rsid w:val="0091771A"/>
    <w:rsid w:val="00940CFE"/>
    <w:rsid w:val="00955FB2"/>
    <w:rsid w:val="009B4EA0"/>
    <w:rsid w:val="009C2191"/>
    <w:rsid w:val="009E02A0"/>
    <w:rsid w:val="009F0FA9"/>
    <w:rsid w:val="00A140D2"/>
    <w:rsid w:val="00A2290E"/>
    <w:rsid w:val="00AA483E"/>
    <w:rsid w:val="00B2206F"/>
    <w:rsid w:val="00B4682F"/>
    <w:rsid w:val="00B621FF"/>
    <w:rsid w:val="00B822D1"/>
    <w:rsid w:val="00B840C9"/>
    <w:rsid w:val="00BB5A4A"/>
    <w:rsid w:val="00C70E91"/>
    <w:rsid w:val="00CB3315"/>
    <w:rsid w:val="00CB6556"/>
    <w:rsid w:val="00CC2A20"/>
    <w:rsid w:val="00CD58F7"/>
    <w:rsid w:val="00D03841"/>
    <w:rsid w:val="00D2171E"/>
    <w:rsid w:val="00D2579F"/>
    <w:rsid w:val="00D56F82"/>
    <w:rsid w:val="00D866AC"/>
    <w:rsid w:val="00DB0291"/>
    <w:rsid w:val="00DE6BD6"/>
    <w:rsid w:val="00E16229"/>
    <w:rsid w:val="00E42666"/>
    <w:rsid w:val="00E8558C"/>
    <w:rsid w:val="00EE638D"/>
    <w:rsid w:val="00F0154B"/>
    <w:rsid w:val="00F14FCF"/>
    <w:rsid w:val="00F24C99"/>
    <w:rsid w:val="00F30FF5"/>
    <w:rsid w:val="00F32534"/>
    <w:rsid w:val="00F51B54"/>
    <w:rsid w:val="00FB01FD"/>
    <w:rsid w:val="00FB7F69"/>
    <w:rsid w:val="0130330B"/>
    <w:rsid w:val="01742D8F"/>
    <w:rsid w:val="01921AA3"/>
    <w:rsid w:val="01E65CA9"/>
    <w:rsid w:val="021F07B1"/>
    <w:rsid w:val="02AA072A"/>
    <w:rsid w:val="03537505"/>
    <w:rsid w:val="03D43630"/>
    <w:rsid w:val="0477630A"/>
    <w:rsid w:val="04CF771D"/>
    <w:rsid w:val="068F69D2"/>
    <w:rsid w:val="06C248A3"/>
    <w:rsid w:val="076631B2"/>
    <w:rsid w:val="07705CC0"/>
    <w:rsid w:val="08532E9F"/>
    <w:rsid w:val="09E3672B"/>
    <w:rsid w:val="0A1B3473"/>
    <w:rsid w:val="0A4A5BF8"/>
    <w:rsid w:val="0AA47F47"/>
    <w:rsid w:val="0AC85A0C"/>
    <w:rsid w:val="0AFD1714"/>
    <w:rsid w:val="0B553428"/>
    <w:rsid w:val="0B796AE0"/>
    <w:rsid w:val="0C3F12C2"/>
    <w:rsid w:val="0CB95777"/>
    <w:rsid w:val="0D583AF2"/>
    <w:rsid w:val="0D8A7B44"/>
    <w:rsid w:val="0DA925F8"/>
    <w:rsid w:val="0DC71BA8"/>
    <w:rsid w:val="0E837D5C"/>
    <w:rsid w:val="0E8F48E3"/>
    <w:rsid w:val="0F0B47BD"/>
    <w:rsid w:val="0F3F5F11"/>
    <w:rsid w:val="0F45125C"/>
    <w:rsid w:val="10B9797C"/>
    <w:rsid w:val="118D31D7"/>
    <w:rsid w:val="1217313B"/>
    <w:rsid w:val="1322106F"/>
    <w:rsid w:val="13324B8D"/>
    <w:rsid w:val="134306AA"/>
    <w:rsid w:val="138954DD"/>
    <w:rsid w:val="13C34C6E"/>
    <w:rsid w:val="143516C6"/>
    <w:rsid w:val="14F12AE9"/>
    <w:rsid w:val="14FB79FC"/>
    <w:rsid w:val="150A4ED1"/>
    <w:rsid w:val="15543354"/>
    <w:rsid w:val="158C5C66"/>
    <w:rsid w:val="15DF7BB5"/>
    <w:rsid w:val="16A21031"/>
    <w:rsid w:val="16B71ED0"/>
    <w:rsid w:val="172E1E29"/>
    <w:rsid w:val="174D6C7D"/>
    <w:rsid w:val="174E6F4B"/>
    <w:rsid w:val="178570A5"/>
    <w:rsid w:val="17D117AE"/>
    <w:rsid w:val="185C4160"/>
    <w:rsid w:val="18B07A8C"/>
    <w:rsid w:val="19097221"/>
    <w:rsid w:val="197E4C62"/>
    <w:rsid w:val="19A31B28"/>
    <w:rsid w:val="19AD7900"/>
    <w:rsid w:val="19B4513C"/>
    <w:rsid w:val="19F90A68"/>
    <w:rsid w:val="1A264176"/>
    <w:rsid w:val="1A8564A7"/>
    <w:rsid w:val="1AB75C63"/>
    <w:rsid w:val="1B0D536D"/>
    <w:rsid w:val="1B1A7F06"/>
    <w:rsid w:val="1B8A3A3D"/>
    <w:rsid w:val="1C24629F"/>
    <w:rsid w:val="1C332BD1"/>
    <w:rsid w:val="1C9A167C"/>
    <w:rsid w:val="1C9D2C82"/>
    <w:rsid w:val="1D767D65"/>
    <w:rsid w:val="1DC27E83"/>
    <w:rsid w:val="1E8B3BA5"/>
    <w:rsid w:val="1E9F5249"/>
    <w:rsid w:val="1EA809F8"/>
    <w:rsid w:val="1EAA6E5D"/>
    <w:rsid w:val="1EAE4D77"/>
    <w:rsid w:val="1F386A75"/>
    <w:rsid w:val="1F552669"/>
    <w:rsid w:val="1FD50B49"/>
    <w:rsid w:val="2080575F"/>
    <w:rsid w:val="20847FAD"/>
    <w:rsid w:val="20B112FE"/>
    <w:rsid w:val="21274C73"/>
    <w:rsid w:val="22703D10"/>
    <w:rsid w:val="2363679C"/>
    <w:rsid w:val="237F78E9"/>
    <w:rsid w:val="243E5205"/>
    <w:rsid w:val="247268A5"/>
    <w:rsid w:val="25745CC6"/>
    <w:rsid w:val="25795E86"/>
    <w:rsid w:val="25A83A70"/>
    <w:rsid w:val="25D565A0"/>
    <w:rsid w:val="260F767F"/>
    <w:rsid w:val="26F9507E"/>
    <w:rsid w:val="27FD1429"/>
    <w:rsid w:val="281A1CFA"/>
    <w:rsid w:val="28461C9C"/>
    <w:rsid w:val="28C723D8"/>
    <w:rsid w:val="28DD6518"/>
    <w:rsid w:val="296C2904"/>
    <w:rsid w:val="2970130A"/>
    <w:rsid w:val="29A739E3"/>
    <w:rsid w:val="29AE1D19"/>
    <w:rsid w:val="2B3272FF"/>
    <w:rsid w:val="2BA769AB"/>
    <w:rsid w:val="2C0F5C02"/>
    <w:rsid w:val="2CA50E4D"/>
    <w:rsid w:val="2CB3323C"/>
    <w:rsid w:val="2D4A69CF"/>
    <w:rsid w:val="2D585AA4"/>
    <w:rsid w:val="2E7C5806"/>
    <w:rsid w:val="2E8C546A"/>
    <w:rsid w:val="2EA53E15"/>
    <w:rsid w:val="2ECF4C5A"/>
    <w:rsid w:val="2EF9001C"/>
    <w:rsid w:val="2F540736"/>
    <w:rsid w:val="2FA22A33"/>
    <w:rsid w:val="2FAE6846"/>
    <w:rsid w:val="30806B9E"/>
    <w:rsid w:val="30F00600"/>
    <w:rsid w:val="31044BF9"/>
    <w:rsid w:val="314F7066"/>
    <w:rsid w:val="31CB797C"/>
    <w:rsid w:val="32ED738E"/>
    <w:rsid w:val="33406722"/>
    <w:rsid w:val="34F10AB4"/>
    <w:rsid w:val="3507280B"/>
    <w:rsid w:val="35D466DB"/>
    <w:rsid w:val="36044CAC"/>
    <w:rsid w:val="36194C51"/>
    <w:rsid w:val="36350CFE"/>
    <w:rsid w:val="36363970"/>
    <w:rsid w:val="367476D4"/>
    <w:rsid w:val="36992FA1"/>
    <w:rsid w:val="37036DCD"/>
    <w:rsid w:val="3720417F"/>
    <w:rsid w:val="378E6282"/>
    <w:rsid w:val="37DD7DB5"/>
    <w:rsid w:val="38A07AF3"/>
    <w:rsid w:val="38A75F00"/>
    <w:rsid w:val="38CC3D46"/>
    <w:rsid w:val="395562DD"/>
    <w:rsid w:val="39A46653"/>
    <w:rsid w:val="3AEF3EC0"/>
    <w:rsid w:val="3B4300C7"/>
    <w:rsid w:val="3C9541F0"/>
    <w:rsid w:val="3DEC38A8"/>
    <w:rsid w:val="3E7423E9"/>
    <w:rsid w:val="3F3106BC"/>
    <w:rsid w:val="3F736BA7"/>
    <w:rsid w:val="3FF47338"/>
    <w:rsid w:val="400D1324"/>
    <w:rsid w:val="411D1161"/>
    <w:rsid w:val="41BE746C"/>
    <w:rsid w:val="423908C8"/>
    <w:rsid w:val="427C0D3E"/>
    <w:rsid w:val="436275FE"/>
    <w:rsid w:val="43B93F3B"/>
    <w:rsid w:val="43BD5DE5"/>
    <w:rsid w:val="43D00CDD"/>
    <w:rsid w:val="43DF479F"/>
    <w:rsid w:val="446F27D2"/>
    <w:rsid w:val="44C77869"/>
    <w:rsid w:val="45192C6B"/>
    <w:rsid w:val="45A40651"/>
    <w:rsid w:val="460A1746"/>
    <w:rsid w:val="469730DC"/>
    <w:rsid w:val="4757351A"/>
    <w:rsid w:val="47D86361"/>
    <w:rsid w:val="482C0F74"/>
    <w:rsid w:val="48D3628A"/>
    <w:rsid w:val="49DA489D"/>
    <w:rsid w:val="4A171380"/>
    <w:rsid w:val="4ADB717D"/>
    <w:rsid w:val="4B8841F9"/>
    <w:rsid w:val="4BB949C8"/>
    <w:rsid w:val="4BF87D30"/>
    <w:rsid w:val="4C714177"/>
    <w:rsid w:val="4C9743B6"/>
    <w:rsid w:val="4D3D691B"/>
    <w:rsid w:val="4D85353E"/>
    <w:rsid w:val="4DA4631A"/>
    <w:rsid w:val="4DE343D9"/>
    <w:rsid w:val="4E1216A5"/>
    <w:rsid w:val="4E37780E"/>
    <w:rsid w:val="4EDB26C0"/>
    <w:rsid w:val="4F200516"/>
    <w:rsid w:val="4F8050FF"/>
    <w:rsid w:val="4F8A5A0E"/>
    <w:rsid w:val="4FA252B3"/>
    <w:rsid w:val="4FC819A1"/>
    <w:rsid w:val="50997DCA"/>
    <w:rsid w:val="50B15470"/>
    <w:rsid w:val="5154650A"/>
    <w:rsid w:val="51A80628"/>
    <w:rsid w:val="51F56358"/>
    <w:rsid w:val="52016097"/>
    <w:rsid w:val="52324668"/>
    <w:rsid w:val="523E5EFC"/>
    <w:rsid w:val="528C3644"/>
    <w:rsid w:val="52AF2D38"/>
    <w:rsid w:val="5395115F"/>
    <w:rsid w:val="540867EC"/>
    <w:rsid w:val="544A4CD7"/>
    <w:rsid w:val="54B821BB"/>
    <w:rsid w:val="54C02717"/>
    <w:rsid w:val="5511121D"/>
    <w:rsid w:val="55171F21"/>
    <w:rsid w:val="55481377"/>
    <w:rsid w:val="55591196"/>
    <w:rsid w:val="55866C5D"/>
    <w:rsid w:val="560E36BE"/>
    <w:rsid w:val="56743063"/>
    <w:rsid w:val="571E6347"/>
    <w:rsid w:val="57A56C58"/>
    <w:rsid w:val="58CC7D3F"/>
    <w:rsid w:val="5949510A"/>
    <w:rsid w:val="5991071A"/>
    <w:rsid w:val="5A036F9A"/>
    <w:rsid w:val="5A3F439D"/>
    <w:rsid w:val="5A8B6A1B"/>
    <w:rsid w:val="5B856C33"/>
    <w:rsid w:val="5BAA534A"/>
    <w:rsid w:val="5CAB2299"/>
    <w:rsid w:val="5D616F17"/>
    <w:rsid w:val="5E19466D"/>
    <w:rsid w:val="5EF262C5"/>
    <w:rsid w:val="5F6040EE"/>
    <w:rsid w:val="5F9D6E00"/>
    <w:rsid w:val="5FDF6558"/>
    <w:rsid w:val="6136238C"/>
    <w:rsid w:val="621B58E9"/>
    <w:rsid w:val="623E733C"/>
    <w:rsid w:val="62C7181E"/>
    <w:rsid w:val="63627701"/>
    <w:rsid w:val="656971AA"/>
    <w:rsid w:val="6581370F"/>
    <w:rsid w:val="65A50952"/>
    <w:rsid w:val="6602326A"/>
    <w:rsid w:val="670A7BAD"/>
    <w:rsid w:val="67655E80"/>
    <w:rsid w:val="678C2D71"/>
    <w:rsid w:val="68400296"/>
    <w:rsid w:val="6857373E"/>
    <w:rsid w:val="68CB7E7A"/>
    <w:rsid w:val="68E17E1F"/>
    <w:rsid w:val="69393D31"/>
    <w:rsid w:val="694036BC"/>
    <w:rsid w:val="6AA33303"/>
    <w:rsid w:val="6ADA7BDA"/>
    <w:rsid w:val="6B50529A"/>
    <w:rsid w:val="6C557385"/>
    <w:rsid w:val="6D016E51"/>
    <w:rsid w:val="6D1F3697"/>
    <w:rsid w:val="6DD2313B"/>
    <w:rsid w:val="6E33111D"/>
    <w:rsid w:val="6E6404AB"/>
    <w:rsid w:val="6EDB7BE0"/>
    <w:rsid w:val="6EE444CC"/>
    <w:rsid w:val="6F085736"/>
    <w:rsid w:val="6F2E7B74"/>
    <w:rsid w:val="6F98581A"/>
    <w:rsid w:val="6FD54E8A"/>
    <w:rsid w:val="706C0880"/>
    <w:rsid w:val="706D3B71"/>
    <w:rsid w:val="70C20AB3"/>
    <w:rsid w:val="70E1247B"/>
    <w:rsid w:val="71772037"/>
    <w:rsid w:val="718A3256"/>
    <w:rsid w:val="721076A9"/>
    <w:rsid w:val="728C787F"/>
    <w:rsid w:val="72FA191D"/>
    <w:rsid w:val="73341F8D"/>
    <w:rsid w:val="742E3CEB"/>
    <w:rsid w:val="74715218"/>
    <w:rsid w:val="74C75987"/>
    <w:rsid w:val="74DC2584"/>
    <w:rsid w:val="74F963F6"/>
    <w:rsid w:val="753D3667"/>
    <w:rsid w:val="75B545AA"/>
    <w:rsid w:val="760B1736"/>
    <w:rsid w:val="76760848"/>
    <w:rsid w:val="76B179AC"/>
    <w:rsid w:val="76F6043A"/>
    <w:rsid w:val="778F4E5C"/>
    <w:rsid w:val="779D6649"/>
    <w:rsid w:val="77C63091"/>
    <w:rsid w:val="78206C22"/>
    <w:rsid w:val="797A39DC"/>
    <w:rsid w:val="79BA639E"/>
    <w:rsid w:val="79D4756E"/>
    <w:rsid w:val="7A074075"/>
    <w:rsid w:val="7A4430A5"/>
    <w:rsid w:val="7A9569E9"/>
    <w:rsid w:val="7AF918CE"/>
    <w:rsid w:val="7B82052E"/>
    <w:rsid w:val="7B8D7D3C"/>
    <w:rsid w:val="7BD87CB7"/>
    <w:rsid w:val="7C467372"/>
    <w:rsid w:val="7C8E2FEA"/>
    <w:rsid w:val="7D0A3EE3"/>
    <w:rsid w:val="7D6903CE"/>
    <w:rsid w:val="7D815A75"/>
    <w:rsid w:val="7DD863AA"/>
    <w:rsid w:val="7E4B2F3F"/>
    <w:rsid w:val="7E672870"/>
    <w:rsid w:val="7E774F1C"/>
    <w:rsid w:val="7EF503B8"/>
    <w:rsid w:val="7F874EC5"/>
    <w:rsid w:val="7FE3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4"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31"/>
    <w:unhideWhenUsed/>
    <w:qFormat/>
    <w:uiPriority w:val="9"/>
    <w:pPr>
      <w:keepNext/>
      <w:keepLines/>
      <w:spacing w:before="260" w:after="260"/>
      <w:ind w:right="5" w:rightChars="5"/>
      <w:jc w:val="left"/>
      <w:outlineLvl w:val="1"/>
    </w:pPr>
    <w:rPr>
      <w:rFonts w:ascii="Cambria" w:hAnsi="Cambria" w:eastAsia="微软雅黑" w:cs="Times New Roman"/>
      <w:bCs/>
      <w:kern w:val="0"/>
      <w:sz w:val="32"/>
      <w:szCs w:val="32"/>
      <w:lang w:val="zh-CN" w:eastAsia="en-US"/>
    </w:rPr>
  </w:style>
  <w:style w:type="paragraph" w:styleId="5">
    <w:name w:val="heading 4"/>
    <w:basedOn w:val="1"/>
    <w:next w:val="6"/>
    <w:qFormat/>
    <w:uiPriority w:val="4"/>
    <w:pPr>
      <w:numPr>
        <w:ilvl w:val="3"/>
        <w:numId w:val="1"/>
      </w:numPr>
      <w:spacing w:line="360" w:lineRule="auto"/>
      <w:ind w:left="565" w:hanging="565"/>
      <w:outlineLvl w:val="3"/>
    </w:pPr>
    <w:rPr>
      <w:rFonts w:eastAsia="黑体"/>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默认段落字体 Para Char"/>
    <w:basedOn w:val="3"/>
    <w:next w:val="1"/>
    <w:qFormat/>
    <w:uiPriority w:val="0"/>
    <w:pPr>
      <w:spacing w:line="360" w:lineRule="auto"/>
      <w:ind w:firstLine="720" w:firstLineChars="200"/>
      <w:jc w:val="left"/>
    </w:pPr>
    <w:rPr>
      <w:rFonts w:eastAsia="仿宋"/>
      <w:kern w:val="10"/>
      <w:sz w:val="24"/>
      <w:szCs w:val="28"/>
    </w:rPr>
  </w:style>
  <w:style w:type="paragraph" w:customStyle="1" w:styleId="3">
    <w:name w:val="Normal_1"/>
    <w:next w:val="2"/>
    <w:qFormat/>
    <w:uiPriority w:val="0"/>
    <w:rPr>
      <w:rFonts w:ascii="Times New Roman" w:hAnsi="Times New Roman" w:eastAsia="Times New Roman" w:cs="Times New Roman"/>
      <w:sz w:val="24"/>
      <w:szCs w:val="24"/>
    </w:rPr>
  </w:style>
  <w:style w:type="paragraph" w:styleId="6">
    <w:name w:val="Body Text"/>
    <w:basedOn w:val="1"/>
    <w:link w:val="34"/>
    <w:qFormat/>
    <w:uiPriority w:val="1"/>
    <w:pPr>
      <w:ind w:left="100" w:right="5" w:rightChars="5"/>
      <w:jc w:val="left"/>
    </w:pPr>
    <w:rPr>
      <w:rFonts w:ascii="Noto Sans CJK DemiLight" w:hAnsi="Noto Sans CJK DemiLight" w:eastAsia="Noto Sans CJK DemiLight" w:cs="Times New Roman"/>
      <w:kern w:val="0"/>
      <w:szCs w:val="21"/>
      <w:lang w:val="zh-CN" w:eastAsia="en-US"/>
    </w:rPr>
  </w:style>
  <w:style w:type="paragraph" w:styleId="7">
    <w:name w:val="annotation text"/>
    <w:basedOn w:val="1"/>
    <w:link w:val="21"/>
    <w:unhideWhenUsed/>
    <w:qFormat/>
    <w:uiPriority w:val="99"/>
    <w:pPr>
      <w:jc w:val="left"/>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8"/>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34"/>
    <w:pPr>
      <w:widowControl/>
      <w:ind w:firstLine="420"/>
    </w:pPr>
    <w:rPr>
      <w:rFonts w:ascii="Calibri" w:hAnsi="Calibri" w:eastAsia="宋体" w:cs="Calibri"/>
      <w:kern w:val="0"/>
      <w:szCs w:val="21"/>
    </w:rPr>
  </w:style>
  <w:style w:type="character" w:customStyle="1" w:styleId="18">
    <w:name w:val="页眉 字符"/>
    <w:basedOn w:val="14"/>
    <w:link w:val="10"/>
    <w:qFormat/>
    <w:uiPriority w:val="0"/>
    <w:rPr>
      <w:sz w:val="18"/>
      <w:szCs w:val="18"/>
    </w:rPr>
  </w:style>
  <w:style w:type="character" w:customStyle="1" w:styleId="19">
    <w:name w:val="页脚 字符"/>
    <w:basedOn w:val="14"/>
    <w:link w:val="9"/>
    <w:qFormat/>
    <w:uiPriority w:val="99"/>
    <w:rPr>
      <w:sz w:val="18"/>
      <w:szCs w:val="18"/>
    </w:rPr>
  </w:style>
  <w:style w:type="character" w:customStyle="1" w:styleId="20">
    <w:name w:val="批注框文本 字符"/>
    <w:basedOn w:val="14"/>
    <w:link w:val="8"/>
    <w:semiHidden/>
    <w:qFormat/>
    <w:uiPriority w:val="99"/>
    <w:rPr>
      <w:sz w:val="18"/>
      <w:szCs w:val="18"/>
    </w:rPr>
  </w:style>
  <w:style w:type="character" w:customStyle="1" w:styleId="21">
    <w:name w:val="批注文字 字符"/>
    <w:basedOn w:val="14"/>
    <w:link w:val="7"/>
    <w:qFormat/>
    <w:uiPriority w:val="99"/>
  </w:style>
  <w:style w:type="paragraph" w:customStyle="1" w:styleId="22">
    <w:name w:val="Table Paragraph"/>
    <w:basedOn w:val="1"/>
    <w:qFormat/>
    <w:uiPriority w:val="0"/>
    <w:pPr>
      <w:jc w:val="left"/>
    </w:pPr>
    <w:rPr>
      <w:kern w:val="0"/>
      <w:sz w:val="22"/>
      <w:lang w:eastAsia="en-US"/>
    </w:rPr>
  </w:style>
  <w:style w:type="paragraph" w:customStyle="1" w:styleId="23">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24">
    <w:name w:val="font41"/>
    <w:basedOn w:val="14"/>
    <w:qFormat/>
    <w:uiPriority w:val="0"/>
    <w:rPr>
      <w:rFonts w:hint="eastAsia" w:ascii="微软雅黑" w:hAnsi="微软雅黑" w:eastAsia="微软雅黑" w:cs="微软雅黑"/>
      <w:b/>
      <w:bCs/>
      <w:color w:val="FF0000"/>
      <w:sz w:val="16"/>
      <w:szCs w:val="16"/>
      <w:u w:val="none"/>
    </w:rPr>
  </w:style>
  <w:style w:type="character" w:customStyle="1" w:styleId="25">
    <w:name w:val="font51"/>
    <w:basedOn w:val="14"/>
    <w:qFormat/>
    <w:uiPriority w:val="0"/>
    <w:rPr>
      <w:rFonts w:hint="eastAsia" w:ascii="微软雅黑" w:hAnsi="微软雅黑" w:eastAsia="微软雅黑" w:cs="微软雅黑"/>
      <w:color w:val="000000"/>
      <w:sz w:val="16"/>
      <w:szCs w:val="16"/>
      <w:u w:val="none"/>
    </w:rPr>
  </w:style>
  <w:style w:type="character" w:customStyle="1" w:styleId="26">
    <w:name w:val="font21"/>
    <w:basedOn w:val="14"/>
    <w:qFormat/>
    <w:uiPriority w:val="0"/>
    <w:rPr>
      <w:rFonts w:hint="eastAsia" w:ascii="微软雅黑" w:hAnsi="微软雅黑" w:eastAsia="微软雅黑" w:cs="微软雅黑"/>
      <w:color w:val="000000"/>
      <w:sz w:val="16"/>
      <w:szCs w:val="16"/>
      <w:u w:val="none"/>
    </w:rPr>
  </w:style>
  <w:style w:type="character" w:customStyle="1" w:styleId="27">
    <w:name w:val="font61"/>
    <w:basedOn w:val="14"/>
    <w:qFormat/>
    <w:uiPriority w:val="0"/>
    <w:rPr>
      <w:rFonts w:hint="eastAsia" w:ascii="微软雅黑" w:hAnsi="微软雅黑" w:eastAsia="微软雅黑" w:cs="微软雅黑"/>
      <w:color w:val="FF0000"/>
      <w:sz w:val="16"/>
      <w:szCs w:val="16"/>
      <w:u w:val="none"/>
    </w:rPr>
  </w:style>
  <w:style w:type="character" w:customStyle="1" w:styleId="28">
    <w:name w:val="批注主题 字符"/>
    <w:basedOn w:val="21"/>
    <w:link w:val="11"/>
    <w:semiHidden/>
    <w:qFormat/>
    <w:uiPriority w:val="99"/>
    <w:rPr>
      <w:rFonts w:asciiTheme="minorHAnsi" w:hAnsiTheme="minorHAnsi" w:eastAsiaTheme="minorEastAsia" w:cstheme="minorBidi"/>
      <w:b/>
      <w:bCs/>
      <w:kern w:val="2"/>
      <w:sz w:val="21"/>
      <w:szCs w:val="22"/>
    </w:rPr>
  </w:style>
  <w:style w:type="paragraph" w:customStyle="1" w:styleId="2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0">
    <w:name w:val="标题 2 字符"/>
    <w:basedOn w:val="14"/>
    <w:semiHidden/>
    <w:qFormat/>
    <w:uiPriority w:val="9"/>
    <w:rPr>
      <w:rFonts w:asciiTheme="majorHAnsi" w:hAnsiTheme="majorHAnsi" w:eastAsiaTheme="majorEastAsia" w:cstheme="majorBidi"/>
      <w:b/>
      <w:bCs/>
      <w:kern w:val="2"/>
      <w:sz w:val="32"/>
      <w:szCs w:val="32"/>
    </w:rPr>
  </w:style>
  <w:style w:type="character" w:customStyle="1" w:styleId="31">
    <w:name w:val="标题 2 字符1"/>
    <w:link w:val="4"/>
    <w:qFormat/>
    <w:uiPriority w:val="9"/>
    <w:rPr>
      <w:rFonts w:ascii="Cambria" w:hAnsi="Cambria" w:eastAsia="微软雅黑"/>
      <w:bCs/>
      <w:sz w:val="32"/>
      <w:szCs w:val="32"/>
      <w:lang w:val="zh-CN" w:eastAsia="en-US"/>
    </w:rPr>
  </w:style>
  <w:style w:type="character" w:customStyle="1" w:styleId="32">
    <w:name w:val="正文文本 字符"/>
    <w:basedOn w:val="14"/>
    <w:semiHidden/>
    <w:qFormat/>
    <w:uiPriority w:val="99"/>
    <w:rPr>
      <w:rFonts w:asciiTheme="minorHAnsi" w:hAnsiTheme="minorHAnsi" w:eastAsiaTheme="minorEastAsia" w:cstheme="minorBidi"/>
      <w:kern w:val="2"/>
      <w:sz w:val="21"/>
      <w:szCs w:val="22"/>
    </w:rPr>
  </w:style>
  <w:style w:type="paragraph" w:customStyle="1" w:styleId="33">
    <w:name w:val="Normal_0"/>
    <w:qFormat/>
    <w:uiPriority w:val="0"/>
    <w:rPr>
      <w:rFonts w:ascii="Times New Roman" w:hAnsi="Times New Roman" w:eastAsia="Times New Roman" w:cs="Times New Roman"/>
      <w:sz w:val="24"/>
      <w:szCs w:val="24"/>
      <w:lang w:val="en-US" w:eastAsia="zh-CN" w:bidi="ar-SA"/>
    </w:rPr>
  </w:style>
  <w:style w:type="character" w:customStyle="1" w:styleId="34">
    <w:name w:val="正文文本 字符1"/>
    <w:link w:val="6"/>
    <w:qFormat/>
    <w:uiPriority w:val="1"/>
    <w:rPr>
      <w:rFonts w:ascii="Noto Sans CJK DemiLight" w:hAnsi="Noto Sans CJK DemiLight" w:eastAsia="Noto Sans CJK DemiLight"/>
      <w:sz w:val="21"/>
      <w:szCs w:val="21"/>
      <w:lang w:val="zh-CN"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1627</Words>
  <Characters>9275</Characters>
  <Lines>77</Lines>
  <Paragraphs>21</Paragraphs>
  <TotalTime>1</TotalTime>
  <ScaleCrop>false</ScaleCrop>
  <LinksUpToDate>false</LinksUpToDate>
  <CharactersWithSpaces>10881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2022-04-01T00:52:00Z</dcterms:created>
  <dc:creator>李津</dc:creator>
  <cp:lastModifiedBy>lishl7</cp:lastModifiedBy>
  <cp:lastPrinted>2020-12-03T06:05:00Z</cp:lastPrinted>
  <dcterms:modified xsi:type="dcterms:W3CDTF">2025-08-27T07:12:51Z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C33214CC58A5453F81B9ABC95292146E</vt:lpwstr>
  </property>
</Properties>
</file>