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80"/>
          <w:sz w:val="20"/>
          <w:highlight w:val="cyan"/>
          <w:lang w:val="zh-CN"/>
        </w:rPr>
      </w:pPr>
      <w:bookmarkStart w:id="0" w:name="EBd0c1b2c897364fc6b545563a9c9f821b"/>
      <w:bookmarkStart w:id="1" w:name="_Toc77852167"/>
      <w:bookmarkStart w:id="2" w:name="_Toc36208623"/>
      <w:bookmarkStart w:id="3" w:name="_Toc77851049"/>
      <w:bookmarkStart w:id="4" w:name="_Toc418757372"/>
      <w:bookmarkStart w:id="5" w:name="_Toc471809056"/>
      <w:bookmarkStart w:id="6" w:name="_Toc36214154"/>
      <w:bookmarkStart w:id="7" w:name="_Toc471812626"/>
      <w:bookmarkStart w:id="8" w:name="_Toc417478521"/>
      <w:bookmarkStart w:id="9" w:name="_Toc471811436"/>
      <w:bookmarkStart w:id="10" w:name="_Toc471809121"/>
      <w:r>
        <w:rPr>
          <w:rFonts w:hint="eastAsia"/>
          <w:color w:val="000000"/>
          <w:sz w:val="20"/>
          <w:highlight w:val="white"/>
          <w:lang w:val="zh-CN"/>
        </w:rPr>
        <w:t xml:space="preserve"> </w:t>
      </w:r>
      <w:bookmarkEnd w:id="0"/>
      <w:bookmarkStart w:id="11" w:name="EBd25fa45e49e64950aeedb902c8cddc06"/>
      <w:r>
        <w:rPr>
          <w:rFonts w:hint="eastAsia"/>
          <w:color w:val="000000"/>
          <w:sz w:val="20"/>
          <w:highlight w:val="white"/>
          <w:lang w:val="zh-CN"/>
        </w:rPr>
        <w:t xml:space="preserve"> </w:t>
      </w:r>
      <w:bookmarkEnd w:id="11"/>
    </w:p>
    <w:p>
      <w:pPr>
        <w:rPr>
          <w:lang w:val="zh-CN"/>
        </w:rPr>
      </w:pPr>
    </w:p>
    <w:p>
      <w:pPr>
        <w:spacing w:line="360" w:lineRule="auto"/>
        <w:jc w:val="center"/>
        <w:rPr>
          <w:rFonts w:ascii="宋体" w:hAnsi="宋体"/>
          <w:b/>
          <w:bCs/>
          <w:color w:val="000000"/>
          <w:sz w:val="52"/>
          <w:szCs w:val="52"/>
          <w:highlight w:val="white"/>
          <w:lang w:val="zh-CN"/>
        </w:rPr>
      </w:pPr>
      <w:r>
        <w:rPr>
          <w:rFonts w:hint="eastAsia" w:ascii="宋体" w:hAnsi="宋体"/>
          <w:b/>
          <w:bCs/>
          <w:color w:val="000000"/>
          <w:sz w:val="52"/>
          <w:szCs w:val="52"/>
          <w:highlight w:val="white"/>
          <w:lang w:val="zh-CN"/>
        </w:rPr>
        <w:t>工程技术公司永磁系列潜油电机等物资采购专有协议--标段三</w:t>
      </w:r>
    </w:p>
    <w:p>
      <w:pPr>
        <w:spacing w:line="360" w:lineRule="auto"/>
        <w:jc w:val="center"/>
        <w:rPr>
          <w:rFonts w:ascii="宋体" w:hAnsi="宋体"/>
          <w:b/>
          <w:bCs/>
          <w:szCs w:val="21"/>
          <w:u w:val="single"/>
          <w:lang w:val="zh-CN"/>
        </w:rPr>
      </w:pPr>
    </w:p>
    <w:p>
      <w:pPr>
        <w:spacing w:line="360" w:lineRule="auto"/>
        <w:jc w:val="center"/>
        <w:rPr>
          <w:rFonts w:ascii="宋体" w:hAnsi="宋体"/>
          <w:b/>
          <w:bCs/>
          <w:sz w:val="52"/>
          <w:szCs w:val="52"/>
          <w:highlight w:val="green"/>
          <w:lang w:val="zh-CN"/>
        </w:rPr>
      </w:pPr>
      <w:bookmarkStart w:id="12" w:name="EBee07f679ebaa4fab9e7aef2a9796e49f"/>
      <w:r>
        <w:rPr>
          <w:rFonts w:hint="eastAsia" w:ascii="宋体" w:hAnsi="宋体"/>
          <w:b/>
          <w:bCs/>
          <w:color w:val="000000"/>
          <w:sz w:val="52"/>
          <w:szCs w:val="52"/>
          <w:highlight w:val="white"/>
          <w:lang w:val="zh-CN"/>
        </w:rPr>
        <w:t>公开资格预审文件</w:t>
      </w:r>
      <w:bookmarkEnd w:id="12"/>
    </w:p>
    <w:p>
      <w:pPr>
        <w:spacing w:line="360" w:lineRule="auto"/>
        <w:jc w:val="center"/>
        <w:rPr>
          <w:rFonts w:ascii="宋体" w:hAnsi="宋体"/>
          <w:b/>
          <w:bCs/>
          <w:sz w:val="52"/>
          <w:szCs w:val="52"/>
          <w:lang w:val="zh-CN"/>
        </w:rPr>
      </w:pPr>
    </w:p>
    <w:p>
      <w:pPr>
        <w:spacing w:line="360" w:lineRule="auto"/>
        <w:jc w:val="center"/>
        <w:rPr>
          <w:rFonts w:ascii="宋体" w:hAnsi="宋体"/>
          <w:i/>
          <w:szCs w:val="21"/>
        </w:rPr>
      </w:pPr>
      <w:r>
        <w:rPr>
          <w:rFonts w:hint="eastAsia" w:ascii="宋体" w:hAnsi="宋体"/>
          <w:b/>
          <w:bCs/>
          <w:color w:val="000000"/>
          <w:sz w:val="30"/>
          <w:szCs w:val="30"/>
          <w:highlight w:val="white"/>
          <w:lang w:val="zh-CN"/>
        </w:rPr>
        <w:t>标段（包）编号：</w:t>
      </w:r>
      <w:r>
        <w:rPr>
          <w:rFonts w:hint="eastAsia" w:ascii="宋体" w:hAnsi="宋体"/>
          <w:b/>
          <w:bCs/>
          <w:color w:val="000000"/>
          <w:sz w:val="30"/>
          <w:szCs w:val="30"/>
          <w:highlight w:val="none"/>
          <w:lang w:val="zh-CN"/>
        </w:rPr>
        <w:t>GK-2025-ZC-1263/01/03</w:t>
      </w: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rPr>
      </w:pPr>
      <w:r>
        <w:rPr>
          <w:rFonts w:ascii="宋体" w:hAnsi="宋体"/>
        </w:rPr>
        <w:object>
          <v:shape id="_x0000_i1025" o:spt="75" type="#_x0000_t75" style="height:81.7pt;width:91.4pt;" o:ole="t" fillcolor="#6D6D6D" filled="f" o:preferrelative="t" stroked="f" coordsize="21600,21600">
            <v:path/>
            <v:fill on="f" focussize="0,0"/>
            <v:stroke on="f" joinstyle="miter"/>
            <v:imagedata r:id="rId21" cropleft="-2204f" croptop="-1811f" cropright="-2204f" cropbottom="-1811f" o:title=""/>
            <o:lock v:ext="edit" aspectratio="t"/>
            <w10:wrap type="none"/>
            <w10:anchorlock/>
          </v:shape>
          <o:OLEObject Type="Embed" ProgID="MSDraw" ShapeID="_x0000_i1025" DrawAspect="Content" ObjectID="_1468075725" r:id="rId20">
            <o:LockedField>false</o:LockedField>
          </o:OLEObject>
        </w:object>
      </w:r>
    </w:p>
    <w:p>
      <w:pPr>
        <w:spacing w:line="360" w:lineRule="auto"/>
        <w:jc w:val="center"/>
        <w:rPr>
          <w:rFonts w:ascii="宋体" w:hAnsi="宋体"/>
        </w:rPr>
      </w:pPr>
    </w:p>
    <w:p>
      <w:pPr>
        <w:spacing w:line="360" w:lineRule="auto"/>
        <w:jc w:val="center"/>
        <w:rPr>
          <w:rFonts w:ascii="宋体" w:hAnsi="宋体"/>
        </w:rPr>
      </w:pPr>
    </w:p>
    <w:p>
      <w:pPr>
        <w:spacing w:line="360" w:lineRule="auto"/>
        <w:rPr>
          <w:rFonts w:ascii="宋体" w:hAnsi="宋体"/>
          <w:szCs w:val="21"/>
          <w:u w:val="single"/>
        </w:rPr>
      </w:pPr>
      <w:r>
        <w:rPr>
          <w:rFonts w:hint="eastAsia" w:ascii="宋体" w:hAnsi="宋体"/>
          <w:b/>
          <w:color w:val="000000"/>
          <w:sz w:val="32"/>
          <w:szCs w:val="32"/>
          <w:highlight w:val="white"/>
        </w:rPr>
        <w:t>招   标   人：</w:t>
      </w:r>
      <w:bookmarkStart w:id="13" w:name="EBb3610d2502424e91971afb4ebc0cf850"/>
      <w:r>
        <w:rPr>
          <w:rFonts w:hint="eastAsia" w:ascii="宋体" w:hAnsi="宋体"/>
          <w:b/>
          <w:color w:val="000000"/>
          <w:sz w:val="32"/>
          <w:szCs w:val="32"/>
          <w:highlight w:val="white"/>
        </w:rPr>
        <w:t>中海油能源发展股份有限公司</w:t>
      </w:r>
      <w:bookmarkEnd w:id="13"/>
    </w:p>
    <w:p>
      <w:pPr>
        <w:spacing w:line="360" w:lineRule="auto"/>
        <w:rPr>
          <w:rFonts w:ascii="宋体" w:hAnsi="宋体"/>
          <w:b/>
          <w:i/>
          <w:sz w:val="32"/>
          <w:szCs w:val="32"/>
        </w:rPr>
      </w:pPr>
    </w:p>
    <w:p>
      <w:pPr>
        <w:spacing w:line="360" w:lineRule="auto"/>
        <w:rPr>
          <w:rFonts w:ascii="宋体" w:hAnsi="宋体"/>
          <w:b/>
          <w:sz w:val="32"/>
          <w:szCs w:val="32"/>
        </w:rPr>
      </w:pPr>
      <w:r>
        <w:rPr>
          <w:rFonts w:hint="eastAsia" w:ascii="宋体" w:hAnsi="宋体"/>
          <w:b/>
          <w:color w:val="000000"/>
          <w:sz w:val="32"/>
          <w:szCs w:val="32"/>
          <w:highlight w:val="white"/>
        </w:rPr>
        <w:t>日　　　　期：</w:t>
      </w:r>
      <w:bookmarkStart w:id="14" w:name="EB41bbe033febf4ea1b8094f909ee970af"/>
      <w:r>
        <w:rPr>
          <w:rFonts w:hint="eastAsia" w:ascii="宋体" w:hAnsi="宋体"/>
          <w:b/>
          <w:color w:val="000000"/>
          <w:sz w:val="32"/>
          <w:szCs w:val="32"/>
          <w:highlight w:val="white"/>
        </w:rPr>
        <w:t>202</w:t>
      </w:r>
      <w:r>
        <w:rPr>
          <w:rFonts w:hint="eastAsia" w:ascii="宋体" w:hAnsi="宋体"/>
          <w:b/>
          <w:color w:val="000000"/>
          <w:sz w:val="32"/>
          <w:szCs w:val="32"/>
          <w:highlight w:val="white"/>
          <w:lang w:val="en-US" w:eastAsia="zh-CN"/>
        </w:rPr>
        <w:t>5</w:t>
      </w:r>
      <w:r>
        <w:rPr>
          <w:rFonts w:hint="eastAsia" w:ascii="宋体" w:hAnsi="宋体"/>
          <w:b/>
          <w:color w:val="000000"/>
          <w:sz w:val="32"/>
          <w:szCs w:val="32"/>
          <w:highlight w:val="white"/>
        </w:rPr>
        <w:t>年</w:t>
      </w:r>
      <w:r>
        <w:rPr>
          <w:rFonts w:hint="eastAsia" w:ascii="宋体" w:hAnsi="宋体"/>
          <w:b/>
          <w:color w:val="000000"/>
          <w:sz w:val="32"/>
          <w:szCs w:val="32"/>
          <w:highlight w:val="white"/>
          <w:lang w:val="en-US" w:eastAsia="zh-CN"/>
        </w:rPr>
        <w:t>5</w:t>
      </w:r>
      <w:r>
        <w:rPr>
          <w:rFonts w:hint="eastAsia" w:ascii="宋体" w:hAnsi="宋体"/>
          <w:b/>
          <w:color w:val="000000"/>
          <w:sz w:val="32"/>
          <w:szCs w:val="32"/>
          <w:highlight w:val="white"/>
        </w:rPr>
        <w:t>月</w:t>
      </w:r>
      <w:bookmarkEnd w:id="14"/>
    </w:p>
    <w:p>
      <w:pPr>
        <w:rPr>
          <w:rFonts w:ascii="宋体" w:hAnsi="宋体"/>
          <w:b/>
          <w:sz w:val="32"/>
          <w:szCs w:val="32"/>
        </w:rPr>
      </w:pPr>
    </w:p>
    <w:p/>
    <w:p>
      <w:pPr>
        <w:rPr>
          <w:color w:val="000080"/>
          <w:sz w:val="20"/>
          <w:szCs w:val="32"/>
          <w:highlight w:val="cyan"/>
        </w:rPr>
      </w:pPr>
      <w:bookmarkStart w:id="15" w:name="EBb18047ae64264505acc9a00969d1925d"/>
      <w:r>
        <w:rPr>
          <w:rFonts w:hint="eastAsia"/>
          <w:color w:val="000000"/>
          <w:sz w:val="20"/>
          <w:szCs w:val="32"/>
          <w:highlight w:val="white"/>
        </w:rPr>
        <w:t xml:space="preserve"> </w:t>
      </w:r>
      <w:bookmarkEnd w:id="15"/>
    </w:p>
    <w:p>
      <w:pPr>
        <w:rPr>
          <w:color w:val="000080"/>
          <w:sz w:val="20"/>
          <w:szCs w:val="32"/>
          <w:highlight w:val="cyan"/>
        </w:rPr>
      </w:pPr>
      <w:r>
        <w:rPr>
          <w:color w:val="000000"/>
          <w:sz w:val="20"/>
          <w:szCs w:val="32"/>
          <w:highlight w:val="white"/>
        </w:rPr>
        <w:br w:type="page"/>
      </w:r>
    </w:p>
    <w:p>
      <w:pPr>
        <w:pStyle w:val="19"/>
        <w:autoSpaceDE w:val="0"/>
        <w:autoSpaceDN w:val="0"/>
        <w:adjustRightInd w:val="0"/>
        <w:spacing w:line="360" w:lineRule="auto"/>
        <w:ind w:right="-533" w:rightChars="-254"/>
        <w:jc w:val="center"/>
        <w:rPr>
          <w:rFonts w:ascii="宋体" w:hAnsi="宋体"/>
          <w:b/>
          <w:bCs/>
          <w:sz w:val="44"/>
          <w:szCs w:val="44"/>
          <w:lang w:val="zh-CN"/>
        </w:rPr>
      </w:pPr>
      <w:bookmarkStart w:id="16" w:name="EB44b2e17b83694085b5e9041e1ff2cf69"/>
    </w:p>
    <w:p>
      <w:pPr>
        <w:pStyle w:val="19"/>
        <w:autoSpaceDE w:val="0"/>
        <w:autoSpaceDN w:val="0"/>
        <w:adjustRightInd w:val="0"/>
        <w:spacing w:line="360" w:lineRule="auto"/>
        <w:ind w:right="-533" w:rightChars="-254"/>
        <w:jc w:val="center"/>
        <w:outlineLvl w:val="0"/>
        <w:rPr>
          <w:rFonts w:ascii="宋体" w:hAnsi="宋体"/>
          <w:b/>
          <w:bCs/>
          <w:sz w:val="44"/>
          <w:szCs w:val="44"/>
          <w:lang w:val="zh-CN"/>
        </w:rPr>
      </w:pPr>
      <w:r>
        <w:rPr>
          <w:rFonts w:ascii="宋体" w:hAnsi="宋体"/>
          <w:b/>
          <w:bCs/>
          <w:color w:val="000000"/>
          <w:sz w:val="44"/>
          <w:szCs w:val="44"/>
          <w:lang w:val="zh-CN"/>
        </w:rPr>
        <w:t>第一</w:t>
      </w:r>
      <w:r>
        <w:rPr>
          <w:rFonts w:hint="eastAsia" w:ascii="宋体" w:hAnsi="宋体"/>
          <w:b/>
          <w:bCs/>
          <w:color w:val="000000"/>
          <w:sz w:val="44"/>
          <w:szCs w:val="44"/>
          <w:lang w:val="zh-CN"/>
        </w:rPr>
        <w:t>章</w:t>
      </w:r>
      <w:r>
        <w:rPr>
          <w:rFonts w:ascii="宋体" w:hAnsi="宋体"/>
          <w:b/>
          <w:bCs/>
          <w:color w:val="000000"/>
          <w:sz w:val="44"/>
          <w:szCs w:val="44"/>
          <w:lang w:val="zh-CN"/>
        </w:rPr>
        <w:t xml:space="preserve"> 招标公告</w:t>
      </w:r>
    </w:p>
    <w:p>
      <w:pPr>
        <w:pStyle w:val="19"/>
        <w:autoSpaceDE w:val="0"/>
        <w:autoSpaceDN w:val="0"/>
        <w:adjustRightInd w:val="0"/>
        <w:spacing w:line="360" w:lineRule="auto"/>
        <w:ind w:right="-533" w:rightChars="-254" w:firstLine="2891"/>
        <w:rPr>
          <w:rFonts w:ascii="宋体" w:hAnsi="宋体"/>
          <w:b/>
          <w:bCs/>
          <w:sz w:val="24"/>
          <w:lang w:val="zh-CN"/>
        </w:rPr>
      </w:pPr>
    </w:p>
    <w:p>
      <w:pPr>
        <w:pStyle w:val="20"/>
        <w:rPr>
          <w:color w:val="000080"/>
          <w:sz w:val="20"/>
          <w:highlight w:val="white"/>
        </w:rPr>
      </w:pPr>
      <w:r>
        <w:rPr>
          <w:rFonts w:hint="eastAsia"/>
          <w:color w:val="000000"/>
          <w:sz w:val="20"/>
          <w:highlight w:val="white"/>
        </w:rPr>
        <w:t xml:space="preserve"> </w:t>
      </w:r>
    </w:p>
    <w:p>
      <w:pPr>
        <w:widowControl/>
        <w:spacing w:line="375" w:lineRule="atLeast"/>
        <w:jc w:val="left"/>
        <w:rPr>
          <w:rFonts w:ascii="Arial" w:hAnsi="Arial" w:eastAsia="Arial" w:cs="Arial"/>
          <w:kern w:val="0"/>
          <w:sz w:val="24"/>
          <w:szCs w:val="24"/>
        </w:rPr>
      </w:pPr>
      <w:r>
        <w:rPr>
          <w:color w:val="000000"/>
          <w:sz w:val="20"/>
          <w:highlight w:val="white"/>
        </w:rPr>
        <w:br w:type="page"/>
      </w:r>
      <w:bookmarkEnd w:id="16"/>
      <w:bookmarkStart w:id="17" w:name="EB34d8666fe6f040578ea898e7eca70c01"/>
      <w:r>
        <w:rPr>
          <w:rFonts w:ascii="Arial" w:hAnsi="Arial" w:eastAsia="Arial" w:cs="Arial"/>
          <w:color w:val="000000"/>
          <w:kern w:val="0"/>
          <w:sz w:val="24"/>
          <w:szCs w:val="24"/>
        </w:rPr>
        <w:t>项目名称：</w:t>
      </w:r>
      <w:r>
        <w:rPr>
          <w:rFonts w:hint="eastAsia" w:ascii="Arial" w:hAnsi="Arial" w:cs="Arial"/>
          <w:color w:val="000000"/>
          <w:kern w:val="0"/>
          <w:sz w:val="24"/>
          <w:szCs w:val="24"/>
          <w:lang w:eastAsia="zh-CN"/>
        </w:rPr>
        <w:t>工程技术公司永磁系列潜油电机等物资采购专有协议--标段三</w:t>
      </w:r>
      <w:r>
        <w:rPr>
          <w:rFonts w:ascii="Arial" w:hAnsi="Arial" w:eastAsia="Arial" w:cs="Arial"/>
          <w:color w:val="000000"/>
          <w:kern w:val="0"/>
          <w:sz w:val="24"/>
          <w:szCs w:val="24"/>
        </w:rPr>
        <w:t xml:space="preserve"> </w:t>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标段（包）编号：</w:t>
      </w:r>
      <w:r>
        <w:rPr>
          <w:rFonts w:hint="eastAsia" w:ascii="Arial" w:hAnsi="Arial" w:cs="Arial"/>
          <w:color w:val="000000"/>
          <w:kern w:val="0"/>
          <w:sz w:val="24"/>
          <w:szCs w:val="24"/>
          <w:lang w:eastAsia="zh-CN"/>
        </w:rPr>
        <w:t>GK-2025-ZC-1263/01/03</w:t>
      </w:r>
      <w:r>
        <w:rPr>
          <w:rFonts w:ascii="Arial" w:hAnsi="Arial" w:eastAsia="Arial" w:cs="Arial"/>
          <w:color w:val="000000"/>
          <w:kern w:val="0"/>
          <w:sz w:val="24"/>
          <w:szCs w:val="24"/>
        </w:rPr>
        <w:t xml:space="preserve"> </w:t>
      </w:r>
    </w:p>
    <w:p>
      <w:pPr>
        <w:widowControl/>
        <w:spacing w:line="375" w:lineRule="atLeast"/>
        <w:jc w:val="left"/>
        <w:rPr>
          <w:rFonts w:ascii="Arial" w:hAnsi="Arial" w:eastAsia="Arial" w:cs="Arial"/>
          <w:kern w:val="0"/>
          <w:sz w:val="24"/>
          <w:szCs w:val="24"/>
        </w:rPr>
      </w:pPr>
      <w:r>
        <w:rPr>
          <w:rFonts w:hint="eastAsia" w:ascii="Arial" w:hAnsi="Arial" w:cs="Arial"/>
          <w:color w:val="000000"/>
          <w:kern w:val="0"/>
          <w:sz w:val="24"/>
          <w:szCs w:val="24"/>
          <w:lang w:eastAsia="zh-CN"/>
        </w:rPr>
        <w:t>工程技术公司永磁系列潜油电机等物资采购专有协议--标段三</w:t>
      </w:r>
      <w:r>
        <w:rPr>
          <w:rFonts w:ascii="Arial" w:hAnsi="Arial" w:eastAsia="Arial" w:cs="Arial"/>
          <w:color w:val="000000"/>
          <w:kern w:val="0"/>
          <w:sz w:val="24"/>
          <w:szCs w:val="24"/>
        </w:rPr>
        <w:t>进行国内公开</w:t>
      </w:r>
      <w:r>
        <w:rPr>
          <w:rFonts w:hint="eastAsia" w:ascii="Arial" w:hAnsi="Arial" w:cs="Arial"/>
          <w:color w:val="000000"/>
          <w:kern w:val="0"/>
          <w:sz w:val="24"/>
          <w:szCs w:val="24"/>
        </w:rPr>
        <w:t>资格预审</w:t>
      </w:r>
      <w:r>
        <w:rPr>
          <w:rFonts w:ascii="Arial" w:hAnsi="Arial" w:eastAsia="Arial" w:cs="Arial"/>
          <w:color w:val="000000"/>
          <w:kern w:val="0"/>
          <w:sz w:val="24"/>
          <w:szCs w:val="24"/>
        </w:rPr>
        <w:t>。现邀请合格投标人对下列项目投标：</w:t>
      </w:r>
    </w:p>
    <w:p>
      <w:pPr>
        <w:widowControl/>
        <w:jc w:val="left"/>
        <w:rPr>
          <w:rFonts w:ascii="Arial" w:hAnsi="Arial" w:eastAsia="Arial" w:cs="Arial"/>
          <w:kern w:val="0"/>
          <w:sz w:val="24"/>
          <w:szCs w:val="24"/>
        </w:rPr>
      </w:pPr>
      <w:r>
        <w:rPr>
          <w:rFonts w:ascii="Arial" w:hAnsi="Arial" w:eastAsia="Arial" w:cs="Arial"/>
          <w:color w:val="000000"/>
          <w:kern w:val="0"/>
          <w:sz w:val="24"/>
          <w:szCs w:val="24"/>
        </w:rPr>
        <w:br w:type="textWrapping"/>
      </w:r>
    </w:p>
    <w:tbl>
      <w:tblPr>
        <w:tblStyle w:val="9"/>
        <w:tblW w:w="0" w:type="auto"/>
        <w:tblCellSpacing w:w="15" w:type="dxa"/>
        <w:tblInd w:w="15" w:type="dxa"/>
        <w:tblLayout w:type="autofit"/>
        <w:tblCellMar>
          <w:top w:w="15" w:type="dxa"/>
          <w:left w:w="15" w:type="dxa"/>
          <w:bottom w:w="15" w:type="dxa"/>
          <w:right w:w="15" w:type="dxa"/>
        </w:tblCellMar>
      </w:tblPr>
      <w:tblGrid>
        <w:gridCol w:w="2044"/>
        <w:gridCol w:w="6677"/>
      </w:tblGrid>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1"/>
                <w:rFonts w:ascii="Arial" w:hAnsi="Arial" w:eastAsia="Arial" w:cs="Arial"/>
                <w:b w:val="0"/>
                <w:bCs w:val="0"/>
                <w:i w:val="0"/>
                <w:iCs w:val="0"/>
                <w:smallCaps w:val="0"/>
                <w:color w:val="000000"/>
                <w:kern w:val="0"/>
                <w:sz w:val="24"/>
                <w:szCs w:val="24"/>
                <w:u w:val="none"/>
              </w:rPr>
              <w:t>项目名称：</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Style w:val="11"/>
                <w:rFonts w:hint="eastAsia" w:ascii="Arial" w:hAnsi="Arial" w:cs="Arial"/>
                <w:b w:val="0"/>
                <w:bCs w:val="0"/>
                <w:i w:val="0"/>
                <w:iCs w:val="0"/>
                <w:smallCaps w:val="0"/>
                <w:color w:val="000000"/>
                <w:kern w:val="0"/>
                <w:sz w:val="24"/>
                <w:szCs w:val="24"/>
                <w:u w:val="none"/>
                <w:lang w:eastAsia="zh-CN"/>
              </w:rPr>
              <w:t>工程技术公司永磁系列潜油电机等物资采购专有协议--标段三</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1"/>
                <w:rFonts w:ascii="Arial" w:hAnsi="Arial" w:eastAsia="Arial" w:cs="Arial"/>
                <w:b w:val="0"/>
                <w:bCs w:val="0"/>
                <w:i w:val="0"/>
                <w:iCs w:val="0"/>
                <w:smallCaps w:val="0"/>
                <w:color w:val="000000"/>
                <w:kern w:val="0"/>
                <w:sz w:val="24"/>
                <w:szCs w:val="24"/>
                <w:u w:val="none"/>
              </w:rPr>
              <w:t>完工期：</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kern w:val="0"/>
                <w:sz w:val="24"/>
                <w:szCs w:val="24"/>
              </w:rPr>
              <w:t>采用“协议+订单”模式签订单价合同，合同签订有效期为3年，采用“1+1+1”合同模式，具体交货期以买方通知为准。</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数量：</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Style w:val="11"/>
                <w:rFonts w:hint="eastAsia" w:ascii="Arial" w:hAnsi="Arial" w:eastAsia="Arial" w:cs="Arial"/>
                <w:b w:val="0"/>
                <w:bCs w:val="0"/>
                <w:i w:val="0"/>
                <w:iCs w:val="0"/>
                <w:smallCaps w:val="0"/>
                <w:color w:val="000000"/>
                <w:kern w:val="0"/>
                <w:sz w:val="24"/>
                <w:szCs w:val="24"/>
                <w:u w:val="none"/>
              </w:rPr>
              <w:t>永磁潜油电机估算数量94件、潜油保护器和潜油引接电缆估算数量123件、永磁常速电机转子总成估算数量1200节、永磁常速电机定子片估算数量1425000片。</w:t>
            </w:r>
            <w:r>
              <w:rPr>
                <w:rStyle w:val="11"/>
                <w:rFonts w:ascii="Arial" w:hAnsi="Arial" w:eastAsia="Arial" w:cs="Arial"/>
                <w:b w:val="0"/>
                <w:bCs w:val="0"/>
                <w:i w:val="0"/>
                <w:iCs w:val="0"/>
                <w:smallCaps w:val="0"/>
                <w:color w:val="000000"/>
                <w:kern w:val="0"/>
                <w:sz w:val="24"/>
                <w:szCs w:val="24"/>
                <w:u w:val="none"/>
              </w:rPr>
              <w:t>注：需求数量为</w:t>
            </w:r>
            <w:r>
              <w:rPr>
                <w:rStyle w:val="11"/>
                <w:rFonts w:hint="eastAsia" w:ascii="Arial" w:hAnsi="Arial" w:cs="Arial"/>
                <w:b w:val="0"/>
                <w:bCs w:val="0"/>
                <w:i w:val="0"/>
                <w:iCs w:val="0"/>
                <w:smallCaps w:val="0"/>
                <w:color w:val="000000"/>
                <w:kern w:val="0"/>
                <w:sz w:val="24"/>
                <w:szCs w:val="24"/>
                <w:u w:val="none"/>
                <w:lang w:val="en-US" w:eastAsia="zh-CN"/>
              </w:rPr>
              <w:t>3</w:t>
            </w:r>
            <w:r>
              <w:rPr>
                <w:rStyle w:val="11"/>
                <w:rFonts w:ascii="Arial" w:hAnsi="Arial" w:eastAsia="Arial" w:cs="Arial"/>
                <w:b w:val="0"/>
                <w:bCs w:val="0"/>
                <w:i w:val="0"/>
                <w:iCs w:val="0"/>
                <w:smallCaps w:val="0"/>
                <w:color w:val="000000"/>
                <w:kern w:val="0"/>
                <w:sz w:val="24"/>
                <w:szCs w:val="24"/>
                <w:u w:val="none"/>
              </w:rPr>
              <w:t>年暂估工作量，仅作为投标总价核算，非实际采购工作量；具体采购数量以年度协议下采购订单签署工作量为准。</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交货地点：</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kern w:val="0"/>
                <w:sz w:val="24"/>
                <w:szCs w:val="24"/>
              </w:rPr>
              <w:t xml:space="preserve">天津市滨海新区渤海石油新村工程技术机械采油分公司东沽库房，具体以采购订单为准。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项目概况：</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Fonts w:hint="eastAsia" w:ascii="宋体" w:hAnsi="宋体" w:eastAsia="宋体" w:cs="微软雅黑"/>
                <w:kern w:val="2"/>
                <w:sz w:val="21"/>
                <w:szCs w:val="24"/>
                <w:lang w:eastAsia="zh-CN"/>
              </w:rPr>
              <w:t>为了实现海上油田进一步降低能耗，提升潜油电泵机组寿命，引进了永磁潜油电机技术。与普通的潜油电机相比具有节能、效率高、电机温升低、启动扭矩大等优点，和延长潜油电泵在大斜度井、水平井、稠油井等复杂井况中的寿命。为了满足后续海上油田对供货时效与协助提升</w:t>
            </w:r>
            <w:r>
              <w:rPr>
                <w:rFonts w:hint="eastAsia" w:ascii="宋体" w:hAnsi="宋体" w:eastAsia="宋体" w:cs="微软雅黑"/>
                <w:kern w:val="2"/>
                <w:sz w:val="21"/>
                <w:szCs w:val="24"/>
                <w:lang w:val="en-US" w:eastAsia="zh-CN"/>
              </w:rPr>
              <w:t>工程技术</w:t>
            </w:r>
            <w:r>
              <w:rPr>
                <w:rFonts w:hint="eastAsia" w:ascii="宋体" w:hAnsi="宋体" w:eastAsia="宋体" w:cs="微软雅黑"/>
                <w:kern w:val="2"/>
                <w:sz w:val="21"/>
                <w:szCs w:val="24"/>
                <w:lang w:eastAsia="zh-CN"/>
              </w:rPr>
              <w:t>公司建立永磁电机自主生产能力，特开展工程技术公司永磁系列潜油电机等物资采购专有协议--</w:t>
            </w:r>
            <w:r>
              <w:rPr>
                <w:rFonts w:hint="eastAsia" w:ascii="宋体" w:hAnsi="宋体" w:cs="微软雅黑"/>
                <w:kern w:val="2"/>
                <w:sz w:val="21"/>
                <w:szCs w:val="24"/>
                <w:lang w:eastAsia="zh-CN"/>
              </w:rPr>
              <w:t>标段三</w:t>
            </w:r>
            <w:r>
              <w:rPr>
                <w:rFonts w:hint="eastAsia" w:ascii="宋体" w:hAnsi="宋体" w:eastAsia="宋体" w:cs="微软雅黑"/>
                <w:kern w:val="2"/>
                <w:sz w:val="21"/>
                <w:szCs w:val="24"/>
                <w:lang w:eastAsia="zh-CN"/>
              </w:rPr>
              <w:t xml:space="preserve"> </w:t>
            </w:r>
            <w:r>
              <w:rPr>
                <w:rFonts w:hint="eastAsia" w:ascii="宋体" w:hAnsi="宋体" w:eastAsia="宋体" w:cs="微软雅黑"/>
                <w:kern w:val="2"/>
                <w:sz w:val="21"/>
                <w:szCs w:val="24"/>
                <w:lang w:val="en-US" w:eastAsia="zh-CN"/>
              </w:rPr>
              <w:t>采办工作</w:t>
            </w:r>
            <w:r>
              <w:rPr>
                <w:rFonts w:hint="eastAsia" w:ascii="宋体" w:hAnsi="宋体" w:eastAsia="宋体" w:cs="微软雅黑"/>
                <w:kern w:val="2"/>
                <w:sz w:val="21"/>
                <w:szCs w:val="24"/>
                <w:lang w:eastAsia="zh-CN"/>
              </w:rPr>
              <w:t xml:space="preserve">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项目所在地：</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Style w:val="11"/>
                <w:rFonts w:hint="eastAsia" w:ascii="Arial" w:hAnsi="Arial" w:eastAsia="Arial" w:cs="Arial"/>
                <w:b w:val="0"/>
                <w:bCs w:val="0"/>
                <w:i w:val="0"/>
                <w:iCs w:val="0"/>
                <w:smallCaps w:val="0"/>
                <w:color w:val="000000"/>
                <w:kern w:val="0"/>
                <w:sz w:val="24"/>
                <w:szCs w:val="24"/>
                <w:u w:val="none"/>
                <w:lang w:val="en-US" w:eastAsia="zh-CN"/>
              </w:rPr>
              <w:t>天津滨海</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1"/>
                <w:rFonts w:ascii="Arial" w:hAnsi="Arial" w:eastAsia="Arial" w:cs="Arial"/>
                <w:b w:val="0"/>
                <w:bCs w:val="0"/>
                <w:i w:val="0"/>
                <w:iCs w:val="0"/>
                <w:smallCaps w:val="0"/>
                <w:color w:val="000000"/>
                <w:kern w:val="0"/>
                <w:sz w:val="24"/>
                <w:szCs w:val="24"/>
                <w:u w:val="none"/>
              </w:rPr>
              <w:t>内容简介：</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宋体" w:hAnsi="宋体" w:eastAsia="宋体" w:cs="微软雅黑"/>
                <w:kern w:val="2"/>
                <w:sz w:val="21"/>
                <w:szCs w:val="24"/>
                <w:highlight w:val="none"/>
                <w:lang w:eastAsia="zh-CN"/>
              </w:rPr>
              <w:t>350系列、450系列、562系列永磁潜油电机；338系列、400系列、540系列潜油保护器；450系列、562系列永磁常速电机定子片等，详见招标文件供货要求描述</w:t>
            </w:r>
            <w:r>
              <w:rPr>
                <w:rFonts w:hint="eastAsia" w:ascii="宋体" w:hAnsi="宋体" w:eastAsia="宋体" w:cs="微软雅黑"/>
                <w:kern w:val="2"/>
                <w:sz w:val="21"/>
                <w:szCs w:val="24"/>
                <w:lang w:eastAsia="zh-CN"/>
              </w:rPr>
              <w:t>。</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资金来源：</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企业自筹</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资金落实情况：</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已落实</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资格要求：</w:t>
            </w:r>
          </w:p>
        </w:tc>
        <w:tc>
          <w:tcPr>
            <w:tcW w:w="6632" w:type="dxa"/>
            <w:noWrap w:val="0"/>
            <w:tcMar>
              <w:top w:w="15" w:type="dxa"/>
              <w:left w:w="15" w:type="dxa"/>
              <w:bottom w:w="15" w:type="dxa"/>
              <w:right w:w="15" w:type="dxa"/>
            </w:tcMar>
            <w:vAlign w:val="center"/>
          </w:tcPr>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投标人须是中华人民共和国境内具有独立承担民事责任能力的法人，或具备国家认可经营资格的其他组织。  </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投标人具有合法有效的企业法人营业执照、税务登记证及组织机构代码证或证照合一的营业执照，投标时需提供原件扫描件（原件备查）。</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投标人为事业单位的，应具有合法有效的事业单位法人证书，投标时需提供原件扫描件（原件备查）。</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投标人为分公司的，提供具有合法有效的营业执照和上级法人单位授权书（授权该分公司投标），认可该分公司和上级法人单位的资质、资格和业绩，不认可同一上级法人单位的其它分公司的资质、资格和业绩，投标时需提供原件扫描件（原件备查）。分公司与上级法人单位只可一家参与投标，同时参与投标的，投标均无效。    </w:t>
            </w:r>
          </w:p>
          <w:p>
            <w:pPr>
              <w:widowControl/>
              <w:numPr>
                <w:ilvl w:val="0"/>
                <w:numId w:val="0"/>
              </w:numPr>
              <w:adjustRightInd w:val="0"/>
              <w:snapToGrid w:val="0"/>
              <w:spacing w:line="360" w:lineRule="auto"/>
              <w:ind w:left="0" w:firstLine="422" w:firstLineChars="200"/>
              <w:jc w:val="left"/>
              <w:rPr>
                <w:rFonts w:hint="eastAsia" w:ascii="宋体" w:hAnsi="宋体" w:eastAsia="宋体" w:cs="微软雅黑"/>
                <w:sz w:val="21"/>
                <w:szCs w:val="21"/>
                <w:lang w:eastAsia="zh-CN"/>
              </w:rPr>
            </w:pPr>
            <w:r>
              <w:rPr>
                <w:rFonts w:hint="eastAsia" w:ascii="宋体" w:hAnsi="宋体" w:eastAsia="宋体" w:cs="微软雅黑"/>
                <w:b/>
                <w:bCs/>
                <w:sz w:val="21"/>
                <w:szCs w:val="21"/>
                <w:lang w:eastAsia="zh-CN"/>
              </w:rPr>
              <w:t xml:space="preserve">3.2 业绩要求(开标环节需要公开)： </w:t>
            </w:r>
            <w:r>
              <w:rPr>
                <w:rFonts w:hint="eastAsia" w:ascii="宋体" w:hAnsi="宋体" w:eastAsia="宋体" w:cs="微软雅黑"/>
                <w:sz w:val="21"/>
                <w:szCs w:val="21"/>
                <w:lang w:eastAsia="zh-CN"/>
              </w:rPr>
              <w:t xml:space="preserve">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1）投标人合同签订时间在2020年1月1日至投标截止时间之前，具有1个已完成的永磁潜油电机或永磁转子总成</w:t>
            </w:r>
            <w:r>
              <w:rPr>
                <w:rFonts w:hint="eastAsia" w:ascii="宋体" w:hAnsi="宋体" w:eastAsia="宋体" w:cs="微软雅黑"/>
                <w:sz w:val="21"/>
                <w:szCs w:val="21"/>
                <w:highlight w:val="none"/>
                <w:lang w:eastAsia="zh-CN"/>
              </w:rPr>
              <w:t>的</w:t>
            </w:r>
            <w:r>
              <w:rPr>
                <w:rFonts w:hint="eastAsia" w:ascii="宋体" w:hAnsi="宋体" w:eastAsia="宋体" w:cs="微软雅黑"/>
                <w:sz w:val="21"/>
                <w:szCs w:val="21"/>
                <w:highlight w:val="none"/>
                <w:lang w:val="en-US" w:eastAsia="zh-CN"/>
              </w:rPr>
              <w:t>加工制造或</w:t>
            </w:r>
            <w:r>
              <w:rPr>
                <w:rFonts w:hint="eastAsia" w:ascii="宋体" w:hAnsi="宋体" w:eastAsia="宋体" w:cs="微软雅黑"/>
                <w:sz w:val="21"/>
                <w:szCs w:val="21"/>
                <w:highlight w:val="none"/>
                <w:lang w:eastAsia="zh-CN"/>
              </w:rPr>
              <w:t>销售</w:t>
            </w:r>
            <w:r>
              <w:rPr>
                <w:rFonts w:hint="eastAsia" w:ascii="宋体" w:hAnsi="宋体" w:eastAsia="宋体" w:cs="微软雅黑"/>
                <w:sz w:val="21"/>
                <w:szCs w:val="21"/>
                <w:highlight w:val="none"/>
                <w:lang w:val="en-US" w:eastAsia="zh-CN"/>
              </w:rPr>
              <w:t>或</w:t>
            </w:r>
            <w:r>
              <w:rPr>
                <w:rFonts w:hint="eastAsia" w:ascii="宋体" w:hAnsi="宋体" w:eastAsia="宋体" w:cs="微软雅黑"/>
                <w:sz w:val="21"/>
                <w:szCs w:val="21"/>
                <w:highlight w:val="none"/>
                <w:lang w:eastAsia="zh-CN"/>
              </w:rPr>
              <w:t>租赁业绩合同，</w:t>
            </w:r>
            <w:r>
              <w:rPr>
                <w:rFonts w:hint="eastAsia" w:ascii="宋体" w:hAnsi="宋体" w:eastAsia="宋体" w:cs="微软雅黑"/>
                <w:sz w:val="21"/>
                <w:szCs w:val="21"/>
                <w:lang w:eastAsia="zh-CN"/>
              </w:rPr>
              <w:t xml:space="preserve">并提供相应业绩证明文件。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2）投标人提供的业绩证明文件包括：具有法律效力的业绩合同和到货验收证明材料。（提示：以上2项资料，缺少任1项将视为无效业绩导致废标） A、业绩合同应至少涵盖：合同首页、合同签署页（具有签字或盖章、合同签署时间）、供货名称、数量及关键技术指标等内容；B、到货验收材料需提供由购买方或使用方（签字或盖章）的交货验收单或出具货物验收合格的其他证明文件或结算发票。（提示：按要求提供相关资料，以上各项内容必须完全涵盖，否则将视为无效业绩导致废标）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3）若业绩合同为年度协议，除提供年度协议外，还应至少提供1项已完成供货的订单、及由购买方或使用方（签字或盖章）的交货验收单或出具货物验收合格的其他证明文件或结算发票。同一个年协合同提供1项订单算为1个有效业绩。（提示：提供的业绩证明材料必须完全涵盖以上内容，否则视为无效业绩，将导致废标）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4）未提供业绩证明文件或提供的业绩证明文件无法认定上述业绩要求的，视为无效业绩。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5）原件备查。    </w:t>
            </w:r>
          </w:p>
          <w:p>
            <w:pPr>
              <w:widowControl/>
              <w:numPr>
                <w:ilvl w:val="0"/>
                <w:numId w:val="0"/>
              </w:numPr>
              <w:adjustRightInd w:val="0"/>
              <w:snapToGrid w:val="0"/>
              <w:spacing w:line="360" w:lineRule="auto"/>
              <w:ind w:left="0" w:firstLine="420" w:firstLineChars="20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3.3 制造商要求：</w:t>
            </w:r>
          </w:p>
          <w:p>
            <w:pPr>
              <w:pStyle w:val="2"/>
            </w:pPr>
            <w:r>
              <w:rPr>
                <w:rFonts w:hint="eastAsia" w:ascii="宋体" w:hAnsi="宋体" w:eastAsia="宋体" w:cs="微软雅黑"/>
                <w:sz w:val="21"/>
                <w:szCs w:val="21"/>
                <w:lang w:eastAsia="zh-CN"/>
              </w:rPr>
              <w:t>本次招标仅接受投标人为投标货物的制造商，不接受代理商、贸易商参与投标，不接受代加工贴牌制造。投标时提供厂房证明资料：若自有厂房提供厂房产权证，若租赁厂房提供有效的租赁合同。</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cs="Arial"/>
                <w:color w:val="000000"/>
                <w:kern w:val="0"/>
                <w:sz w:val="24"/>
                <w:szCs w:val="24"/>
              </w:rPr>
            </w:pPr>
            <w:r>
              <w:rPr>
                <w:rFonts w:ascii="Arial" w:hAnsi="Arial" w:eastAsia="Arial" w:cs="Arial"/>
                <w:color w:val="000000"/>
                <w:kern w:val="0"/>
                <w:sz w:val="24"/>
                <w:szCs w:val="24"/>
              </w:rPr>
              <w:t>是否允许联合体投标：</w:t>
            </w:r>
            <w:r>
              <w:rPr>
                <w:rFonts w:hint="eastAsia" w:ascii="Arial" w:hAnsi="Arial" w:cs="Arial"/>
                <w:color w:val="000000"/>
                <w:kern w:val="0"/>
                <w:sz w:val="24"/>
                <w:szCs w:val="24"/>
              </w:rPr>
              <w:t xml:space="preserve">          </w:t>
            </w:r>
          </w:p>
        </w:tc>
        <w:tc>
          <w:tcPr>
            <w:tcW w:w="6632" w:type="dxa"/>
            <w:noWrap w:val="0"/>
            <w:tcMar>
              <w:top w:w="15" w:type="dxa"/>
              <w:left w:w="15" w:type="dxa"/>
              <w:bottom w:w="15" w:type="dxa"/>
              <w:right w:w="15" w:type="dxa"/>
            </w:tcMar>
            <w:vAlign w:val="center"/>
          </w:tcPr>
          <w:p>
            <w:pPr>
              <w:widowControl/>
              <w:jc w:val="left"/>
              <w:rPr>
                <w:rFonts w:ascii="Arial" w:hAnsi="Arial" w:eastAsia="Arial" w:cs="Arial"/>
                <w:color w:val="000000"/>
                <w:kern w:val="0"/>
                <w:sz w:val="24"/>
                <w:szCs w:val="24"/>
              </w:rPr>
            </w:pPr>
            <w:r>
              <w:rPr>
                <w:rFonts w:ascii="Arial" w:hAnsi="Arial" w:eastAsia="Arial" w:cs="Arial"/>
                <w:color w:val="000000"/>
                <w:kern w:val="0"/>
                <w:sz w:val="24"/>
                <w:szCs w:val="24"/>
              </w:rPr>
              <w:t>否</w:t>
            </w:r>
          </w:p>
          <w:p>
            <w:pPr>
              <w:widowControl/>
              <w:jc w:val="left"/>
              <w:rPr>
                <w:rFonts w:ascii="Arial" w:hAnsi="Arial" w:eastAsia="Arial" w:cs="Arial"/>
                <w:color w:val="000000"/>
                <w:kern w:val="0"/>
                <w:sz w:val="24"/>
                <w:szCs w:val="24"/>
              </w:rPr>
            </w:pPr>
          </w:p>
        </w:tc>
      </w:tr>
      <w:tr>
        <w:tblPrEx>
          <w:tblCellMar>
            <w:top w:w="15" w:type="dxa"/>
            <w:left w:w="15" w:type="dxa"/>
            <w:bottom w:w="15" w:type="dxa"/>
            <w:right w:w="15" w:type="dxa"/>
          </w:tblCellMar>
        </w:tblPrEx>
        <w:trPr>
          <w:trHeight w:val="90" w:hRule="atLeast"/>
          <w:tblCellSpacing w:w="15" w:type="dxa"/>
        </w:trPr>
        <w:tc>
          <w:tcPr>
            <w:tcW w:w="1999" w:type="dxa"/>
            <w:noWrap w:val="0"/>
            <w:tcMar>
              <w:top w:w="15" w:type="dxa"/>
              <w:left w:w="15" w:type="dxa"/>
              <w:bottom w:w="15" w:type="dxa"/>
              <w:right w:w="15" w:type="dxa"/>
            </w:tcMar>
            <w:vAlign w:val="top"/>
          </w:tcPr>
          <w:p>
            <w:pPr>
              <w:widowControl/>
              <w:jc w:val="center"/>
              <w:rPr>
                <w:rFonts w:ascii="Arial" w:hAnsi="Arial" w:cs="Arial"/>
                <w:color w:val="000000"/>
                <w:kern w:val="0"/>
                <w:sz w:val="24"/>
                <w:szCs w:val="24"/>
              </w:rPr>
            </w:pPr>
            <w:r>
              <w:rPr>
                <w:rFonts w:hint="eastAsia" w:ascii="Arial" w:hAnsi="Arial" w:eastAsia="Arial" w:cs="Arial"/>
                <w:color w:val="000000"/>
                <w:kern w:val="0"/>
                <w:sz w:val="24"/>
                <w:szCs w:val="24"/>
              </w:rPr>
              <w:t>资格预审方法及最终合格申请人</w:t>
            </w:r>
            <w:r>
              <w:rPr>
                <w:rFonts w:hint="eastAsia" w:ascii="Arial" w:hAnsi="Arial" w:cs="Arial"/>
                <w:color w:val="000000"/>
                <w:kern w:val="0"/>
                <w:sz w:val="24"/>
                <w:szCs w:val="24"/>
              </w:rPr>
              <w:t>：</w:t>
            </w: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rPr>
                <w:rFonts w:ascii="Arial" w:hAnsi="Arial" w:eastAsia="Arial" w:cs="Arial"/>
                <w:kern w:val="0"/>
                <w:sz w:val="24"/>
                <w:szCs w:val="24"/>
              </w:rPr>
            </w:pPr>
            <w:r>
              <w:rPr>
                <w:rFonts w:ascii="Arial" w:hAnsi="Arial" w:eastAsia="Arial" w:cs="Arial"/>
                <w:color w:val="000000"/>
                <w:kern w:val="0"/>
                <w:sz w:val="24"/>
                <w:szCs w:val="24"/>
              </w:rPr>
              <w:t>资审文件领取时间：</w:t>
            </w:r>
          </w:p>
        </w:tc>
        <w:tc>
          <w:tcPr>
            <w:tcW w:w="6632" w:type="dxa"/>
            <w:noWrap w:val="0"/>
            <w:tcMar>
              <w:top w:w="15" w:type="dxa"/>
              <w:left w:w="15" w:type="dxa"/>
              <w:bottom w:w="15" w:type="dxa"/>
              <w:right w:w="15" w:type="dxa"/>
            </w:tcMar>
            <w:vAlign w:val="center"/>
          </w:tcPr>
          <w:p>
            <w:pPr>
              <w:pStyle w:val="14"/>
              <w:rPr>
                <w:sz w:val="21"/>
                <w:szCs w:val="24"/>
              </w:rPr>
            </w:pPr>
            <w:r>
              <w:rPr>
                <w:rFonts w:hint="eastAsia"/>
                <w:b/>
                <w:bCs/>
                <w:sz w:val="21"/>
                <w:szCs w:val="24"/>
                <w:lang w:val="en-US" w:eastAsia="zh-CN"/>
              </w:rPr>
              <w:t>1、</w:t>
            </w:r>
            <w:r>
              <w:rPr>
                <w:rFonts w:hint="eastAsia"/>
                <w:sz w:val="21"/>
                <w:szCs w:val="24"/>
              </w:rPr>
              <w:t>本项目采用合格制。</w:t>
            </w:r>
          </w:p>
          <w:p>
            <w:pPr>
              <w:pStyle w:val="14"/>
              <w:rPr>
                <w:sz w:val="21"/>
                <w:szCs w:val="24"/>
              </w:rPr>
            </w:pPr>
          </w:p>
          <w:p>
            <w:pPr>
              <w:pStyle w:val="14"/>
              <w:rPr>
                <w:sz w:val="21"/>
                <w:szCs w:val="24"/>
              </w:rPr>
            </w:pPr>
            <w:r>
              <w:rPr>
                <w:rFonts w:hint="eastAsia"/>
                <w:b/>
                <w:bCs/>
                <w:sz w:val="21"/>
                <w:szCs w:val="24"/>
                <w:lang w:val="en-US" w:eastAsia="zh-CN"/>
              </w:rPr>
              <w:t>2、</w:t>
            </w:r>
            <w:r>
              <w:rPr>
                <w:rFonts w:hint="eastAsia"/>
                <w:sz w:val="21"/>
                <w:szCs w:val="24"/>
              </w:rPr>
              <w:t xml:space="preserve"> 审查委员会依据公开资格预审文件及附件中规定的标准，对资格预审申请文件否决项进行逐项审查，有一项审查因素不符合审查标准的，不能通过资格预审。</w:t>
            </w:r>
          </w:p>
          <w:p>
            <w:pPr>
              <w:pStyle w:val="14"/>
              <w:rPr>
                <w:sz w:val="21"/>
                <w:szCs w:val="24"/>
              </w:rPr>
            </w:pPr>
          </w:p>
          <w:p>
            <w:pPr>
              <w:pStyle w:val="14"/>
              <w:numPr>
                <w:ilvl w:val="0"/>
                <w:numId w:val="0"/>
              </w:numPr>
              <w:rPr>
                <w:rFonts w:hint="eastAsia"/>
                <w:sz w:val="21"/>
                <w:szCs w:val="24"/>
              </w:rPr>
            </w:pPr>
            <w:r>
              <w:rPr>
                <w:rFonts w:hint="eastAsia"/>
                <w:b/>
                <w:bCs/>
                <w:sz w:val="21"/>
                <w:szCs w:val="24"/>
                <w:lang w:val="en-US" w:eastAsia="zh-CN"/>
              </w:rPr>
              <w:t>3、</w:t>
            </w:r>
            <w:r>
              <w:rPr>
                <w:rFonts w:hint="eastAsia"/>
                <w:sz w:val="21"/>
                <w:szCs w:val="24"/>
              </w:rPr>
              <w:t>审查委员会按资格预审文件所附评议标准对通过否决项审查的申请人提交的资格预审申请文件进行资格审查，有一项关键指标（★号）不符合审查标准或一般指标超出允许接受范围的，不能通过资格预审</w:t>
            </w:r>
            <w:r>
              <w:rPr>
                <w:rFonts w:hint="eastAsia"/>
                <w:sz w:val="21"/>
                <w:szCs w:val="24"/>
                <w:lang w:val="en-US" w:eastAsia="zh-CN"/>
              </w:rPr>
              <w:t>初审</w:t>
            </w:r>
            <w:r>
              <w:rPr>
                <w:rFonts w:hint="eastAsia"/>
                <w:sz w:val="21"/>
                <w:szCs w:val="24"/>
              </w:rPr>
              <w:t>。</w:t>
            </w:r>
          </w:p>
          <w:p>
            <w:pPr>
              <w:pStyle w:val="5"/>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yellow"/>
                <w:u w:val="none"/>
                <w:lang w:val="en-US" w:eastAsia="zh-CN" w:bidi="ar"/>
              </w:rPr>
              <w:t>4、</w:t>
            </w: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由第三方实验机构（CCS、ABS、BV、DNV）中的任意一家、招标人机采公司以及公开资格预初步评审合格的投标人依次在招标人现场共同见证投标人所提供的电机和HAILOONG LIFT品牌的OTS400</w:t>
            </w:r>
            <w:r>
              <w:rPr>
                <w:rFonts w:hint="default" w:ascii="宋体" w:hAnsi="宋体" w:eastAsia="宋体" w:cs="宋体"/>
                <w:i w:val="0"/>
                <w:iCs w:val="0"/>
                <w:color w:val="auto"/>
                <w:kern w:val="0"/>
                <w:sz w:val="18"/>
                <w:szCs w:val="18"/>
                <w:highlight w:val="yellow"/>
                <w:u w:val="none"/>
                <w:lang w:val="en-US" w:eastAsia="zh-CN" w:bidi="ar"/>
              </w:rPr>
              <w:t>变频器</w:t>
            </w:r>
            <w:r>
              <w:rPr>
                <w:rFonts w:hint="eastAsia" w:ascii="宋体" w:hAnsi="宋体" w:eastAsia="宋体" w:cs="宋体"/>
                <w:i w:val="0"/>
                <w:iCs w:val="0"/>
                <w:color w:val="auto"/>
                <w:kern w:val="0"/>
                <w:sz w:val="18"/>
                <w:szCs w:val="18"/>
                <w:highlight w:val="yellow"/>
                <w:u w:val="none"/>
                <w:lang w:val="en-US" w:eastAsia="zh-CN" w:bidi="ar"/>
              </w:rPr>
              <w:t>匹配性试验。</w:t>
            </w:r>
            <w:r>
              <w:rPr>
                <w:rFonts w:hint="eastAsia" w:ascii="宋体" w:hAnsi="宋体" w:eastAsia="宋体" w:cs="宋体"/>
                <w:i w:val="0"/>
                <w:iCs w:val="0"/>
                <w:color w:val="auto"/>
                <w:kern w:val="0"/>
                <w:sz w:val="18"/>
                <w:szCs w:val="18"/>
                <w:highlight w:val="none"/>
                <w:u w:val="none"/>
                <w:lang w:val="en-US" w:eastAsia="zh-CN" w:bidi="ar"/>
              </w:rPr>
              <w:t>试验要求：</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r>
              <w:rPr>
                <w:rFonts w:hint="default" w:ascii="宋体" w:hAnsi="宋体" w:eastAsia="宋体" w:cs="宋体"/>
                <w:i w:val="0"/>
                <w:iCs w:val="0"/>
                <w:color w:val="auto"/>
                <w:kern w:val="0"/>
                <w:sz w:val="18"/>
                <w:szCs w:val="18"/>
                <w:highlight w:val="none"/>
                <w:u w:val="none"/>
                <w:lang w:val="en-US" w:eastAsia="zh-CN" w:bidi="ar"/>
              </w:rPr>
              <w:t>测试电机的型号要求如下：</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提供450系列电机</w:t>
            </w:r>
            <w:r>
              <w:rPr>
                <w:rFonts w:hint="eastAsia" w:ascii="宋体" w:hAnsi="宋体" w:eastAsia="宋体" w:cs="宋体"/>
                <w:i w:val="0"/>
                <w:iCs w:val="0"/>
                <w:color w:val="auto"/>
                <w:kern w:val="0"/>
                <w:sz w:val="18"/>
                <w:szCs w:val="18"/>
                <w:highlight w:val="none"/>
                <w:u w:val="none"/>
                <w:lang w:val="en-US" w:eastAsia="zh-CN" w:bidi="ar"/>
              </w:rPr>
              <w:t>。</w:t>
            </w:r>
            <w:r>
              <w:rPr>
                <w:rFonts w:hint="default" w:ascii="宋体" w:hAnsi="宋体" w:eastAsia="宋体" w:cs="宋体"/>
                <w:i w:val="0"/>
                <w:iCs w:val="0"/>
                <w:color w:val="auto"/>
                <w:kern w:val="0"/>
                <w:sz w:val="18"/>
                <w:szCs w:val="18"/>
                <w:highlight w:val="none"/>
                <w:u w:val="none"/>
                <w:lang w:val="en-US" w:eastAsia="zh-CN" w:bidi="ar"/>
              </w:rPr>
              <w:t>电机运行额定转速3000RPM，</w:t>
            </w:r>
            <w:r>
              <w:rPr>
                <w:rFonts w:hint="eastAsia" w:ascii="宋体" w:hAnsi="宋体" w:eastAsia="宋体" w:cs="宋体"/>
                <w:i w:val="0"/>
                <w:iCs w:val="0"/>
                <w:color w:val="auto"/>
                <w:kern w:val="0"/>
                <w:sz w:val="18"/>
                <w:szCs w:val="18"/>
                <w:highlight w:val="none"/>
                <w:u w:val="none"/>
                <w:lang w:val="en-US" w:eastAsia="zh-CN" w:bidi="ar"/>
              </w:rPr>
              <w:t>测试</w:t>
            </w:r>
            <w:r>
              <w:rPr>
                <w:rFonts w:hint="default" w:ascii="宋体" w:hAnsi="宋体" w:eastAsia="宋体" w:cs="宋体"/>
                <w:i w:val="0"/>
                <w:iCs w:val="0"/>
                <w:color w:val="auto"/>
                <w:kern w:val="0"/>
                <w:sz w:val="18"/>
                <w:szCs w:val="18"/>
                <w:highlight w:val="none"/>
                <w:u w:val="none"/>
                <w:lang w:val="en-US" w:eastAsia="zh-CN" w:bidi="ar"/>
              </w:rPr>
              <w:t>在3000RPM@100Hz下可以稳定运行</w:t>
            </w:r>
            <w:r>
              <w:rPr>
                <w:rFonts w:hint="eastAsia" w:ascii="宋体" w:hAnsi="宋体" w:eastAsia="宋体" w:cs="宋体"/>
                <w:i w:val="0"/>
                <w:iCs w:val="0"/>
                <w:color w:val="auto"/>
                <w:kern w:val="0"/>
                <w:sz w:val="18"/>
                <w:szCs w:val="18"/>
                <w:highlight w:val="none"/>
                <w:u w:val="none"/>
                <w:lang w:val="en-US" w:eastAsia="zh-CN" w:bidi="ar"/>
              </w:rPr>
              <w:t>，并提供</w:t>
            </w:r>
            <w:r>
              <w:rPr>
                <w:rFonts w:hint="default" w:ascii="宋体" w:hAnsi="宋体" w:eastAsia="宋体" w:cs="宋体"/>
                <w:i w:val="0"/>
                <w:iCs w:val="0"/>
                <w:color w:val="auto"/>
                <w:kern w:val="0"/>
                <w:sz w:val="18"/>
                <w:szCs w:val="18"/>
                <w:highlight w:val="none"/>
                <w:u w:val="none"/>
                <w:lang w:val="en-US" w:eastAsia="zh-CN" w:bidi="ar"/>
              </w:rPr>
              <w:t>经CCS、ABS、BV、DNV第三方实验机构中的任意一家认证的测试报告</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2）投标人</w:t>
            </w:r>
            <w:r>
              <w:rPr>
                <w:rFonts w:hint="default" w:ascii="宋体" w:hAnsi="宋体" w:eastAsia="宋体" w:cs="宋体"/>
                <w:i w:val="0"/>
                <w:iCs w:val="0"/>
                <w:color w:val="auto"/>
                <w:kern w:val="0"/>
                <w:sz w:val="18"/>
                <w:szCs w:val="18"/>
                <w:highlight w:val="none"/>
                <w:u w:val="none"/>
                <w:lang w:val="en-US" w:eastAsia="zh-CN" w:bidi="ar"/>
              </w:rPr>
              <w:t>在</w:t>
            </w:r>
            <w:r>
              <w:rPr>
                <w:rFonts w:hint="eastAsia" w:ascii="宋体" w:hAnsi="宋体" w:eastAsia="宋体" w:cs="宋体"/>
                <w:i w:val="0"/>
                <w:iCs w:val="0"/>
                <w:color w:val="auto"/>
                <w:kern w:val="0"/>
                <w:sz w:val="18"/>
                <w:szCs w:val="18"/>
                <w:highlight w:val="none"/>
                <w:u w:val="none"/>
                <w:lang w:val="en-US" w:eastAsia="zh-CN" w:bidi="ar"/>
              </w:rPr>
              <w:t>测试期间需</w:t>
            </w:r>
            <w:r>
              <w:rPr>
                <w:rFonts w:hint="default" w:ascii="宋体" w:hAnsi="宋体" w:eastAsia="宋体" w:cs="宋体"/>
                <w:i w:val="0"/>
                <w:iCs w:val="0"/>
                <w:color w:val="auto"/>
                <w:kern w:val="0"/>
                <w:sz w:val="18"/>
                <w:szCs w:val="18"/>
                <w:highlight w:val="none"/>
                <w:u w:val="none"/>
                <w:lang w:val="en-US" w:eastAsia="zh-CN" w:bidi="ar"/>
              </w:rPr>
              <w:t>提供变频器压频比控制设置参数表，</w:t>
            </w:r>
            <w:r>
              <w:rPr>
                <w:rFonts w:hint="eastAsia" w:ascii="宋体" w:hAnsi="宋体" w:eastAsia="宋体" w:cs="宋体"/>
                <w:i w:val="0"/>
                <w:iCs w:val="0"/>
                <w:color w:val="auto"/>
                <w:kern w:val="0"/>
                <w:sz w:val="18"/>
                <w:szCs w:val="18"/>
                <w:highlight w:val="none"/>
                <w:u w:val="none"/>
                <w:lang w:val="en-US" w:eastAsia="zh-CN" w:bidi="ar"/>
              </w:rPr>
              <w:t>由</w:t>
            </w:r>
            <w:r>
              <w:rPr>
                <w:rFonts w:hint="default" w:ascii="宋体" w:hAnsi="宋体" w:eastAsia="宋体" w:cs="宋体"/>
                <w:i w:val="0"/>
                <w:iCs w:val="0"/>
                <w:color w:val="auto"/>
                <w:kern w:val="0"/>
                <w:sz w:val="18"/>
                <w:szCs w:val="18"/>
                <w:highlight w:val="none"/>
                <w:u w:val="none"/>
                <w:lang w:val="en-US" w:eastAsia="zh-CN" w:bidi="ar"/>
              </w:rPr>
              <w:t>CCS、ABS、BV、DNV第三方实验机构中的任意一家</w:t>
            </w:r>
            <w:r>
              <w:rPr>
                <w:rFonts w:hint="eastAsia" w:ascii="宋体" w:hAnsi="宋体" w:eastAsia="宋体" w:cs="宋体"/>
                <w:i w:val="0"/>
                <w:iCs w:val="0"/>
                <w:color w:val="auto"/>
                <w:kern w:val="0"/>
                <w:sz w:val="18"/>
                <w:szCs w:val="18"/>
                <w:highlight w:val="none"/>
                <w:u w:val="none"/>
                <w:lang w:val="en-US" w:eastAsia="zh-CN" w:bidi="ar"/>
              </w:rPr>
              <w:t>在测试期间</w:t>
            </w:r>
            <w:r>
              <w:rPr>
                <w:rFonts w:hint="default" w:ascii="宋体" w:hAnsi="宋体" w:eastAsia="宋体" w:cs="宋体"/>
                <w:i w:val="0"/>
                <w:iCs w:val="0"/>
                <w:color w:val="auto"/>
                <w:kern w:val="0"/>
                <w:sz w:val="18"/>
                <w:szCs w:val="18"/>
                <w:highlight w:val="none"/>
                <w:u w:val="none"/>
                <w:lang w:val="en-US" w:eastAsia="zh-CN" w:bidi="ar"/>
              </w:rPr>
              <w:t>根据</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提供的压频比参数设置表进行试验验证复核</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①投标人的</w:t>
            </w:r>
            <w:r>
              <w:rPr>
                <w:rFonts w:hint="default" w:ascii="宋体" w:hAnsi="宋体" w:eastAsia="宋体" w:cs="宋体"/>
                <w:i w:val="0"/>
                <w:iCs w:val="0"/>
                <w:color w:val="auto"/>
                <w:kern w:val="0"/>
                <w:sz w:val="18"/>
                <w:szCs w:val="18"/>
                <w:highlight w:val="none"/>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②</w:t>
            </w:r>
            <w:r>
              <w:rPr>
                <w:rFonts w:hint="default" w:ascii="宋体" w:hAnsi="宋体" w:eastAsia="宋体" w:cs="宋体"/>
                <w:i w:val="0"/>
                <w:iCs w:val="0"/>
                <w:color w:val="auto"/>
                <w:kern w:val="0"/>
                <w:sz w:val="18"/>
                <w:szCs w:val="18"/>
                <w:highlight w:val="none"/>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③</w:t>
            </w:r>
            <w:r>
              <w:rPr>
                <w:rFonts w:hint="default" w:ascii="宋体" w:hAnsi="宋体" w:eastAsia="宋体" w:cs="宋体"/>
                <w:i w:val="0"/>
                <w:iCs w:val="0"/>
                <w:color w:val="auto"/>
                <w:kern w:val="0"/>
                <w:sz w:val="18"/>
                <w:szCs w:val="18"/>
                <w:highlight w:val="none"/>
                <w:u w:val="none"/>
                <w:lang w:val="en-US" w:eastAsia="zh-CN" w:bidi="ar"/>
              </w:rPr>
              <w:t>见证测试项目及评价表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auto"/>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r>
              <w:rPr>
                <w:rFonts w:hint="default" w:ascii="宋体" w:hAnsi="宋体" w:eastAsia="宋体" w:cs="宋体"/>
                <w:i w:val="0"/>
                <w:iCs w:val="0"/>
                <w:color w:val="auto"/>
                <w:kern w:val="0"/>
                <w:sz w:val="18"/>
                <w:szCs w:val="18"/>
                <w:highlight w:val="none"/>
                <w:u w:val="none"/>
                <w:lang w:val="en-US" w:eastAsia="zh-CN" w:bidi="ar"/>
              </w:rPr>
              <w:t>试验方法应符合GB/T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r>
              <w:rPr>
                <w:rFonts w:hint="default" w:ascii="宋体" w:hAnsi="宋体" w:eastAsia="宋体" w:cs="宋体"/>
                <w:i w:val="0"/>
                <w:iCs w:val="0"/>
                <w:color w:val="auto"/>
                <w:kern w:val="0"/>
                <w:sz w:val="18"/>
                <w:szCs w:val="18"/>
                <w:highlight w:val="yellow"/>
                <w:u w:val="none"/>
                <w:lang w:val="en-US" w:eastAsia="zh-CN" w:bidi="ar"/>
              </w:rPr>
              <w:t>。</w:t>
            </w:r>
          </w:p>
          <w:p>
            <w:pPr>
              <w:pStyle w:val="5"/>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auto"/>
                <w:kern w:val="0"/>
                <w:sz w:val="18"/>
                <w:szCs w:val="18"/>
                <w:highlight w:val="none"/>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auto"/>
                <w:kern w:val="0"/>
                <w:sz w:val="18"/>
                <w:szCs w:val="18"/>
                <w:highlight w:val="none"/>
                <w:u w:val="none"/>
                <w:lang w:val="en-US" w:eastAsia="zh-CN" w:bidi="ar"/>
              </w:rPr>
              <w:t>HAILOONG LIFT品牌的</w:t>
            </w:r>
            <w:r>
              <w:rPr>
                <w:rFonts w:hint="eastAsia" w:ascii="宋体" w:hAnsi="宋体" w:eastAsia="宋体" w:cs="宋体"/>
                <w:i w:val="0"/>
                <w:iCs w:val="0"/>
                <w:color w:val="auto"/>
                <w:kern w:val="0"/>
                <w:sz w:val="18"/>
                <w:szCs w:val="18"/>
                <w:highlight w:val="none"/>
                <w:u w:val="none"/>
                <w:lang w:val="en-US" w:eastAsia="zh-CN" w:bidi="ar"/>
              </w:rPr>
              <w:t>OTS400</w:t>
            </w:r>
            <w:r>
              <w:rPr>
                <w:rFonts w:hint="default" w:ascii="宋体" w:hAnsi="宋体" w:eastAsia="宋体" w:cs="宋体"/>
                <w:i w:val="0"/>
                <w:iCs w:val="0"/>
                <w:color w:val="auto"/>
                <w:kern w:val="0"/>
                <w:sz w:val="18"/>
                <w:szCs w:val="18"/>
                <w:highlight w:val="none"/>
                <w:u w:val="none"/>
                <w:lang w:val="en-US" w:eastAsia="zh-CN" w:bidi="ar"/>
              </w:rPr>
              <w:t>变频器</w:t>
            </w:r>
            <w:r>
              <w:rPr>
                <w:rFonts w:hint="eastAsia" w:ascii="宋体" w:hAnsi="宋体" w:eastAsia="宋体" w:cs="宋体"/>
                <w:i w:val="0"/>
                <w:iCs w:val="0"/>
                <w:color w:val="auto"/>
                <w:kern w:val="0"/>
                <w:sz w:val="18"/>
                <w:szCs w:val="18"/>
                <w:highlight w:val="none"/>
                <w:u w:val="none"/>
                <w:lang w:val="en-US" w:eastAsia="zh-CN" w:bidi="ar"/>
              </w:rPr>
              <w:t>和</w:t>
            </w:r>
            <w:r>
              <w:rPr>
                <w:rFonts w:hint="default" w:ascii="宋体" w:hAnsi="宋体" w:eastAsia="宋体" w:cs="宋体"/>
                <w:i w:val="0"/>
                <w:iCs w:val="0"/>
                <w:color w:val="auto"/>
                <w:kern w:val="0"/>
                <w:sz w:val="18"/>
                <w:szCs w:val="18"/>
                <w:highlight w:val="none"/>
                <w:u w:val="none"/>
                <w:lang w:val="en-US" w:eastAsia="zh-CN" w:bidi="ar"/>
              </w:rPr>
              <w:t>HAILOONG DS1系列泵工况</w:t>
            </w:r>
            <w:r>
              <w:rPr>
                <w:rFonts w:hint="eastAsia" w:ascii="宋体" w:hAnsi="宋体" w:eastAsia="宋体" w:cs="宋体"/>
                <w:i w:val="0"/>
                <w:iCs w:val="0"/>
                <w:color w:val="auto"/>
                <w:kern w:val="0"/>
                <w:sz w:val="18"/>
                <w:szCs w:val="18"/>
                <w:highlight w:val="none"/>
                <w:u w:val="none"/>
                <w:lang w:val="en-US" w:eastAsia="zh-CN" w:bidi="ar"/>
              </w:rPr>
              <w:t>，投标人提供电机并送往机械采油东沽试验车间。</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r>
              <w:rPr>
                <w:rFonts w:hint="default" w:ascii="宋体" w:hAnsi="宋体" w:eastAsia="宋体" w:cs="宋体"/>
                <w:i w:val="0"/>
                <w:iCs w:val="0"/>
                <w:color w:val="auto"/>
                <w:kern w:val="0"/>
                <w:sz w:val="18"/>
                <w:szCs w:val="18"/>
                <w:highlight w:val="none"/>
                <w:u w:val="none"/>
                <w:lang w:val="en-US" w:eastAsia="zh-CN" w:bidi="ar"/>
              </w:rPr>
              <w:t>第三方机构测试期间发生的所有见证费用由</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，测试期间运输电机等测试物资发生的往返运费由投标人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14"/>
              <w:numPr>
                <w:ilvl w:val="0"/>
                <w:numId w:val="0"/>
              </w:numPr>
              <w:rPr>
                <w:rFonts w:hint="eastAsia"/>
                <w:sz w:val="21"/>
                <w:szCs w:val="24"/>
              </w:rPr>
            </w:pPr>
            <w:r>
              <w:rPr>
                <w:rFonts w:hint="eastAsia" w:ascii="宋体" w:hAnsi="宋体" w:eastAsia="宋体" w:cs="宋体"/>
                <w:i w:val="0"/>
                <w:iCs w:val="0"/>
                <w:color w:val="auto"/>
                <w:kern w:val="0"/>
                <w:sz w:val="18"/>
                <w:szCs w:val="18"/>
                <w:highlight w:val="none"/>
                <w:u w:val="none"/>
                <w:lang w:val="en-US" w:eastAsia="zh-CN" w:bidi="ar"/>
              </w:rPr>
              <w:t>6）投标人的电机和</w:t>
            </w:r>
            <w:r>
              <w:rPr>
                <w:rFonts w:hint="default" w:ascii="宋体" w:hAnsi="宋体" w:eastAsia="宋体" w:cs="宋体"/>
                <w:i w:val="0"/>
                <w:iCs w:val="0"/>
                <w:color w:val="auto"/>
                <w:kern w:val="0"/>
                <w:sz w:val="18"/>
                <w:szCs w:val="18"/>
                <w:highlight w:val="none"/>
                <w:u w:val="none"/>
                <w:lang w:val="en-US" w:eastAsia="zh-CN" w:bidi="ar"/>
              </w:rPr>
              <w:t>HAILOONG LIFT品牌的</w:t>
            </w:r>
            <w:r>
              <w:rPr>
                <w:rFonts w:hint="eastAsia" w:ascii="宋体" w:hAnsi="宋体" w:eastAsia="宋体" w:cs="宋体"/>
                <w:i w:val="0"/>
                <w:iCs w:val="0"/>
                <w:color w:val="auto"/>
                <w:kern w:val="0"/>
                <w:sz w:val="18"/>
                <w:szCs w:val="18"/>
                <w:highlight w:val="none"/>
                <w:u w:val="none"/>
                <w:lang w:val="en-US" w:eastAsia="zh-CN" w:bidi="ar"/>
              </w:rPr>
              <w:t>OTS400</w:t>
            </w:r>
            <w:r>
              <w:rPr>
                <w:rFonts w:hint="default" w:ascii="宋体" w:hAnsi="宋体" w:eastAsia="宋体" w:cs="宋体"/>
                <w:i w:val="0"/>
                <w:iCs w:val="0"/>
                <w:color w:val="auto"/>
                <w:kern w:val="0"/>
                <w:sz w:val="18"/>
                <w:szCs w:val="18"/>
                <w:highlight w:val="none"/>
                <w:u w:val="none"/>
                <w:lang w:val="en-US" w:eastAsia="zh-CN" w:bidi="ar"/>
              </w:rPr>
              <w:t>变频器</w:t>
            </w:r>
            <w:r>
              <w:rPr>
                <w:rFonts w:hint="eastAsia" w:ascii="宋体" w:hAnsi="宋体" w:eastAsia="宋体" w:cs="宋体"/>
                <w:i w:val="0"/>
                <w:iCs w:val="0"/>
                <w:color w:val="auto"/>
                <w:kern w:val="0"/>
                <w:sz w:val="18"/>
                <w:szCs w:val="18"/>
                <w:highlight w:val="none"/>
                <w:u w:val="none"/>
                <w:lang w:val="en-US" w:eastAsia="zh-CN" w:bidi="ar"/>
              </w:rPr>
              <w:t>匹配性试验成功，该投标人被判定为资格预审合格。如投标人的电机和</w:t>
            </w:r>
            <w:r>
              <w:rPr>
                <w:rFonts w:hint="default" w:ascii="宋体" w:hAnsi="宋体" w:eastAsia="宋体" w:cs="宋体"/>
                <w:i w:val="0"/>
                <w:iCs w:val="0"/>
                <w:color w:val="auto"/>
                <w:kern w:val="0"/>
                <w:sz w:val="18"/>
                <w:szCs w:val="18"/>
                <w:highlight w:val="none"/>
                <w:u w:val="none"/>
                <w:lang w:val="en-US" w:eastAsia="zh-CN" w:bidi="ar"/>
              </w:rPr>
              <w:t>HAILOONG LIFT品牌的</w:t>
            </w:r>
            <w:r>
              <w:rPr>
                <w:rFonts w:hint="eastAsia" w:ascii="宋体" w:hAnsi="宋体" w:eastAsia="宋体" w:cs="宋体"/>
                <w:i w:val="0"/>
                <w:iCs w:val="0"/>
                <w:color w:val="auto"/>
                <w:kern w:val="0"/>
                <w:sz w:val="18"/>
                <w:szCs w:val="18"/>
                <w:highlight w:val="none"/>
                <w:u w:val="none"/>
                <w:lang w:val="en-US" w:eastAsia="zh-CN" w:bidi="ar"/>
              </w:rPr>
              <w:t>OTS400</w:t>
            </w:r>
            <w:r>
              <w:rPr>
                <w:rFonts w:hint="default" w:ascii="宋体" w:hAnsi="宋体" w:eastAsia="宋体" w:cs="宋体"/>
                <w:i w:val="0"/>
                <w:iCs w:val="0"/>
                <w:color w:val="auto"/>
                <w:kern w:val="0"/>
                <w:sz w:val="18"/>
                <w:szCs w:val="18"/>
                <w:highlight w:val="none"/>
                <w:u w:val="none"/>
                <w:lang w:val="en-US" w:eastAsia="zh-CN" w:bidi="ar"/>
              </w:rPr>
              <w:t>变频器</w:t>
            </w:r>
            <w:r>
              <w:rPr>
                <w:rFonts w:hint="eastAsia" w:ascii="宋体" w:hAnsi="宋体" w:eastAsia="宋体" w:cs="宋体"/>
                <w:i w:val="0"/>
                <w:iCs w:val="0"/>
                <w:color w:val="auto"/>
                <w:kern w:val="0"/>
                <w:sz w:val="18"/>
                <w:szCs w:val="18"/>
                <w:highlight w:val="none"/>
                <w:u w:val="none"/>
                <w:lang w:val="en-US" w:eastAsia="zh-CN" w:bidi="ar"/>
              </w:rPr>
              <w:t>匹配性试验失败，则投标人被判定为资格预审不合格。</w:t>
            </w:r>
          </w:p>
          <w:p>
            <w:pPr>
              <w:pStyle w:val="14"/>
              <w:rPr>
                <w:sz w:val="21"/>
                <w:szCs w:val="24"/>
              </w:rPr>
            </w:pPr>
          </w:p>
          <w:p>
            <w:pPr>
              <w:pStyle w:val="14"/>
              <w:rPr>
                <w:sz w:val="21"/>
                <w:szCs w:val="24"/>
              </w:rPr>
            </w:pPr>
            <w:r>
              <w:rPr>
                <w:rFonts w:hint="eastAsia"/>
                <w:b/>
                <w:bCs/>
                <w:sz w:val="21"/>
                <w:szCs w:val="24"/>
                <w:lang w:val="en-US" w:eastAsia="zh-CN"/>
              </w:rPr>
              <w:t>5、</w:t>
            </w:r>
            <w:r>
              <w:rPr>
                <w:rFonts w:hint="eastAsia"/>
                <w:sz w:val="21"/>
                <w:szCs w:val="24"/>
              </w:rPr>
              <w:t xml:space="preserve"> 通过</w:t>
            </w:r>
            <w:r>
              <w:rPr>
                <w:rFonts w:hint="eastAsia"/>
                <w:sz w:val="21"/>
                <w:szCs w:val="24"/>
                <w:lang w:eastAsia="zh-CN"/>
              </w:rPr>
              <w:t>评审</w:t>
            </w:r>
            <w:r>
              <w:rPr>
                <w:rFonts w:hint="eastAsia"/>
                <w:sz w:val="21"/>
                <w:szCs w:val="24"/>
              </w:rPr>
              <w:t>的申请人最终将进入</w:t>
            </w:r>
            <w:r>
              <w:rPr>
                <w:rFonts w:hint="eastAsia"/>
                <w:sz w:val="21"/>
                <w:szCs w:val="24"/>
                <w:lang w:eastAsia="zh-CN"/>
              </w:rPr>
              <w:t>工程技术公司永磁系列潜油电机等物资采购专有协议--标段三</w:t>
            </w:r>
            <w:r>
              <w:rPr>
                <w:rFonts w:hint="eastAsia"/>
                <w:sz w:val="21"/>
                <w:szCs w:val="24"/>
              </w:rPr>
              <w:t>的</w:t>
            </w:r>
            <w:r>
              <w:rPr>
                <w:rFonts w:hint="eastAsia"/>
                <w:color w:val="auto"/>
                <w:sz w:val="21"/>
                <w:szCs w:val="24"/>
                <w:highlight w:val="none"/>
                <w:lang w:val="en-US" w:eastAsia="zh-CN"/>
              </w:rPr>
              <w:t>后续采购</w:t>
            </w:r>
            <w:r>
              <w:rPr>
                <w:rFonts w:hint="eastAsia"/>
                <w:sz w:val="21"/>
                <w:szCs w:val="24"/>
              </w:rPr>
              <w:t>的流程。</w:t>
            </w:r>
          </w:p>
          <w:p>
            <w:pPr>
              <w:widowControl/>
              <w:jc w:val="left"/>
              <w:rPr>
                <w:rFonts w:ascii="Arial" w:hAnsi="Arial" w:eastAsia="Arial" w:cs="Arial"/>
                <w:kern w:val="0"/>
                <w:sz w:val="24"/>
                <w:szCs w:val="24"/>
              </w:rPr>
            </w:pP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资审文件领取方法：</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sdt>
              <w:sdtPr>
                <w:rPr>
                  <w:rFonts w:hint="eastAsia" w:ascii="宋体" w:hAnsi="宋体" w:eastAsia="宋体" w:cs="微软雅黑"/>
                  <w:kern w:val="0"/>
                  <w:sz w:val="21"/>
                  <w:szCs w:val="21"/>
                  <w:lang w:val="en-US" w:eastAsia="zh-CN" w:bidi="ar-SA"/>
                </w:rPr>
                <w:alias w:val="招标文件领取方法"/>
                <w:tag w:val="{&quot;ccValue&quot;:null,&quot;index&quot;:18}"/>
                <w:id w:val="1845445158"/>
                <w:placeholder>
                  <w:docPart w:val="{07e1cc60-ec53-401d-aa2d-a11434711fe7}"/>
                </w:placeholder>
              </w:sdtPr>
              <w:sdtEndPr>
                <w:rPr>
                  <w:rFonts w:hint="eastAsia" w:ascii="宋体" w:hAnsi="宋体" w:eastAsia="宋体" w:cs="微软雅黑"/>
                  <w:kern w:val="0"/>
                  <w:sz w:val="21"/>
                  <w:szCs w:val="21"/>
                  <w:u w:val="single"/>
                  <w:lang w:val="en-US" w:eastAsia="zh-CN" w:bidi="ar-SA"/>
                </w:rPr>
              </w:sdtEndPr>
              <w:sdtContent>
                <w:permStart w:id="0" w:edGrp="everyone"/>
                <w:r>
                  <w:rPr>
                    <w:rFonts w:hint="eastAsia" w:ascii="宋体" w:hAnsi="宋体" w:eastAsia="宋体" w:cs="微软雅黑"/>
                    <w:sz w:val="21"/>
                    <w:szCs w:val="21"/>
                    <w:u w:val="single"/>
                    <w:lang w:eastAsia="zh-CN"/>
                  </w:rPr>
                  <w:t>凡有意参加投标者，请登录中国海油供应链数字化平台（https://bid.cnooc.com.cn）的“采购文件下载”页面进行</w:t>
                </w:r>
                <w:r>
                  <w:rPr>
                    <w:rFonts w:hint="eastAsia" w:ascii="宋体" w:hAnsi="宋体" w:cs="微软雅黑"/>
                    <w:sz w:val="21"/>
                    <w:szCs w:val="21"/>
                    <w:u w:val="single"/>
                    <w:lang w:val="en-US" w:eastAsia="zh-CN"/>
                  </w:rPr>
                  <w:t>领取</w:t>
                </w:r>
                <w:r>
                  <w:rPr>
                    <w:rFonts w:hint="eastAsia" w:ascii="宋体" w:hAnsi="宋体" w:eastAsia="宋体" w:cs="微软雅黑"/>
                    <w:sz w:val="21"/>
                    <w:szCs w:val="21"/>
                    <w:u w:val="single"/>
                    <w:lang w:eastAsia="zh-CN"/>
                  </w:rPr>
                  <w:t>。如未在系统中领购招标文件，不可参加投标。</w:t>
                </w:r>
                <w:permEnd w:id="0"/>
              </w:sdtContent>
            </w:sdt>
            <w:r>
              <w:rPr>
                <w:rFonts w:ascii="Arial" w:hAnsi="Arial" w:eastAsia="Arial" w:cs="Arial"/>
                <w:color w:val="000000"/>
                <w:kern w:val="0"/>
                <w:sz w:val="24"/>
                <w:szCs w:val="24"/>
              </w:rPr>
              <w:t xml:space="preserve">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资审文件价格：</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0元</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资审申请文件递交截止时间：</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color w:val="000000"/>
                <w:kern w:val="0"/>
                <w:sz w:val="24"/>
                <w:szCs w:val="24"/>
              </w:rPr>
              <w:t>详见系统时间</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资审申请文件递交地点：</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所有的资审文件必须在资审文件递交截止时间前在线提交</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资审申请文件递交方法：</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color w:val="000000"/>
                <w:kern w:val="0"/>
                <w:sz w:val="24"/>
                <w:szCs w:val="24"/>
              </w:rPr>
              <w:t>所有的投标文件必须在投标文件截止时间前在线提交</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发布媒介：</w:t>
            </w:r>
          </w:p>
        </w:tc>
        <w:tc>
          <w:tcPr>
            <w:tcW w:w="6632" w:type="dxa"/>
            <w:noWrap w:val="0"/>
            <w:tcMar>
              <w:top w:w="15" w:type="dxa"/>
              <w:left w:w="15" w:type="dxa"/>
              <w:bottom w:w="15" w:type="dxa"/>
              <w:right w:w="15" w:type="dxa"/>
            </w:tcMar>
            <w:vAlign w:val="center"/>
          </w:tcPr>
          <w:p>
            <w:pPr>
              <w:widowControl/>
              <w:jc w:val="left"/>
              <w:rPr>
                <w:rFonts w:hint="default" w:ascii="Arial" w:hAnsi="Arial" w:eastAsia="宋体" w:cs="Arial"/>
                <w:kern w:val="0"/>
                <w:sz w:val="24"/>
                <w:szCs w:val="24"/>
                <w:lang w:val="en-US" w:eastAsia="zh-CN"/>
              </w:rPr>
            </w:pPr>
            <w:r>
              <w:rPr>
                <w:rFonts w:ascii="Arial" w:hAnsi="Arial" w:eastAsia="Arial" w:cs="Arial"/>
                <w:color w:val="000000"/>
                <w:kern w:val="0"/>
                <w:sz w:val="24"/>
                <w:szCs w:val="24"/>
              </w:rPr>
              <w:t>中国招标投标公共服务平台、中国海洋石油集团有限公司采办业务管理与交易系统</w:t>
            </w:r>
            <w:r>
              <w:rPr>
                <w:rFonts w:hint="eastAsia" w:ascii="Arial" w:hAnsi="Arial" w:eastAsia="宋体" w:cs="Arial"/>
                <w:color w:val="000000"/>
                <w:kern w:val="0"/>
                <w:sz w:val="24"/>
                <w:szCs w:val="24"/>
                <w:lang w:eastAsia="zh-CN"/>
              </w:rPr>
              <w:t>、</w:t>
            </w:r>
            <w:r>
              <w:rPr>
                <w:rFonts w:ascii="Arial" w:hAnsi="Arial" w:eastAsia="Arial" w:cs="Arial"/>
                <w:color w:val="000000"/>
                <w:kern w:val="0"/>
                <w:sz w:val="24"/>
                <w:szCs w:val="24"/>
              </w:rPr>
              <w:t>中国海洋石油集团有限公司</w:t>
            </w:r>
            <w:r>
              <w:rPr>
                <w:rFonts w:hint="eastAsia" w:ascii="Arial" w:hAnsi="Arial" w:eastAsia="宋体" w:cs="Arial"/>
                <w:color w:val="000000"/>
                <w:kern w:val="0"/>
                <w:sz w:val="24"/>
                <w:szCs w:val="24"/>
                <w:lang w:val="en-US" w:eastAsia="zh-CN"/>
              </w:rPr>
              <w:t>供应链数字化平台</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特殊说明：</w:t>
            </w:r>
          </w:p>
        </w:tc>
        <w:tc>
          <w:tcPr>
            <w:tcW w:w="6632" w:type="dxa"/>
            <w:noWrap w:val="0"/>
            <w:tcMar>
              <w:top w:w="15" w:type="dxa"/>
              <w:left w:w="15" w:type="dxa"/>
              <w:bottom w:w="15" w:type="dxa"/>
              <w:right w:w="15" w:type="dxa"/>
            </w:tcMar>
            <w:vAlign w:val="center"/>
          </w:tcPr>
          <w:p>
            <w:pPr>
              <w:widowControl/>
              <w:jc w:val="left"/>
              <w:rPr>
                <w:rFonts w:hint="eastAsia"/>
              </w:rPr>
            </w:pPr>
          </w:p>
          <w:p>
            <w:pPr>
              <w:pStyle w:val="2"/>
              <w:rPr>
                <w:rFonts w:hint="eastAsia"/>
              </w:rPr>
            </w:pPr>
            <w:r>
              <w:rPr>
                <w:rFonts w:hint="eastAsia"/>
              </w:rPr>
              <w:t>投标人必须使用系统提供的投标文件制作软件（门户首页＞下载专区）导入招标文件（如有招标文件澄清，须重新导入最后一次澄清文件）后编制投标文件。相关操作详见《中国海油供应链数字化平台-供应商操作手册》（门户首页＞下载专区）。超过投标截止时间送达的投标文件，系统将予以拒收。      中国海油严厉打击串通投标、弄虚作假等违法违规行为，每个招标项目均对投标人的文件制作机器码、文件创建标识码和投标电脑MAC地址、IP地址、投标文件内容进行查验。请各投标人高度重视投标工作，在本单位办公所在地、使用办公IP下载招标文件并自行独立编制、上传投标文件。      出现不同投标人的“文件制作机器码、文件创建标识码和投标电脑MAC地址”内容任何一项一致的，将直接视为“投标人相互串通投标”。      被认定为“属于投标人相互串通投标”“视为投标人相互串通投标”或“提供虚假投标资料”的供应商，将按照中国海油相关制度规定，对围标串标的投标人处于禁用两年及以上的处理，对提供虚假投标资料的投标人处于禁用一年及以上的处理，处理期内不能参与新的投标活动。      评标结束后投标人可以在中标候选人公示期间提出异议，进一步可通过投诉寻求行政救济，由行政监督部门做出认定。</w:t>
            </w:r>
          </w:p>
          <w:p>
            <w:pPr>
              <w:pStyle w:val="2"/>
              <w:rPr>
                <w:rFonts w:hint="eastAsia"/>
              </w:rPr>
            </w:pPr>
            <w:r>
              <w:rPr>
                <w:rFonts w:hint="eastAsia" w:ascii="宋体" w:hAnsi="宋体" w:eastAsia="宋体" w:cs="微软雅黑"/>
                <w:kern w:val="0"/>
                <w:sz w:val="21"/>
                <w:szCs w:val="21"/>
                <w:lang w:val="en-US" w:eastAsia="zh-CN" w:bidi="ar"/>
              </w:rPr>
              <w:t>1）本次为公开资格预审项目，通过资格评审的申请人参与后续采办工作，本项目采用兼投兼中的授标方式。</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2）若公开资审最终合格的供应商仅有1家，则按照单一来源采购方式办理；若2≤公开资审最终合格的供应商数量≤3，则按照</w:t>
            </w:r>
            <w:r>
              <w:rPr>
                <w:rFonts w:hint="eastAsia" w:ascii="宋体" w:hAnsi="宋体" w:cs="微软雅黑"/>
                <w:kern w:val="0"/>
                <w:sz w:val="21"/>
                <w:szCs w:val="21"/>
                <w:lang w:val="en-US" w:eastAsia="zh-CN" w:bidi="ar"/>
              </w:rPr>
              <w:t>竞争性谈判或单一来源</w:t>
            </w:r>
            <w:r>
              <w:rPr>
                <w:rFonts w:hint="eastAsia" w:ascii="宋体" w:hAnsi="宋体" w:eastAsia="宋体" w:cs="微软雅黑"/>
                <w:kern w:val="0"/>
                <w:sz w:val="21"/>
                <w:szCs w:val="21"/>
                <w:lang w:val="en-US" w:eastAsia="zh-CN" w:bidi="ar"/>
              </w:rPr>
              <w:t>采购方式和排名第一的供应商签订合同；若公开资格预审最终合格的供应商数量≥4，则按照</w:t>
            </w:r>
            <w:r>
              <w:rPr>
                <w:rFonts w:hint="eastAsia" w:ascii="宋体" w:hAnsi="宋体" w:cs="微软雅黑"/>
                <w:kern w:val="0"/>
                <w:sz w:val="21"/>
                <w:szCs w:val="21"/>
                <w:lang w:val="en-US" w:eastAsia="zh-CN" w:bidi="ar"/>
              </w:rPr>
              <w:t>竞争性谈判或单一来源</w:t>
            </w:r>
            <w:r>
              <w:rPr>
                <w:rFonts w:hint="eastAsia" w:ascii="宋体" w:hAnsi="宋体" w:eastAsia="宋体" w:cs="微软雅黑"/>
                <w:kern w:val="0"/>
                <w:sz w:val="21"/>
                <w:szCs w:val="21"/>
                <w:lang w:val="en-US" w:eastAsia="zh-CN" w:bidi="ar"/>
              </w:rPr>
              <w:t>采购方式办理，采用一主一备协议模式。</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3）拟签订合同模式为固定单价/费率合同，合同有效期：3年，采用1+1+1模式，协议期满后，如有未执行完毕的订单，该订单应履行完毕。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4）主备使用原则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1、主、备协议使用原则为主协议供应商无法供货或提供服务，须出具书面说明文件，方可启用备协议。</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 2、主协议供应商自协议生效后连续两次或一年内三次无法承接订单（不可抗力除外），将视为供应商不能履约，此主协议终止，同时对主协议供应商按照《中海油能源发展股份有限公司供应链供应商管理办法》进行处理。</w:t>
            </w:r>
            <w:r>
              <w:rPr>
                <w:rFonts w:hint="eastAsia" w:ascii="宋体" w:hAnsi="宋体" w:eastAsia="宋体" w:cs="微软雅黑"/>
                <w:b/>
                <w:bCs/>
                <w:color w:val="FF0000"/>
                <w:kern w:val="0"/>
                <w:sz w:val="21"/>
                <w:szCs w:val="21"/>
                <w:highlight w:val="yellow"/>
                <w:lang w:val="en-US" w:eastAsia="zh-CN" w:bidi="ar"/>
              </w:rPr>
              <w:t>若主协议供应商因永磁电机自身质量问题导致一年内连续无故障运转时间低于3个月的情况出现2井次；或一年内陆地试验（检查）期间发现永磁电机自身存在质量问题或匹配性试验不合格的情况出现2次；或上述两种一年内故障情形各出现1次，则招标人有权解除主协议，同时可将备协议变更为主协议</w:t>
            </w:r>
            <w:r>
              <w:rPr>
                <w:rFonts w:hint="eastAsia" w:ascii="宋体" w:hAnsi="宋体" w:eastAsia="宋体" w:cs="微软雅黑"/>
                <w:kern w:val="0"/>
                <w:sz w:val="21"/>
                <w:szCs w:val="21"/>
                <w:lang w:val="en-US" w:eastAsia="zh-CN" w:bidi="ar"/>
              </w:rPr>
              <w:t xml:space="preserve">。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3、主协议供应商如不能履约，如备协议单价与主协议单价一致或备协议供应商接受将所有高于主协议的单价降为与主协议单价一致，则品类工程师可按照合同变更流程将备协议变更为主协议，并解除原主协议。如不满足上述条件，品类部应立即启动新协议签订。</w:t>
            </w:r>
          </w:p>
        </w:tc>
      </w:tr>
    </w:tbl>
    <w:p>
      <w:pPr>
        <w:widowControl/>
        <w:jc w:val="left"/>
        <w:rPr>
          <w:rFonts w:ascii="Arial" w:hAnsi="Arial" w:eastAsia="Arial" w:cs="Arial"/>
          <w:kern w:val="0"/>
          <w:sz w:val="24"/>
          <w:szCs w:val="24"/>
        </w:rPr>
      </w:pPr>
      <w:r>
        <w:rPr>
          <w:rFonts w:ascii="Arial" w:hAnsi="Arial" w:eastAsia="Arial" w:cs="Arial"/>
          <w:color w:val="000000"/>
          <w:kern w:val="0"/>
          <w:sz w:val="24"/>
          <w:szCs w:val="24"/>
        </w:rPr>
        <w:br w:type="textWrapping"/>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联系方式</w:t>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招标人：中海油能源发展股份有限公司</w:t>
      </w:r>
      <w:r>
        <w:rPr>
          <w:rFonts w:ascii="Arial" w:hAnsi="Arial" w:eastAsia="Arial" w:cs="Arial"/>
          <w:color w:val="000000"/>
          <w:kern w:val="0"/>
          <w:sz w:val="24"/>
          <w:szCs w:val="24"/>
        </w:rPr>
        <w:br w:type="textWrapping"/>
      </w:r>
      <w:r>
        <w:rPr>
          <w:rFonts w:ascii="Arial" w:hAnsi="Arial" w:eastAsia="Arial" w:cs="Arial"/>
          <w:color w:val="000000"/>
          <w:kern w:val="0"/>
          <w:sz w:val="24"/>
          <w:szCs w:val="24"/>
        </w:rPr>
        <w:t>地 址：天津市滨海新区渤海石油路688号海洋石油大厦</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 系 人：</w:t>
      </w:r>
      <w:r>
        <w:rPr>
          <w:rFonts w:hint="eastAsia" w:ascii="Arial" w:hAnsi="Arial" w:eastAsia="宋体" w:cs="Arial"/>
          <w:color w:val="000000"/>
          <w:kern w:val="0"/>
          <w:sz w:val="24"/>
          <w:szCs w:val="24"/>
          <w:lang w:eastAsia="zh-CN"/>
        </w:rPr>
        <w:t>陈正龙</w:t>
      </w:r>
      <w:r>
        <w:rPr>
          <w:rFonts w:ascii="Arial" w:hAnsi="Arial" w:eastAsia="Arial" w:cs="Arial"/>
          <w:color w:val="000000"/>
          <w:kern w:val="0"/>
          <w:sz w:val="24"/>
          <w:szCs w:val="24"/>
        </w:rPr>
        <w:br w:type="textWrapping"/>
      </w:r>
      <w:r>
        <w:rPr>
          <w:rFonts w:ascii="Arial" w:hAnsi="Arial" w:eastAsia="Arial" w:cs="Arial"/>
          <w:color w:val="000000"/>
          <w:kern w:val="0"/>
          <w:sz w:val="24"/>
          <w:szCs w:val="24"/>
        </w:rPr>
        <w:t>电子邮箱：</w:t>
      </w:r>
      <w:r>
        <w:rPr>
          <w:rFonts w:hint="eastAsia" w:ascii="Arial" w:hAnsi="Arial" w:eastAsia="宋体" w:cs="Arial"/>
          <w:color w:val="000000"/>
          <w:kern w:val="0"/>
          <w:sz w:val="24"/>
          <w:szCs w:val="24"/>
          <w:lang w:eastAsia="zh-CN"/>
        </w:rPr>
        <w:t>chenzhl2</w:t>
      </w:r>
      <w:r>
        <w:rPr>
          <w:rFonts w:ascii="Arial" w:hAnsi="Arial" w:eastAsia="Arial" w:cs="Arial"/>
          <w:color w:val="000000"/>
          <w:kern w:val="0"/>
          <w:sz w:val="24"/>
          <w:szCs w:val="24"/>
        </w:rPr>
        <w:t>@cnooc.com.cn</w:t>
      </w:r>
      <w:r>
        <w:rPr>
          <w:rFonts w:ascii="Arial" w:hAnsi="Arial" w:eastAsia="Arial" w:cs="Arial"/>
          <w:color w:val="000000"/>
          <w:kern w:val="0"/>
          <w:sz w:val="24"/>
          <w:szCs w:val="24"/>
        </w:rPr>
        <w:br w:type="textWrapping"/>
      </w:r>
      <w:r>
        <w:rPr>
          <w:rFonts w:ascii="Arial" w:hAnsi="Arial" w:eastAsia="Arial" w:cs="Arial"/>
          <w:color w:val="000000"/>
          <w:kern w:val="0"/>
          <w:sz w:val="24"/>
          <w:szCs w:val="24"/>
        </w:rPr>
        <w:t>邮 编：300452</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联系电话：022-</w:t>
      </w:r>
      <w:r>
        <w:rPr>
          <w:rFonts w:hint="eastAsia" w:ascii="Arial" w:hAnsi="Arial" w:cs="Arial"/>
          <w:color w:val="000000"/>
          <w:kern w:val="0"/>
          <w:sz w:val="24"/>
          <w:szCs w:val="24"/>
        </w:rPr>
        <w:t>2580</w:t>
      </w:r>
      <w:r>
        <w:rPr>
          <w:rFonts w:hint="eastAsia" w:ascii="Arial" w:hAnsi="Arial" w:cs="Arial"/>
          <w:color w:val="000000"/>
          <w:kern w:val="0"/>
          <w:sz w:val="24"/>
          <w:szCs w:val="24"/>
          <w:lang w:eastAsia="zh-CN"/>
        </w:rPr>
        <w:t>0086</w:t>
      </w:r>
      <w:r>
        <w:rPr>
          <w:rFonts w:ascii="Arial" w:hAnsi="Arial" w:eastAsia="Arial" w:cs="Arial"/>
          <w:color w:val="000000"/>
          <w:kern w:val="0"/>
          <w:sz w:val="24"/>
          <w:szCs w:val="24"/>
        </w:rPr>
        <w:br w:type="textWrapping"/>
      </w:r>
      <w:r>
        <w:rPr>
          <w:rFonts w:ascii="Arial" w:hAnsi="Arial" w:eastAsia="Arial" w:cs="Arial"/>
          <w:color w:val="000000"/>
          <w:kern w:val="0"/>
          <w:sz w:val="24"/>
          <w:szCs w:val="24"/>
        </w:rPr>
        <w:br w:type="textWrapping"/>
      </w:r>
      <w:r>
        <w:rPr>
          <w:rFonts w:ascii="Arial" w:hAnsi="Arial" w:eastAsia="Arial" w:cs="Arial"/>
          <w:color w:val="000000"/>
          <w:kern w:val="0"/>
          <w:sz w:val="24"/>
          <w:szCs w:val="24"/>
        </w:rPr>
        <w:br w:type="textWrapping"/>
      </w:r>
      <w:r>
        <w:rPr>
          <w:rFonts w:hint="eastAsia" w:ascii="Arial" w:hAnsi="Arial" w:eastAsia="宋体" w:cs="Arial"/>
          <w:color w:val="000000"/>
          <w:kern w:val="0"/>
          <w:sz w:val="24"/>
          <w:szCs w:val="24"/>
          <w:lang w:val="en-US" w:eastAsia="zh-CN"/>
        </w:rPr>
        <w:t>异议受理人</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 系 人：</w:t>
      </w:r>
      <w:r>
        <w:rPr>
          <w:rFonts w:hint="eastAsia" w:ascii="Arial" w:hAnsi="Arial" w:eastAsia="宋体" w:cs="Arial"/>
          <w:color w:val="000000"/>
          <w:kern w:val="0"/>
          <w:sz w:val="24"/>
          <w:szCs w:val="24"/>
          <w:lang w:eastAsia="zh-CN"/>
        </w:rPr>
        <w:t>陈正龙</w:t>
      </w:r>
      <w:r>
        <w:rPr>
          <w:rFonts w:ascii="Arial" w:hAnsi="Arial" w:eastAsia="Arial" w:cs="Arial"/>
          <w:color w:val="000000"/>
          <w:kern w:val="0"/>
          <w:sz w:val="24"/>
          <w:szCs w:val="24"/>
        </w:rPr>
        <w:br w:type="textWrapping"/>
      </w:r>
      <w:r>
        <w:rPr>
          <w:rFonts w:ascii="Arial" w:hAnsi="Arial" w:eastAsia="Arial" w:cs="Arial"/>
          <w:color w:val="000000"/>
          <w:kern w:val="0"/>
          <w:sz w:val="24"/>
          <w:szCs w:val="24"/>
        </w:rPr>
        <w:t>电子邮箱：</w:t>
      </w:r>
      <w:r>
        <w:rPr>
          <w:rFonts w:hint="eastAsia" w:ascii="Arial" w:hAnsi="Arial" w:eastAsia="宋体" w:cs="Arial"/>
          <w:color w:val="000000"/>
          <w:kern w:val="0"/>
          <w:sz w:val="24"/>
          <w:szCs w:val="24"/>
          <w:lang w:eastAsia="zh-CN"/>
        </w:rPr>
        <w:t>chenzhl2</w:t>
      </w:r>
      <w:r>
        <w:rPr>
          <w:rFonts w:ascii="Arial" w:hAnsi="Arial" w:eastAsia="Arial" w:cs="Arial"/>
          <w:color w:val="000000"/>
          <w:kern w:val="0"/>
          <w:sz w:val="24"/>
          <w:szCs w:val="24"/>
        </w:rPr>
        <w:t>@cnooc.com.cn</w:t>
      </w:r>
      <w:r>
        <w:rPr>
          <w:rFonts w:ascii="Arial" w:hAnsi="Arial" w:eastAsia="Arial" w:cs="Arial"/>
          <w:color w:val="000000"/>
          <w:kern w:val="0"/>
          <w:sz w:val="24"/>
          <w:szCs w:val="24"/>
        </w:rPr>
        <w:br w:type="textWrapping"/>
      </w:r>
      <w:r>
        <w:rPr>
          <w:rFonts w:ascii="Arial" w:hAnsi="Arial" w:eastAsia="Arial" w:cs="Arial"/>
          <w:color w:val="000000"/>
          <w:kern w:val="0"/>
          <w:sz w:val="24"/>
          <w:szCs w:val="24"/>
        </w:rPr>
        <w:t>邮 编：300452</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联系电话：022-</w:t>
      </w:r>
      <w:r>
        <w:rPr>
          <w:rFonts w:hint="eastAsia" w:ascii="Arial" w:hAnsi="Arial" w:cs="Arial"/>
          <w:color w:val="000000"/>
          <w:kern w:val="0"/>
          <w:sz w:val="24"/>
          <w:szCs w:val="24"/>
        </w:rPr>
        <w:t>2580</w:t>
      </w:r>
      <w:r>
        <w:rPr>
          <w:rFonts w:hint="eastAsia" w:ascii="Arial" w:hAnsi="Arial" w:cs="Arial"/>
          <w:color w:val="000000"/>
          <w:kern w:val="0"/>
          <w:sz w:val="24"/>
          <w:szCs w:val="24"/>
          <w:lang w:eastAsia="zh-CN"/>
        </w:rPr>
        <w:t>0086</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w:t>
      </w:r>
      <w:r>
        <w:rPr>
          <w:rFonts w:hint="eastAsia" w:ascii="Arial" w:hAnsi="Arial" w:cs="Arial"/>
          <w:color w:val="000000"/>
          <w:kern w:val="0"/>
          <w:sz w:val="24"/>
          <w:szCs w:val="24"/>
          <w:lang w:val="en-US" w:eastAsia="zh-CN"/>
        </w:rPr>
        <w:t>叶萍</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投诉受理人联系电话：</w:t>
      </w:r>
      <w:r>
        <w:rPr>
          <w:rFonts w:hint="eastAsia" w:ascii="Arial" w:hAnsi="Arial" w:eastAsia="宋体" w:cs="Arial"/>
          <w:color w:val="000000"/>
          <w:kern w:val="0"/>
          <w:sz w:val="24"/>
          <w:szCs w:val="24"/>
          <w:lang w:val="en-US" w:eastAsia="zh-CN"/>
        </w:rPr>
        <w:t>022-25801360</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投诉受理人邮箱：</w:t>
      </w:r>
      <w:r>
        <w:rPr>
          <w:rFonts w:hint="eastAsia" w:ascii="Arial" w:hAnsi="Arial" w:cs="Arial"/>
          <w:color w:val="000000"/>
          <w:kern w:val="0"/>
          <w:sz w:val="24"/>
          <w:szCs w:val="24"/>
          <w:lang w:val="en-US" w:eastAsia="zh-CN"/>
        </w:rPr>
        <w:t>yeping</w:t>
      </w:r>
      <w:r>
        <w:rPr>
          <w:rFonts w:ascii="Arial" w:hAnsi="Arial" w:eastAsia="Arial" w:cs="Arial"/>
          <w:color w:val="000000"/>
          <w:kern w:val="0"/>
          <w:sz w:val="24"/>
          <w:szCs w:val="24"/>
        </w:rPr>
        <w:t>@cnooc.com.cn</w:t>
      </w:r>
    </w:p>
    <w:bookmarkEnd w:id="1"/>
    <w:bookmarkEnd w:id="2"/>
    <w:bookmarkEnd w:id="3"/>
    <w:bookmarkEnd w:id="4"/>
    <w:bookmarkEnd w:id="5"/>
    <w:bookmarkEnd w:id="6"/>
    <w:bookmarkEnd w:id="7"/>
    <w:bookmarkEnd w:id="8"/>
    <w:bookmarkEnd w:id="9"/>
    <w:bookmarkEnd w:id="10"/>
    <w:p>
      <w:pPr>
        <w:rPr>
          <w:color w:val="000080"/>
          <w:sz w:val="20"/>
          <w:highlight w:val="white"/>
        </w:rPr>
      </w:pPr>
      <w:r>
        <w:rPr>
          <w:rFonts w:hint="eastAsia"/>
          <w:color w:val="000000"/>
          <w:sz w:val="20"/>
          <w:highlight w:val="white"/>
        </w:rPr>
        <w:t xml:space="preserve"> </w:t>
      </w:r>
      <w:bookmarkEnd w:id="17"/>
    </w:p>
    <w:p>
      <w:pPr>
        <w:sectPr>
          <w:footerReference r:id="rId4" w:type="default"/>
          <w:headerReference r:id="rId3" w:type="even"/>
          <w:footerReference r:id="rId5" w:type="even"/>
          <w:footnotePr>
            <w:numRestart w:val="eachPage"/>
          </w:footnotePr>
          <w:endnotePr>
            <w:numRestart w:val="eachSect"/>
          </w:endnotePr>
          <w:pgSz w:w="12240" w:h="15840"/>
          <w:pgMar w:top="1440" w:right="1797" w:bottom="1440" w:left="1797" w:header="851" w:footer="992" w:gutter="0"/>
          <w:cols w:space="720" w:num="1"/>
          <w:titlePg/>
        </w:sectPr>
      </w:pPr>
    </w:p>
    <w:p>
      <w:pPr>
        <w:pStyle w:val="20"/>
        <w:rPr>
          <w:color w:val="000080"/>
          <w:sz w:val="20"/>
          <w:highlight w:val="white"/>
        </w:rPr>
      </w:pPr>
      <w:bookmarkStart w:id="18" w:name="EB34d8666fe6f040578ea898e7eca70c01_0"/>
      <w:r>
        <w:rPr>
          <w:rFonts w:hint="eastAsia"/>
          <w:color w:val="000000"/>
          <w:sz w:val="20"/>
          <w:highlight w:val="white"/>
        </w:rPr>
        <w:t xml:space="preserve"> </w:t>
      </w:r>
      <w:bookmarkEnd w:id="18"/>
    </w:p>
    <w:p>
      <w:pPr>
        <w:pStyle w:val="13"/>
        <w:spacing w:after="50" w:line="360" w:lineRule="auto"/>
        <w:ind w:firstLine="2530" w:firstLineChars="700"/>
        <w:outlineLvl w:val="0"/>
        <w:rPr>
          <w:rFonts w:ascii="黑体" w:hAnsi="黑体" w:eastAsia="黑体"/>
          <w:b/>
          <w:bCs/>
          <w:sz w:val="36"/>
          <w:szCs w:val="36"/>
        </w:rPr>
      </w:pPr>
      <w:bookmarkStart w:id="19" w:name="_Toc13227"/>
      <w:bookmarkStart w:id="20" w:name="_Toc2911"/>
      <w:r>
        <w:rPr>
          <w:rFonts w:hint="eastAsia" w:ascii="黑体" w:hAnsi="黑体" w:eastAsia="黑体"/>
          <w:b/>
          <w:bCs/>
          <w:sz w:val="36"/>
          <w:szCs w:val="36"/>
        </w:rPr>
        <w:t>第二章 申请人须知</w:t>
      </w:r>
      <w:bookmarkEnd w:id="19"/>
      <w:bookmarkEnd w:id="20"/>
    </w:p>
    <w:p>
      <w:pPr>
        <w:pStyle w:val="22"/>
        <w:spacing w:line="360" w:lineRule="auto"/>
      </w:pPr>
      <w:r>
        <w:rPr>
          <w:rFonts w:hint="eastAsia"/>
        </w:rPr>
        <w:t xml:space="preserve"> 申请人须知前附表</w:t>
      </w:r>
    </w:p>
    <w:p>
      <w:pPr>
        <w:pStyle w:val="13"/>
        <w:spacing w:line="360" w:lineRule="auto"/>
        <w:ind w:right="-687" w:rightChars="-327"/>
      </w:pPr>
      <w:r>
        <w:rPr>
          <w:rFonts w:hint="eastAsia"/>
          <w:sz w:val="24"/>
        </w:rPr>
        <w:t>本附表是对申请人须知中相关条款的补充和修改，如有矛盾，以附表中规定的条款和内容为准。</w:t>
      </w:r>
    </w:p>
    <w:tbl>
      <w:tblPr>
        <w:tblStyle w:val="9"/>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987"/>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b/>
                <w:sz w:val="21"/>
                <w:szCs w:val="21"/>
              </w:rPr>
            </w:pPr>
            <w:r>
              <w:rPr>
                <w:rFonts w:ascii="Times New Roman"/>
                <w:b/>
                <w:sz w:val="21"/>
                <w:szCs w:val="21"/>
              </w:rPr>
              <w:t>条款号</w:t>
            </w:r>
          </w:p>
        </w:tc>
        <w:tc>
          <w:tcPr>
            <w:tcW w:w="1987" w:type="dxa"/>
            <w:noWrap w:val="0"/>
            <w:vAlign w:val="center"/>
          </w:tcPr>
          <w:p>
            <w:pPr>
              <w:pStyle w:val="24"/>
              <w:topLinePunct/>
              <w:adjustRightInd w:val="0"/>
              <w:jc w:val="center"/>
              <w:textAlignment w:val="baseline"/>
              <w:rPr>
                <w:rFonts w:ascii="Times New Roman"/>
                <w:b/>
                <w:sz w:val="21"/>
                <w:szCs w:val="21"/>
              </w:rPr>
            </w:pPr>
            <w:r>
              <w:rPr>
                <w:rFonts w:ascii="Times New Roman"/>
                <w:b/>
                <w:sz w:val="21"/>
                <w:szCs w:val="21"/>
              </w:rPr>
              <w:t>条款 名称</w:t>
            </w:r>
          </w:p>
        </w:tc>
        <w:tc>
          <w:tcPr>
            <w:tcW w:w="6614" w:type="dxa"/>
            <w:noWrap w:val="0"/>
            <w:vAlign w:val="center"/>
          </w:tcPr>
          <w:p>
            <w:pPr>
              <w:pStyle w:val="24"/>
              <w:topLinePunct/>
              <w:adjustRightInd w:val="0"/>
              <w:jc w:val="center"/>
              <w:textAlignment w:val="baseline"/>
              <w:rPr>
                <w:rFonts w:ascii="Times New Roman"/>
                <w:b/>
                <w:sz w:val="21"/>
                <w:szCs w:val="21"/>
              </w:rPr>
            </w:pPr>
            <w:r>
              <w:rPr>
                <w:rFonts w:ascii="Times New Roman"/>
                <w:b/>
                <w:sz w:val="21"/>
                <w:szCs w:val="21"/>
              </w:rPr>
              <w:t xml:space="preserve">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1.1.2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招标人</w:t>
            </w:r>
          </w:p>
        </w:tc>
        <w:tc>
          <w:tcPr>
            <w:tcW w:w="6614" w:type="dxa"/>
            <w:noWrap w:val="0"/>
            <w:vAlign w:val="center"/>
          </w:tcPr>
          <w:p>
            <w:pPr>
              <w:pStyle w:val="24"/>
              <w:topLinePunct/>
              <w:adjustRightInd w:val="0"/>
              <w:jc w:val="left"/>
              <w:textAlignment w:val="baseline"/>
              <w:rPr>
                <w:rFonts w:hAnsi="宋体"/>
                <w:sz w:val="21"/>
                <w:szCs w:val="21"/>
              </w:rPr>
            </w:pPr>
            <w:r>
              <w:rPr>
                <w:rFonts w:hint="eastAsia" w:hAnsi="宋体"/>
                <w:sz w:val="21"/>
                <w:szCs w:val="21"/>
                <w:lang w:val="zh-CN"/>
              </w:rPr>
              <w:t>中海油能源发展股份有限公司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1.1.3</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招标代理机构</w:t>
            </w:r>
          </w:p>
        </w:tc>
        <w:tc>
          <w:tcPr>
            <w:tcW w:w="6614" w:type="dxa"/>
            <w:noWrap w:val="0"/>
            <w:vAlign w:val="center"/>
          </w:tcPr>
          <w:p>
            <w:pPr>
              <w:pStyle w:val="24"/>
              <w:topLinePunct/>
              <w:adjustRightInd w:val="0"/>
              <w:jc w:val="left"/>
              <w:textAlignment w:val="baseline"/>
              <w:rPr>
                <w:rFonts w:hint="eastAsia" w:ascii="Times New Roman" w:eastAsia="宋体"/>
                <w:sz w:val="21"/>
                <w:szCs w:val="21"/>
                <w:lang w:eastAsia="zh-CN"/>
              </w:rPr>
            </w:pPr>
            <w:r>
              <w:rPr>
                <w:rFonts w:hint="eastAsia"/>
                <w:sz w:val="21"/>
                <w:szCs w:val="21"/>
                <w:lang w:eastAsia="zh-CN"/>
              </w:rPr>
              <w:t>中海油能源发展股份有限公司采办共享中心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资金来源</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1.3</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项目概况</w:t>
            </w:r>
          </w:p>
        </w:tc>
        <w:tc>
          <w:tcPr>
            <w:tcW w:w="6614" w:type="dxa"/>
            <w:noWrap w:val="0"/>
            <w:vAlign w:val="center"/>
          </w:tcPr>
          <w:p>
            <w:pPr>
              <w:pStyle w:val="13"/>
              <w:adjustRightInd w:val="0"/>
              <w:snapToGrid w:val="0"/>
              <w:spacing w:line="360" w:lineRule="auto"/>
              <w:rPr>
                <w:rFonts w:ascii="宋体" w:hAnsi="宋体" w:cs="宋体"/>
                <w:szCs w:val="21"/>
                <w:lang w:val="zh-CN"/>
              </w:rPr>
            </w:pPr>
            <w:r>
              <w:rPr>
                <w:rFonts w:hint="eastAsia" w:ascii="宋体" w:hAnsi="宋体" w:cs="宋体"/>
                <w:szCs w:val="21"/>
                <w:lang w:val="zh-CN"/>
              </w:rPr>
              <w:t>项目概况：为寻找优质供应商资源，现进行工程技术公司永磁系列潜油电机等物资采购专有协议--标段三供应商资格审查。</w:t>
            </w:r>
          </w:p>
          <w:p>
            <w:pPr>
              <w:pStyle w:val="13"/>
              <w:adjustRightInd w:val="0"/>
              <w:snapToGrid w:val="0"/>
              <w:spacing w:line="360" w:lineRule="auto"/>
              <w:rPr>
                <w:rFonts w:ascii="宋体" w:hAnsi="宋体" w:cs="宋体"/>
                <w:szCs w:val="21"/>
              </w:rPr>
            </w:pPr>
            <w:r>
              <w:rPr>
                <w:rFonts w:hint="eastAsia" w:ascii="宋体" w:hAnsi="宋体" w:cs="宋体"/>
                <w:szCs w:val="21"/>
                <w:lang w:val="zh-CN"/>
              </w:rPr>
              <w:t>本次公开资格预审项目，通过资格评审的申请人</w:t>
            </w:r>
            <w:r>
              <w:rPr>
                <w:rFonts w:hint="eastAsia" w:ascii="宋体" w:hAnsi="宋体" w:cs="宋体"/>
                <w:szCs w:val="21"/>
              </w:rPr>
              <w:t>最终将进入中海油能源发展股份有限公司</w:t>
            </w:r>
            <w:r>
              <w:rPr>
                <w:rFonts w:hint="eastAsia" w:ascii="宋体" w:hAnsi="宋体" w:cs="宋体"/>
                <w:szCs w:val="21"/>
                <w:lang w:eastAsia="zh-CN"/>
              </w:rPr>
              <w:t>工程技术公司永磁系列潜油电机等物资采购专有协议--标段三</w:t>
            </w:r>
            <w:r>
              <w:rPr>
                <w:rFonts w:hint="eastAsia" w:ascii="宋体" w:hAnsi="宋体" w:cs="宋体"/>
                <w:szCs w:val="21"/>
              </w:rPr>
              <w:t>的</w:t>
            </w:r>
            <w:r>
              <w:rPr>
                <w:rFonts w:hint="eastAsia" w:ascii="宋体" w:hAnsi="宋体" w:cs="宋体"/>
                <w:color w:val="auto"/>
                <w:szCs w:val="21"/>
                <w:highlight w:val="none"/>
                <w:lang w:val="en-US" w:eastAsia="zh-CN"/>
              </w:rPr>
              <w:t>后续采购</w:t>
            </w:r>
            <w:r>
              <w:rPr>
                <w:rFonts w:hint="eastAsia" w:ascii="宋体" w:hAnsi="宋体" w:cs="宋体"/>
                <w:szCs w:val="21"/>
              </w:rPr>
              <w:t>发标名单。</w:t>
            </w:r>
          </w:p>
          <w:p>
            <w:pPr>
              <w:pStyle w:val="13"/>
              <w:adjustRightInd w:val="0"/>
              <w:snapToGrid w:val="0"/>
              <w:spacing w:line="360" w:lineRule="auto"/>
              <w:rPr>
                <w:rFonts w:ascii="宋体" w:hAnsi="宋体" w:cs="宋体"/>
                <w:szCs w:val="21"/>
                <w:lang w:val="zh-CN"/>
              </w:rPr>
            </w:pPr>
            <w:r>
              <w:rPr>
                <w:rFonts w:hint="eastAsia" w:ascii="宋体" w:hAnsi="宋体" w:cs="宋体"/>
                <w:szCs w:val="21"/>
                <w:lang w:val="zh-CN"/>
              </w:rPr>
              <w:t>合同有效期：合同有效期自签订生效之日起 叁 年（在合同执行阶段采用“1+1+1”的方式，即合同届满1年，若买卖双方对合同条款及合同价格均无异议，继续沿用1年；若无法达成一致，则合同自动终止，以此类推；协议期满后，如有未执行完毕的订单，该订单应履行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4"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1.3.1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招标范围</w:t>
            </w:r>
          </w:p>
        </w:tc>
        <w:tc>
          <w:tcPr>
            <w:tcW w:w="6614" w:type="dxa"/>
            <w:noWrap w:val="0"/>
            <w:vAlign w:val="center"/>
          </w:tcPr>
          <w:p>
            <w:pPr>
              <w:pStyle w:val="13"/>
              <w:spacing w:line="360" w:lineRule="auto"/>
              <w:rPr>
                <w:rFonts w:cs="宋体"/>
                <w:szCs w:val="21"/>
              </w:rPr>
            </w:pPr>
            <w:r>
              <w:rPr>
                <w:rFonts w:hint="eastAsia" w:ascii="宋体" w:hAnsi="宋体" w:eastAsia="宋体" w:cs="微软雅黑"/>
                <w:kern w:val="2"/>
                <w:sz w:val="21"/>
                <w:szCs w:val="24"/>
                <w:highlight w:val="none"/>
                <w:lang w:eastAsia="zh-CN"/>
              </w:rPr>
              <w:t>350系列、450系列、562系列永磁潜油电机；338系列、400系列、540系列潜油保护器；450系列、562系列永磁常速电机定子片等，详见招标文件供货要求描述</w:t>
            </w:r>
            <w:r>
              <w:rPr>
                <w:rFonts w:hint="eastAsia" w:ascii="宋体" w:hAnsi="宋体" w:eastAsia="宋体" w:cs="微软雅黑"/>
                <w:kern w:val="2"/>
                <w:sz w:val="21"/>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1.4</w:t>
            </w:r>
          </w:p>
        </w:tc>
        <w:tc>
          <w:tcPr>
            <w:tcW w:w="1987" w:type="dxa"/>
            <w:noWrap w:val="0"/>
            <w:vAlign w:val="center"/>
          </w:tcPr>
          <w:p>
            <w:pPr>
              <w:pStyle w:val="24"/>
              <w:topLinePunct/>
              <w:adjustRightInd w:val="0"/>
              <w:jc w:val="left"/>
              <w:textAlignment w:val="baseline"/>
              <w:rPr>
                <w:rFonts w:ascii="Times New Roman" w:cs="宋体"/>
                <w:sz w:val="21"/>
                <w:szCs w:val="21"/>
              </w:rPr>
            </w:pPr>
            <w:r>
              <w:rPr>
                <w:rFonts w:hint="eastAsia" w:ascii="Times New Roman" w:cs="宋体"/>
                <w:sz w:val="21"/>
                <w:szCs w:val="21"/>
              </w:rPr>
              <w:t>★申请人必备条款指标（增加否决项内容）</w:t>
            </w:r>
          </w:p>
        </w:tc>
        <w:tc>
          <w:tcPr>
            <w:tcW w:w="6614" w:type="dxa"/>
            <w:noWrap w:val="0"/>
            <w:vAlign w:val="center"/>
          </w:tcPr>
          <w:p>
            <w:pPr>
              <w:pStyle w:val="14"/>
              <w:rPr>
                <w:rFonts w:hint="default" w:eastAsia="宋体" w:cs="宋体"/>
                <w:sz w:val="21"/>
                <w:szCs w:val="21"/>
                <w:lang w:val="en-US" w:eastAsia="zh-CN"/>
              </w:rPr>
            </w:pPr>
            <w:r>
              <w:rPr>
                <w:rFonts w:hint="eastAsia" w:cs="宋体"/>
                <w:sz w:val="21"/>
                <w:szCs w:val="21"/>
                <w:lang w:val="en-US"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2.2.1</w:t>
            </w:r>
          </w:p>
        </w:tc>
        <w:tc>
          <w:tcPr>
            <w:tcW w:w="1987" w:type="dxa"/>
            <w:noWrap w:val="0"/>
            <w:vAlign w:val="center"/>
          </w:tcPr>
          <w:p>
            <w:pPr>
              <w:pStyle w:val="24"/>
              <w:topLinePunct/>
              <w:adjustRightInd w:val="0"/>
              <w:jc w:val="left"/>
              <w:textAlignment w:val="baseline"/>
              <w:rPr>
                <w:rFonts w:ascii="Calibri" w:cs="宋体"/>
                <w:sz w:val="21"/>
                <w:szCs w:val="21"/>
              </w:rPr>
            </w:pPr>
            <w:r>
              <w:rPr>
                <w:rFonts w:ascii="Calibri" w:cs="宋体"/>
                <w:sz w:val="21"/>
                <w:szCs w:val="21"/>
              </w:rPr>
              <w:t>申请人要求澄清</w:t>
            </w:r>
            <w:r>
              <w:rPr>
                <w:rFonts w:hint="eastAsia" w:ascii="Calibri" w:cs="宋体"/>
                <w:sz w:val="21"/>
                <w:szCs w:val="21"/>
              </w:rPr>
              <w:t>递交</w:t>
            </w:r>
            <w:r>
              <w:rPr>
                <w:rFonts w:ascii="Calibri" w:cs="宋体"/>
                <w:sz w:val="21"/>
                <w:szCs w:val="21"/>
              </w:rPr>
              <w:t>资格预审文件的截止时间</w:t>
            </w:r>
          </w:p>
        </w:tc>
        <w:tc>
          <w:tcPr>
            <w:tcW w:w="6614" w:type="dxa"/>
            <w:noWrap w:val="0"/>
            <w:vAlign w:val="center"/>
          </w:tcPr>
          <w:p>
            <w:pPr>
              <w:pStyle w:val="24"/>
              <w:topLinePunct/>
              <w:adjustRightInd w:val="0"/>
              <w:jc w:val="left"/>
              <w:textAlignment w:val="baseline"/>
              <w:rPr>
                <w:rFonts w:ascii="Calibri" w:cs="宋体"/>
                <w:sz w:val="21"/>
                <w:szCs w:val="21"/>
              </w:rPr>
            </w:pPr>
            <w:r>
              <w:rPr>
                <w:rFonts w:hint="eastAsia" w:ascii="Calibri" w:cs="宋体"/>
                <w:sz w:val="21"/>
                <w:szCs w:val="21"/>
              </w:rPr>
              <w:t>资格预审文件要求提交文件截止时间至少二日前。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2.2.2</w:t>
            </w:r>
          </w:p>
        </w:tc>
        <w:tc>
          <w:tcPr>
            <w:tcW w:w="1987" w:type="dxa"/>
            <w:noWrap w:val="0"/>
            <w:vAlign w:val="center"/>
          </w:tcPr>
          <w:p>
            <w:pPr>
              <w:pStyle w:val="24"/>
              <w:topLinePunct/>
              <w:adjustRightInd w:val="0"/>
              <w:jc w:val="left"/>
              <w:textAlignment w:val="baseline"/>
              <w:rPr>
                <w:rFonts w:ascii="Times New Roman"/>
                <w:sz w:val="21"/>
                <w:szCs w:val="21"/>
              </w:rPr>
            </w:pPr>
            <w:r>
              <w:rPr>
                <w:rFonts w:ascii="Times New Roman"/>
                <w:sz w:val="21"/>
                <w:szCs w:val="21"/>
              </w:rPr>
              <w:t>招标人澄清资格预审文件的截止时间</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资格预审文件要求提交文件截止时间至少三日前。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2.2.3</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申请人确认收到资格预审文件澄清的时间</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二十四小时无回复，视同确认。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2.3.1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招标人修改资格预审文件的截止时间</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招标人对已发出的资格预审文件进行必要的修改或补遗的，应当在资格预审文件要求提交文件截止时间至少三日前。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2.3.2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申请人确认收到资格预审文件修改的时间</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二十四小时无回复，视同确认。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3.1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资格预审申请文件的组成（即申请人需提供文件，包括但不限于）</w:t>
            </w:r>
          </w:p>
        </w:tc>
        <w:tc>
          <w:tcPr>
            <w:tcW w:w="6614" w:type="dxa"/>
            <w:noWrap w:val="0"/>
            <w:vAlign w:val="center"/>
          </w:tcPr>
          <w:p>
            <w:pPr>
              <w:pStyle w:val="13"/>
              <w:rPr>
                <w:szCs w:val="21"/>
              </w:rPr>
            </w:pPr>
            <w:r>
              <w:rPr>
                <w:rFonts w:hint="eastAsia"/>
                <w:szCs w:val="21"/>
              </w:rPr>
              <w:t>1、资格预审申请文件封面</w:t>
            </w:r>
          </w:p>
          <w:p>
            <w:pPr>
              <w:pStyle w:val="13"/>
              <w:rPr>
                <w:szCs w:val="21"/>
              </w:rPr>
            </w:pPr>
            <w:r>
              <w:rPr>
                <w:rFonts w:hint="eastAsia"/>
                <w:szCs w:val="21"/>
              </w:rPr>
              <w:t>2、否决项清单响应目录</w:t>
            </w:r>
          </w:p>
          <w:p>
            <w:pPr>
              <w:pStyle w:val="13"/>
              <w:rPr>
                <w:szCs w:val="21"/>
              </w:rPr>
            </w:pPr>
            <w:r>
              <w:rPr>
                <w:rFonts w:hint="eastAsia"/>
                <w:szCs w:val="21"/>
              </w:rPr>
              <w:t>3、法人代表授权书</w:t>
            </w:r>
          </w:p>
          <w:p>
            <w:pPr>
              <w:pStyle w:val="13"/>
              <w:rPr>
                <w:szCs w:val="21"/>
              </w:rPr>
            </w:pPr>
            <w:r>
              <w:rPr>
                <w:rFonts w:hint="eastAsia"/>
                <w:szCs w:val="21"/>
              </w:rPr>
              <w:t>4、法定代表人身份证明</w:t>
            </w:r>
          </w:p>
          <w:p>
            <w:pPr>
              <w:pStyle w:val="13"/>
              <w:rPr>
                <w:szCs w:val="21"/>
              </w:rPr>
            </w:pPr>
            <w:r>
              <w:rPr>
                <w:rFonts w:hint="eastAsia"/>
                <w:szCs w:val="21"/>
              </w:rPr>
              <w:t>5、营业执照</w:t>
            </w:r>
          </w:p>
          <w:p>
            <w:pPr>
              <w:pStyle w:val="13"/>
              <w:rPr>
                <w:szCs w:val="21"/>
              </w:rPr>
            </w:pPr>
            <w:r>
              <w:rPr>
                <w:rFonts w:hint="eastAsia"/>
                <w:szCs w:val="21"/>
              </w:rPr>
              <w:t>6、承诺书</w:t>
            </w:r>
          </w:p>
          <w:p>
            <w:pPr>
              <w:pStyle w:val="13"/>
              <w:rPr>
                <w:szCs w:val="21"/>
              </w:rPr>
            </w:pPr>
            <w:r>
              <w:rPr>
                <w:rFonts w:hint="eastAsia"/>
                <w:szCs w:val="21"/>
              </w:rPr>
              <w:t>7、公司简介及公司组织架构图</w:t>
            </w:r>
          </w:p>
          <w:p>
            <w:pPr>
              <w:pStyle w:val="13"/>
              <w:rPr>
                <w:szCs w:val="21"/>
              </w:rPr>
            </w:pPr>
            <w:r>
              <w:rPr>
                <w:rFonts w:hint="eastAsia"/>
                <w:szCs w:val="21"/>
              </w:rPr>
              <w:t>8、近三年（</w:t>
            </w:r>
            <w:r>
              <w:rPr>
                <w:rFonts w:hint="eastAsia"/>
                <w:szCs w:val="21"/>
                <w:lang w:eastAsia="zh-CN"/>
              </w:rPr>
              <w:t>2020-2022</w:t>
            </w:r>
            <w:r>
              <w:rPr>
                <w:rFonts w:hint="eastAsia"/>
                <w:szCs w:val="21"/>
              </w:rPr>
              <w:t>年）经审计的财务报表</w:t>
            </w:r>
          </w:p>
          <w:p>
            <w:pPr>
              <w:pStyle w:val="13"/>
              <w:rPr>
                <w:szCs w:val="21"/>
              </w:rPr>
            </w:pPr>
            <w:r>
              <w:rPr>
                <w:rFonts w:hint="eastAsia"/>
                <w:szCs w:val="21"/>
              </w:rPr>
              <w:t>9、相关证书（如有）</w:t>
            </w:r>
          </w:p>
          <w:p>
            <w:pPr>
              <w:pStyle w:val="13"/>
              <w:rPr>
                <w:szCs w:val="21"/>
              </w:rPr>
            </w:pPr>
            <w:r>
              <w:rPr>
                <w:rFonts w:hint="eastAsia"/>
                <w:szCs w:val="21"/>
              </w:rPr>
              <w:t>10、投标材料质量标准的详细描述</w:t>
            </w:r>
          </w:p>
          <w:p>
            <w:pPr>
              <w:pStyle w:val="13"/>
              <w:rPr>
                <w:szCs w:val="21"/>
              </w:rPr>
            </w:pPr>
            <w:r>
              <w:rPr>
                <w:rFonts w:hint="eastAsia"/>
                <w:szCs w:val="21"/>
              </w:rPr>
              <w:t>11、业绩合同扫描件</w:t>
            </w:r>
          </w:p>
          <w:p>
            <w:pPr>
              <w:pStyle w:val="13"/>
              <w:rPr>
                <w:szCs w:val="21"/>
              </w:rPr>
            </w:pPr>
            <w:r>
              <w:rPr>
                <w:rFonts w:hint="eastAsia"/>
                <w:szCs w:val="21"/>
              </w:rPr>
              <w:t>12、提交的资格预审申请文件的电子版</w:t>
            </w:r>
          </w:p>
          <w:p>
            <w:pPr>
              <w:pStyle w:val="13"/>
              <w:rPr>
                <w:szCs w:val="21"/>
              </w:rPr>
            </w:pPr>
            <w:r>
              <w:rPr>
                <w:rFonts w:hint="eastAsia"/>
                <w:szCs w:val="21"/>
              </w:rPr>
              <w:t>13、信誉证明文件</w:t>
            </w:r>
          </w:p>
          <w:p>
            <w:pPr>
              <w:pStyle w:val="13"/>
              <w:rPr>
                <w:szCs w:val="21"/>
              </w:rPr>
            </w:pPr>
            <w:r>
              <w:rPr>
                <w:rFonts w:hint="eastAsia"/>
                <w:szCs w:val="21"/>
              </w:rPr>
              <w:t>14、供货计划、生产能力和保障措施</w:t>
            </w:r>
          </w:p>
          <w:p>
            <w:pPr>
              <w:pStyle w:val="13"/>
              <w:rPr>
                <w:szCs w:val="21"/>
              </w:rPr>
            </w:pPr>
            <w:r>
              <w:rPr>
                <w:rFonts w:hint="eastAsia"/>
                <w:szCs w:val="21"/>
              </w:rPr>
              <w:t>15、售后服务和现场技术支持方案</w:t>
            </w:r>
          </w:p>
          <w:p>
            <w:pPr>
              <w:pStyle w:val="13"/>
              <w:rPr>
                <w:szCs w:val="21"/>
              </w:rPr>
            </w:pPr>
            <w:r>
              <w:rPr>
                <w:rFonts w:hint="eastAsia"/>
                <w:szCs w:val="21"/>
              </w:rPr>
              <w:t>16、申请人认为有必要提交的其他支持性材料</w:t>
            </w:r>
          </w:p>
          <w:p>
            <w:pPr>
              <w:pStyle w:val="13"/>
              <w:rPr>
                <w:szCs w:val="21"/>
              </w:rPr>
            </w:pPr>
            <w:r>
              <w:rPr>
                <w:rFonts w:hint="eastAsia"/>
                <w:szCs w:val="21"/>
              </w:rPr>
              <w:t>17、商务偏离表</w:t>
            </w:r>
          </w:p>
          <w:p>
            <w:pPr>
              <w:pStyle w:val="13"/>
              <w:rPr>
                <w:szCs w:val="21"/>
              </w:rPr>
            </w:pPr>
            <w:r>
              <w:rPr>
                <w:rFonts w:hint="eastAsia"/>
                <w:szCs w:val="21"/>
              </w:rPr>
              <w:t>18、技术偏离表</w:t>
            </w:r>
          </w:p>
          <w:p>
            <w:pPr>
              <w:pStyle w:val="13"/>
              <w:rPr>
                <w:szCs w:val="21"/>
              </w:rPr>
            </w:pPr>
            <w:r>
              <w:rPr>
                <w:rFonts w:hint="eastAsia"/>
                <w:szCs w:val="21"/>
              </w:rPr>
              <w:t>19、投标函</w:t>
            </w:r>
          </w:p>
          <w:p>
            <w:pPr>
              <w:pStyle w:val="13"/>
              <w:rPr>
                <w:szCs w:val="21"/>
              </w:rPr>
            </w:pPr>
            <w:r>
              <w:rPr>
                <w:rFonts w:hint="eastAsia"/>
                <w:szCs w:val="21"/>
              </w:rPr>
              <w:t>20、对本项目技术要求的其他响应文件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4.2.1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申请截止时间</w:t>
            </w:r>
          </w:p>
        </w:tc>
        <w:tc>
          <w:tcPr>
            <w:tcW w:w="6614" w:type="dxa"/>
            <w:noWrap w:val="0"/>
            <w:vAlign w:val="center"/>
          </w:tcPr>
          <w:p>
            <w:pPr>
              <w:pStyle w:val="24"/>
              <w:topLinePunct/>
              <w:adjustRightInd w:val="0"/>
              <w:jc w:val="left"/>
              <w:textAlignment w:val="baseline"/>
              <w:rPr>
                <w:rFonts w:hint="default" w:ascii="Times New Roman" w:eastAsia="宋体"/>
                <w:b/>
                <w:sz w:val="21"/>
                <w:szCs w:val="21"/>
                <w:lang w:val="en-US" w:eastAsia="zh-CN"/>
              </w:rPr>
            </w:pPr>
            <w:r>
              <w:rPr>
                <w:rFonts w:hint="eastAsia"/>
                <w:color w:val="auto"/>
                <w:sz w:val="21"/>
                <w:szCs w:val="21"/>
                <w:highlight w:val="none"/>
                <w:lang w:val="en-US" w:eastAsia="zh-CN"/>
              </w:rPr>
              <w:t>详见系统时间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4.2.2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递交资格预审申请文件的地点</w:t>
            </w:r>
          </w:p>
        </w:tc>
        <w:tc>
          <w:tcPr>
            <w:tcW w:w="6614" w:type="dxa"/>
            <w:noWrap w:val="0"/>
            <w:vAlign w:val="center"/>
          </w:tcPr>
          <w:p>
            <w:pPr>
              <w:pStyle w:val="24"/>
              <w:topLinePunct/>
              <w:adjustRightInd w:val="0"/>
              <w:jc w:val="left"/>
              <w:textAlignment w:val="baseline"/>
              <w:rPr>
                <w:rFonts w:hint="default" w:ascii="Times New Roman" w:eastAsia="宋体"/>
                <w:sz w:val="21"/>
                <w:szCs w:val="21"/>
                <w:lang w:val="en-US" w:eastAsia="zh-CN"/>
              </w:rPr>
            </w:pPr>
            <w:r>
              <w:rPr>
                <w:rFonts w:hint="eastAsia" w:ascii="Times New Roman"/>
                <w:sz w:val="21"/>
                <w:szCs w:val="21"/>
                <w:lang w:val="en-US" w:eastAsia="zh-CN"/>
              </w:rPr>
              <w:t>线上递交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4.2.3</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是否退还资格预审申请文件</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5.1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审查委员会人数</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共5人（其中4人全部依法从中国海洋石油集团有限公司专家库中抽取，另1人为业主代表）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5.2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资格审查办法</w:t>
            </w:r>
          </w:p>
        </w:tc>
        <w:tc>
          <w:tcPr>
            <w:tcW w:w="6614" w:type="dxa"/>
            <w:noWrap w:val="0"/>
            <w:vAlign w:val="center"/>
          </w:tcPr>
          <w:p>
            <w:pPr>
              <w:pStyle w:val="14"/>
              <w:rPr>
                <w:sz w:val="21"/>
                <w:szCs w:val="24"/>
              </w:rPr>
            </w:pPr>
            <w:r>
              <w:rPr>
                <w:rFonts w:hint="eastAsia"/>
                <w:b/>
                <w:bCs/>
                <w:sz w:val="21"/>
                <w:szCs w:val="24"/>
                <w:lang w:val="en-US" w:eastAsia="zh-CN"/>
              </w:rPr>
              <w:t>1、</w:t>
            </w:r>
            <w:r>
              <w:rPr>
                <w:rFonts w:hint="eastAsia"/>
                <w:sz w:val="21"/>
                <w:szCs w:val="24"/>
              </w:rPr>
              <w:t>本项目采用合格制。</w:t>
            </w:r>
          </w:p>
          <w:p>
            <w:pPr>
              <w:pStyle w:val="14"/>
              <w:rPr>
                <w:sz w:val="21"/>
                <w:szCs w:val="24"/>
              </w:rPr>
            </w:pPr>
          </w:p>
          <w:p>
            <w:pPr>
              <w:pStyle w:val="14"/>
              <w:rPr>
                <w:sz w:val="21"/>
                <w:szCs w:val="24"/>
              </w:rPr>
            </w:pPr>
            <w:r>
              <w:rPr>
                <w:rFonts w:hint="eastAsia"/>
                <w:b/>
                <w:bCs/>
                <w:sz w:val="21"/>
                <w:szCs w:val="24"/>
                <w:lang w:val="en-US" w:eastAsia="zh-CN"/>
              </w:rPr>
              <w:t>2、</w:t>
            </w:r>
            <w:r>
              <w:rPr>
                <w:rFonts w:hint="eastAsia"/>
                <w:sz w:val="21"/>
                <w:szCs w:val="24"/>
              </w:rPr>
              <w:t xml:space="preserve"> 审查委员会依据公开资格预审文件及附件中规定的标准，对资格预审申请文件否决项进行逐项审查，有一项审查因素不符合审查标准的，不能通过资格预审。</w:t>
            </w:r>
          </w:p>
          <w:p>
            <w:pPr>
              <w:pStyle w:val="14"/>
              <w:rPr>
                <w:sz w:val="21"/>
                <w:szCs w:val="24"/>
              </w:rPr>
            </w:pPr>
          </w:p>
          <w:p>
            <w:pPr>
              <w:pStyle w:val="14"/>
              <w:numPr>
                <w:ilvl w:val="0"/>
                <w:numId w:val="0"/>
              </w:numPr>
              <w:rPr>
                <w:rFonts w:hint="eastAsia"/>
                <w:sz w:val="21"/>
                <w:szCs w:val="24"/>
              </w:rPr>
            </w:pPr>
            <w:r>
              <w:rPr>
                <w:rFonts w:hint="eastAsia"/>
                <w:b/>
                <w:bCs/>
                <w:sz w:val="21"/>
                <w:szCs w:val="24"/>
                <w:lang w:val="en-US" w:eastAsia="zh-CN"/>
              </w:rPr>
              <w:t>3、</w:t>
            </w:r>
            <w:r>
              <w:rPr>
                <w:rFonts w:hint="eastAsia"/>
                <w:sz w:val="21"/>
                <w:szCs w:val="24"/>
              </w:rPr>
              <w:t>审查委员会按资格预审文件所附评议标准对通过否决项审查的申请人提交的资格预审申请文件进行资格审查，有一项关键指标（★号）不符合审查标准或一般指标超出允许接受范围的，不能通过资格预审</w:t>
            </w:r>
            <w:r>
              <w:rPr>
                <w:rFonts w:hint="eastAsia"/>
                <w:sz w:val="21"/>
                <w:szCs w:val="24"/>
                <w:lang w:val="en-US" w:eastAsia="zh-CN"/>
              </w:rPr>
              <w:t>初审</w:t>
            </w:r>
            <w:r>
              <w:rPr>
                <w:rFonts w:hint="eastAsia"/>
                <w:sz w:val="21"/>
                <w:szCs w:val="24"/>
              </w:rPr>
              <w:t>。</w:t>
            </w:r>
          </w:p>
          <w:p>
            <w:pPr>
              <w:pStyle w:val="5"/>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yellow"/>
                <w:u w:val="none"/>
                <w:lang w:val="en-US" w:eastAsia="zh-CN" w:bidi="ar"/>
              </w:rPr>
              <w:t>4、</w:t>
            </w: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由第三方实验机构（CCS、ABS、BV、DNV）中的任意一家、招标人机采公司以及公开资格预初步评审合格的投标人依次在招标人现场共同见证投标人所提供的电机和HAILOONG LIFT品牌的OTS400</w:t>
            </w:r>
            <w:r>
              <w:rPr>
                <w:rFonts w:hint="default" w:ascii="宋体" w:hAnsi="宋体" w:eastAsia="宋体" w:cs="宋体"/>
                <w:i w:val="0"/>
                <w:iCs w:val="0"/>
                <w:color w:val="auto"/>
                <w:kern w:val="0"/>
                <w:sz w:val="18"/>
                <w:szCs w:val="18"/>
                <w:highlight w:val="yellow"/>
                <w:u w:val="none"/>
                <w:lang w:val="en-US" w:eastAsia="zh-CN" w:bidi="ar"/>
              </w:rPr>
              <w:t>变频器</w:t>
            </w:r>
            <w:r>
              <w:rPr>
                <w:rFonts w:hint="eastAsia" w:ascii="宋体" w:hAnsi="宋体" w:eastAsia="宋体" w:cs="宋体"/>
                <w:i w:val="0"/>
                <w:iCs w:val="0"/>
                <w:color w:val="auto"/>
                <w:kern w:val="0"/>
                <w:sz w:val="18"/>
                <w:szCs w:val="18"/>
                <w:highlight w:val="yellow"/>
                <w:u w:val="none"/>
                <w:lang w:val="en-US" w:eastAsia="zh-CN" w:bidi="ar"/>
              </w:rPr>
              <w:t>匹配性试验。</w:t>
            </w:r>
            <w:r>
              <w:rPr>
                <w:rFonts w:hint="eastAsia" w:ascii="宋体" w:hAnsi="宋体" w:eastAsia="宋体" w:cs="宋体"/>
                <w:i w:val="0"/>
                <w:iCs w:val="0"/>
                <w:color w:val="auto"/>
                <w:kern w:val="0"/>
                <w:sz w:val="18"/>
                <w:szCs w:val="18"/>
                <w:highlight w:val="none"/>
                <w:u w:val="none"/>
                <w:lang w:val="en-US" w:eastAsia="zh-CN" w:bidi="ar"/>
              </w:rPr>
              <w:t>试验要求：</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r>
              <w:rPr>
                <w:rFonts w:hint="default" w:ascii="宋体" w:hAnsi="宋体" w:eastAsia="宋体" w:cs="宋体"/>
                <w:i w:val="0"/>
                <w:iCs w:val="0"/>
                <w:color w:val="auto"/>
                <w:kern w:val="0"/>
                <w:sz w:val="18"/>
                <w:szCs w:val="18"/>
                <w:highlight w:val="none"/>
                <w:u w:val="none"/>
                <w:lang w:val="en-US" w:eastAsia="zh-CN" w:bidi="ar"/>
              </w:rPr>
              <w:t>测试电机的型号要求如下：</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提供450系列电机</w:t>
            </w:r>
            <w:r>
              <w:rPr>
                <w:rFonts w:hint="eastAsia" w:ascii="宋体" w:hAnsi="宋体" w:eastAsia="宋体" w:cs="宋体"/>
                <w:i w:val="0"/>
                <w:iCs w:val="0"/>
                <w:color w:val="auto"/>
                <w:kern w:val="0"/>
                <w:sz w:val="18"/>
                <w:szCs w:val="18"/>
                <w:highlight w:val="none"/>
                <w:u w:val="none"/>
                <w:lang w:val="en-US" w:eastAsia="zh-CN" w:bidi="ar"/>
              </w:rPr>
              <w:t>。</w:t>
            </w:r>
            <w:r>
              <w:rPr>
                <w:rFonts w:hint="default" w:ascii="宋体" w:hAnsi="宋体" w:eastAsia="宋体" w:cs="宋体"/>
                <w:i w:val="0"/>
                <w:iCs w:val="0"/>
                <w:color w:val="auto"/>
                <w:kern w:val="0"/>
                <w:sz w:val="18"/>
                <w:szCs w:val="18"/>
                <w:highlight w:val="none"/>
                <w:u w:val="none"/>
                <w:lang w:val="en-US" w:eastAsia="zh-CN" w:bidi="ar"/>
              </w:rPr>
              <w:t>电机运行额定转速3000RPM，</w:t>
            </w:r>
            <w:r>
              <w:rPr>
                <w:rFonts w:hint="eastAsia" w:ascii="宋体" w:hAnsi="宋体" w:eastAsia="宋体" w:cs="宋体"/>
                <w:i w:val="0"/>
                <w:iCs w:val="0"/>
                <w:color w:val="auto"/>
                <w:kern w:val="0"/>
                <w:sz w:val="18"/>
                <w:szCs w:val="18"/>
                <w:highlight w:val="none"/>
                <w:u w:val="none"/>
                <w:lang w:val="en-US" w:eastAsia="zh-CN" w:bidi="ar"/>
              </w:rPr>
              <w:t>测试</w:t>
            </w:r>
            <w:r>
              <w:rPr>
                <w:rFonts w:hint="default" w:ascii="宋体" w:hAnsi="宋体" w:eastAsia="宋体" w:cs="宋体"/>
                <w:i w:val="0"/>
                <w:iCs w:val="0"/>
                <w:color w:val="auto"/>
                <w:kern w:val="0"/>
                <w:sz w:val="18"/>
                <w:szCs w:val="18"/>
                <w:highlight w:val="none"/>
                <w:u w:val="none"/>
                <w:lang w:val="en-US" w:eastAsia="zh-CN" w:bidi="ar"/>
              </w:rPr>
              <w:t>在3000RPM@100Hz下可以稳定运行</w:t>
            </w:r>
            <w:r>
              <w:rPr>
                <w:rFonts w:hint="eastAsia" w:ascii="宋体" w:hAnsi="宋体" w:eastAsia="宋体" w:cs="宋体"/>
                <w:i w:val="0"/>
                <w:iCs w:val="0"/>
                <w:color w:val="auto"/>
                <w:kern w:val="0"/>
                <w:sz w:val="18"/>
                <w:szCs w:val="18"/>
                <w:highlight w:val="none"/>
                <w:u w:val="none"/>
                <w:lang w:val="en-US" w:eastAsia="zh-CN" w:bidi="ar"/>
              </w:rPr>
              <w:t>，并提供</w:t>
            </w:r>
            <w:r>
              <w:rPr>
                <w:rFonts w:hint="default" w:ascii="宋体" w:hAnsi="宋体" w:eastAsia="宋体" w:cs="宋体"/>
                <w:i w:val="0"/>
                <w:iCs w:val="0"/>
                <w:color w:val="auto"/>
                <w:kern w:val="0"/>
                <w:sz w:val="18"/>
                <w:szCs w:val="18"/>
                <w:highlight w:val="none"/>
                <w:u w:val="none"/>
                <w:lang w:val="en-US" w:eastAsia="zh-CN" w:bidi="ar"/>
              </w:rPr>
              <w:t>经CCS、ABS、BV、DNV第三方实验机构中的任意一家认证的测试报告</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2）投标人</w:t>
            </w:r>
            <w:r>
              <w:rPr>
                <w:rFonts w:hint="default" w:ascii="宋体" w:hAnsi="宋体" w:eastAsia="宋体" w:cs="宋体"/>
                <w:i w:val="0"/>
                <w:iCs w:val="0"/>
                <w:color w:val="auto"/>
                <w:kern w:val="0"/>
                <w:sz w:val="18"/>
                <w:szCs w:val="18"/>
                <w:highlight w:val="none"/>
                <w:u w:val="none"/>
                <w:lang w:val="en-US" w:eastAsia="zh-CN" w:bidi="ar"/>
              </w:rPr>
              <w:t>在</w:t>
            </w:r>
            <w:r>
              <w:rPr>
                <w:rFonts w:hint="eastAsia" w:ascii="宋体" w:hAnsi="宋体" w:eastAsia="宋体" w:cs="宋体"/>
                <w:i w:val="0"/>
                <w:iCs w:val="0"/>
                <w:color w:val="auto"/>
                <w:kern w:val="0"/>
                <w:sz w:val="18"/>
                <w:szCs w:val="18"/>
                <w:highlight w:val="none"/>
                <w:u w:val="none"/>
                <w:lang w:val="en-US" w:eastAsia="zh-CN" w:bidi="ar"/>
              </w:rPr>
              <w:t>测试期间需</w:t>
            </w:r>
            <w:r>
              <w:rPr>
                <w:rFonts w:hint="default" w:ascii="宋体" w:hAnsi="宋体" w:eastAsia="宋体" w:cs="宋体"/>
                <w:i w:val="0"/>
                <w:iCs w:val="0"/>
                <w:color w:val="auto"/>
                <w:kern w:val="0"/>
                <w:sz w:val="18"/>
                <w:szCs w:val="18"/>
                <w:highlight w:val="none"/>
                <w:u w:val="none"/>
                <w:lang w:val="en-US" w:eastAsia="zh-CN" w:bidi="ar"/>
              </w:rPr>
              <w:t>提供变频器压频比控制设置参数表，</w:t>
            </w:r>
            <w:r>
              <w:rPr>
                <w:rFonts w:hint="eastAsia" w:ascii="宋体" w:hAnsi="宋体" w:eastAsia="宋体" w:cs="宋体"/>
                <w:i w:val="0"/>
                <w:iCs w:val="0"/>
                <w:color w:val="auto"/>
                <w:kern w:val="0"/>
                <w:sz w:val="18"/>
                <w:szCs w:val="18"/>
                <w:highlight w:val="none"/>
                <w:u w:val="none"/>
                <w:lang w:val="en-US" w:eastAsia="zh-CN" w:bidi="ar"/>
              </w:rPr>
              <w:t>由</w:t>
            </w:r>
            <w:r>
              <w:rPr>
                <w:rFonts w:hint="default" w:ascii="宋体" w:hAnsi="宋体" w:eastAsia="宋体" w:cs="宋体"/>
                <w:i w:val="0"/>
                <w:iCs w:val="0"/>
                <w:color w:val="auto"/>
                <w:kern w:val="0"/>
                <w:sz w:val="18"/>
                <w:szCs w:val="18"/>
                <w:highlight w:val="none"/>
                <w:u w:val="none"/>
                <w:lang w:val="en-US" w:eastAsia="zh-CN" w:bidi="ar"/>
              </w:rPr>
              <w:t>CCS、ABS、BV、DNV第三方实验机构中的任意一家</w:t>
            </w:r>
            <w:r>
              <w:rPr>
                <w:rFonts w:hint="eastAsia" w:ascii="宋体" w:hAnsi="宋体" w:eastAsia="宋体" w:cs="宋体"/>
                <w:i w:val="0"/>
                <w:iCs w:val="0"/>
                <w:color w:val="auto"/>
                <w:kern w:val="0"/>
                <w:sz w:val="18"/>
                <w:szCs w:val="18"/>
                <w:highlight w:val="none"/>
                <w:u w:val="none"/>
                <w:lang w:val="en-US" w:eastAsia="zh-CN" w:bidi="ar"/>
              </w:rPr>
              <w:t>在测试期间</w:t>
            </w:r>
            <w:r>
              <w:rPr>
                <w:rFonts w:hint="default" w:ascii="宋体" w:hAnsi="宋体" w:eastAsia="宋体" w:cs="宋体"/>
                <w:i w:val="0"/>
                <w:iCs w:val="0"/>
                <w:color w:val="auto"/>
                <w:kern w:val="0"/>
                <w:sz w:val="18"/>
                <w:szCs w:val="18"/>
                <w:highlight w:val="none"/>
                <w:u w:val="none"/>
                <w:lang w:val="en-US" w:eastAsia="zh-CN" w:bidi="ar"/>
              </w:rPr>
              <w:t>根据</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提供的压频比参数设置表进行试验验证复核</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①投标人的</w:t>
            </w:r>
            <w:r>
              <w:rPr>
                <w:rFonts w:hint="default" w:ascii="宋体" w:hAnsi="宋体" w:eastAsia="宋体" w:cs="宋体"/>
                <w:i w:val="0"/>
                <w:iCs w:val="0"/>
                <w:color w:val="auto"/>
                <w:kern w:val="0"/>
                <w:sz w:val="18"/>
                <w:szCs w:val="18"/>
                <w:highlight w:val="none"/>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②</w:t>
            </w:r>
            <w:r>
              <w:rPr>
                <w:rFonts w:hint="default" w:ascii="宋体" w:hAnsi="宋体" w:eastAsia="宋体" w:cs="宋体"/>
                <w:i w:val="0"/>
                <w:iCs w:val="0"/>
                <w:color w:val="auto"/>
                <w:kern w:val="0"/>
                <w:sz w:val="18"/>
                <w:szCs w:val="18"/>
                <w:highlight w:val="none"/>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③</w:t>
            </w:r>
            <w:r>
              <w:rPr>
                <w:rFonts w:hint="default" w:ascii="宋体" w:hAnsi="宋体" w:eastAsia="宋体" w:cs="宋体"/>
                <w:i w:val="0"/>
                <w:iCs w:val="0"/>
                <w:color w:val="auto"/>
                <w:kern w:val="0"/>
                <w:sz w:val="18"/>
                <w:szCs w:val="18"/>
                <w:highlight w:val="none"/>
                <w:u w:val="none"/>
                <w:lang w:val="en-US" w:eastAsia="zh-CN" w:bidi="ar"/>
              </w:rPr>
              <w:t>见证测试项目及评价表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auto"/>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r>
              <w:rPr>
                <w:rFonts w:hint="default" w:ascii="宋体" w:hAnsi="宋体" w:eastAsia="宋体" w:cs="宋体"/>
                <w:i w:val="0"/>
                <w:iCs w:val="0"/>
                <w:color w:val="auto"/>
                <w:kern w:val="0"/>
                <w:sz w:val="18"/>
                <w:szCs w:val="18"/>
                <w:highlight w:val="none"/>
                <w:u w:val="none"/>
                <w:lang w:val="en-US" w:eastAsia="zh-CN" w:bidi="ar"/>
              </w:rPr>
              <w:t>试验方法应符合GB/T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r>
              <w:rPr>
                <w:rFonts w:hint="default" w:ascii="宋体" w:hAnsi="宋体" w:eastAsia="宋体" w:cs="宋体"/>
                <w:i w:val="0"/>
                <w:iCs w:val="0"/>
                <w:color w:val="auto"/>
                <w:kern w:val="0"/>
                <w:sz w:val="18"/>
                <w:szCs w:val="18"/>
                <w:highlight w:val="yellow"/>
                <w:u w:val="none"/>
                <w:lang w:val="en-US" w:eastAsia="zh-CN" w:bidi="ar"/>
              </w:rPr>
              <w:t>。</w:t>
            </w:r>
          </w:p>
          <w:p>
            <w:pPr>
              <w:pStyle w:val="5"/>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auto"/>
                <w:kern w:val="0"/>
                <w:sz w:val="18"/>
                <w:szCs w:val="18"/>
                <w:highlight w:val="none"/>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auto"/>
                <w:kern w:val="0"/>
                <w:sz w:val="18"/>
                <w:szCs w:val="18"/>
                <w:highlight w:val="none"/>
                <w:u w:val="none"/>
                <w:lang w:val="en-US" w:eastAsia="zh-CN" w:bidi="ar"/>
              </w:rPr>
              <w:t>HAILOONG LIFT品牌的</w:t>
            </w:r>
            <w:r>
              <w:rPr>
                <w:rFonts w:hint="eastAsia" w:ascii="宋体" w:hAnsi="宋体" w:eastAsia="宋体" w:cs="宋体"/>
                <w:i w:val="0"/>
                <w:iCs w:val="0"/>
                <w:color w:val="auto"/>
                <w:kern w:val="0"/>
                <w:sz w:val="18"/>
                <w:szCs w:val="18"/>
                <w:highlight w:val="none"/>
                <w:u w:val="none"/>
                <w:lang w:val="en-US" w:eastAsia="zh-CN" w:bidi="ar"/>
              </w:rPr>
              <w:t>OTS400</w:t>
            </w:r>
            <w:r>
              <w:rPr>
                <w:rFonts w:hint="default" w:ascii="宋体" w:hAnsi="宋体" w:eastAsia="宋体" w:cs="宋体"/>
                <w:i w:val="0"/>
                <w:iCs w:val="0"/>
                <w:color w:val="auto"/>
                <w:kern w:val="0"/>
                <w:sz w:val="18"/>
                <w:szCs w:val="18"/>
                <w:highlight w:val="none"/>
                <w:u w:val="none"/>
                <w:lang w:val="en-US" w:eastAsia="zh-CN" w:bidi="ar"/>
              </w:rPr>
              <w:t>变频器</w:t>
            </w:r>
            <w:r>
              <w:rPr>
                <w:rFonts w:hint="eastAsia" w:ascii="宋体" w:hAnsi="宋体" w:eastAsia="宋体" w:cs="宋体"/>
                <w:i w:val="0"/>
                <w:iCs w:val="0"/>
                <w:color w:val="auto"/>
                <w:kern w:val="0"/>
                <w:sz w:val="18"/>
                <w:szCs w:val="18"/>
                <w:highlight w:val="none"/>
                <w:u w:val="none"/>
                <w:lang w:val="en-US" w:eastAsia="zh-CN" w:bidi="ar"/>
              </w:rPr>
              <w:t>和</w:t>
            </w:r>
            <w:r>
              <w:rPr>
                <w:rFonts w:hint="default" w:ascii="宋体" w:hAnsi="宋体" w:eastAsia="宋体" w:cs="宋体"/>
                <w:i w:val="0"/>
                <w:iCs w:val="0"/>
                <w:color w:val="auto"/>
                <w:kern w:val="0"/>
                <w:sz w:val="18"/>
                <w:szCs w:val="18"/>
                <w:highlight w:val="none"/>
                <w:u w:val="none"/>
                <w:lang w:val="en-US" w:eastAsia="zh-CN" w:bidi="ar"/>
              </w:rPr>
              <w:t>HAILOONG DS1系列泵工况</w:t>
            </w:r>
            <w:r>
              <w:rPr>
                <w:rFonts w:hint="eastAsia" w:ascii="宋体" w:hAnsi="宋体" w:eastAsia="宋体" w:cs="宋体"/>
                <w:i w:val="0"/>
                <w:iCs w:val="0"/>
                <w:color w:val="auto"/>
                <w:kern w:val="0"/>
                <w:sz w:val="18"/>
                <w:szCs w:val="18"/>
                <w:highlight w:val="none"/>
                <w:u w:val="none"/>
                <w:lang w:val="en-US" w:eastAsia="zh-CN" w:bidi="ar"/>
              </w:rPr>
              <w:t>，投标人提供电机并送往机械采油东沽试验车间。</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r>
              <w:rPr>
                <w:rFonts w:hint="default" w:ascii="宋体" w:hAnsi="宋体" w:eastAsia="宋体" w:cs="宋体"/>
                <w:i w:val="0"/>
                <w:iCs w:val="0"/>
                <w:color w:val="auto"/>
                <w:kern w:val="0"/>
                <w:sz w:val="18"/>
                <w:szCs w:val="18"/>
                <w:highlight w:val="none"/>
                <w:u w:val="none"/>
                <w:lang w:val="en-US" w:eastAsia="zh-CN" w:bidi="ar"/>
              </w:rPr>
              <w:t>第三方机构测试期间发生的所有见证费用由</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，测试期间运输电机等测试物资发生的往返运费由投标人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14"/>
              <w:numPr>
                <w:ilvl w:val="0"/>
                <w:numId w:val="0"/>
              </w:numPr>
              <w:rPr>
                <w:rFonts w:hint="eastAsia"/>
                <w:sz w:val="21"/>
                <w:szCs w:val="24"/>
              </w:rPr>
            </w:pPr>
            <w:r>
              <w:rPr>
                <w:rFonts w:hint="eastAsia" w:ascii="宋体" w:hAnsi="宋体" w:eastAsia="宋体" w:cs="宋体"/>
                <w:i w:val="0"/>
                <w:iCs w:val="0"/>
                <w:color w:val="auto"/>
                <w:kern w:val="0"/>
                <w:sz w:val="18"/>
                <w:szCs w:val="18"/>
                <w:highlight w:val="none"/>
                <w:u w:val="none"/>
                <w:lang w:val="en-US" w:eastAsia="zh-CN" w:bidi="ar"/>
              </w:rPr>
              <w:t>6）投标人的电机和</w:t>
            </w:r>
            <w:r>
              <w:rPr>
                <w:rFonts w:hint="default" w:ascii="宋体" w:hAnsi="宋体" w:eastAsia="宋体" w:cs="宋体"/>
                <w:i w:val="0"/>
                <w:iCs w:val="0"/>
                <w:color w:val="auto"/>
                <w:kern w:val="0"/>
                <w:sz w:val="18"/>
                <w:szCs w:val="18"/>
                <w:highlight w:val="none"/>
                <w:u w:val="none"/>
                <w:lang w:val="en-US" w:eastAsia="zh-CN" w:bidi="ar"/>
              </w:rPr>
              <w:t>HAILOONG LIFT品牌的</w:t>
            </w:r>
            <w:r>
              <w:rPr>
                <w:rFonts w:hint="eastAsia" w:ascii="宋体" w:hAnsi="宋体" w:eastAsia="宋体" w:cs="宋体"/>
                <w:i w:val="0"/>
                <w:iCs w:val="0"/>
                <w:color w:val="auto"/>
                <w:kern w:val="0"/>
                <w:sz w:val="18"/>
                <w:szCs w:val="18"/>
                <w:highlight w:val="none"/>
                <w:u w:val="none"/>
                <w:lang w:val="en-US" w:eastAsia="zh-CN" w:bidi="ar"/>
              </w:rPr>
              <w:t>OTS400</w:t>
            </w:r>
            <w:r>
              <w:rPr>
                <w:rFonts w:hint="default" w:ascii="宋体" w:hAnsi="宋体" w:eastAsia="宋体" w:cs="宋体"/>
                <w:i w:val="0"/>
                <w:iCs w:val="0"/>
                <w:color w:val="auto"/>
                <w:kern w:val="0"/>
                <w:sz w:val="18"/>
                <w:szCs w:val="18"/>
                <w:highlight w:val="none"/>
                <w:u w:val="none"/>
                <w:lang w:val="en-US" w:eastAsia="zh-CN" w:bidi="ar"/>
              </w:rPr>
              <w:t>变频器</w:t>
            </w:r>
            <w:r>
              <w:rPr>
                <w:rFonts w:hint="eastAsia" w:ascii="宋体" w:hAnsi="宋体" w:eastAsia="宋体" w:cs="宋体"/>
                <w:i w:val="0"/>
                <w:iCs w:val="0"/>
                <w:color w:val="auto"/>
                <w:kern w:val="0"/>
                <w:sz w:val="18"/>
                <w:szCs w:val="18"/>
                <w:highlight w:val="none"/>
                <w:u w:val="none"/>
                <w:lang w:val="en-US" w:eastAsia="zh-CN" w:bidi="ar"/>
              </w:rPr>
              <w:t>匹配性试验成功，该投标人被判定为资格预审合格。如投标人的电机和</w:t>
            </w:r>
            <w:r>
              <w:rPr>
                <w:rFonts w:hint="default" w:ascii="宋体" w:hAnsi="宋体" w:eastAsia="宋体" w:cs="宋体"/>
                <w:i w:val="0"/>
                <w:iCs w:val="0"/>
                <w:color w:val="auto"/>
                <w:kern w:val="0"/>
                <w:sz w:val="18"/>
                <w:szCs w:val="18"/>
                <w:highlight w:val="none"/>
                <w:u w:val="none"/>
                <w:lang w:val="en-US" w:eastAsia="zh-CN" w:bidi="ar"/>
              </w:rPr>
              <w:t>HAILOONG LIFT品牌的</w:t>
            </w:r>
            <w:r>
              <w:rPr>
                <w:rFonts w:hint="eastAsia" w:ascii="宋体" w:hAnsi="宋体" w:eastAsia="宋体" w:cs="宋体"/>
                <w:i w:val="0"/>
                <w:iCs w:val="0"/>
                <w:color w:val="auto"/>
                <w:kern w:val="0"/>
                <w:sz w:val="18"/>
                <w:szCs w:val="18"/>
                <w:highlight w:val="none"/>
                <w:u w:val="none"/>
                <w:lang w:val="en-US" w:eastAsia="zh-CN" w:bidi="ar"/>
              </w:rPr>
              <w:t>OTS400</w:t>
            </w:r>
            <w:r>
              <w:rPr>
                <w:rFonts w:hint="default" w:ascii="宋体" w:hAnsi="宋体" w:eastAsia="宋体" w:cs="宋体"/>
                <w:i w:val="0"/>
                <w:iCs w:val="0"/>
                <w:color w:val="auto"/>
                <w:kern w:val="0"/>
                <w:sz w:val="18"/>
                <w:szCs w:val="18"/>
                <w:highlight w:val="none"/>
                <w:u w:val="none"/>
                <w:lang w:val="en-US" w:eastAsia="zh-CN" w:bidi="ar"/>
              </w:rPr>
              <w:t>变频器</w:t>
            </w:r>
            <w:r>
              <w:rPr>
                <w:rFonts w:hint="eastAsia" w:ascii="宋体" w:hAnsi="宋体" w:eastAsia="宋体" w:cs="宋体"/>
                <w:i w:val="0"/>
                <w:iCs w:val="0"/>
                <w:color w:val="auto"/>
                <w:kern w:val="0"/>
                <w:sz w:val="18"/>
                <w:szCs w:val="18"/>
                <w:highlight w:val="none"/>
                <w:u w:val="none"/>
                <w:lang w:val="en-US" w:eastAsia="zh-CN" w:bidi="ar"/>
              </w:rPr>
              <w:t>匹配性试验失败，则投标人被判定为资格预审不合格。</w:t>
            </w:r>
          </w:p>
          <w:p>
            <w:pPr>
              <w:pStyle w:val="14"/>
              <w:rPr>
                <w:sz w:val="21"/>
                <w:szCs w:val="24"/>
              </w:rPr>
            </w:pPr>
          </w:p>
          <w:p>
            <w:pPr>
              <w:pStyle w:val="14"/>
              <w:rPr>
                <w:sz w:val="21"/>
                <w:szCs w:val="24"/>
              </w:rPr>
            </w:pPr>
            <w:r>
              <w:rPr>
                <w:rFonts w:hint="eastAsia"/>
                <w:b/>
                <w:bCs/>
                <w:sz w:val="21"/>
                <w:szCs w:val="24"/>
                <w:lang w:val="en-US" w:eastAsia="zh-CN"/>
              </w:rPr>
              <w:t>5、</w:t>
            </w:r>
            <w:r>
              <w:rPr>
                <w:rFonts w:hint="eastAsia"/>
                <w:sz w:val="21"/>
                <w:szCs w:val="24"/>
              </w:rPr>
              <w:t xml:space="preserve"> 通过</w:t>
            </w:r>
            <w:r>
              <w:rPr>
                <w:rFonts w:hint="eastAsia"/>
                <w:sz w:val="21"/>
                <w:szCs w:val="24"/>
                <w:lang w:eastAsia="zh-CN"/>
              </w:rPr>
              <w:t>评审</w:t>
            </w:r>
            <w:r>
              <w:rPr>
                <w:rFonts w:hint="eastAsia"/>
                <w:sz w:val="21"/>
                <w:szCs w:val="24"/>
              </w:rPr>
              <w:t>的申请人最终将进入</w:t>
            </w:r>
            <w:r>
              <w:rPr>
                <w:rFonts w:hint="eastAsia"/>
                <w:sz w:val="21"/>
                <w:szCs w:val="24"/>
                <w:lang w:eastAsia="zh-CN"/>
              </w:rPr>
              <w:t>工程技术公司永磁系列潜油电机等物资采购专有协议--标段三</w:t>
            </w:r>
            <w:r>
              <w:rPr>
                <w:rFonts w:hint="eastAsia"/>
                <w:sz w:val="21"/>
                <w:szCs w:val="24"/>
              </w:rPr>
              <w:t>的</w:t>
            </w:r>
            <w:r>
              <w:rPr>
                <w:rFonts w:hint="eastAsia"/>
                <w:color w:val="auto"/>
                <w:sz w:val="21"/>
                <w:szCs w:val="24"/>
                <w:highlight w:val="none"/>
                <w:lang w:val="en-US" w:eastAsia="zh-CN"/>
              </w:rPr>
              <w:t>后续采购</w:t>
            </w:r>
            <w:r>
              <w:rPr>
                <w:rFonts w:hint="eastAsia"/>
                <w:sz w:val="21"/>
                <w:szCs w:val="24"/>
              </w:rPr>
              <w:t>的流程。</w:t>
            </w:r>
          </w:p>
          <w:p>
            <w:pPr>
              <w:pStyle w:val="14"/>
              <w:rPr>
                <w:sz w:val="21"/>
                <w:szCs w:val="24"/>
              </w:rPr>
            </w:pPr>
          </w:p>
          <w:p>
            <w:pPr>
              <w:pStyle w:val="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6.1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资格预审结果的通知时间</w:t>
            </w:r>
          </w:p>
        </w:tc>
        <w:tc>
          <w:tcPr>
            <w:tcW w:w="6614" w:type="dxa"/>
            <w:noWrap w:val="0"/>
            <w:vAlign w:val="center"/>
          </w:tcPr>
          <w:p>
            <w:pPr>
              <w:pStyle w:val="13"/>
              <w:widowControl/>
              <w:jc w:val="left"/>
              <w:rPr>
                <w:szCs w:val="21"/>
              </w:rPr>
            </w:pPr>
            <w:r>
              <w:rPr>
                <w:szCs w:val="21"/>
              </w:rPr>
              <w:t>以</w:t>
            </w:r>
            <w:r>
              <w:rPr>
                <w:rFonts w:hint="eastAsia"/>
                <w:szCs w:val="21"/>
              </w:rPr>
              <w:t>招标代理机构</w:t>
            </w:r>
            <w:r>
              <w:rPr>
                <w:szCs w:val="21"/>
              </w:rPr>
              <w:t>发出的</w:t>
            </w:r>
            <w:r>
              <w:rPr>
                <w:rFonts w:hint="eastAsia"/>
                <w:szCs w:val="21"/>
              </w:rPr>
              <w:t>资格审查结果通知</w:t>
            </w:r>
            <w:r>
              <w:rPr>
                <w:szCs w:val="21"/>
              </w:rPr>
              <w:t>为准。</w:t>
            </w:r>
          </w:p>
        </w:tc>
      </w:tr>
    </w:tbl>
    <w:p>
      <w:pPr>
        <w:pStyle w:val="13"/>
        <w:spacing w:line="360" w:lineRule="auto"/>
        <w:jc w:val="center"/>
        <w:outlineLvl w:val="1"/>
        <w:rPr>
          <w:sz w:val="24"/>
        </w:rPr>
      </w:pPr>
      <w:r>
        <w:br w:type="page"/>
      </w:r>
      <w:r>
        <w:rPr>
          <w:rFonts w:hint="eastAsia" w:ascii="宋体" w:hAnsi="宋体"/>
          <w:b/>
          <w:bCs/>
          <w:sz w:val="32"/>
          <w:szCs w:val="32"/>
          <w:lang w:val="zh-CN"/>
        </w:rPr>
        <w:t>1. 总则</w:t>
      </w:r>
    </w:p>
    <w:p>
      <w:pPr>
        <w:pStyle w:val="25"/>
        <w:spacing w:line="360" w:lineRule="auto"/>
        <w:rPr>
          <w:rFonts w:eastAsia="宋体"/>
        </w:rPr>
      </w:pPr>
      <w:r>
        <w:rPr>
          <w:rFonts w:hint="eastAsia" w:eastAsia="宋体"/>
        </w:rPr>
        <w:t>1.1 项目概况</w:t>
      </w:r>
    </w:p>
    <w:p>
      <w:pPr>
        <w:pStyle w:val="13"/>
        <w:spacing w:line="360" w:lineRule="auto"/>
        <w:rPr>
          <w:sz w:val="24"/>
        </w:rPr>
      </w:pPr>
      <w:r>
        <w:rPr>
          <w:rFonts w:hint="eastAsia"/>
          <w:sz w:val="24"/>
        </w:rPr>
        <w:t>1.1.1根据《中华人民共和国招标投标法》等有关法律、法规和规章的规定，本项目已具备招标条件，现进行公开招标，特邀请有兴趣承担本标段的申请人提出资格预审申请。</w:t>
      </w:r>
    </w:p>
    <w:p>
      <w:pPr>
        <w:pStyle w:val="13"/>
        <w:spacing w:line="360" w:lineRule="auto"/>
        <w:rPr>
          <w:sz w:val="24"/>
        </w:rPr>
      </w:pPr>
      <w:r>
        <w:rPr>
          <w:rFonts w:hint="eastAsia"/>
          <w:sz w:val="24"/>
        </w:rPr>
        <w:t>1.1.2 本项目招标人：</w:t>
      </w:r>
      <w:r>
        <w:rPr>
          <w:rFonts w:hint="eastAsia" w:ascii="宋体" w:hAnsi="宋体"/>
          <w:sz w:val="24"/>
          <w:lang w:val="zh-CN"/>
        </w:rPr>
        <w:t>中海油能源发展股份有限公司</w:t>
      </w:r>
    </w:p>
    <w:p>
      <w:pPr>
        <w:pStyle w:val="13"/>
        <w:spacing w:line="360" w:lineRule="auto"/>
        <w:rPr>
          <w:rFonts w:hint="eastAsia" w:eastAsia="宋体"/>
          <w:sz w:val="24"/>
          <w:lang w:eastAsia="zh-CN"/>
        </w:rPr>
      </w:pPr>
      <w:r>
        <w:rPr>
          <w:rFonts w:hint="eastAsia"/>
          <w:sz w:val="24"/>
        </w:rPr>
        <w:t>1.1.3 本项目招标代理机构：</w:t>
      </w:r>
      <w:r>
        <w:rPr>
          <w:rFonts w:hint="eastAsia"/>
          <w:sz w:val="24"/>
          <w:lang w:eastAsia="zh-CN"/>
        </w:rPr>
        <w:t>中海油能源发展股份有限公司采办共享中心</w:t>
      </w:r>
    </w:p>
    <w:p>
      <w:pPr>
        <w:pStyle w:val="13"/>
        <w:spacing w:line="360" w:lineRule="auto"/>
        <w:rPr>
          <w:bCs/>
          <w:sz w:val="24"/>
        </w:rPr>
      </w:pPr>
      <w:r>
        <w:rPr>
          <w:rFonts w:hint="eastAsia"/>
          <w:sz w:val="24"/>
        </w:rPr>
        <w:t>1.1.4 本项目名称：</w:t>
      </w:r>
      <w:r>
        <w:rPr>
          <w:rFonts w:hint="eastAsia" w:ascii="宋体" w:hAnsi="宋体"/>
          <w:sz w:val="24"/>
        </w:rPr>
        <w:t>中海油能源发展股份有限公司</w:t>
      </w:r>
      <w:r>
        <w:rPr>
          <w:rFonts w:hint="eastAsia" w:ascii="宋体" w:hAnsi="宋体"/>
          <w:sz w:val="24"/>
          <w:lang w:eastAsia="zh-CN"/>
        </w:rPr>
        <w:t>工程技术公司永磁系列潜油电机等物资采购专有协议--标段三</w:t>
      </w:r>
      <w:r>
        <w:rPr>
          <w:rFonts w:hint="eastAsia" w:ascii="宋体" w:hAnsi="宋体"/>
          <w:sz w:val="24"/>
        </w:rPr>
        <w:t xml:space="preserve"> </w:t>
      </w:r>
      <w:r>
        <w:rPr>
          <w:rFonts w:hint="eastAsia" w:cs="宋体"/>
          <w:sz w:val="24"/>
          <w:szCs w:val="20"/>
        </w:rPr>
        <w:t>资格审查项目</w:t>
      </w:r>
    </w:p>
    <w:p>
      <w:pPr>
        <w:pStyle w:val="25"/>
        <w:spacing w:line="360" w:lineRule="auto"/>
        <w:rPr>
          <w:rFonts w:eastAsia="宋体"/>
        </w:rPr>
      </w:pPr>
      <w:r>
        <w:rPr>
          <w:rFonts w:hint="eastAsia" w:eastAsia="宋体"/>
        </w:rPr>
        <w:t>1.2 资金来源和落实情况</w:t>
      </w:r>
    </w:p>
    <w:p>
      <w:pPr>
        <w:pStyle w:val="13"/>
        <w:spacing w:line="360" w:lineRule="auto"/>
        <w:rPr>
          <w:sz w:val="24"/>
        </w:rPr>
      </w:pPr>
      <w:r>
        <w:rPr>
          <w:rFonts w:hint="eastAsia"/>
          <w:sz w:val="24"/>
        </w:rPr>
        <w:t>本项目的资金来源：企业自筹</w:t>
      </w:r>
    </w:p>
    <w:p>
      <w:pPr>
        <w:pStyle w:val="25"/>
        <w:spacing w:line="360" w:lineRule="auto"/>
        <w:rPr>
          <w:rFonts w:eastAsia="宋体"/>
        </w:rPr>
      </w:pPr>
      <w:r>
        <w:rPr>
          <w:rFonts w:hint="eastAsia" w:eastAsia="宋体"/>
        </w:rPr>
        <w:t>1.3 招标范围</w:t>
      </w:r>
    </w:p>
    <w:p>
      <w:pPr>
        <w:pStyle w:val="13"/>
        <w:spacing w:line="360" w:lineRule="auto"/>
        <w:rPr>
          <w:rFonts w:cs="宋体"/>
          <w:sz w:val="24"/>
          <w:szCs w:val="20"/>
        </w:rPr>
      </w:pPr>
      <w:r>
        <w:rPr>
          <w:rFonts w:hint="eastAsia" w:cs="宋体"/>
          <w:sz w:val="24"/>
          <w:szCs w:val="20"/>
        </w:rPr>
        <w:t>本次公开资格预审的范围是</w:t>
      </w:r>
      <w:r>
        <w:rPr>
          <w:rFonts w:hint="eastAsia" w:ascii="宋体" w:hAnsi="宋体"/>
          <w:sz w:val="24"/>
          <w:lang w:val="zh-CN"/>
        </w:rPr>
        <w:t>中海油能源发展股份有限公司工程技术公司永磁系列潜油电机等物资采购专有协议--标段三 供应商</w:t>
      </w:r>
      <w:r>
        <w:rPr>
          <w:rFonts w:hint="eastAsia" w:ascii="Arial" w:hAnsi="宋体" w:cs="宋体"/>
          <w:bCs/>
          <w:kern w:val="0"/>
          <w:sz w:val="24"/>
          <w:lang w:val="zh-CN"/>
        </w:rPr>
        <w:t>投标资格审查项目</w:t>
      </w:r>
      <w:r>
        <w:rPr>
          <w:rFonts w:hint="eastAsia" w:cs="宋体"/>
          <w:sz w:val="24"/>
          <w:szCs w:val="20"/>
        </w:rPr>
        <w:t>。</w:t>
      </w:r>
    </w:p>
    <w:p>
      <w:pPr>
        <w:pStyle w:val="13"/>
        <w:spacing w:line="360" w:lineRule="auto"/>
        <w:rPr>
          <w:rFonts w:ascii="宋体" w:hAnsi="宋体"/>
          <w:sz w:val="24"/>
        </w:rPr>
      </w:pPr>
      <w:r>
        <w:rPr>
          <w:rFonts w:hint="eastAsia" w:ascii="宋体" w:hAnsi="宋体"/>
          <w:sz w:val="24"/>
        </w:rPr>
        <w:t>采办包：中海油能源发展股份有限公司</w:t>
      </w:r>
      <w:r>
        <w:rPr>
          <w:rFonts w:hint="eastAsia" w:ascii="宋体" w:hAnsi="宋体"/>
          <w:sz w:val="24"/>
          <w:lang w:eastAsia="zh-CN"/>
        </w:rPr>
        <w:t>工程技术公司永磁系列潜油电机等物资采购专有协议--标段三</w:t>
      </w:r>
      <w:r>
        <w:rPr>
          <w:rFonts w:hint="eastAsia" w:ascii="宋体" w:hAnsi="宋体"/>
          <w:sz w:val="24"/>
        </w:rPr>
        <w:t xml:space="preserve"> 供应商年度</w:t>
      </w:r>
      <w:r>
        <w:rPr>
          <w:rFonts w:hint="eastAsia" w:ascii="Arial" w:hAnsi="宋体" w:cs="宋体"/>
          <w:bCs/>
          <w:kern w:val="0"/>
          <w:sz w:val="24"/>
          <w:lang w:val="zh-CN"/>
        </w:rPr>
        <w:t>供应商资格审查</w:t>
      </w:r>
      <w:r>
        <w:rPr>
          <w:rFonts w:hint="eastAsia" w:ascii="宋体" w:hAnsi="宋体"/>
          <w:sz w:val="24"/>
        </w:rPr>
        <w:t>。</w:t>
      </w:r>
    </w:p>
    <w:p>
      <w:pPr>
        <w:pStyle w:val="25"/>
        <w:spacing w:line="360" w:lineRule="auto"/>
        <w:rPr>
          <w:rFonts w:eastAsia="宋体"/>
        </w:rPr>
      </w:pPr>
      <w:r>
        <w:rPr>
          <w:rFonts w:hint="eastAsia" w:eastAsia="宋体"/>
        </w:rPr>
        <w:t>1.4 申请人资格要求</w:t>
      </w:r>
    </w:p>
    <w:p>
      <w:pPr>
        <w:pStyle w:val="13"/>
        <w:spacing w:line="360" w:lineRule="auto"/>
        <w:rPr>
          <w:sz w:val="24"/>
        </w:rPr>
      </w:pPr>
      <w:r>
        <w:rPr>
          <w:rFonts w:hint="eastAsia"/>
          <w:sz w:val="24"/>
        </w:rPr>
        <w:t>申请人应具备相应的资质，详见申请人须知前附表。</w:t>
      </w:r>
    </w:p>
    <w:p>
      <w:pPr>
        <w:pStyle w:val="25"/>
        <w:spacing w:line="360" w:lineRule="auto"/>
        <w:rPr>
          <w:rFonts w:eastAsia="宋体"/>
        </w:rPr>
      </w:pPr>
      <w:r>
        <w:rPr>
          <w:rFonts w:hint="eastAsia" w:eastAsia="宋体"/>
        </w:rPr>
        <w:t>1.5 语言文字</w:t>
      </w:r>
    </w:p>
    <w:p>
      <w:pPr>
        <w:pStyle w:val="13"/>
        <w:spacing w:line="360" w:lineRule="auto"/>
        <w:rPr>
          <w:sz w:val="24"/>
        </w:rPr>
      </w:pPr>
      <w:r>
        <w:rPr>
          <w:rFonts w:hint="eastAsia"/>
          <w:sz w:val="24"/>
        </w:rPr>
        <w:t>除专用术语外，来往文件均使用中文。必要时专用术语应附有中文注释。</w:t>
      </w:r>
    </w:p>
    <w:p>
      <w:pPr>
        <w:pStyle w:val="25"/>
        <w:spacing w:line="360" w:lineRule="auto"/>
        <w:rPr>
          <w:rFonts w:eastAsia="宋体"/>
        </w:rPr>
      </w:pPr>
      <w:r>
        <w:rPr>
          <w:rFonts w:hint="eastAsia" w:eastAsia="宋体"/>
        </w:rPr>
        <w:t>1.6 费用承担</w:t>
      </w:r>
    </w:p>
    <w:p>
      <w:pPr>
        <w:pStyle w:val="13"/>
        <w:spacing w:line="360" w:lineRule="auto"/>
        <w:rPr>
          <w:sz w:val="24"/>
        </w:rPr>
      </w:pPr>
      <w:r>
        <w:rPr>
          <w:rFonts w:hint="eastAsia"/>
          <w:sz w:val="24"/>
        </w:rPr>
        <w:t>申请人准备和参加资格预审发生的费用自理。</w:t>
      </w:r>
    </w:p>
    <w:p>
      <w:pPr>
        <w:pStyle w:val="22"/>
        <w:spacing w:line="360" w:lineRule="auto"/>
        <w:rPr>
          <w:rFonts w:eastAsia="宋体"/>
          <w:sz w:val="24"/>
        </w:rPr>
      </w:pPr>
      <w:r>
        <w:rPr>
          <w:rFonts w:hint="eastAsia" w:eastAsia="宋体"/>
          <w:sz w:val="24"/>
        </w:rPr>
        <w:t>2. 资格预审文件</w:t>
      </w:r>
    </w:p>
    <w:p>
      <w:pPr>
        <w:pStyle w:val="25"/>
        <w:spacing w:line="360" w:lineRule="auto"/>
        <w:rPr>
          <w:rFonts w:eastAsia="宋体"/>
        </w:rPr>
      </w:pPr>
      <w:r>
        <w:rPr>
          <w:rFonts w:hint="eastAsia" w:eastAsia="宋体"/>
        </w:rPr>
        <w:t>2.1 资格预审文件的组成</w:t>
      </w:r>
    </w:p>
    <w:p>
      <w:pPr>
        <w:pStyle w:val="13"/>
        <w:spacing w:line="360" w:lineRule="auto"/>
        <w:rPr>
          <w:sz w:val="24"/>
        </w:rPr>
      </w:pPr>
      <w:r>
        <w:rPr>
          <w:rFonts w:hint="eastAsia"/>
          <w:sz w:val="24"/>
        </w:rPr>
        <w:t>2.1.1 本资格预审文件包括资格预审公告(代招标公告)、申请人须知、资格审查办法、资格预审申请文件格式，以及根据本章第2.2款对资格预审文件的澄清和第2.3款对资格预审文件的修改。</w:t>
      </w:r>
    </w:p>
    <w:p>
      <w:pPr>
        <w:pStyle w:val="13"/>
        <w:spacing w:line="360" w:lineRule="auto"/>
        <w:rPr>
          <w:sz w:val="24"/>
        </w:rPr>
      </w:pPr>
      <w:r>
        <w:rPr>
          <w:rFonts w:hint="eastAsia"/>
          <w:sz w:val="24"/>
        </w:rPr>
        <w:t>2.1.2 当资格预审文件、资格预审文件的澄清或修改等在同一内容的表述上不一致时，以最后发出的书面文件为准。</w:t>
      </w:r>
    </w:p>
    <w:p>
      <w:pPr>
        <w:pStyle w:val="25"/>
        <w:spacing w:line="360" w:lineRule="auto"/>
        <w:rPr>
          <w:rFonts w:eastAsia="宋体"/>
        </w:rPr>
      </w:pPr>
      <w:r>
        <w:rPr>
          <w:rFonts w:hint="eastAsia" w:eastAsia="宋体"/>
        </w:rPr>
        <w:t>2.2 资格预审文件的澄清</w:t>
      </w:r>
    </w:p>
    <w:p>
      <w:pPr>
        <w:pStyle w:val="13"/>
        <w:spacing w:line="360" w:lineRule="auto"/>
        <w:rPr>
          <w:sz w:val="24"/>
        </w:rPr>
      </w:pPr>
      <w:r>
        <w:rPr>
          <w:rFonts w:hint="eastAsia"/>
          <w:sz w:val="24"/>
        </w:rPr>
        <w:t>2.2.1 申请人应仔细阅读和检查资格预审文件的全部内容。如有疑问，应在申请人须知前附表规定的时间前以书面形式（包括信函、邮件、传真等可以有形表现所载内容的形式，下同），要求招标人对资格预审文件进行澄清。</w:t>
      </w:r>
    </w:p>
    <w:p>
      <w:pPr>
        <w:pStyle w:val="13"/>
        <w:spacing w:line="360" w:lineRule="auto"/>
        <w:rPr>
          <w:sz w:val="24"/>
        </w:rPr>
      </w:pPr>
      <w:r>
        <w:rPr>
          <w:rFonts w:hint="eastAsia"/>
          <w:sz w:val="24"/>
        </w:rPr>
        <w:t>2.2.2 招标人应在申请人须知前附表规定的时间前，以书面形式将澄清内容发给所有购买资格预审文件的申请人，但不指明澄清问题的来源。</w:t>
      </w:r>
    </w:p>
    <w:p>
      <w:pPr>
        <w:pStyle w:val="13"/>
        <w:spacing w:line="360" w:lineRule="auto"/>
        <w:rPr>
          <w:sz w:val="24"/>
        </w:rPr>
      </w:pPr>
      <w:r>
        <w:rPr>
          <w:rFonts w:hint="eastAsia"/>
          <w:sz w:val="24"/>
        </w:rPr>
        <w:t>2.2.3 申请人收到澄清后，应在申请人须知前附表规定的时间内以书面形式通知招标人，确认已收到该澄清。</w:t>
      </w:r>
    </w:p>
    <w:p>
      <w:pPr>
        <w:pStyle w:val="25"/>
        <w:spacing w:line="360" w:lineRule="auto"/>
        <w:rPr>
          <w:rFonts w:eastAsia="宋体"/>
        </w:rPr>
      </w:pPr>
      <w:r>
        <w:rPr>
          <w:rFonts w:hint="eastAsia" w:eastAsia="宋体"/>
        </w:rPr>
        <w:t>2.3 资格预审文件的修改</w:t>
      </w:r>
    </w:p>
    <w:p>
      <w:pPr>
        <w:pStyle w:val="13"/>
        <w:spacing w:line="360" w:lineRule="auto"/>
        <w:rPr>
          <w:sz w:val="24"/>
        </w:rPr>
      </w:pPr>
      <w:r>
        <w:rPr>
          <w:rFonts w:hint="eastAsia"/>
          <w:sz w:val="24"/>
        </w:rPr>
        <w:t>2.3.1 在申请人须知前附表规定的时间前，招标人可以书面形式通知申请人修改资格预审文件。在申请人须知前附表规定的时间后修改资格预审文件的，招标人应相应顺延申请截止时间。</w:t>
      </w:r>
    </w:p>
    <w:p>
      <w:pPr>
        <w:pStyle w:val="13"/>
        <w:spacing w:line="360" w:lineRule="auto"/>
        <w:rPr>
          <w:sz w:val="24"/>
        </w:rPr>
      </w:pPr>
      <w:r>
        <w:rPr>
          <w:rFonts w:hint="eastAsia"/>
          <w:sz w:val="24"/>
        </w:rPr>
        <w:t>2.3.2 申请人收到修改的内容后，应在申请人须知前附表规定的时间内以书面形式通知招标人，确认已收到该修改。</w:t>
      </w:r>
    </w:p>
    <w:p>
      <w:pPr>
        <w:pStyle w:val="22"/>
        <w:spacing w:line="360" w:lineRule="auto"/>
        <w:rPr>
          <w:rFonts w:eastAsia="宋体"/>
          <w:sz w:val="24"/>
        </w:rPr>
      </w:pPr>
      <w:r>
        <w:rPr>
          <w:rFonts w:hint="eastAsia" w:eastAsia="宋体"/>
          <w:sz w:val="24"/>
        </w:rPr>
        <w:t>3. 资格预审申请文件的编制</w:t>
      </w:r>
    </w:p>
    <w:p>
      <w:pPr>
        <w:pStyle w:val="25"/>
        <w:spacing w:line="360" w:lineRule="auto"/>
        <w:rPr>
          <w:rFonts w:eastAsia="宋体"/>
        </w:rPr>
      </w:pPr>
      <w:r>
        <w:rPr>
          <w:rFonts w:hint="eastAsia" w:eastAsia="宋体"/>
        </w:rPr>
        <w:t>3.1 资格预审申请文件的组成</w:t>
      </w:r>
    </w:p>
    <w:p>
      <w:pPr>
        <w:pStyle w:val="13"/>
        <w:spacing w:line="360" w:lineRule="auto"/>
        <w:rPr>
          <w:sz w:val="24"/>
        </w:rPr>
      </w:pPr>
      <w:r>
        <w:rPr>
          <w:rFonts w:hint="eastAsia"/>
          <w:sz w:val="24"/>
        </w:rPr>
        <w:t xml:space="preserve">资格预审申请文件应包括但不限于下列内容，并按下述顺序编辑提交： </w:t>
      </w:r>
    </w:p>
    <w:p>
      <w:pPr>
        <w:pStyle w:val="13"/>
        <w:spacing w:line="360" w:lineRule="auto"/>
        <w:rPr>
          <w:sz w:val="24"/>
        </w:rPr>
      </w:pPr>
      <w:r>
        <w:rPr>
          <w:rFonts w:hint="eastAsia"/>
          <w:sz w:val="24"/>
        </w:rPr>
        <w:t>否决项清单响应目录</w:t>
      </w:r>
    </w:p>
    <w:p>
      <w:pPr>
        <w:pStyle w:val="13"/>
        <w:spacing w:line="360" w:lineRule="auto"/>
        <w:rPr>
          <w:sz w:val="24"/>
        </w:rPr>
      </w:pPr>
      <w:r>
        <w:rPr>
          <w:rFonts w:hint="eastAsia"/>
          <w:sz w:val="24"/>
        </w:rPr>
        <w:t>资格预审申请文件封面</w:t>
      </w:r>
    </w:p>
    <w:p>
      <w:pPr>
        <w:pStyle w:val="13"/>
        <w:spacing w:line="360" w:lineRule="auto"/>
        <w:rPr>
          <w:sz w:val="24"/>
        </w:rPr>
      </w:pPr>
      <w:r>
        <w:rPr>
          <w:rFonts w:hint="eastAsia"/>
          <w:sz w:val="24"/>
        </w:rPr>
        <w:t>法人代表授权书</w:t>
      </w:r>
    </w:p>
    <w:p>
      <w:pPr>
        <w:pStyle w:val="13"/>
        <w:spacing w:line="360" w:lineRule="auto"/>
        <w:rPr>
          <w:sz w:val="24"/>
        </w:rPr>
      </w:pPr>
      <w:r>
        <w:rPr>
          <w:rFonts w:hint="eastAsia"/>
          <w:sz w:val="24"/>
        </w:rPr>
        <w:t>法定代表人身份证明</w:t>
      </w:r>
    </w:p>
    <w:p>
      <w:pPr>
        <w:pStyle w:val="13"/>
        <w:spacing w:line="360" w:lineRule="auto"/>
        <w:rPr>
          <w:sz w:val="24"/>
        </w:rPr>
      </w:pPr>
      <w:r>
        <w:rPr>
          <w:rFonts w:hint="eastAsia"/>
          <w:sz w:val="24"/>
        </w:rPr>
        <w:t>营业执照</w:t>
      </w:r>
    </w:p>
    <w:p>
      <w:pPr>
        <w:pStyle w:val="13"/>
        <w:spacing w:line="360" w:lineRule="auto"/>
        <w:rPr>
          <w:sz w:val="24"/>
        </w:rPr>
      </w:pPr>
      <w:r>
        <w:rPr>
          <w:rFonts w:hint="eastAsia"/>
          <w:sz w:val="24"/>
        </w:rPr>
        <w:t>承诺书</w:t>
      </w:r>
    </w:p>
    <w:p>
      <w:pPr>
        <w:pStyle w:val="13"/>
        <w:spacing w:line="360" w:lineRule="auto"/>
        <w:rPr>
          <w:sz w:val="24"/>
        </w:rPr>
      </w:pPr>
      <w:r>
        <w:rPr>
          <w:rFonts w:hint="eastAsia"/>
          <w:sz w:val="24"/>
        </w:rPr>
        <w:t>公司简介及公司组织架构图</w:t>
      </w:r>
    </w:p>
    <w:p>
      <w:pPr>
        <w:pStyle w:val="13"/>
        <w:spacing w:line="360" w:lineRule="auto"/>
        <w:rPr>
          <w:strike/>
          <w:sz w:val="24"/>
        </w:rPr>
      </w:pPr>
      <w:r>
        <w:rPr>
          <w:rFonts w:hint="eastAsia"/>
          <w:sz w:val="24"/>
        </w:rPr>
        <w:t>提供近三年（</w:t>
      </w:r>
      <w:r>
        <w:rPr>
          <w:rFonts w:hint="eastAsia"/>
          <w:sz w:val="24"/>
          <w:lang w:eastAsia="zh-CN"/>
        </w:rPr>
        <w:t>2020-2022</w:t>
      </w:r>
      <w:r>
        <w:rPr>
          <w:rFonts w:hint="eastAsia"/>
          <w:sz w:val="24"/>
        </w:rPr>
        <w:t>年）经审计的财务报表</w:t>
      </w:r>
    </w:p>
    <w:p>
      <w:pPr>
        <w:pStyle w:val="13"/>
        <w:spacing w:line="360" w:lineRule="auto"/>
        <w:rPr>
          <w:sz w:val="24"/>
        </w:rPr>
      </w:pPr>
      <w:r>
        <w:rPr>
          <w:rFonts w:hint="eastAsia"/>
          <w:sz w:val="24"/>
        </w:rPr>
        <w:t>相关证书（如有）</w:t>
      </w:r>
    </w:p>
    <w:p>
      <w:pPr>
        <w:pStyle w:val="13"/>
        <w:spacing w:line="360" w:lineRule="auto"/>
        <w:rPr>
          <w:sz w:val="24"/>
        </w:rPr>
      </w:pPr>
      <w:r>
        <w:rPr>
          <w:rFonts w:hint="eastAsia"/>
          <w:sz w:val="24"/>
        </w:rPr>
        <w:t>投标材料质量标准的详细描述</w:t>
      </w:r>
    </w:p>
    <w:p>
      <w:pPr>
        <w:pStyle w:val="13"/>
        <w:spacing w:line="360" w:lineRule="auto"/>
        <w:rPr>
          <w:sz w:val="24"/>
        </w:rPr>
      </w:pPr>
      <w:r>
        <w:rPr>
          <w:rFonts w:hint="eastAsia"/>
          <w:sz w:val="24"/>
        </w:rPr>
        <w:t>业绩合同扫描件</w:t>
      </w:r>
    </w:p>
    <w:p>
      <w:pPr>
        <w:pStyle w:val="13"/>
        <w:spacing w:line="360" w:lineRule="auto"/>
        <w:rPr>
          <w:sz w:val="24"/>
        </w:rPr>
      </w:pPr>
      <w:r>
        <w:rPr>
          <w:rFonts w:hint="eastAsia"/>
          <w:sz w:val="24"/>
        </w:rPr>
        <w:t>提交的资格预审申请文件的电子版</w:t>
      </w:r>
    </w:p>
    <w:p>
      <w:pPr>
        <w:pStyle w:val="13"/>
        <w:spacing w:line="360" w:lineRule="auto"/>
        <w:rPr>
          <w:sz w:val="24"/>
        </w:rPr>
      </w:pPr>
      <w:r>
        <w:rPr>
          <w:rFonts w:hint="eastAsia"/>
          <w:sz w:val="24"/>
        </w:rPr>
        <w:t>信誉证明文件</w:t>
      </w:r>
    </w:p>
    <w:p>
      <w:pPr>
        <w:pStyle w:val="13"/>
        <w:spacing w:line="360" w:lineRule="auto"/>
        <w:rPr>
          <w:sz w:val="24"/>
        </w:rPr>
      </w:pPr>
      <w:r>
        <w:rPr>
          <w:rFonts w:hint="eastAsia"/>
          <w:sz w:val="24"/>
        </w:rPr>
        <w:t>供货计划、生产能力和保障措施</w:t>
      </w:r>
    </w:p>
    <w:p>
      <w:pPr>
        <w:pStyle w:val="13"/>
        <w:spacing w:line="360" w:lineRule="auto"/>
        <w:rPr>
          <w:sz w:val="24"/>
        </w:rPr>
      </w:pPr>
      <w:r>
        <w:rPr>
          <w:rFonts w:hint="eastAsia"/>
          <w:sz w:val="24"/>
        </w:rPr>
        <w:t>售后服务和现场技术支持方案</w:t>
      </w:r>
    </w:p>
    <w:p>
      <w:pPr>
        <w:pStyle w:val="13"/>
        <w:spacing w:line="360" w:lineRule="auto"/>
        <w:rPr>
          <w:sz w:val="24"/>
        </w:rPr>
      </w:pPr>
      <w:r>
        <w:rPr>
          <w:rFonts w:hint="eastAsia"/>
          <w:sz w:val="24"/>
        </w:rPr>
        <w:t>申请人认为有必要提交的其他支持性材料</w:t>
      </w:r>
    </w:p>
    <w:p>
      <w:pPr>
        <w:pStyle w:val="13"/>
        <w:spacing w:line="360" w:lineRule="auto"/>
        <w:rPr>
          <w:sz w:val="24"/>
        </w:rPr>
      </w:pPr>
      <w:r>
        <w:rPr>
          <w:rFonts w:hint="eastAsia"/>
          <w:sz w:val="24"/>
        </w:rPr>
        <w:t>商务偏离表</w:t>
      </w:r>
    </w:p>
    <w:p>
      <w:pPr>
        <w:pStyle w:val="13"/>
        <w:spacing w:line="360" w:lineRule="auto"/>
        <w:rPr>
          <w:sz w:val="24"/>
        </w:rPr>
      </w:pPr>
      <w:r>
        <w:rPr>
          <w:rFonts w:hint="eastAsia"/>
          <w:sz w:val="24"/>
        </w:rPr>
        <w:t>技术偏离表</w:t>
      </w:r>
    </w:p>
    <w:p>
      <w:pPr>
        <w:pStyle w:val="13"/>
        <w:spacing w:line="360" w:lineRule="auto"/>
        <w:rPr>
          <w:sz w:val="24"/>
        </w:rPr>
      </w:pPr>
      <w:r>
        <w:rPr>
          <w:rFonts w:hint="eastAsia"/>
          <w:sz w:val="24"/>
        </w:rPr>
        <w:t>投标函</w:t>
      </w:r>
    </w:p>
    <w:p>
      <w:pPr>
        <w:pStyle w:val="13"/>
        <w:spacing w:line="360" w:lineRule="auto"/>
        <w:rPr>
          <w:sz w:val="24"/>
        </w:rPr>
      </w:pPr>
      <w:r>
        <w:rPr>
          <w:rFonts w:hint="eastAsia"/>
          <w:sz w:val="24"/>
        </w:rPr>
        <w:t>对本项目技术要求的其他响应文件</w:t>
      </w:r>
    </w:p>
    <w:p>
      <w:pPr>
        <w:pStyle w:val="25"/>
        <w:spacing w:line="360" w:lineRule="auto"/>
        <w:rPr>
          <w:rFonts w:eastAsia="宋体"/>
        </w:rPr>
      </w:pPr>
      <w:r>
        <w:rPr>
          <w:rFonts w:hint="eastAsia" w:eastAsia="宋体"/>
        </w:rPr>
        <w:t>3.2 资格预审申请文件的编制要求</w:t>
      </w:r>
    </w:p>
    <w:p>
      <w:pPr>
        <w:pStyle w:val="13"/>
        <w:spacing w:line="360" w:lineRule="auto"/>
        <w:rPr>
          <w:sz w:val="24"/>
        </w:rPr>
      </w:pPr>
      <w:r>
        <w:rPr>
          <w:rFonts w:hint="eastAsia"/>
          <w:sz w:val="24"/>
        </w:rPr>
        <w:t>3.2.1 资格预审申请文件应按3.1资格预审申请文件的组成内容顺序和第四章“资格预审申请文件格式”进行编写，如有必要，可以增加附页，并作为资格预审申请文件的组成部分。</w:t>
      </w:r>
    </w:p>
    <w:p>
      <w:pPr>
        <w:pStyle w:val="13"/>
        <w:spacing w:line="360" w:lineRule="auto"/>
        <w:rPr>
          <w:sz w:val="24"/>
        </w:rPr>
      </w:pPr>
      <w:r>
        <w:rPr>
          <w:rFonts w:hint="eastAsia"/>
          <w:sz w:val="24"/>
        </w:rPr>
        <w:t>3.2.2未按3.2.1要求提交完整的预审申请文件的申请人可能被拒绝。</w:t>
      </w:r>
    </w:p>
    <w:p>
      <w:pPr>
        <w:pStyle w:val="22"/>
        <w:spacing w:line="360" w:lineRule="auto"/>
        <w:rPr>
          <w:rFonts w:eastAsia="宋体"/>
          <w:sz w:val="24"/>
        </w:rPr>
      </w:pPr>
      <w:r>
        <w:rPr>
          <w:rFonts w:hint="eastAsia" w:eastAsia="宋体"/>
          <w:sz w:val="24"/>
        </w:rPr>
        <w:t>4. 资格预审申请文件的递交</w:t>
      </w:r>
    </w:p>
    <w:p>
      <w:pPr>
        <w:pStyle w:val="13"/>
        <w:spacing w:line="360" w:lineRule="auto"/>
        <w:rPr>
          <w:sz w:val="24"/>
        </w:rPr>
      </w:pPr>
      <w:r>
        <w:rPr>
          <w:rFonts w:hint="eastAsia"/>
          <w:sz w:val="24"/>
        </w:rPr>
        <w:t>4.</w:t>
      </w:r>
      <w:r>
        <w:rPr>
          <w:rFonts w:hint="eastAsia"/>
          <w:sz w:val="24"/>
          <w:lang w:val="en-US" w:eastAsia="zh-CN"/>
        </w:rPr>
        <w:t>1</w:t>
      </w:r>
      <w:r>
        <w:rPr>
          <w:rFonts w:hint="eastAsia"/>
          <w:sz w:val="24"/>
        </w:rPr>
        <w:t xml:space="preserve"> 申请截止时间：见申请人须知前附表。</w:t>
      </w:r>
    </w:p>
    <w:p>
      <w:pPr>
        <w:pStyle w:val="13"/>
        <w:spacing w:line="360" w:lineRule="auto"/>
        <w:rPr>
          <w:sz w:val="24"/>
        </w:rPr>
      </w:pPr>
      <w:r>
        <w:rPr>
          <w:rFonts w:hint="eastAsia"/>
          <w:sz w:val="24"/>
        </w:rPr>
        <w:t>4.2 除申请人须知前附表另有规定的外，申请人所递交的资格预审申请文件不予退还。</w:t>
      </w:r>
    </w:p>
    <w:p>
      <w:pPr>
        <w:pStyle w:val="13"/>
        <w:spacing w:line="360" w:lineRule="auto"/>
        <w:outlineLvl w:val="1"/>
        <w:rPr>
          <w:sz w:val="24"/>
        </w:rPr>
      </w:pPr>
      <w:r>
        <w:rPr>
          <w:rFonts w:hint="eastAsia"/>
          <w:sz w:val="24"/>
        </w:rPr>
        <w:t>5．资格预审申请文件的审查</w:t>
      </w:r>
    </w:p>
    <w:p>
      <w:pPr>
        <w:pStyle w:val="13"/>
        <w:spacing w:line="360" w:lineRule="auto"/>
        <w:outlineLvl w:val="2"/>
        <w:rPr>
          <w:sz w:val="24"/>
        </w:rPr>
      </w:pPr>
      <w:r>
        <w:rPr>
          <w:rFonts w:hint="eastAsia"/>
          <w:sz w:val="24"/>
        </w:rPr>
        <w:t>5.1 审查委员会</w:t>
      </w:r>
    </w:p>
    <w:p>
      <w:pPr>
        <w:pStyle w:val="13"/>
        <w:spacing w:line="360" w:lineRule="auto"/>
        <w:rPr>
          <w:sz w:val="24"/>
        </w:rPr>
      </w:pPr>
      <w:r>
        <w:rPr>
          <w:rFonts w:hint="eastAsia"/>
          <w:sz w:val="24"/>
        </w:rPr>
        <w:t>5.1.1资格预审申请文件由招标人组建的审查委员会负责审查。审查委员会参照《中华人民共和国招标投标法》第三十七条规定组建。</w:t>
      </w:r>
    </w:p>
    <w:p>
      <w:pPr>
        <w:pStyle w:val="13"/>
        <w:spacing w:line="360" w:lineRule="auto"/>
        <w:rPr>
          <w:sz w:val="24"/>
        </w:rPr>
      </w:pPr>
      <w:r>
        <w:rPr>
          <w:rFonts w:hint="eastAsia"/>
          <w:sz w:val="24"/>
        </w:rPr>
        <w:t>5.1.2 审查委员会人数：见申请人须知前附表。</w:t>
      </w:r>
    </w:p>
    <w:p>
      <w:pPr>
        <w:pStyle w:val="13"/>
        <w:spacing w:line="360" w:lineRule="auto"/>
        <w:outlineLvl w:val="2"/>
        <w:rPr>
          <w:sz w:val="24"/>
        </w:rPr>
      </w:pPr>
      <w:r>
        <w:rPr>
          <w:rFonts w:hint="eastAsia"/>
          <w:sz w:val="24"/>
        </w:rPr>
        <w:t>5.2 资格审查</w:t>
      </w:r>
    </w:p>
    <w:p>
      <w:pPr>
        <w:pStyle w:val="13"/>
        <w:spacing w:line="360" w:lineRule="auto"/>
        <w:rPr>
          <w:sz w:val="24"/>
        </w:rPr>
      </w:pPr>
      <w:r>
        <w:rPr>
          <w:rFonts w:hint="eastAsia"/>
          <w:sz w:val="24"/>
        </w:rPr>
        <w:t>审查委员会根据申请人须知前附表规定的方法和第三章“资格审查办法”中规定的审查标准，对所有已受理的资格预审申请文件进行审查。没有规定的方法和标准不得作为审查依据。</w:t>
      </w:r>
    </w:p>
    <w:p>
      <w:pPr>
        <w:pStyle w:val="13"/>
        <w:spacing w:line="360" w:lineRule="auto"/>
        <w:outlineLvl w:val="1"/>
        <w:rPr>
          <w:sz w:val="24"/>
        </w:rPr>
      </w:pPr>
      <w:r>
        <w:rPr>
          <w:rFonts w:hint="eastAsia"/>
          <w:sz w:val="24"/>
        </w:rPr>
        <w:t>6. 通知和确认</w:t>
      </w:r>
    </w:p>
    <w:p>
      <w:pPr>
        <w:pStyle w:val="13"/>
        <w:spacing w:line="360" w:lineRule="auto"/>
        <w:outlineLvl w:val="2"/>
        <w:rPr>
          <w:sz w:val="24"/>
        </w:rPr>
      </w:pPr>
      <w:r>
        <w:rPr>
          <w:rFonts w:hint="eastAsia"/>
          <w:sz w:val="24"/>
        </w:rPr>
        <w:t>6.1 通知</w:t>
      </w:r>
    </w:p>
    <w:p>
      <w:pPr>
        <w:pStyle w:val="13"/>
        <w:spacing w:line="360" w:lineRule="auto"/>
        <w:rPr>
          <w:sz w:val="24"/>
        </w:rPr>
      </w:pPr>
      <w:r>
        <w:rPr>
          <w:rFonts w:hint="eastAsia"/>
          <w:sz w:val="24"/>
        </w:rPr>
        <w:t>招标人在申请人须知前附表规定的时间内以书面形式将资格预审结果通知申请人，并向通过资格预审的申请人发出项目竞谈文件</w:t>
      </w:r>
      <w:r>
        <w:rPr>
          <w:rFonts w:hint="eastAsia"/>
          <w:sz w:val="24"/>
          <w:lang w:val="en-US" w:eastAsia="zh-CN"/>
        </w:rPr>
        <w:t>或单一来源采购文件</w:t>
      </w:r>
      <w:r>
        <w:rPr>
          <w:rFonts w:hint="eastAsia"/>
          <w:sz w:val="24"/>
        </w:rPr>
        <w:t>。</w:t>
      </w:r>
    </w:p>
    <w:p>
      <w:pPr>
        <w:pStyle w:val="13"/>
        <w:spacing w:line="360" w:lineRule="auto"/>
        <w:outlineLvl w:val="2"/>
        <w:rPr>
          <w:sz w:val="24"/>
        </w:rPr>
      </w:pPr>
      <w:r>
        <w:rPr>
          <w:rFonts w:hint="eastAsia"/>
          <w:sz w:val="24"/>
        </w:rPr>
        <w:t>6.2 解释</w:t>
      </w:r>
    </w:p>
    <w:p>
      <w:pPr>
        <w:pStyle w:val="13"/>
        <w:spacing w:line="360" w:lineRule="auto"/>
        <w:rPr>
          <w:sz w:val="24"/>
        </w:rPr>
      </w:pPr>
      <w:r>
        <w:rPr>
          <w:rFonts w:hint="eastAsia"/>
          <w:sz w:val="24"/>
        </w:rPr>
        <w:t>应申请人书面要求，招标人应对资格预审结果作出解释，但不保证申请人对解释内容满意。</w:t>
      </w:r>
    </w:p>
    <w:p>
      <w:pPr>
        <w:pStyle w:val="13"/>
        <w:spacing w:line="360" w:lineRule="auto"/>
        <w:outlineLvl w:val="2"/>
        <w:rPr>
          <w:sz w:val="24"/>
        </w:rPr>
      </w:pPr>
      <w:r>
        <w:rPr>
          <w:rFonts w:hint="eastAsia"/>
          <w:sz w:val="24"/>
        </w:rPr>
        <w:t>6.3 确认</w:t>
      </w:r>
    </w:p>
    <w:p>
      <w:pPr>
        <w:pStyle w:val="13"/>
        <w:spacing w:line="360" w:lineRule="auto"/>
        <w:rPr>
          <w:sz w:val="24"/>
        </w:rPr>
      </w:pPr>
      <w:r>
        <w:rPr>
          <w:rFonts w:hint="eastAsia"/>
          <w:sz w:val="24"/>
        </w:rPr>
        <w:t>通过资格预审的申请人收到项目竞谈</w:t>
      </w:r>
      <w:r>
        <w:rPr>
          <w:rFonts w:hint="eastAsia"/>
          <w:sz w:val="24"/>
          <w:lang w:val="en-US" w:eastAsia="zh-CN"/>
        </w:rPr>
        <w:t>邀请通知或单一来源采购邀请通知</w:t>
      </w:r>
      <w:r>
        <w:rPr>
          <w:rFonts w:hint="eastAsia"/>
          <w:sz w:val="24"/>
        </w:rPr>
        <w:t>后，应在项目规定的时间内以书面形式明确表示是否参加投标。在规定时间内未表示是否参加投标或明确表示不参加投标的，不得再参加投标。</w:t>
      </w:r>
    </w:p>
    <w:p>
      <w:pPr>
        <w:pStyle w:val="13"/>
        <w:spacing w:line="360" w:lineRule="auto"/>
        <w:outlineLvl w:val="1"/>
        <w:rPr>
          <w:sz w:val="24"/>
        </w:rPr>
      </w:pPr>
      <w:r>
        <w:rPr>
          <w:rFonts w:hint="eastAsia"/>
          <w:sz w:val="24"/>
        </w:rPr>
        <w:t>7. 申请人的资格改变</w:t>
      </w:r>
    </w:p>
    <w:p>
      <w:pPr>
        <w:pStyle w:val="13"/>
        <w:spacing w:line="360" w:lineRule="auto"/>
        <w:rPr>
          <w:sz w:val="24"/>
        </w:rPr>
      </w:pPr>
      <w:r>
        <w:rPr>
          <w:rFonts w:hint="eastAsia"/>
          <w:sz w:val="24"/>
        </w:rPr>
        <w:t>通过资格预审的申请人组织机构、财务能力、信誉情况等资格条件发生变化，使其不再实质上满足第三章“资格审查办法”规定标准的，其投标不被接受。</w:t>
      </w:r>
    </w:p>
    <w:p>
      <w:pPr>
        <w:pStyle w:val="13"/>
        <w:spacing w:line="360" w:lineRule="auto"/>
        <w:outlineLvl w:val="1"/>
        <w:rPr>
          <w:sz w:val="24"/>
        </w:rPr>
      </w:pPr>
      <w:r>
        <w:rPr>
          <w:rFonts w:hint="eastAsia"/>
          <w:sz w:val="24"/>
        </w:rPr>
        <w:t>8. 纪律与监督</w:t>
      </w:r>
    </w:p>
    <w:p>
      <w:pPr>
        <w:pStyle w:val="13"/>
        <w:spacing w:line="360" w:lineRule="auto"/>
        <w:outlineLvl w:val="2"/>
        <w:rPr>
          <w:sz w:val="24"/>
        </w:rPr>
      </w:pPr>
      <w:r>
        <w:rPr>
          <w:rFonts w:hint="eastAsia"/>
          <w:sz w:val="24"/>
        </w:rPr>
        <w:t>8.1 严禁贿赂</w:t>
      </w:r>
    </w:p>
    <w:p>
      <w:pPr>
        <w:pStyle w:val="13"/>
        <w:spacing w:line="360" w:lineRule="auto"/>
        <w:rPr>
          <w:sz w:val="24"/>
        </w:rPr>
      </w:pPr>
      <w:r>
        <w:rPr>
          <w:rFonts w:hint="eastAsia"/>
          <w:sz w:val="24"/>
        </w:rPr>
        <w:t>严禁申请人向招标人、审查委员会成员和与审查活动有关的其他工作人员行贿。在资格预审期间，不得邀请 招标人、审查委员会成员以及与审查活动有关的其他工作人员到申请人单位参观考察，或出席申请人主办、赞助的任何活动。</w:t>
      </w:r>
    </w:p>
    <w:p>
      <w:pPr>
        <w:pStyle w:val="13"/>
        <w:spacing w:line="360" w:lineRule="auto"/>
        <w:outlineLvl w:val="2"/>
        <w:rPr>
          <w:sz w:val="24"/>
        </w:rPr>
      </w:pPr>
      <w:r>
        <w:rPr>
          <w:rFonts w:hint="eastAsia"/>
          <w:sz w:val="24"/>
        </w:rPr>
        <w:t>8.2 不得干扰资格审查工作</w:t>
      </w:r>
    </w:p>
    <w:p>
      <w:pPr>
        <w:pStyle w:val="13"/>
        <w:spacing w:line="360" w:lineRule="auto"/>
        <w:rPr>
          <w:sz w:val="24"/>
        </w:rPr>
      </w:pPr>
      <w:r>
        <w:rPr>
          <w:rFonts w:hint="eastAsia"/>
          <w:sz w:val="24"/>
        </w:rPr>
        <w:t>申请人不得以任何方式干扰、影响资格预审的审查工作，否则将导致其不能通过资格预审。</w:t>
      </w:r>
    </w:p>
    <w:p>
      <w:pPr>
        <w:pStyle w:val="13"/>
        <w:spacing w:line="360" w:lineRule="auto"/>
        <w:outlineLvl w:val="2"/>
        <w:rPr>
          <w:sz w:val="24"/>
        </w:rPr>
      </w:pPr>
      <w:r>
        <w:rPr>
          <w:rFonts w:hint="eastAsia"/>
          <w:sz w:val="24"/>
        </w:rPr>
        <w:t>8.3 保密</w:t>
      </w:r>
    </w:p>
    <w:p>
      <w:pPr>
        <w:pStyle w:val="13"/>
        <w:spacing w:line="360" w:lineRule="auto"/>
        <w:rPr>
          <w:sz w:val="24"/>
        </w:rPr>
      </w:pPr>
      <w:r>
        <w:rPr>
          <w:rFonts w:hint="eastAsia"/>
          <w:sz w:val="24"/>
        </w:rPr>
        <w:t xml:space="preserve">招标人、审查委员会成员，以及与审查活动有关的其他工作人员应对资格预审申请文件的审查、比较进行保密，不得在资格预审结果公布前透露资格预审结果，不得向他人透露可能影响公平竞争的有关情况。 </w:t>
      </w:r>
    </w:p>
    <w:p>
      <w:pPr>
        <w:pStyle w:val="13"/>
        <w:spacing w:line="360" w:lineRule="auto"/>
        <w:outlineLvl w:val="2"/>
        <w:rPr>
          <w:sz w:val="24"/>
        </w:rPr>
      </w:pPr>
      <w:r>
        <w:rPr>
          <w:rFonts w:hint="eastAsia"/>
          <w:sz w:val="24"/>
        </w:rPr>
        <w:t>8.4 投诉</w:t>
      </w:r>
    </w:p>
    <w:p>
      <w:pPr>
        <w:pStyle w:val="13"/>
        <w:spacing w:line="360" w:lineRule="auto"/>
        <w:rPr>
          <w:sz w:val="24"/>
        </w:rPr>
      </w:pPr>
      <w:r>
        <w:rPr>
          <w:rFonts w:hint="eastAsia"/>
          <w:sz w:val="24"/>
        </w:rPr>
        <w:t>申请人和其他利害关系人认为本次资格预审活动违反法律、法规和规章规定的，有权向有关行政监督部门投诉。</w:t>
      </w:r>
    </w:p>
    <w:p>
      <w:pPr>
        <w:pStyle w:val="13"/>
        <w:spacing w:line="360" w:lineRule="auto"/>
        <w:sectPr>
          <w:footerReference r:id="rId8" w:type="first"/>
          <w:headerReference r:id="rId6" w:type="default"/>
          <w:footerReference r:id="rId7" w:type="default"/>
          <w:pgSz w:w="11906" w:h="16838"/>
          <w:pgMar w:top="1440" w:right="1800" w:bottom="1440" w:left="1800" w:header="851" w:footer="992" w:gutter="0"/>
          <w:cols w:space="720" w:num="1"/>
          <w:titlePg/>
          <w:docGrid w:linePitch="312" w:charSpace="0"/>
        </w:sectPr>
      </w:pPr>
    </w:p>
    <w:p>
      <w:pPr>
        <w:pStyle w:val="13"/>
        <w:spacing w:line="400" w:lineRule="exact"/>
        <w:rPr>
          <w:sz w:val="32"/>
          <w:szCs w:val="32"/>
        </w:rPr>
      </w:pPr>
    </w:p>
    <w:p>
      <w:pPr>
        <w:pStyle w:val="13"/>
        <w:sectPr>
          <w:footerReference r:id="rId9" w:type="first"/>
          <w:pgSz w:w="11906" w:h="16838"/>
          <w:pgMar w:top="1440" w:right="1800" w:bottom="1440" w:left="1800" w:header="851" w:footer="992" w:gutter="0"/>
          <w:cols w:space="720" w:num="1"/>
          <w:titlePg/>
          <w:docGrid w:linePitch="312" w:charSpace="0"/>
        </w:sectPr>
      </w:pPr>
    </w:p>
    <w:p>
      <w:pPr>
        <w:pStyle w:val="13"/>
        <w:spacing w:line="400" w:lineRule="exact"/>
        <w:jc w:val="center"/>
        <w:outlineLvl w:val="0"/>
        <w:rPr>
          <w:rFonts w:ascii="黑体" w:hAnsi="黑体" w:eastAsia="黑体"/>
          <w:b/>
          <w:bCs/>
          <w:sz w:val="36"/>
          <w:szCs w:val="36"/>
        </w:rPr>
      </w:pPr>
      <w:bookmarkStart w:id="21" w:name="_Toc31862"/>
      <w:bookmarkStart w:id="22" w:name="_Toc13432"/>
      <w:r>
        <w:rPr>
          <w:rFonts w:hint="eastAsia" w:ascii="黑体" w:hAnsi="黑体" w:eastAsia="黑体"/>
          <w:b/>
          <w:bCs/>
          <w:sz w:val="36"/>
          <w:szCs w:val="36"/>
        </w:rPr>
        <w:t>第三章 资格审查办法</w:t>
      </w:r>
      <w:bookmarkEnd w:id="21"/>
      <w:bookmarkEnd w:id="22"/>
    </w:p>
    <w:p>
      <w:pPr>
        <w:pStyle w:val="22"/>
        <w:spacing w:line="360" w:lineRule="auto"/>
        <w:rPr>
          <w:rFonts w:ascii="宋体" w:hAnsi="宋体" w:eastAsia="宋体" w:cs="Times New Roman"/>
          <w:sz w:val="24"/>
          <w:szCs w:val="24"/>
        </w:rPr>
      </w:pPr>
      <w:r>
        <w:rPr>
          <w:rFonts w:hint="eastAsia" w:ascii="宋体" w:hAnsi="宋体" w:eastAsia="宋体" w:cs="Times New Roman"/>
          <w:sz w:val="24"/>
          <w:szCs w:val="24"/>
        </w:rPr>
        <w:t>1. 审查方法</w:t>
      </w:r>
    </w:p>
    <w:p>
      <w:pPr>
        <w:pStyle w:val="13"/>
        <w:tabs>
          <w:tab w:val="left" w:pos="0"/>
        </w:tabs>
        <w:adjustRightInd w:val="0"/>
        <w:snapToGrid w:val="0"/>
        <w:spacing w:line="360" w:lineRule="auto"/>
        <w:jc w:val="left"/>
        <w:rPr>
          <w:sz w:val="24"/>
        </w:rPr>
      </w:pPr>
      <w:r>
        <w:rPr>
          <w:rFonts w:hint="eastAsia"/>
          <w:sz w:val="24"/>
        </w:rPr>
        <w:t>本项目审查为书面资格预审，采用评议合格制。招标人保留对资格预审的申请人进行现场考察的权利。</w:t>
      </w:r>
    </w:p>
    <w:p>
      <w:pPr>
        <w:pStyle w:val="22"/>
        <w:spacing w:line="360" w:lineRule="auto"/>
        <w:rPr>
          <w:rFonts w:cs="Times New Roman"/>
          <w:sz w:val="24"/>
          <w:szCs w:val="24"/>
        </w:rPr>
      </w:pPr>
      <w:r>
        <w:rPr>
          <w:rFonts w:hint="eastAsia" w:cs="Times New Roman"/>
          <w:sz w:val="24"/>
          <w:szCs w:val="24"/>
        </w:rPr>
        <w:t xml:space="preserve">2. </w:t>
      </w:r>
      <w:r>
        <w:rPr>
          <w:rFonts w:hint="eastAsia" w:eastAsia="宋体" w:cs="Times New Roman"/>
          <w:sz w:val="24"/>
          <w:szCs w:val="24"/>
        </w:rPr>
        <w:t>审查程序</w:t>
      </w:r>
    </w:p>
    <w:p>
      <w:pPr>
        <w:pStyle w:val="25"/>
        <w:spacing w:line="360" w:lineRule="auto"/>
        <w:rPr>
          <w:rFonts w:eastAsia="宋体" w:cs="Times New Roman"/>
          <w:szCs w:val="24"/>
        </w:rPr>
      </w:pPr>
      <w:r>
        <w:rPr>
          <w:rFonts w:hint="eastAsia"/>
        </w:rPr>
        <w:t xml:space="preserve">2.1 </w:t>
      </w:r>
      <w:r>
        <w:rPr>
          <w:rFonts w:hint="eastAsia" w:eastAsia="宋体" w:cs="Times New Roman"/>
          <w:szCs w:val="24"/>
        </w:rPr>
        <w:t xml:space="preserve">否决项检查 </w:t>
      </w:r>
    </w:p>
    <w:p>
      <w:pPr>
        <w:pStyle w:val="13"/>
        <w:spacing w:line="360" w:lineRule="auto"/>
        <w:rPr>
          <w:sz w:val="24"/>
        </w:rPr>
      </w:pPr>
      <w:r>
        <w:rPr>
          <w:rFonts w:hint="eastAsia"/>
          <w:sz w:val="24"/>
        </w:rPr>
        <w:t>2.1.1 审查委员会依据第二章“申请人须知”审查列表中规定的标准，对资格预审申请文件进行逐项审查。有一项审查因素不符合审查标准的，不能通过资格预审。</w:t>
      </w:r>
    </w:p>
    <w:p>
      <w:pPr>
        <w:pStyle w:val="13"/>
        <w:spacing w:line="360" w:lineRule="auto"/>
        <w:rPr>
          <w:sz w:val="24"/>
        </w:rPr>
      </w:pPr>
      <w:r>
        <w:rPr>
          <w:rFonts w:hint="eastAsia"/>
          <w:sz w:val="24"/>
        </w:rPr>
        <w:t>2.1.2 审查委员会可以要求在现场考察阶段核对申请人有关证明和证件的原件。</w:t>
      </w:r>
    </w:p>
    <w:p>
      <w:pPr>
        <w:pStyle w:val="25"/>
        <w:spacing w:line="360" w:lineRule="auto"/>
        <w:rPr>
          <w:rFonts w:eastAsia="宋体" w:cs="Times New Roman"/>
          <w:szCs w:val="24"/>
        </w:rPr>
      </w:pPr>
      <w:r>
        <w:rPr>
          <w:rFonts w:hint="eastAsia" w:eastAsia="宋体" w:cs="Times New Roman"/>
          <w:szCs w:val="24"/>
        </w:rPr>
        <w:t>2.2 供应商资格预审评议</w:t>
      </w:r>
    </w:p>
    <w:p>
      <w:pPr>
        <w:pStyle w:val="13"/>
        <w:spacing w:line="360" w:lineRule="auto"/>
        <w:rPr>
          <w:sz w:val="24"/>
        </w:rPr>
      </w:pPr>
      <w:r>
        <w:rPr>
          <w:rFonts w:hint="eastAsia"/>
          <w:sz w:val="24"/>
        </w:rPr>
        <w:t>2.2.1审查委员会按资格预审文件所附评议标准对申请人提交的资格预审申请文件进行资格审查。</w:t>
      </w:r>
    </w:p>
    <w:p>
      <w:pPr>
        <w:pStyle w:val="25"/>
        <w:spacing w:line="360" w:lineRule="auto"/>
        <w:rPr>
          <w:rFonts w:eastAsia="宋体" w:cs="Times New Roman"/>
          <w:szCs w:val="24"/>
        </w:rPr>
      </w:pPr>
      <w:r>
        <w:rPr>
          <w:rFonts w:hint="eastAsia"/>
        </w:rPr>
        <w:t>2.3</w:t>
      </w:r>
      <w:r>
        <w:rPr>
          <w:rFonts w:hint="eastAsia" w:eastAsia="宋体" w:cs="Times New Roman"/>
          <w:szCs w:val="24"/>
        </w:rPr>
        <w:t>其它审查</w:t>
      </w:r>
    </w:p>
    <w:p>
      <w:pPr>
        <w:pStyle w:val="13"/>
        <w:spacing w:line="360" w:lineRule="auto"/>
        <w:rPr>
          <w:sz w:val="24"/>
        </w:rPr>
      </w:pPr>
      <w:r>
        <w:rPr>
          <w:rFonts w:hint="eastAsia"/>
          <w:sz w:val="24"/>
        </w:rPr>
        <w:t>通过资格预审的申请人除应满足本章第2.1条款、第2.2条款规定的审查标准外，还不得存在下列任何一种情形：</w:t>
      </w:r>
    </w:p>
    <w:p>
      <w:pPr>
        <w:pStyle w:val="13"/>
        <w:spacing w:line="360" w:lineRule="auto"/>
        <w:rPr>
          <w:sz w:val="24"/>
        </w:rPr>
      </w:pPr>
      <w:r>
        <w:rPr>
          <w:rFonts w:hint="eastAsia"/>
          <w:sz w:val="24"/>
        </w:rPr>
        <w:t>（1）不按审查委员会要求澄清或说明的；</w:t>
      </w:r>
    </w:p>
    <w:p>
      <w:pPr>
        <w:pStyle w:val="13"/>
        <w:spacing w:line="360" w:lineRule="auto"/>
        <w:rPr>
          <w:sz w:val="24"/>
        </w:rPr>
      </w:pPr>
      <w:r>
        <w:rPr>
          <w:rFonts w:hint="eastAsia"/>
          <w:sz w:val="24"/>
        </w:rPr>
        <w:t>（2）有第二章“申请人须知”第1.4项规定的任何一种情形的；</w:t>
      </w:r>
    </w:p>
    <w:p>
      <w:pPr>
        <w:pStyle w:val="13"/>
        <w:spacing w:line="360" w:lineRule="auto"/>
        <w:rPr>
          <w:sz w:val="24"/>
        </w:rPr>
      </w:pPr>
      <w:r>
        <w:rPr>
          <w:rFonts w:hint="eastAsia"/>
          <w:sz w:val="24"/>
        </w:rPr>
        <w:t>（3）在资格预审过程中弄虚作假、行贿或有其他违法违规行为的。</w:t>
      </w:r>
    </w:p>
    <w:p>
      <w:pPr>
        <w:pStyle w:val="25"/>
        <w:spacing w:line="360" w:lineRule="auto"/>
        <w:rPr>
          <w:rFonts w:eastAsia="宋体" w:cs="Times New Roman"/>
          <w:szCs w:val="24"/>
        </w:rPr>
      </w:pPr>
      <w:r>
        <w:rPr>
          <w:rFonts w:hint="eastAsia" w:eastAsia="宋体" w:cs="Times New Roman"/>
          <w:szCs w:val="24"/>
        </w:rPr>
        <w:t>2.4 资格预审申请文件的澄清</w:t>
      </w:r>
    </w:p>
    <w:p>
      <w:pPr>
        <w:pStyle w:val="13"/>
        <w:spacing w:line="360" w:lineRule="auto"/>
        <w:rPr>
          <w:sz w:val="24"/>
        </w:rPr>
      </w:pPr>
      <w:r>
        <w:rPr>
          <w:rFonts w:hint="eastAsia"/>
          <w:sz w:val="24"/>
        </w:rPr>
        <w:t>在审查过程中，审查委员会可以书面形式，要求申请人对所提交的资格预审申请文件中不明确的内容进行必要的澄清或说明。申请人的澄清或说明应采用书面形式，并不得改变资格预审申请文件的实质性内容。申请人的澄清和说明内容属于资格预审申请文件的组成部分。招标人和审查委员会不接受申请人主动提出的澄清或说明。</w:t>
      </w:r>
    </w:p>
    <w:p>
      <w:pPr>
        <w:pStyle w:val="13"/>
        <w:spacing w:line="360" w:lineRule="auto"/>
        <w:rPr>
          <w:sz w:val="24"/>
        </w:rPr>
      </w:pPr>
      <w:r>
        <w:rPr>
          <w:rFonts w:hint="eastAsia"/>
          <w:sz w:val="24"/>
        </w:rPr>
        <w:t>2.5资格审查委员会要审查每份资格预审申请文件是否实质上响应了资格预审文件的要求。实质上响应的资格预审申请文件是与资格预审文件要求的重要条款、条件和规格相符，没有重大偏离或保留的申请文件。所谓重大偏离或保留是指实质上影响合同的供货范围、质量和性能；或者实质上与资格预审文件不一致，而且限制了将来合同中招标人的权利或申请人的义务。纠正这些偏离或保留将会对其他实质上响应要求的申请人的竞争地位产生不公正的影响。</w:t>
      </w:r>
    </w:p>
    <w:p>
      <w:pPr>
        <w:pStyle w:val="13"/>
        <w:spacing w:line="360" w:lineRule="auto"/>
        <w:rPr>
          <w:sz w:val="24"/>
        </w:rPr>
      </w:pPr>
      <w:r>
        <w:rPr>
          <w:rFonts w:hint="eastAsia"/>
          <w:sz w:val="24"/>
        </w:rPr>
        <w:t>2.6如果资格预审申请文件实质上没有响应资格预审文件的要求，招标人将予以拒绝，申请人不得通过修正或撤销不合要求的偏离或保留从而使其资格预审申请文件成为实质上响应的申请。</w:t>
      </w:r>
    </w:p>
    <w:p>
      <w:pPr>
        <w:pStyle w:val="13"/>
        <w:spacing w:line="360" w:lineRule="auto"/>
        <w:rPr>
          <w:sz w:val="24"/>
        </w:rPr>
      </w:pPr>
      <w:r>
        <w:rPr>
          <w:rFonts w:hint="eastAsia"/>
          <w:sz w:val="24"/>
        </w:rPr>
        <w:t>2.7 资格预审申请文件不满足任何一项本资格预审文件中加注星号（“★”）的主要商务条款和技术条款（参数），其申请文件将被拒绝。</w:t>
      </w:r>
    </w:p>
    <w:p>
      <w:pPr>
        <w:pStyle w:val="13"/>
        <w:tabs>
          <w:tab w:val="left" w:pos="469"/>
        </w:tabs>
        <w:adjustRightInd w:val="0"/>
        <w:snapToGrid w:val="0"/>
        <w:spacing w:line="360" w:lineRule="auto"/>
        <w:jc w:val="left"/>
        <w:rPr>
          <w:sz w:val="24"/>
          <w:highlight w:val="none"/>
        </w:rPr>
      </w:pPr>
      <w:r>
        <w:rPr>
          <w:rFonts w:hint="eastAsia"/>
          <w:sz w:val="24"/>
        </w:rPr>
        <w:t>2.8</w:t>
      </w:r>
      <w:r>
        <w:rPr>
          <w:rFonts w:hint="eastAsia"/>
          <w:sz w:val="24"/>
          <w:highlight w:val="none"/>
        </w:rPr>
        <w:t>一般技术指标和一般商务指标偏离数量累计超出</w:t>
      </w:r>
      <w:r>
        <w:rPr>
          <w:rFonts w:hint="eastAsia"/>
          <w:sz w:val="24"/>
          <w:highlight w:val="none"/>
          <w:lang w:val="en-US" w:eastAsia="zh-CN"/>
        </w:rPr>
        <w:t>2</w:t>
      </w:r>
      <w:r>
        <w:rPr>
          <w:rFonts w:hint="eastAsia"/>
          <w:sz w:val="24"/>
          <w:highlight w:val="none"/>
        </w:rPr>
        <w:t>项的投标，将被视为不满足招标文件实质性要求，否则其申请文件将被拒绝。</w:t>
      </w:r>
    </w:p>
    <w:p>
      <w:pPr>
        <w:pStyle w:val="25"/>
        <w:spacing w:line="360" w:lineRule="auto"/>
        <w:outlineLvl w:val="1"/>
        <w:rPr>
          <w:rFonts w:eastAsia="宋体" w:cs="Times New Roman"/>
          <w:szCs w:val="24"/>
        </w:rPr>
      </w:pPr>
      <w:r>
        <w:rPr>
          <w:rFonts w:hint="eastAsia" w:eastAsia="宋体" w:cs="Times New Roman"/>
          <w:szCs w:val="24"/>
        </w:rPr>
        <w:t>3. 审查结果</w:t>
      </w:r>
    </w:p>
    <w:p>
      <w:pPr>
        <w:pStyle w:val="13"/>
        <w:spacing w:line="360" w:lineRule="auto"/>
        <w:rPr>
          <w:sz w:val="24"/>
        </w:rPr>
      </w:pPr>
      <w:r>
        <w:rPr>
          <w:rFonts w:hint="eastAsia"/>
          <w:sz w:val="24"/>
        </w:rPr>
        <w:t>招标人将依照资格预审书面审查结果，确定中海油能源发展股份有限公司</w:t>
      </w:r>
      <w:r>
        <w:rPr>
          <w:rFonts w:hint="eastAsia"/>
          <w:sz w:val="24"/>
          <w:lang w:eastAsia="zh-CN"/>
        </w:rPr>
        <w:t>工程技术公司永磁系列潜油电机等物资采购专有协议--标段三</w:t>
      </w:r>
      <w:r>
        <w:rPr>
          <w:rFonts w:hint="eastAsia"/>
          <w:sz w:val="24"/>
        </w:rPr>
        <w:t xml:space="preserve"> 采办包的发标名单。</w:t>
      </w:r>
    </w:p>
    <w:p>
      <w:pPr>
        <w:pStyle w:val="25"/>
        <w:spacing w:line="360" w:lineRule="auto"/>
        <w:outlineLvl w:val="1"/>
        <w:rPr>
          <w:rFonts w:eastAsia="宋体" w:cs="Times New Roman"/>
          <w:szCs w:val="24"/>
        </w:rPr>
      </w:pPr>
      <w:r>
        <w:rPr>
          <w:rFonts w:hint="eastAsia" w:eastAsia="宋体" w:cs="Times New Roman"/>
          <w:szCs w:val="24"/>
        </w:rPr>
        <w:t xml:space="preserve">4. </w:t>
      </w:r>
      <w:r>
        <w:rPr>
          <w:rFonts w:hint="eastAsia" w:eastAsia="宋体" w:cs="Times New Roman"/>
          <w:szCs w:val="24"/>
          <w:lang w:eastAsia="zh-CN"/>
        </w:rPr>
        <w:t>竞争性谈判或单一来源</w:t>
      </w:r>
      <w:r>
        <w:rPr>
          <w:rFonts w:hint="eastAsia" w:eastAsia="宋体" w:cs="Times New Roman"/>
          <w:szCs w:val="24"/>
        </w:rPr>
        <w:t>程序</w:t>
      </w:r>
    </w:p>
    <w:p>
      <w:pPr>
        <w:pStyle w:val="22"/>
        <w:spacing w:line="360" w:lineRule="auto"/>
        <w:rPr>
          <w:rFonts w:ascii="宋体" w:hAnsi="宋体" w:eastAsia="宋体" w:cs="Cambria Math"/>
          <w:sz w:val="24"/>
          <w:szCs w:val="24"/>
        </w:rPr>
      </w:pPr>
      <w:r>
        <w:rPr>
          <w:rFonts w:hint="eastAsia" w:ascii="宋体" w:hAnsi="宋体" w:eastAsia="宋体" w:cs="Cambria Math"/>
          <w:sz w:val="24"/>
          <w:szCs w:val="24"/>
        </w:rPr>
        <w:t>4.1 邀请及应答文件的递交</w:t>
      </w:r>
    </w:p>
    <w:p>
      <w:pPr>
        <w:pStyle w:val="22"/>
        <w:keepNext w:val="0"/>
        <w:keepLines w:val="0"/>
        <w:widowControl/>
        <w:spacing w:line="360" w:lineRule="auto"/>
        <w:rPr>
          <w:rFonts w:ascii="宋体" w:hAnsi="宋体" w:eastAsia="宋体" w:cs="Cambria Math"/>
          <w:sz w:val="24"/>
          <w:szCs w:val="24"/>
        </w:rPr>
      </w:pPr>
      <w:r>
        <w:rPr>
          <w:rFonts w:hint="eastAsia" w:ascii="宋体" w:hAnsi="宋体" w:eastAsia="宋体" w:cs="Cambria Math"/>
          <w:sz w:val="24"/>
          <w:szCs w:val="24"/>
        </w:rPr>
        <w:t>根据具体项目要求，招标人向资格审查最终合格的申请人名单发出</w:t>
      </w: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文件，资格审查最终合格的申请人在中国海油供应链数字化平台（</w:t>
      </w:r>
      <w:r>
        <w:rPr>
          <w:rFonts w:ascii="宋体" w:hAnsi="宋体" w:eastAsia="宋体" w:cs="Cambria Math"/>
          <w:sz w:val="24"/>
          <w:szCs w:val="24"/>
        </w:rPr>
        <w:t>https://</w:t>
      </w:r>
      <w:r>
        <w:rPr>
          <w:rFonts w:hint="eastAsia" w:ascii="宋体" w:hAnsi="宋体" w:eastAsia="宋体" w:cs="Cambria Math"/>
          <w:sz w:val="24"/>
          <w:szCs w:val="24"/>
          <w:lang w:val="en-US" w:eastAsia="zh-CN"/>
        </w:rPr>
        <w:t>bid</w:t>
      </w:r>
      <w:r>
        <w:rPr>
          <w:rFonts w:ascii="宋体" w:hAnsi="宋体" w:eastAsia="宋体" w:cs="Cambria Math"/>
          <w:sz w:val="24"/>
          <w:szCs w:val="24"/>
        </w:rPr>
        <w:t>.cnooc.com.cn</w:t>
      </w:r>
      <w:r>
        <w:rPr>
          <w:rFonts w:hint="eastAsia" w:ascii="宋体" w:hAnsi="宋体" w:eastAsia="宋体" w:cs="Cambria Math"/>
          <w:sz w:val="24"/>
          <w:szCs w:val="24"/>
        </w:rPr>
        <w:t>）进行在线应答文件的递交。</w:t>
      </w:r>
    </w:p>
    <w:p>
      <w:pPr>
        <w:pStyle w:val="22"/>
        <w:widowControl/>
        <w:spacing w:line="360" w:lineRule="auto"/>
        <w:rPr>
          <w:rFonts w:ascii="宋体" w:hAnsi="宋体" w:eastAsia="宋体" w:cs="Cambria Math"/>
          <w:sz w:val="24"/>
          <w:szCs w:val="24"/>
        </w:rPr>
      </w:pPr>
      <w:r>
        <w:rPr>
          <w:rFonts w:hint="eastAsia" w:ascii="宋体" w:hAnsi="宋体" w:eastAsia="宋体" w:cs="Cambria Math"/>
          <w:sz w:val="24"/>
          <w:szCs w:val="24"/>
        </w:rPr>
        <w:t>4.2应答文件编制要求</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申请人需按招标人提供的报价单格式在线递交电子版报价单及相关商务技术文件。</w:t>
      </w:r>
    </w:p>
    <w:p>
      <w:pPr>
        <w:pStyle w:val="22"/>
        <w:spacing w:line="360" w:lineRule="auto"/>
        <w:rPr>
          <w:rFonts w:ascii="宋体" w:hAnsi="宋体" w:eastAsia="宋体" w:cs="Cambria Math"/>
          <w:sz w:val="24"/>
          <w:szCs w:val="24"/>
        </w:rPr>
      </w:pPr>
      <w:r>
        <w:rPr>
          <w:rFonts w:hint="eastAsia" w:ascii="宋体" w:hAnsi="宋体" w:eastAsia="宋体" w:cs="Cambria Math"/>
          <w:sz w:val="24"/>
          <w:szCs w:val="24"/>
        </w:rPr>
        <w:t>4.3 应答期限</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文件发出后，以系统中显示截至日期为准，</w:t>
      </w: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文件发放及应答期限为</w:t>
      </w:r>
      <w:r>
        <w:rPr>
          <w:rFonts w:hint="eastAsia" w:ascii="宋体" w:hAnsi="宋体" w:eastAsia="宋体" w:cs="Cambria Math"/>
          <w:sz w:val="24"/>
          <w:szCs w:val="24"/>
          <w:lang w:val="en-US" w:eastAsia="zh-CN"/>
        </w:rPr>
        <w:t>10</w:t>
      </w:r>
      <w:r>
        <w:rPr>
          <w:rFonts w:hint="eastAsia" w:ascii="宋体" w:hAnsi="宋体" w:eastAsia="宋体" w:cs="Cambria Math"/>
          <w:sz w:val="24"/>
          <w:szCs w:val="24"/>
        </w:rPr>
        <w:t>天。</w:t>
      </w:r>
    </w:p>
    <w:p>
      <w:pPr>
        <w:pStyle w:val="22"/>
        <w:spacing w:line="360" w:lineRule="auto"/>
        <w:rPr>
          <w:rFonts w:ascii="宋体" w:hAnsi="宋体" w:eastAsia="宋体" w:cs="Cambria Math"/>
          <w:sz w:val="24"/>
          <w:szCs w:val="24"/>
        </w:rPr>
      </w:pPr>
      <w:r>
        <w:rPr>
          <w:rFonts w:hint="eastAsia" w:ascii="宋体" w:hAnsi="宋体" w:eastAsia="宋体" w:cs="Cambria Math"/>
          <w:sz w:val="24"/>
          <w:szCs w:val="24"/>
        </w:rPr>
        <w:t>4.4报价有效期</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报价有效期为</w:t>
      </w:r>
      <w:r>
        <w:rPr>
          <w:rFonts w:ascii="宋体" w:hAnsi="宋体" w:eastAsia="宋体" w:cs="Cambria Math"/>
          <w:sz w:val="24"/>
          <w:szCs w:val="24"/>
        </w:rPr>
        <w:t>120</w:t>
      </w:r>
      <w:r>
        <w:rPr>
          <w:rFonts w:hint="eastAsia" w:ascii="宋体" w:hAnsi="宋体" w:eastAsia="宋体" w:cs="Cambria Math"/>
          <w:sz w:val="24"/>
          <w:szCs w:val="24"/>
        </w:rPr>
        <w:t>天。</w:t>
      </w:r>
    </w:p>
    <w:p>
      <w:pPr>
        <w:pStyle w:val="22"/>
        <w:spacing w:line="360" w:lineRule="auto"/>
        <w:rPr>
          <w:rFonts w:ascii="宋体" w:hAnsi="宋体" w:eastAsia="宋体" w:cs="Cambria Math"/>
          <w:sz w:val="24"/>
          <w:szCs w:val="24"/>
        </w:rPr>
      </w:pPr>
      <w:r>
        <w:rPr>
          <w:rFonts w:hint="eastAsia" w:ascii="宋体" w:hAnsi="宋体" w:eastAsia="宋体" w:cs="Cambria Math"/>
          <w:sz w:val="24"/>
          <w:szCs w:val="24"/>
        </w:rPr>
        <w:t>4.</w:t>
      </w:r>
      <w:r>
        <w:rPr>
          <w:rFonts w:ascii="宋体" w:hAnsi="宋体" w:eastAsia="宋体" w:cs="Cambria Math"/>
          <w:sz w:val="24"/>
          <w:szCs w:val="24"/>
        </w:rPr>
        <w:t>5</w:t>
      </w:r>
      <w:r>
        <w:rPr>
          <w:rFonts w:hint="eastAsia" w:ascii="宋体" w:hAnsi="宋体" w:eastAsia="宋体" w:cs="Cambria Math"/>
          <w:sz w:val="24"/>
          <w:szCs w:val="24"/>
        </w:rPr>
        <w:t>价格条件</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报价单标明的单价应为招标人指定地点交货固定含税价，应包括但不限于材料采购、制造、检验/试验、包装、运输及保险、现场服务、文件提交及其他附带服务等全部相关服务以及其他直接费、间接费、所有税款、利润及采用固定价格的风险金等完成本合同所需的全部费用。报价货币为人民币。</w:t>
      </w:r>
    </w:p>
    <w:p>
      <w:pPr>
        <w:pStyle w:val="22"/>
        <w:keepNext w:val="0"/>
        <w:spacing w:line="360" w:lineRule="auto"/>
        <w:rPr>
          <w:rFonts w:ascii="宋体" w:hAnsi="宋体" w:eastAsia="宋体" w:cs="Cambria Math"/>
          <w:sz w:val="24"/>
          <w:szCs w:val="24"/>
        </w:rPr>
      </w:pPr>
      <w:r>
        <w:rPr>
          <w:rFonts w:hint="eastAsia" w:ascii="宋体" w:hAnsi="宋体" w:eastAsia="宋体" w:cs="Cambria Math"/>
          <w:sz w:val="24"/>
          <w:szCs w:val="24"/>
        </w:rPr>
        <w:t>4.6报价评审</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招标人将组建价格评审小组对应答文件进行评审。</w:t>
      </w:r>
    </w:p>
    <w:p>
      <w:pPr>
        <w:pStyle w:val="22"/>
        <w:keepNext w:val="0"/>
        <w:spacing w:line="360" w:lineRule="auto"/>
        <w:rPr>
          <w:rFonts w:ascii="宋体" w:hAnsi="宋体" w:eastAsia="宋体" w:cs="Cambria Math"/>
          <w:sz w:val="24"/>
          <w:szCs w:val="24"/>
        </w:rPr>
      </w:pPr>
      <w:r>
        <w:rPr>
          <w:rFonts w:hint="eastAsia" w:ascii="宋体" w:hAnsi="宋体" w:eastAsia="宋体" w:cs="Cambria Math"/>
          <w:sz w:val="24"/>
          <w:szCs w:val="24"/>
        </w:rPr>
        <w:t>4.7确定成交人原则</w:t>
      </w:r>
    </w:p>
    <w:p>
      <w:pPr>
        <w:pStyle w:val="13"/>
        <w:rPr>
          <w:rFonts w:hint="eastAsia" w:eastAsia="宋体"/>
          <w:sz w:val="24"/>
          <w:lang w:eastAsia="zh-CN"/>
        </w:rPr>
      </w:pPr>
      <w:r>
        <w:rPr>
          <w:rFonts w:hint="eastAsia"/>
          <w:sz w:val="24"/>
        </w:rPr>
        <w:t>价格评审小组通过比价，得出最低报价。得出最低报价的第一名、第二名和第三名应答人为该项目中标候选人。</w:t>
      </w:r>
    </w:p>
    <w:p>
      <w:pPr>
        <w:pStyle w:val="22"/>
        <w:keepNext w:val="0"/>
        <w:spacing w:line="360" w:lineRule="auto"/>
        <w:rPr>
          <w:rFonts w:ascii="宋体" w:hAnsi="宋体" w:eastAsia="宋体" w:cs="Cambria Math"/>
          <w:sz w:val="24"/>
          <w:szCs w:val="24"/>
        </w:rPr>
      </w:pPr>
      <w:r>
        <w:rPr>
          <w:rFonts w:hint="eastAsia" w:ascii="宋体" w:hAnsi="宋体" w:eastAsia="宋体" w:cs="Cambria Math"/>
          <w:sz w:val="24"/>
          <w:szCs w:val="24"/>
        </w:rPr>
        <w:t>4.8签订合同</w:t>
      </w:r>
    </w:p>
    <w:p>
      <w:pPr>
        <w:pStyle w:val="13"/>
        <w:spacing w:line="360" w:lineRule="auto"/>
        <w:rPr>
          <w:sz w:val="24"/>
        </w:rPr>
        <w:sectPr>
          <w:type w:val="continuous"/>
          <w:pgSz w:w="11906" w:h="16838"/>
          <w:pgMar w:top="1440" w:right="1800" w:bottom="1440" w:left="1800" w:header="851" w:footer="992" w:gutter="0"/>
          <w:cols w:space="720" w:num="1"/>
          <w:titlePg/>
          <w:docGrid w:linePitch="312" w:charSpace="0"/>
        </w:sectPr>
      </w:pPr>
      <w:r>
        <w:rPr>
          <w:rFonts w:hint="eastAsia"/>
          <w:sz w:val="24"/>
        </w:rPr>
        <w:t>招标人与该项目推荐成交人签订购货合同。</w:t>
      </w:r>
    </w:p>
    <w:p>
      <w:pPr>
        <w:pStyle w:val="13"/>
      </w:pPr>
    </w:p>
    <w:p>
      <w:pPr>
        <w:pStyle w:val="13"/>
        <w:numPr>
          <w:ilvl w:val="0"/>
          <w:numId w:val="2"/>
        </w:numPr>
        <w:spacing w:line="360" w:lineRule="auto"/>
        <w:jc w:val="center"/>
        <w:outlineLvl w:val="0"/>
        <w:rPr>
          <w:rFonts w:hint="eastAsia" w:ascii="Arial Unicode MS" w:eastAsia="Arial Unicode MS" w:cs="Arial Unicode MS"/>
          <w:spacing w:val="2"/>
          <w:w w:val="99"/>
          <w:sz w:val="36"/>
          <w:szCs w:val="36"/>
        </w:rPr>
      </w:pPr>
      <w:bookmarkStart w:id="23" w:name="_Toc1821"/>
      <w:bookmarkStart w:id="24" w:name="_Toc7769"/>
      <w:r>
        <w:rPr>
          <w:rFonts w:hint="eastAsia" w:ascii="黑体" w:hAnsi="黑体" w:eastAsia="黑体"/>
          <w:b/>
          <w:bCs/>
          <w:sz w:val="44"/>
          <w:szCs w:val="44"/>
        </w:rPr>
        <w:t xml:space="preserve">  技术规范</w:t>
      </w:r>
      <w:bookmarkEnd w:id="23"/>
      <w:bookmarkEnd w:id="24"/>
      <w:r>
        <w:rPr>
          <w:rFonts w:hint="eastAsia" w:ascii="黑体" w:hAnsi="黑体" w:eastAsia="黑体"/>
          <w:b/>
          <w:bCs/>
          <w:sz w:val="44"/>
          <w:szCs w:val="44"/>
        </w:rPr>
        <w:t xml:space="preserve"> </w:t>
      </w:r>
      <w:r>
        <w:rPr>
          <w:rFonts w:hint="eastAsia" w:ascii="Arial Unicode MS" w:eastAsia="Arial Unicode MS" w:cs="Arial Unicode MS"/>
          <w:spacing w:val="2"/>
          <w:w w:val="99"/>
          <w:sz w:val="36"/>
          <w:szCs w:val="36"/>
        </w:rPr>
        <w:t xml:space="preserve">  </w:t>
      </w:r>
    </w:p>
    <w:p>
      <w:pPr>
        <w:keepNext/>
        <w:keepLines/>
        <w:widowControl w:val="0"/>
        <w:spacing w:before="240" w:after="240" w:line="578" w:lineRule="auto"/>
        <w:jc w:val="both"/>
        <w:outlineLvl w:val="0"/>
        <w:rPr>
          <w:rFonts w:ascii="黑体" w:hAnsi="黑体" w:eastAsia="黑体" w:cs="Times New Roman"/>
          <w:b w:val="0"/>
          <w:bCs w:val="0"/>
          <w:color w:val="auto"/>
          <w:kern w:val="44"/>
          <w:sz w:val="36"/>
          <w:szCs w:val="36"/>
          <w:highlight w:val="none"/>
          <w:lang w:val="en-US" w:eastAsia="zh-CN" w:bidi="ar-SA"/>
        </w:rPr>
      </w:pPr>
      <w:bookmarkStart w:id="25" w:name="_Toc7894"/>
      <w:bookmarkStart w:id="26" w:name="_Toc22989"/>
      <w:bookmarkStart w:id="27" w:name="_Toc17782"/>
      <w:bookmarkStart w:id="28" w:name="_Toc9146"/>
      <w:r>
        <w:rPr>
          <w:rFonts w:hint="eastAsia" w:ascii="黑体" w:hAnsi="黑体" w:eastAsia="黑体" w:cs="Times New Roman"/>
          <w:b w:val="0"/>
          <w:bCs w:val="0"/>
          <w:color w:val="auto"/>
          <w:kern w:val="44"/>
          <w:sz w:val="36"/>
          <w:szCs w:val="36"/>
          <w:highlight w:val="none"/>
          <w:lang w:val="en-US" w:eastAsia="zh-CN" w:bidi="ar-SA"/>
        </w:rPr>
        <w:t>一、</w:t>
      </w:r>
      <w:r>
        <w:rPr>
          <w:rFonts w:ascii="黑体" w:hAnsi="黑体" w:eastAsia="黑体" w:cs="Times New Roman"/>
          <w:b w:val="0"/>
          <w:bCs w:val="0"/>
          <w:color w:val="auto"/>
          <w:kern w:val="44"/>
          <w:sz w:val="36"/>
          <w:szCs w:val="36"/>
          <w:highlight w:val="none"/>
          <w:lang w:val="en-US" w:eastAsia="zh-CN" w:bidi="ar-SA"/>
        </w:rPr>
        <w:t>项目概况及总体要求</w:t>
      </w:r>
      <w:bookmarkEnd w:id="25"/>
      <w:bookmarkEnd w:id="26"/>
      <w:bookmarkEnd w:id="27"/>
      <w:bookmarkEnd w:id="28"/>
    </w:p>
    <w:p>
      <w:pPr>
        <w:spacing w:before="2" w:line="100" w:lineRule="exact"/>
        <w:jc w:val="left"/>
        <w:rPr>
          <w:rFonts w:ascii="微软雅黑" w:hAnsi="微软雅黑" w:eastAsia="微软雅黑" w:cs="Times New Roman"/>
          <w:color w:val="auto"/>
          <w:kern w:val="0"/>
          <w:sz w:val="10"/>
          <w:szCs w:val="10"/>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kern w:val="0"/>
          <w:sz w:val="21"/>
          <w:szCs w:val="21"/>
          <w:highlight w:val="none"/>
          <w:lang w:val="en-US" w:eastAsia="zh-CN" w:bidi="ar-SA"/>
        </w:rPr>
      </w:pPr>
      <w:bookmarkStart w:id="29" w:name="_Toc13249325"/>
      <w:bookmarkStart w:id="30" w:name="_Toc13248928"/>
      <w:bookmarkStart w:id="31" w:name="_Toc8145"/>
      <w:bookmarkStart w:id="32" w:name="_Toc5344"/>
      <w:bookmarkStart w:id="33" w:name="_Toc29814"/>
      <w:bookmarkStart w:id="34" w:name="_Toc27886"/>
      <w:r>
        <w:rPr>
          <w:rFonts w:hint="eastAsia" w:ascii="宋体" w:hAnsi="宋体" w:eastAsia="宋体" w:cs="宋体"/>
          <w:color w:val="auto"/>
          <w:kern w:val="0"/>
          <w:sz w:val="21"/>
          <w:szCs w:val="21"/>
          <w:highlight w:val="none"/>
          <w:lang w:val="en-US" w:eastAsia="zh-CN" w:bidi="ar-SA"/>
        </w:rPr>
        <w:t>为了实现海上油田进一步降低能耗，提升潜油电泵机组寿命，机采公司积极探索新技术的应用，引进了永磁潜油电机技术。与普通的潜油电机相比具有节能、效率高、电机温升低、启动扭矩大等优点，和延长潜油电泵在大斜度井、水平井、稠油井等复杂井况中的寿命。该技术目前在陆地油田，国外使用效果较好，且在渤海地区海上油田进行了试用。为了满足后续海上油田对供货时效与协助提升我们公司建立永磁电机自主生产能力，特申请签订永磁电机年度协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为了永磁电机长效运转，通过匹配OTS400系列变频器提高永磁电机适配性和运转稳定性，同时也为了实现稳定的供应链提高产品质量，所以本次</w:t>
      </w:r>
      <w:r>
        <w:rPr>
          <w:rFonts w:hint="eastAsia" w:ascii="宋体" w:hAnsi="宋体" w:eastAsia="宋体" w:cs="宋体"/>
          <w:color w:val="auto"/>
          <w:kern w:val="0"/>
          <w:sz w:val="21"/>
          <w:szCs w:val="21"/>
          <w:highlight w:val="none"/>
          <w:u w:val="single"/>
          <w:lang w:val="en-US" w:eastAsia="zh-CN" w:bidi="ar-SA"/>
        </w:rPr>
        <w:t>合同有效期计划为1+1+1年</w:t>
      </w:r>
      <w:r>
        <w:rPr>
          <w:rFonts w:hint="eastAsia" w:ascii="宋体" w:hAnsi="宋体" w:eastAsia="宋体" w:cs="宋体"/>
          <w:color w:val="auto"/>
          <w:kern w:val="0"/>
          <w:sz w:val="21"/>
          <w:szCs w:val="21"/>
          <w:highlight w:val="none"/>
          <w:lang w:val="en-US" w:eastAsia="zh-CN" w:bidi="ar-SA"/>
        </w:rPr>
        <w:t>。并且为了扩大市场资源提高市场竞争力,针对中、高速永磁适配3种变频器的模式</w:t>
      </w:r>
      <w:r>
        <w:rPr>
          <w:rFonts w:hint="eastAsia" w:ascii="宋体" w:hAnsi="宋体" w:eastAsia="宋体" w:cs="宋体"/>
          <w:color w:val="auto"/>
          <w:kern w:val="0"/>
          <w:sz w:val="21"/>
          <w:szCs w:val="21"/>
          <w:highlight w:val="none"/>
          <w:u w:val="single"/>
          <w:lang w:val="en-US" w:eastAsia="zh-CN" w:bidi="ar-SA"/>
        </w:rPr>
        <w:t>分为6个标段</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u w:val="single"/>
          <w:lang w:val="en-US" w:eastAsia="zh-CN" w:bidi="ar-SA"/>
        </w:rPr>
        <w:t>兼投兼中</w:t>
      </w:r>
      <w:r>
        <w:rPr>
          <w:rFonts w:hint="eastAsia" w:ascii="宋体" w:hAnsi="宋体" w:eastAsia="宋体" w:cs="宋体"/>
          <w:color w:val="auto"/>
          <w:kern w:val="0"/>
          <w:sz w:val="21"/>
          <w:szCs w:val="21"/>
          <w:highlight w:val="none"/>
          <w:lang w:val="en-US" w:eastAsia="zh-CN" w:bidi="ar-SA"/>
        </w:rPr>
        <w:t>的方式进行采购。</w:t>
      </w:r>
    </w:p>
    <w:bookmarkEnd w:id="29"/>
    <w:bookmarkEnd w:id="30"/>
    <w:p>
      <w:pPr>
        <w:keepNext/>
        <w:keepLines/>
        <w:widowControl w:val="0"/>
        <w:numPr>
          <w:ilvl w:val="0"/>
          <w:numId w:val="3"/>
        </w:numPr>
        <w:spacing w:before="240" w:after="240" w:line="578" w:lineRule="auto"/>
        <w:ind w:left="440"/>
        <w:jc w:val="both"/>
        <w:outlineLvl w:val="0"/>
        <w:rPr>
          <w:rFonts w:hint="default" w:ascii="Times New Roman" w:hAnsi="Times New Roman" w:eastAsia="宋体" w:cs="Times New Roman"/>
          <w:b/>
          <w:bCs/>
          <w:kern w:val="44"/>
          <w:sz w:val="44"/>
          <w:szCs w:val="44"/>
          <w:highlight w:val="none"/>
          <w:lang w:val="en-US" w:eastAsia="zh-CN" w:bidi="ar-SA"/>
        </w:rPr>
      </w:pPr>
      <w:r>
        <w:rPr>
          <w:rFonts w:ascii="黑体" w:hAnsi="黑体" w:eastAsia="黑体" w:cs="Times New Roman"/>
          <w:b w:val="0"/>
          <w:bCs w:val="0"/>
          <w:color w:val="auto"/>
          <w:kern w:val="44"/>
          <w:sz w:val="36"/>
          <w:szCs w:val="36"/>
          <w:highlight w:val="none"/>
          <w:lang w:val="en-US" w:eastAsia="zh-CN" w:bidi="ar-SA"/>
        </w:rPr>
        <w:t>需求一览表</w:t>
      </w:r>
      <w:bookmarkEnd w:id="31"/>
      <w:bookmarkEnd w:id="32"/>
      <w:bookmarkEnd w:id="33"/>
      <w:bookmarkEnd w:id="34"/>
      <w:bookmarkStart w:id="35" w:name="_Toc13249326"/>
      <w:bookmarkStart w:id="36" w:name="_Toc13248929"/>
    </w:p>
    <w:tbl>
      <w:tblPr>
        <w:tblStyle w:val="10"/>
        <w:tblW w:w="9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011"/>
        <w:gridCol w:w="1214"/>
        <w:gridCol w:w="3818"/>
        <w:gridCol w:w="861"/>
        <w:gridCol w:w="640"/>
        <w:gridCol w:w="799"/>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kern w:val="0"/>
                <w:sz w:val="18"/>
                <w:szCs w:val="18"/>
                <w:highlight w:val="none"/>
                <w:lang w:val="en-US" w:eastAsia="zh-CN" w:bidi="ar-SA"/>
              </w:rPr>
            </w:pPr>
            <w:bookmarkStart w:id="37" w:name="_Toc28284"/>
            <w:bookmarkStart w:id="38" w:name="_Toc16389"/>
            <w:bookmarkStart w:id="39" w:name="_Toc697"/>
            <w:bookmarkStart w:id="40" w:name="_Toc23877"/>
            <w:r>
              <w:rPr>
                <w:rFonts w:hint="default" w:ascii="Times New Roman" w:hAnsi="Times New Roman" w:eastAsia="微软雅黑" w:cs="Times New Roman"/>
                <w:color w:val="auto"/>
                <w:spacing w:val="0"/>
                <w:kern w:val="0"/>
                <w:sz w:val="18"/>
                <w:szCs w:val="18"/>
                <w:highlight w:val="none"/>
                <w:lang w:val="en-US" w:eastAsia="zh-CN" w:bidi="ar-SA"/>
              </w:rPr>
              <w:t>序号</w:t>
            </w:r>
            <w:bookmarkEnd w:id="37"/>
            <w:bookmarkEnd w:id="38"/>
            <w:bookmarkEnd w:id="39"/>
            <w:bookmarkEnd w:id="40"/>
          </w:p>
        </w:tc>
        <w:tc>
          <w:tcPr>
            <w:tcW w:w="1011"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kern w:val="0"/>
                <w:sz w:val="18"/>
                <w:szCs w:val="18"/>
                <w:highlight w:val="none"/>
                <w:lang w:val="en-US" w:eastAsia="zh-CN" w:bidi="ar-SA"/>
              </w:rPr>
            </w:pPr>
            <w:bookmarkStart w:id="41" w:name="_Toc7965"/>
            <w:bookmarkStart w:id="42" w:name="_Toc577"/>
            <w:bookmarkStart w:id="43" w:name="_Toc7655"/>
            <w:bookmarkStart w:id="44" w:name="_Toc12845"/>
            <w:r>
              <w:rPr>
                <w:rFonts w:hint="default" w:ascii="Times New Roman" w:hAnsi="Times New Roman" w:eastAsia="微软雅黑" w:cs="Times New Roman"/>
                <w:color w:val="auto"/>
                <w:spacing w:val="0"/>
                <w:kern w:val="0"/>
                <w:sz w:val="18"/>
                <w:szCs w:val="18"/>
                <w:highlight w:val="none"/>
                <w:lang w:val="en-US" w:eastAsia="zh-CN" w:bidi="ar-SA"/>
              </w:rPr>
              <w:t>物料编码</w:t>
            </w:r>
            <w:bookmarkEnd w:id="41"/>
            <w:bookmarkEnd w:id="42"/>
            <w:bookmarkEnd w:id="43"/>
            <w:bookmarkEnd w:id="44"/>
          </w:p>
        </w:tc>
        <w:tc>
          <w:tcPr>
            <w:tcW w:w="1214"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kern w:val="0"/>
                <w:sz w:val="18"/>
                <w:szCs w:val="18"/>
                <w:highlight w:val="none"/>
                <w:lang w:val="en-US" w:eastAsia="zh-CN" w:bidi="ar-SA"/>
              </w:rPr>
            </w:pPr>
            <w:bookmarkStart w:id="45" w:name="_Toc14976"/>
            <w:bookmarkStart w:id="46" w:name="_Toc15931"/>
            <w:bookmarkStart w:id="47" w:name="_Toc11735"/>
            <w:bookmarkStart w:id="48" w:name="_Toc29187"/>
            <w:r>
              <w:rPr>
                <w:rFonts w:hint="default" w:ascii="Times New Roman" w:hAnsi="Times New Roman" w:eastAsia="微软雅黑" w:cs="Times New Roman"/>
                <w:color w:val="auto"/>
                <w:spacing w:val="0"/>
                <w:kern w:val="0"/>
                <w:sz w:val="18"/>
                <w:szCs w:val="18"/>
                <w:highlight w:val="none"/>
                <w:lang w:val="en-US" w:eastAsia="zh-CN" w:bidi="ar-SA"/>
              </w:rPr>
              <w:t>物资名称</w:t>
            </w:r>
            <w:bookmarkEnd w:id="45"/>
            <w:bookmarkEnd w:id="46"/>
            <w:bookmarkEnd w:id="47"/>
            <w:bookmarkEnd w:id="48"/>
          </w:p>
        </w:tc>
        <w:tc>
          <w:tcPr>
            <w:tcW w:w="3818"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kern w:val="0"/>
                <w:sz w:val="18"/>
                <w:szCs w:val="18"/>
                <w:highlight w:val="none"/>
                <w:lang w:val="en-US" w:eastAsia="zh-CN" w:bidi="ar-SA"/>
              </w:rPr>
            </w:pPr>
            <w:bookmarkStart w:id="49" w:name="_Toc9684"/>
            <w:bookmarkStart w:id="50" w:name="_Toc8701"/>
            <w:bookmarkStart w:id="51" w:name="_Toc6695"/>
            <w:bookmarkStart w:id="52" w:name="_Toc6345"/>
            <w:r>
              <w:rPr>
                <w:rFonts w:hint="default" w:ascii="Times New Roman" w:hAnsi="Times New Roman" w:eastAsia="微软雅黑" w:cs="Times New Roman"/>
                <w:color w:val="auto"/>
                <w:spacing w:val="0"/>
                <w:kern w:val="0"/>
                <w:sz w:val="18"/>
                <w:szCs w:val="18"/>
                <w:highlight w:val="none"/>
                <w:lang w:val="en-US" w:eastAsia="zh-CN" w:bidi="ar-SA"/>
              </w:rPr>
              <w:t>规格型号</w:t>
            </w:r>
            <w:bookmarkEnd w:id="49"/>
            <w:bookmarkEnd w:id="50"/>
            <w:bookmarkEnd w:id="51"/>
            <w:bookmarkEnd w:id="52"/>
          </w:p>
        </w:tc>
        <w:tc>
          <w:tcPr>
            <w:tcW w:w="861"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kern w:val="0"/>
                <w:sz w:val="18"/>
                <w:szCs w:val="18"/>
                <w:highlight w:val="none"/>
                <w:lang w:val="en-US" w:eastAsia="zh-CN" w:bidi="ar-SA"/>
              </w:rPr>
            </w:pPr>
            <w:bookmarkStart w:id="53" w:name="_Toc15752"/>
            <w:bookmarkStart w:id="54" w:name="_Toc10252"/>
            <w:bookmarkStart w:id="55" w:name="_Toc32587"/>
            <w:bookmarkStart w:id="56" w:name="_Toc6500"/>
            <w:r>
              <w:rPr>
                <w:rFonts w:hint="default" w:ascii="Times New Roman" w:hAnsi="Times New Roman" w:eastAsia="微软雅黑" w:cs="Times New Roman"/>
                <w:color w:val="auto"/>
                <w:spacing w:val="0"/>
                <w:kern w:val="0"/>
                <w:sz w:val="18"/>
                <w:szCs w:val="18"/>
                <w:highlight w:val="none"/>
                <w:lang w:val="en-US" w:eastAsia="zh-CN" w:bidi="ar-SA"/>
              </w:rPr>
              <w:t>数量及单位</w:t>
            </w:r>
            <w:bookmarkEnd w:id="53"/>
            <w:bookmarkEnd w:id="54"/>
            <w:bookmarkEnd w:id="55"/>
            <w:bookmarkEnd w:id="56"/>
          </w:p>
        </w:tc>
        <w:tc>
          <w:tcPr>
            <w:tcW w:w="640"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kern w:val="0"/>
                <w:sz w:val="18"/>
                <w:szCs w:val="18"/>
                <w:highlight w:val="none"/>
                <w:lang w:val="en-US" w:eastAsia="zh-CN" w:bidi="ar-SA"/>
              </w:rPr>
            </w:pPr>
            <w:bookmarkStart w:id="57" w:name="_Toc22792"/>
            <w:bookmarkStart w:id="58" w:name="_Toc23515"/>
            <w:bookmarkStart w:id="59" w:name="_Toc20539"/>
            <w:bookmarkStart w:id="60" w:name="_Toc22926"/>
            <w:r>
              <w:rPr>
                <w:rFonts w:hint="default" w:ascii="Times New Roman" w:hAnsi="Times New Roman" w:eastAsia="微软雅黑" w:cs="Times New Roman"/>
                <w:color w:val="auto"/>
                <w:spacing w:val="0"/>
                <w:kern w:val="0"/>
                <w:sz w:val="18"/>
                <w:szCs w:val="18"/>
                <w:highlight w:val="none"/>
                <w:lang w:val="en-US" w:eastAsia="zh-CN" w:bidi="ar-SA"/>
              </w:rPr>
              <w:t>交货期</w:t>
            </w:r>
            <w:bookmarkEnd w:id="57"/>
            <w:bookmarkEnd w:id="58"/>
            <w:bookmarkEnd w:id="59"/>
            <w:bookmarkEnd w:id="60"/>
          </w:p>
        </w:tc>
        <w:tc>
          <w:tcPr>
            <w:tcW w:w="799"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kern w:val="0"/>
                <w:sz w:val="18"/>
                <w:szCs w:val="18"/>
                <w:highlight w:val="none"/>
                <w:lang w:val="en-US" w:eastAsia="zh-CN" w:bidi="ar-SA"/>
              </w:rPr>
            </w:pPr>
            <w:bookmarkStart w:id="61" w:name="_Toc10340"/>
            <w:bookmarkStart w:id="62" w:name="_Toc6342"/>
            <w:bookmarkStart w:id="63" w:name="_Toc10876"/>
            <w:bookmarkStart w:id="64" w:name="_Toc22020"/>
            <w:r>
              <w:rPr>
                <w:rFonts w:hint="default" w:ascii="Times New Roman" w:hAnsi="Times New Roman" w:eastAsia="微软雅黑" w:cs="Times New Roman"/>
                <w:color w:val="auto"/>
                <w:spacing w:val="0"/>
                <w:kern w:val="0"/>
                <w:sz w:val="18"/>
                <w:szCs w:val="18"/>
                <w:highlight w:val="none"/>
                <w:lang w:val="en-US" w:eastAsia="zh-CN" w:bidi="ar-SA"/>
              </w:rPr>
              <w:t>交货地点</w:t>
            </w:r>
            <w:bookmarkEnd w:id="61"/>
            <w:bookmarkEnd w:id="62"/>
            <w:bookmarkEnd w:id="63"/>
            <w:bookmarkEnd w:id="64"/>
          </w:p>
        </w:tc>
        <w:tc>
          <w:tcPr>
            <w:tcW w:w="1184"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kern w:val="0"/>
                <w:sz w:val="18"/>
                <w:szCs w:val="18"/>
                <w:highlight w:val="none"/>
                <w:lang w:val="en-US" w:eastAsia="zh-CN" w:bidi="ar-SA"/>
              </w:rPr>
            </w:pPr>
            <w:bookmarkStart w:id="65" w:name="_Toc16728"/>
            <w:bookmarkStart w:id="66" w:name="_Toc6099"/>
            <w:bookmarkStart w:id="67" w:name="_Toc18101"/>
            <w:bookmarkStart w:id="68" w:name="_Toc7467"/>
            <w:r>
              <w:rPr>
                <w:rFonts w:hint="default" w:ascii="Times New Roman" w:hAnsi="Times New Roman" w:eastAsia="微软雅黑" w:cs="Times New Roman"/>
                <w:color w:val="auto"/>
                <w:spacing w:val="0"/>
                <w:kern w:val="0"/>
                <w:sz w:val="18"/>
                <w:szCs w:val="18"/>
                <w:highlight w:val="none"/>
                <w:lang w:val="en-US" w:eastAsia="zh-CN" w:bidi="ar-SA"/>
              </w:rPr>
              <w:t>备注</w:t>
            </w:r>
            <w:bookmarkEnd w:id="65"/>
            <w:bookmarkEnd w:id="66"/>
            <w:bookmarkEnd w:id="67"/>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989" w:type="dxa"/>
            <w:gridSpan w:val="8"/>
            <w:vAlign w:val="center"/>
          </w:tcPr>
          <w:p>
            <w:pPr>
              <w:widowControl/>
              <w:jc w:val="center"/>
              <w:rPr>
                <w:rFonts w:hint="default" w:ascii="Times New Roman" w:hAnsi="Times New Roman" w:eastAsia="宋体" w:cs="Times New Roman"/>
                <w:color w:val="auto"/>
                <w:kern w:val="0"/>
                <w:sz w:val="18"/>
                <w:szCs w:val="18"/>
                <w:highlight w:val="none"/>
                <w:lang w:eastAsia="en-US"/>
              </w:rPr>
            </w:pPr>
            <w:r>
              <w:rPr>
                <w:rFonts w:hint="default" w:ascii="Times New Roman" w:hAnsi="Times New Roman" w:eastAsia="宋体" w:cs="Times New Roman"/>
                <w:color w:val="auto"/>
                <w:kern w:val="0"/>
                <w:sz w:val="18"/>
                <w:szCs w:val="18"/>
                <w:highlight w:val="none"/>
                <w:lang w:val="en-US" w:eastAsia="zh-CN"/>
              </w:rPr>
              <w:t>标段三（变频器要求： HAILOONG LIFT 品牌的OTS400系列）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69" w:name="_Toc17490"/>
            <w:bookmarkEnd w:id="69"/>
            <w:bookmarkStart w:id="70" w:name="_Toc407"/>
            <w:bookmarkEnd w:id="70"/>
            <w:bookmarkStart w:id="71" w:name="_Toc4732"/>
            <w:bookmarkEnd w:id="71"/>
            <w:bookmarkStart w:id="72" w:name="_Toc9691"/>
            <w:bookmarkEnd w:id="7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84854123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PMM350-DS-OTS400\位置类型:ST\150hp\1738V\44A\204℃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restart"/>
            <w:vAlign w:val="center"/>
          </w:tcPr>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eastAsia="zh-CN"/>
              </w:rPr>
            </w:pPr>
          </w:p>
          <w:p>
            <w:pPr>
              <w:jc w:val="both"/>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eastAsia="zh-CN"/>
              </w:rPr>
              <w:t>以采购订单为准</w:t>
            </w:r>
          </w:p>
        </w:tc>
        <w:tc>
          <w:tcPr>
            <w:tcW w:w="799" w:type="dxa"/>
            <w:vMerge w:val="restart"/>
            <w:vAlign w:val="center"/>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p>
            <w:pPr>
              <w:widowControl w:val="0"/>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zh-CN" w:bidi="ar-SA"/>
              </w:rPr>
            </w:pPr>
            <w:bookmarkStart w:id="73" w:name="_Toc25547"/>
            <w:bookmarkStart w:id="74" w:name="_Toc5106"/>
            <w:bookmarkStart w:id="75" w:name="_Toc2079"/>
            <w:bookmarkStart w:id="76" w:name="_Toc1099"/>
            <w:r>
              <w:rPr>
                <w:rFonts w:hint="default" w:ascii="Times New Roman" w:hAnsi="Times New Roman" w:eastAsia="宋体" w:cs="Times New Roman"/>
                <w:color w:val="auto"/>
                <w:spacing w:val="0"/>
                <w:kern w:val="0"/>
                <w:sz w:val="18"/>
                <w:szCs w:val="18"/>
                <w:highlight w:val="none"/>
                <w:lang w:val="en-US" w:eastAsia="zh-CN" w:bidi="ar-SA"/>
              </w:rPr>
              <w:t>机采</w:t>
            </w:r>
            <w:r>
              <w:rPr>
                <w:rFonts w:hint="default" w:ascii="Times New Roman" w:hAnsi="Times New Roman" w:eastAsia="宋体" w:cs="Times New Roman"/>
                <w:color w:val="auto"/>
                <w:spacing w:val="0"/>
                <w:kern w:val="0"/>
                <w:sz w:val="18"/>
                <w:szCs w:val="18"/>
                <w:highlight w:val="none"/>
                <w:lang w:val="en-US" w:eastAsia="en-US" w:bidi="ar-SA"/>
              </w:rPr>
              <w:t>东沽库房</w:t>
            </w:r>
            <w:bookmarkEnd w:id="73"/>
            <w:bookmarkEnd w:id="74"/>
            <w:bookmarkEnd w:id="75"/>
            <w:bookmarkEnd w:id="76"/>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1738V/44A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77" w:name="_Toc1450"/>
            <w:bookmarkEnd w:id="77"/>
            <w:bookmarkStart w:id="78" w:name="_Toc10805"/>
            <w:bookmarkEnd w:id="78"/>
            <w:bookmarkStart w:id="79" w:name="_Toc1435"/>
            <w:bookmarkEnd w:id="79"/>
            <w:bookmarkStart w:id="80" w:name="_Toc4778"/>
            <w:bookmarkEnd w:id="8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84854124</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PMM450-DS-OTS400\位置类型:ST\117hp\1788V\32A\204℃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18件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1788V/32A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81" w:name="_Toc28116"/>
            <w:bookmarkEnd w:id="81"/>
            <w:bookmarkStart w:id="82" w:name="_Toc28519"/>
            <w:bookmarkEnd w:id="82"/>
            <w:bookmarkStart w:id="83" w:name="_Toc9456"/>
            <w:bookmarkEnd w:id="83"/>
            <w:bookmarkStart w:id="84" w:name="_Toc3299"/>
            <w:bookmarkEnd w:id="8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84854125</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PMM450-DS-OTS400\位置类型:ST\133.3hp\1600V\42A\204℃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8件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1600V\42A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85" w:name="_Toc431"/>
            <w:bookmarkEnd w:id="85"/>
            <w:bookmarkStart w:id="86" w:name="_Toc18078"/>
            <w:bookmarkEnd w:id="86"/>
            <w:bookmarkStart w:id="87" w:name="_Toc5714"/>
            <w:bookmarkEnd w:id="87"/>
            <w:bookmarkStart w:id="88" w:name="_Toc26385"/>
            <w:bookmarkEnd w:id="8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84854126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PMM450-DS-OTS400\位置类型:ST\166hp\2000V\42A\204℃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14件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2000V\42A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89" w:name="_Toc25521"/>
            <w:bookmarkEnd w:id="89"/>
            <w:bookmarkStart w:id="90" w:name="_Toc19847"/>
            <w:bookmarkEnd w:id="90"/>
            <w:bookmarkStart w:id="91" w:name="_Toc4965"/>
            <w:bookmarkEnd w:id="91"/>
            <w:bookmarkStart w:id="92" w:name="_Toc28439"/>
            <w:bookmarkEnd w:id="9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84854127</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PMM450-DS-OTS400\位置类型:ST\183.3hp\2209V\42A\204℃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10件</w:t>
            </w:r>
          </w:p>
        </w:tc>
        <w:tc>
          <w:tcPr>
            <w:tcW w:w="640" w:type="dxa"/>
            <w:vMerge w:val="continue"/>
            <w:vAlign w:val="center"/>
          </w:tcPr>
          <w:p>
            <w:pPr>
              <w:jc w:val="both"/>
              <w:rPr>
                <w:rFonts w:hint="default" w:ascii="Times New Roman" w:hAnsi="Times New Roman" w:eastAsia="宋体" w:cs="Times New Roman"/>
                <w:color w:val="auto"/>
                <w:kern w:val="0"/>
                <w:sz w:val="18"/>
                <w:szCs w:val="18"/>
                <w:highlight w:val="none"/>
                <w:lang w:val="en-US" w:eastAsia="zh-CN" w:bidi="ar-SA"/>
              </w:rPr>
            </w:pPr>
          </w:p>
        </w:tc>
        <w:tc>
          <w:tcPr>
            <w:tcW w:w="799" w:type="dxa"/>
            <w:vMerge w:val="continue"/>
            <w:vAlign w:val="center"/>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2209V\42A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93" w:name="_Toc20095"/>
            <w:bookmarkEnd w:id="93"/>
            <w:bookmarkStart w:id="94" w:name="_Toc32000"/>
            <w:bookmarkEnd w:id="94"/>
            <w:bookmarkStart w:id="95" w:name="_Toc30670"/>
            <w:bookmarkEnd w:id="95"/>
            <w:bookmarkStart w:id="96" w:name="_Toc21662"/>
            <w:bookmarkEnd w:id="9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84854128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PMM450-DS-OTS400\位置类型:ST\216.6hp\1900V\59A\204℃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15件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1900V/59A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97" w:name="_Toc22237"/>
            <w:bookmarkEnd w:id="97"/>
            <w:bookmarkStart w:id="98" w:name="_Toc3279"/>
            <w:bookmarkEnd w:id="98"/>
            <w:bookmarkStart w:id="99" w:name="_Toc16125"/>
            <w:bookmarkEnd w:id="99"/>
            <w:bookmarkStart w:id="100" w:name="_Toc4559"/>
            <w:bookmarkEnd w:id="10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84854129</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PMM562-DS-OTS400\位置类型:ST\183hp\2217V\41A\204℃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8件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2217V\41A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01" w:name="_Toc7659"/>
            <w:bookmarkEnd w:id="101"/>
            <w:bookmarkStart w:id="102" w:name="_Toc22796"/>
            <w:bookmarkEnd w:id="102"/>
            <w:bookmarkStart w:id="103" w:name="_Toc2321"/>
            <w:bookmarkEnd w:id="103"/>
            <w:bookmarkStart w:id="104" w:name="_Toc1845"/>
            <w:bookmarkEnd w:id="10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84854130</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PMM562-DS-OTS400\位置类型:ST\220hp\2661V\41A\204℃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8件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2661V\41A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05" w:name="_Toc15959"/>
            <w:bookmarkEnd w:id="105"/>
            <w:bookmarkStart w:id="106" w:name="_Toc32046"/>
            <w:bookmarkEnd w:id="106"/>
            <w:bookmarkStart w:id="107" w:name="_Toc16580"/>
            <w:bookmarkEnd w:id="107"/>
            <w:bookmarkStart w:id="108" w:name="_Toc3422"/>
            <w:bookmarkEnd w:id="10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84854131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PMM562-DS-OTS400\位置类型:ST\293hp\2020V\73A\204℃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4件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2020V/73A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09" w:name="_Toc30496"/>
            <w:bookmarkEnd w:id="109"/>
            <w:bookmarkStart w:id="110" w:name="_Toc20067"/>
            <w:bookmarkEnd w:id="110"/>
            <w:bookmarkStart w:id="111" w:name="_Toc21639"/>
            <w:bookmarkEnd w:id="111"/>
            <w:bookmarkStart w:id="112" w:name="_Toc7222"/>
            <w:bookmarkEnd w:id="11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84854132</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PMM562-DS-OTS400\位置类型:ST\367hp\2524V\73A\204℃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2524V/73A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13" w:name="_Toc26740"/>
            <w:bookmarkEnd w:id="113"/>
            <w:bookmarkStart w:id="114" w:name="_Toc29175"/>
            <w:bookmarkEnd w:id="114"/>
            <w:bookmarkStart w:id="115" w:name="_Toc20431"/>
            <w:bookmarkEnd w:id="115"/>
            <w:bookmarkStart w:id="116" w:name="_Toc32440"/>
            <w:bookmarkEnd w:id="11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84854133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PMM562-DS-OTS400\位置类型:ST\477hp\3280V\73A\204℃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3280V/73A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17" w:name="_Toc17625"/>
            <w:bookmarkEnd w:id="117"/>
            <w:bookmarkStart w:id="118" w:name="_Toc20043"/>
            <w:bookmarkEnd w:id="118"/>
            <w:bookmarkStart w:id="119" w:name="_Toc8481"/>
            <w:bookmarkEnd w:id="119"/>
            <w:bookmarkStart w:id="120" w:name="_Toc30483"/>
            <w:bookmarkEnd w:id="12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84854134</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LSPMM450-DS-OTS400\位置类型:ST\42hp\948V\40A\204℃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pageBreakBefore w:val="0"/>
              <w:widowControl/>
              <w:kinsoku/>
              <w:wordWrap/>
              <w:overflowPunct/>
              <w:topLinePunct w:val="0"/>
              <w:autoSpaceDE/>
              <w:autoSpaceDN/>
              <w:bidi w:val="0"/>
              <w:spacing w:line="36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21"/>
                <w:szCs w:val="21"/>
                <w:highlight w:val="none"/>
                <w:lang w:eastAsia="en-US"/>
              </w:rPr>
              <w:t>948V/40A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21" w:name="_Toc14291"/>
            <w:bookmarkEnd w:id="121"/>
            <w:bookmarkStart w:id="122" w:name="_Toc25989"/>
            <w:bookmarkEnd w:id="122"/>
            <w:bookmarkStart w:id="123" w:name="_Toc13164"/>
            <w:bookmarkEnd w:id="123"/>
            <w:bookmarkStart w:id="124" w:name="_Toc30701"/>
            <w:bookmarkEnd w:id="12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84854135</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LSPMM562-DS-OTS400\位置类型:ST\67.4hp\976V\39A\204℃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keepNext w:val="0"/>
              <w:keepLines w:val="0"/>
              <w:pageBreakBefore w:val="0"/>
              <w:widowControl/>
              <w:kinsoku/>
              <w:wordWrap/>
              <w:overflowPunct/>
              <w:topLinePunct w:val="0"/>
              <w:autoSpaceDE/>
              <w:autoSpaceDN/>
              <w:bidi w:val="0"/>
              <w:spacing w:line="36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21"/>
                <w:szCs w:val="21"/>
                <w:highlight w:val="none"/>
                <w:lang w:eastAsia="zh-CN"/>
              </w:rPr>
              <w:t>976</w:t>
            </w:r>
            <w:r>
              <w:rPr>
                <w:rFonts w:hint="default" w:ascii="Times New Roman" w:hAnsi="Times New Roman" w:eastAsia="宋体" w:cs="Times New Roman"/>
                <w:color w:val="auto"/>
                <w:kern w:val="0"/>
                <w:sz w:val="21"/>
                <w:szCs w:val="21"/>
                <w:highlight w:val="none"/>
                <w:lang w:eastAsia="en-US"/>
              </w:rPr>
              <w:t>V/39A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25" w:name="_Toc5319"/>
            <w:bookmarkEnd w:id="125"/>
            <w:bookmarkStart w:id="126" w:name="_Toc4004"/>
            <w:bookmarkEnd w:id="126"/>
            <w:bookmarkStart w:id="127" w:name="_Toc7116"/>
            <w:bookmarkEnd w:id="127"/>
            <w:bookmarkStart w:id="128" w:name="_Toc9942"/>
            <w:bookmarkEnd w:id="12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83974765</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潜油引接电缆</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AWG4#\25m\镀锌\150℃\缠绕式\562\3kV\MLE562T</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29" w:name="_Toc20691"/>
            <w:bookmarkEnd w:id="129"/>
            <w:bookmarkStart w:id="130" w:name="_Toc12697"/>
            <w:bookmarkEnd w:id="130"/>
            <w:bookmarkStart w:id="131" w:name="_Toc31210"/>
            <w:bookmarkEnd w:id="131"/>
            <w:bookmarkStart w:id="132" w:name="_Toc115"/>
            <w:bookmarkEnd w:id="13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84256627</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潜油引接电缆</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AWG6#\25m\镀锌\204℃\缠绕式\350\6kV\MLE350T</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33" w:name="_Toc17636"/>
            <w:bookmarkEnd w:id="133"/>
            <w:bookmarkStart w:id="134" w:name="_Toc23453"/>
            <w:bookmarkEnd w:id="134"/>
            <w:bookmarkStart w:id="135" w:name="_Toc2914"/>
            <w:bookmarkEnd w:id="135"/>
            <w:bookmarkStart w:id="136" w:name="_Toc16701"/>
            <w:bookmarkEnd w:id="13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83974768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潜油引接电缆</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AWG4#\25m\镀锌\204℃\缠绕式\562\6kV\MLE562T</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r>
              <w:rPr>
                <w:rFonts w:hint="eastAsia" w:ascii="宋体" w:hAnsi="宋体" w:eastAsia="宋体" w:cs="宋体"/>
                <w:i w:val="0"/>
                <w:iCs w:val="0"/>
                <w:color w:val="0D0D0D"/>
                <w:kern w:val="0"/>
                <w:sz w:val="18"/>
                <w:szCs w:val="18"/>
                <w:u w:val="none"/>
                <w:lang w:val="en-US" w:eastAsia="zh-CN" w:bidi="ar"/>
              </w:rPr>
              <w:t>件</w:t>
            </w:r>
            <w:r>
              <w:rPr>
                <w:rFonts w:hint="eastAsia" w:ascii="宋体" w:hAnsi="宋体" w:eastAsia="宋体" w:cs="宋体"/>
                <w:i w:val="0"/>
                <w:iCs w:val="0"/>
                <w:color w:val="000000"/>
                <w:kern w:val="0"/>
                <w:sz w:val="18"/>
                <w:szCs w:val="18"/>
                <w:u w:val="none"/>
                <w:lang w:val="en-US" w:eastAsia="zh-CN" w:bidi="ar"/>
              </w:rPr>
              <w:t xml:space="preserve"> </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37" w:name="_Toc13746"/>
            <w:bookmarkEnd w:id="137"/>
            <w:bookmarkStart w:id="138" w:name="_Toc32032"/>
            <w:bookmarkEnd w:id="138"/>
            <w:bookmarkStart w:id="139" w:name="_Toc3155"/>
            <w:bookmarkEnd w:id="139"/>
            <w:bookmarkStart w:id="140" w:name="_Toc15442"/>
            <w:bookmarkEnd w:id="14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84256628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BPR338\BPBSL\高承载\180℃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41" w:name="_Toc12277"/>
            <w:bookmarkEnd w:id="141"/>
            <w:bookmarkStart w:id="142" w:name="_Toc13322"/>
            <w:bookmarkEnd w:id="142"/>
            <w:bookmarkStart w:id="143" w:name="_Toc24522"/>
            <w:bookmarkEnd w:id="143"/>
            <w:bookmarkStart w:id="144" w:name="_Toc4767"/>
            <w:bookmarkEnd w:id="14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84272406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BPR338-YC\BPBSL/BPBSL\高承载\180℃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45" w:name="_Toc2603"/>
            <w:bookmarkEnd w:id="145"/>
            <w:bookmarkStart w:id="146" w:name="_Toc13528"/>
            <w:bookmarkEnd w:id="146"/>
            <w:bookmarkStart w:id="147" w:name="_Toc2152"/>
            <w:bookmarkEnd w:id="147"/>
            <w:bookmarkStart w:id="148" w:name="_Toc77"/>
            <w:bookmarkEnd w:id="14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82368738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BPR400\BPBSL\高承载\180℃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20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49" w:name="_Toc9185"/>
            <w:bookmarkEnd w:id="149"/>
            <w:bookmarkStart w:id="150" w:name="_Toc5087"/>
            <w:bookmarkEnd w:id="150"/>
            <w:bookmarkStart w:id="151" w:name="_Toc22325"/>
            <w:bookmarkEnd w:id="151"/>
            <w:bookmarkStart w:id="152" w:name="_Toc8813"/>
            <w:bookmarkEnd w:id="15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84272407</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BPR400-YC\BPBSL/BPBSL\高承载\180℃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45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53" w:name="_Toc5021"/>
            <w:bookmarkEnd w:id="153"/>
            <w:bookmarkStart w:id="154" w:name="_Toc15296"/>
            <w:bookmarkEnd w:id="154"/>
            <w:bookmarkStart w:id="155" w:name="_Toc22914"/>
            <w:bookmarkEnd w:id="155"/>
            <w:bookmarkStart w:id="156" w:name="_Toc18091"/>
            <w:bookmarkEnd w:id="15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82368562</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BPR540\BPBSL\高承载\180℃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57" w:name="_Toc5907"/>
            <w:bookmarkEnd w:id="157"/>
            <w:bookmarkStart w:id="158" w:name="_Toc14070"/>
            <w:bookmarkEnd w:id="158"/>
            <w:bookmarkStart w:id="159" w:name="_Toc16190"/>
            <w:bookmarkEnd w:id="159"/>
            <w:bookmarkStart w:id="160" w:name="_Toc6735"/>
            <w:bookmarkEnd w:id="16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83974769</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BPR540\BPBSL/BPBSL\高承载\180℃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22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61" w:name="_Toc7990"/>
            <w:bookmarkEnd w:id="161"/>
            <w:bookmarkStart w:id="162" w:name="_Toc17503"/>
            <w:bookmarkEnd w:id="162"/>
            <w:bookmarkStart w:id="163" w:name="_Toc14273"/>
            <w:bookmarkEnd w:id="163"/>
            <w:bookmarkStart w:id="164" w:name="_Toc24721"/>
            <w:bookmarkEnd w:id="16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83974780</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LS BPR400\BPBSL\高承载\150℃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65" w:name="_Toc7988"/>
            <w:bookmarkEnd w:id="165"/>
            <w:bookmarkStart w:id="166" w:name="_Toc22346"/>
            <w:bookmarkEnd w:id="166"/>
            <w:bookmarkStart w:id="167" w:name="_Toc13694"/>
            <w:bookmarkEnd w:id="167"/>
            <w:bookmarkStart w:id="168" w:name="_Toc24996"/>
            <w:bookmarkEnd w:id="16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83974781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LS BPR540\BPBSL\高承载\150℃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69" w:name="_Toc26466"/>
            <w:bookmarkEnd w:id="169"/>
            <w:bookmarkStart w:id="170" w:name="_Toc29661"/>
            <w:bookmarkEnd w:id="170"/>
            <w:bookmarkStart w:id="171" w:name="_Toc23734"/>
            <w:bookmarkEnd w:id="171"/>
            <w:bookmarkStart w:id="172" w:name="_Toc26749"/>
            <w:bookmarkEnd w:id="17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83975191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扭矩连接轴</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FSA400\1500Nm\中海油能源发展股份有限公司工程技术分公司\TBA</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73" w:name="_Toc14712"/>
            <w:bookmarkEnd w:id="173"/>
            <w:bookmarkStart w:id="174" w:name="_Toc11702"/>
            <w:bookmarkEnd w:id="174"/>
            <w:bookmarkStart w:id="175" w:name="_Toc9359"/>
            <w:bookmarkEnd w:id="175"/>
            <w:bookmarkStart w:id="176" w:name="_Toc10322"/>
            <w:bookmarkEnd w:id="17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84519419</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扭矩连接轴</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FSA513\3000N.m\中海油能源发展股份有限公司工程技术分公司\TBA130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77" w:name="_Toc16567"/>
            <w:bookmarkEnd w:id="177"/>
            <w:bookmarkStart w:id="178" w:name="_Toc20852"/>
            <w:bookmarkEnd w:id="178"/>
            <w:bookmarkStart w:id="179" w:name="_Toc10232"/>
            <w:bookmarkEnd w:id="179"/>
            <w:bookmarkStart w:id="180" w:name="_Toc28369"/>
            <w:bookmarkEnd w:id="18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84463586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永磁转子总成</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BMH450\中海油能源发展股份有限公司工程技术分公司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1000节</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81" w:name="_Toc19574"/>
            <w:bookmarkEnd w:id="181"/>
            <w:bookmarkStart w:id="182" w:name="_Toc29795"/>
            <w:bookmarkEnd w:id="182"/>
            <w:bookmarkStart w:id="183" w:name="_Toc18281"/>
            <w:bookmarkEnd w:id="183"/>
            <w:bookmarkStart w:id="184" w:name="_Toc30403"/>
            <w:bookmarkEnd w:id="18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84463587</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永磁定子片</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BMH450\中海油能源发展股份有限公司工程技术分公司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1200000片</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85" w:name="_Toc411"/>
            <w:bookmarkEnd w:id="185"/>
            <w:bookmarkStart w:id="186" w:name="_Toc26592"/>
            <w:bookmarkEnd w:id="186"/>
            <w:bookmarkStart w:id="187" w:name="_Toc8538"/>
            <w:bookmarkEnd w:id="187"/>
            <w:bookmarkStart w:id="188" w:name="_Toc1990"/>
            <w:bookmarkEnd w:id="18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84465015</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永磁转子总成</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BMH562\中海油能源发展股份有限公司工程技术分公司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200 节</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eastAsia="宋体" w:cs="Times New Roman"/>
                <w:color w:val="auto"/>
                <w:spacing w:val="0"/>
                <w:kern w:val="0"/>
                <w:sz w:val="18"/>
                <w:szCs w:val="18"/>
                <w:highlight w:val="none"/>
                <w:lang w:val="en-US" w:eastAsia="en-US" w:bidi="ar-SA"/>
              </w:rPr>
            </w:pPr>
            <w:bookmarkStart w:id="189" w:name="_Toc6684"/>
            <w:bookmarkEnd w:id="189"/>
            <w:bookmarkStart w:id="190" w:name="_Toc31900"/>
            <w:bookmarkEnd w:id="190"/>
            <w:bookmarkStart w:id="191" w:name="_Toc25023"/>
            <w:bookmarkEnd w:id="191"/>
            <w:bookmarkStart w:id="192" w:name="_Toc519"/>
            <w:bookmarkEnd w:id="19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84465016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永磁定子片</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BMH562\中海油能源发展股份有限公司工程技术分公司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225000片</w:t>
            </w:r>
          </w:p>
        </w:tc>
        <w:tc>
          <w:tcPr>
            <w:tcW w:w="640" w:type="dxa"/>
            <w:vMerge w:val="continue"/>
            <w:vAlign w:val="center"/>
          </w:tcPr>
          <w:p>
            <w:pPr>
              <w:jc w:val="center"/>
              <w:rPr>
                <w:rFonts w:hint="default" w:ascii="Times New Roman" w:hAnsi="Times New Roman" w:eastAsia="宋体" w:cs="Times New Roman"/>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eastAsia="宋体" w:cs="Times New Roman"/>
                <w:color w:val="auto"/>
                <w:spacing w:val="0"/>
                <w:kern w:val="0"/>
                <w:sz w:val="18"/>
                <w:szCs w:val="18"/>
                <w:highlight w:val="none"/>
                <w:lang w:val="en-US" w:eastAsia="zh-CN" w:bidi="ar-SA"/>
              </w:rPr>
            </w:pPr>
          </w:p>
        </w:tc>
        <w:tc>
          <w:tcPr>
            <w:tcW w:w="1184" w:type="dxa"/>
            <w:vAlign w:val="center"/>
          </w:tcPr>
          <w:p>
            <w:pPr>
              <w:widowControl/>
              <w:jc w:val="center"/>
              <w:rPr>
                <w:rFonts w:hint="default" w:ascii="Times New Roman" w:hAnsi="Times New Roman" w:eastAsia="宋体" w:cs="Times New Roman"/>
                <w:color w:val="auto"/>
                <w:kern w:val="0"/>
                <w:sz w:val="18"/>
                <w:szCs w:val="18"/>
                <w:highlight w:val="none"/>
                <w:lang w:eastAsia="en-US"/>
              </w:rPr>
            </w:pPr>
          </w:p>
        </w:tc>
      </w:tr>
    </w:tbl>
    <w:p>
      <w:pPr>
        <w:widowControl w:val="0"/>
        <w:ind w:left="-1" w:leftChars="-1" w:hanging="1" w:firstLineChars="0"/>
        <w:jc w:val="left"/>
        <w:rPr>
          <w:rFonts w:hint="eastAsia" w:ascii="宋体" w:hAnsi="宋体" w:eastAsia="宋体" w:cs="Times New Roman"/>
          <w:color w:val="auto"/>
          <w:kern w:val="0"/>
          <w:sz w:val="24"/>
          <w:szCs w:val="24"/>
          <w:highlight w:val="none"/>
          <w:lang w:val="en-US" w:eastAsia="zh-CN" w:bidi="ar-SA"/>
        </w:rPr>
      </w:pPr>
    </w:p>
    <w:p>
      <w:pPr>
        <w:widowControl w:val="0"/>
        <w:ind w:left="-1" w:leftChars="-1" w:hanging="1" w:firstLineChars="0"/>
        <w:jc w:val="left"/>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注：电机功率可以根据生产需求进行增加和减小；</w:t>
      </w:r>
    </w:p>
    <w:p>
      <w:pPr>
        <w:widowControl w:val="0"/>
        <w:ind w:firstLine="480" w:firstLineChars="200"/>
        <w:jc w:val="left"/>
        <w:rPr>
          <w:rFonts w:hint="default" w:ascii="Times New Roman" w:hAnsi="Times New Roman" w:eastAsia="宋体" w:cs="Times New Roman"/>
          <w:kern w:val="0"/>
          <w:sz w:val="24"/>
          <w:szCs w:val="24"/>
          <w:lang w:val="en-US" w:eastAsia="zh-CN" w:bidi="ar-SA"/>
        </w:rPr>
      </w:pPr>
      <w:r>
        <w:rPr>
          <w:rFonts w:hint="eastAsia" w:ascii="宋体" w:hAnsi="宋体" w:eastAsia="宋体" w:cs="Times New Roman"/>
          <w:color w:val="auto"/>
          <w:kern w:val="0"/>
          <w:sz w:val="24"/>
          <w:szCs w:val="24"/>
          <w:highlight w:val="none"/>
          <w:lang w:val="en-US" w:eastAsia="zh-CN" w:bidi="ar-SA"/>
        </w:rPr>
        <w:t>具体交货物资明细和交货期以我方通知为准，分批送货，分批结算。</w:t>
      </w:r>
      <w:bookmarkEnd w:id="35"/>
      <w:bookmarkEnd w:id="36"/>
    </w:p>
    <w:p>
      <w:pPr>
        <w:keepNext/>
        <w:keepLines/>
        <w:widowControl w:val="0"/>
        <w:numPr>
          <w:ilvl w:val="0"/>
          <w:numId w:val="5"/>
        </w:numPr>
        <w:spacing w:before="240" w:after="240" w:line="578" w:lineRule="auto"/>
        <w:jc w:val="both"/>
        <w:outlineLvl w:val="0"/>
        <w:rPr>
          <w:rFonts w:hint="default" w:ascii="Times New Roman" w:hAnsi="Times New Roman" w:eastAsia="黑体" w:cs="Times New Roman"/>
          <w:b w:val="0"/>
          <w:bCs w:val="0"/>
          <w:kern w:val="44"/>
          <w:sz w:val="36"/>
          <w:szCs w:val="36"/>
          <w:lang w:val="en-US" w:eastAsia="zh-CN" w:bidi="ar-SA"/>
        </w:rPr>
      </w:pPr>
      <w:bookmarkStart w:id="193" w:name="_Toc15775"/>
      <w:bookmarkStart w:id="194" w:name="_Toc5925"/>
      <w:bookmarkStart w:id="195" w:name="_Toc26390"/>
      <w:bookmarkStart w:id="196" w:name="_Toc854"/>
      <w:r>
        <w:rPr>
          <w:rFonts w:hint="default" w:ascii="Times New Roman" w:hAnsi="Times New Roman" w:eastAsia="黑体" w:cs="Times New Roman"/>
          <w:b w:val="0"/>
          <w:bCs w:val="0"/>
          <w:kern w:val="44"/>
          <w:sz w:val="36"/>
          <w:szCs w:val="36"/>
          <w:lang w:val="en-US" w:eastAsia="zh-CN" w:bidi="ar-SA"/>
        </w:rPr>
        <w:t>执行标准/规范</w:t>
      </w:r>
      <w:bookmarkEnd w:id="193"/>
      <w:bookmarkEnd w:id="194"/>
      <w:bookmarkEnd w:id="195"/>
      <w:bookmarkEnd w:id="196"/>
    </w:p>
    <w:p>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p>
    <w:p>
      <w:pPr>
        <w:numPr>
          <w:ilvl w:val="2"/>
          <w:numId w:val="6"/>
        </w:numPr>
        <w:autoSpaceDE w:val="0"/>
        <w:autoSpaceDN w:val="0"/>
        <w:adjustRightInd w:val="0"/>
        <w:spacing w:line="360" w:lineRule="auto"/>
        <w:ind w:right="187" w:rightChars="89"/>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《潜油电泵机组》国标GB/T 16750-2015</w:t>
      </w:r>
    </w:p>
    <w:p>
      <w:pPr>
        <w:numPr>
          <w:ilvl w:val="2"/>
          <w:numId w:val="6"/>
        </w:numPr>
        <w:autoSpaceDE w:val="0"/>
        <w:autoSpaceDN w:val="0"/>
        <w:adjustRightInd w:val="0"/>
        <w:spacing w:line="360" w:lineRule="auto"/>
        <w:ind w:right="187" w:rightChars="89"/>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部分执行《中国海油采购标准体系建设采购技术标准潜油电机》CGBZ064-2020（JT）</w:t>
      </w:r>
    </w:p>
    <w:p>
      <w:pPr>
        <w:numPr>
          <w:ilvl w:val="2"/>
          <w:numId w:val="6"/>
        </w:numPr>
        <w:autoSpaceDE w:val="0"/>
        <w:autoSpaceDN w:val="0"/>
        <w:adjustRightInd w:val="0"/>
        <w:spacing w:line="360" w:lineRule="auto"/>
        <w:ind w:right="187" w:rightChars="89"/>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部分执行《中国海油采购标准体系建设采购技术标准潜油保护器》CGBZ063-2020（JT）</w:t>
      </w:r>
    </w:p>
    <w:p>
      <w:pPr>
        <w:numPr>
          <w:ilvl w:val="2"/>
          <w:numId w:val="6"/>
        </w:numPr>
        <w:autoSpaceDE w:val="0"/>
        <w:autoSpaceDN w:val="0"/>
        <w:adjustRightInd w:val="0"/>
        <w:spacing w:line="360" w:lineRule="auto"/>
        <w:ind w:right="187" w:rightChars="89"/>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G</w:t>
      </w:r>
      <w:r>
        <w:rPr>
          <w:rFonts w:ascii="Times New Roman" w:hAnsi="Times New Roman" w:eastAsia="宋体" w:cs="Times New Roman"/>
          <w:kern w:val="0"/>
          <w:sz w:val="24"/>
          <w:szCs w:val="24"/>
          <w:lang w:eastAsia="zh-CN"/>
        </w:rPr>
        <w:t>B/T 13914-2013</w:t>
      </w:r>
      <w:r>
        <w:rPr>
          <w:rFonts w:hint="default" w:ascii="Times New Roman" w:hAnsi="Times New Roman" w:eastAsia="宋体" w:cs="Times New Roman"/>
          <w:kern w:val="0"/>
          <w:sz w:val="24"/>
          <w:szCs w:val="24"/>
          <w:lang w:eastAsia="zh-CN"/>
        </w:rPr>
        <w:t>冲压件尺寸公差</w:t>
      </w:r>
    </w:p>
    <w:p>
      <w:pPr>
        <w:keepNext/>
        <w:keepLines/>
        <w:widowControl w:val="0"/>
        <w:numPr>
          <w:ilvl w:val="0"/>
          <w:numId w:val="5"/>
        </w:numPr>
        <w:spacing w:before="240" w:after="240" w:line="578" w:lineRule="auto"/>
        <w:ind w:firstLineChars="0"/>
        <w:jc w:val="both"/>
        <w:outlineLvl w:val="0"/>
        <w:rPr>
          <w:rFonts w:hint="eastAsia" w:ascii="黑体" w:hAnsi="黑体" w:eastAsia="黑体" w:cs="Times New Roman"/>
          <w:b w:val="0"/>
          <w:bCs w:val="0"/>
          <w:kern w:val="44"/>
          <w:sz w:val="36"/>
          <w:szCs w:val="36"/>
          <w:lang w:val="en-US" w:eastAsia="zh-CN" w:bidi="ar-SA"/>
        </w:rPr>
      </w:pPr>
      <w:r>
        <w:rPr>
          <w:rFonts w:hint="eastAsia" w:ascii="黑体" w:hAnsi="黑体" w:eastAsia="黑体" w:cs="Times New Roman"/>
          <w:b w:val="0"/>
          <w:bCs w:val="0"/>
          <w:kern w:val="44"/>
          <w:sz w:val="36"/>
          <w:szCs w:val="36"/>
          <w:lang w:val="en-US" w:eastAsia="zh-CN" w:bidi="ar-SA"/>
        </w:rPr>
        <w:t>设计/使用条件</w:t>
      </w:r>
    </w:p>
    <w:p>
      <w:pPr>
        <w:widowControl w:val="0"/>
        <w:ind w:left="720" w:firstLine="0" w:firstLine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适用海上油田高含砂、高含气、稠油井。</w:t>
      </w:r>
    </w:p>
    <w:p>
      <w:pPr>
        <w:keepNext/>
        <w:keepLines/>
        <w:widowControl w:val="0"/>
        <w:numPr>
          <w:ilvl w:val="0"/>
          <w:numId w:val="5"/>
        </w:numPr>
        <w:spacing w:before="240" w:after="240" w:line="578" w:lineRule="auto"/>
        <w:ind w:firstLineChars="0"/>
        <w:jc w:val="both"/>
        <w:outlineLvl w:val="0"/>
        <w:rPr>
          <w:rFonts w:hint="eastAsia" w:ascii="黑体" w:hAnsi="黑体" w:eastAsia="黑体" w:cs="Times New Roman"/>
          <w:b w:val="0"/>
          <w:bCs w:val="0"/>
          <w:kern w:val="44"/>
          <w:sz w:val="36"/>
          <w:szCs w:val="36"/>
          <w:lang w:val="en-US" w:eastAsia="zh-CN" w:bidi="ar-SA"/>
        </w:rPr>
      </w:pPr>
      <w:r>
        <w:rPr>
          <w:rFonts w:hint="eastAsia" w:ascii="黑体" w:hAnsi="黑体" w:eastAsia="黑体" w:cs="Times New Roman"/>
          <w:b w:val="0"/>
          <w:bCs w:val="0"/>
          <w:kern w:val="44"/>
          <w:sz w:val="36"/>
          <w:szCs w:val="36"/>
          <w:lang w:val="en-US" w:eastAsia="zh-CN" w:bidi="ar-SA"/>
        </w:rPr>
        <w:t>技术要求</w:t>
      </w:r>
    </w:p>
    <w:p>
      <w:pPr>
        <w:keepNext/>
        <w:keepLines/>
        <w:widowControl w:val="0"/>
        <w:numPr>
          <w:ilvl w:val="1"/>
          <w:numId w:val="7"/>
        </w:numPr>
        <w:spacing w:before="340" w:after="330" w:line="360" w:lineRule="auto"/>
        <w:ind w:left="10" w:firstLine="430"/>
        <w:jc w:val="both"/>
        <w:outlineLvl w:val="0"/>
        <w:rPr>
          <w:rFonts w:hint="eastAsia" w:ascii="Times New Roman" w:hAnsi="Times New Roman" w:eastAsia="宋体" w:cs="Times New Roman"/>
          <w:b/>
          <w:bCs/>
          <w:kern w:val="44"/>
          <w:sz w:val="21"/>
          <w:szCs w:val="21"/>
          <w:lang w:val="en-US" w:eastAsia="en-US" w:bidi="ar-SA"/>
        </w:rPr>
      </w:pPr>
      <w:r>
        <w:rPr>
          <w:rFonts w:hint="default" w:ascii="Times New Roman" w:hAnsi="Times New Roman" w:eastAsia="宋体" w:cs="Times New Roman"/>
          <w:b/>
          <w:bCs/>
          <w:kern w:val="44"/>
          <w:sz w:val="21"/>
          <w:szCs w:val="21"/>
          <w:lang w:val="en-US" w:eastAsia="en-US" w:bidi="ar-SA"/>
        </w:rPr>
        <w:t>潜油永磁电机（3000</w:t>
      </w:r>
      <w:r>
        <w:rPr>
          <w:rFonts w:hint="default" w:ascii="Times New Roman" w:hAnsi="Times New Roman" w:eastAsia="宋体" w:cs="Times New Roman"/>
          <w:b/>
          <w:bCs/>
          <w:kern w:val="44"/>
          <w:sz w:val="21"/>
          <w:szCs w:val="21"/>
          <w:lang w:val="en-US" w:eastAsia="zh-CN" w:bidi="ar-SA"/>
        </w:rPr>
        <w:t>RPM</w:t>
      </w:r>
      <w:r>
        <w:rPr>
          <w:rFonts w:hint="default" w:ascii="Times New Roman" w:hAnsi="Times New Roman" w:eastAsia="宋体" w:cs="Times New Roman"/>
          <w:b/>
          <w:bCs/>
          <w:kern w:val="44"/>
          <w:sz w:val="21"/>
          <w:szCs w:val="21"/>
          <w:lang w:val="en-US" w:eastAsia="en-US" w:bidi="ar-SA"/>
        </w:rPr>
        <w:t>@100Hz）</w:t>
      </w:r>
    </w:p>
    <w:tbl>
      <w:tblPr>
        <w:tblStyle w:val="9"/>
        <w:tblW w:w="4997" w:type="pct"/>
        <w:tblInd w:w="0" w:type="dxa"/>
        <w:tblLayout w:type="autofit"/>
        <w:tblCellMar>
          <w:top w:w="0" w:type="dxa"/>
          <w:left w:w="108" w:type="dxa"/>
          <w:bottom w:w="0" w:type="dxa"/>
          <w:right w:w="108" w:type="dxa"/>
        </w:tblCellMar>
      </w:tblPr>
      <w:tblGrid>
        <w:gridCol w:w="536"/>
        <w:gridCol w:w="936"/>
        <w:gridCol w:w="856"/>
        <w:gridCol w:w="4925"/>
        <w:gridCol w:w="536"/>
        <w:gridCol w:w="973"/>
      </w:tblGrid>
      <w:tr>
        <w:tblPrEx>
          <w:tblCellMar>
            <w:top w:w="0" w:type="dxa"/>
            <w:left w:w="108" w:type="dxa"/>
            <w:bottom w:w="0" w:type="dxa"/>
            <w:right w:w="108" w:type="dxa"/>
          </w:tblCellMar>
        </w:tblPrEx>
        <w:trPr>
          <w:trHeight w:val="287" w:hRule="atLeast"/>
        </w:trPr>
        <w:tc>
          <w:tcPr>
            <w:tcW w:w="305" w:type="pct"/>
            <w:tcBorders>
              <w:top w:val="single" w:color="000000" w:sz="4" w:space="0"/>
              <w:left w:val="single" w:color="000000" w:sz="4" w:space="0"/>
              <w:bottom w:val="nil"/>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序号</w:t>
            </w:r>
          </w:p>
        </w:tc>
        <w:tc>
          <w:tcPr>
            <w:tcW w:w="534"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物资编码</w:t>
            </w:r>
          </w:p>
        </w:tc>
        <w:tc>
          <w:tcPr>
            <w:tcW w:w="488"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服务名称</w:t>
            </w:r>
          </w:p>
        </w:tc>
        <w:tc>
          <w:tcPr>
            <w:tcW w:w="2818"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规格及型号/服务要求</w:t>
            </w:r>
          </w:p>
        </w:tc>
        <w:tc>
          <w:tcPr>
            <w:tcW w:w="305"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单位</w:t>
            </w:r>
          </w:p>
        </w:tc>
        <w:tc>
          <w:tcPr>
            <w:tcW w:w="546"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备注</w:t>
            </w:r>
          </w:p>
        </w:tc>
      </w:tr>
      <w:tr>
        <w:tblPrEx>
          <w:tblCellMar>
            <w:top w:w="0" w:type="dxa"/>
            <w:left w:w="108" w:type="dxa"/>
            <w:bottom w:w="0" w:type="dxa"/>
            <w:right w:w="108" w:type="dxa"/>
          </w:tblCellMar>
        </w:tblPrEx>
        <w:trPr>
          <w:trHeight w:val="32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标段</w:t>
            </w:r>
            <w:r>
              <w:rPr>
                <w:rFonts w:hint="eastAsia" w:ascii="Times New Roman" w:hAnsi="Times New Roman" w:eastAsia="宋体" w:cs="Times New Roman"/>
                <w:color w:val="000000"/>
                <w:kern w:val="0"/>
                <w:sz w:val="16"/>
                <w:szCs w:val="16"/>
                <w:lang w:val="en-US" w:eastAsia="zh-CN" w:bidi="ar"/>
              </w:rPr>
              <w:t>三OTS400</w:t>
            </w:r>
            <w:r>
              <w:rPr>
                <w:rFonts w:hint="default" w:ascii="Times New Roman" w:hAnsi="Times New Roman" w:eastAsia="宋体" w:cs="Times New Roman"/>
                <w:color w:val="000000"/>
                <w:kern w:val="0"/>
                <w:sz w:val="16"/>
                <w:szCs w:val="16"/>
                <w:lang w:eastAsia="zh-CN" w:bidi="ar"/>
              </w:rPr>
              <w:t>（常速永磁）</w:t>
            </w:r>
          </w:p>
        </w:tc>
      </w:tr>
      <w:tr>
        <w:tblPrEx>
          <w:tblCellMar>
            <w:top w:w="0" w:type="dxa"/>
            <w:left w:w="108" w:type="dxa"/>
            <w:bottom w:w="0" w:type="dxa"/>
            <w:right w:w="108" w:type="dxa"/>
          </w:tblCellMar>
        </w:tblPrEx>
        <w:trPr>
          <w:trHeight w:val="90" w:hRule="atLeast"/>
        </w:trPr>
        <w:tc>
          <w:tcPr>
            <w:tcW w:w="305" w:type="pct"/>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84854123</w:t>
            </w:r>
          </w:p>
        </w:tc>
        <w:tc>
          <w:tcPr>
            <w:tcW w:w="488"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PMM350-DS-OTS400\位置类型:ST\150hp\1738V\44A\204℃</w:t>
            </w:r>
          </w:p>
        </w:tc>
        <w:tc>
          <w:tcPr>
            <w:tcW w:w="305"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1738V/44A</w:t>
            </w:r>
          </w:p>
        </w:tc>
      </w:tr>
      <w:tr>
        <w:tblPrEx>
          <w:tblCellMar>
            <w:top w:w="0" w:type="dxa"/>
            <w:left w:w="108" w:type="dxa"/>
            <w:bottom w:w="0" w:type="dxa"/>
            <w:right w:w="108" w:type="dxa"/>
          </w:tblCellMar>
        </w:tblPrEx>
        <w:trPr>
          <w:trHeight w:val="90"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2</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84854124</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PMM450-DS-OTS400\位置类型:ST\117hp\1788V\32A\204℃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1788V/32A</w:t>
            </w:r>
          </w:p>
        </w:tc>
      </w:tr>
      <w:tr>
        <w:tblPrEx>
          <w:tblCellMar>
            <w:top w:w="0" w:type="dxa"/>
            <w:left w:w="108" w:type="dxa"/>
            <w:bottom w:w="0" w:type="dxa"/>
            <w:right w:w="108" w:type="dxa"/>
          </w:tblCellMar>
        </w:tblPrEx>
        <w:trPr>
          <w:trHeight w:val="222"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3</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84854125</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PMM450-DS-OTS400\位置类型:ST\133.3hp\1600V\42A\204℃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1600V\42A</w:t>
            </w:r>
          </w:p>
        </w:tc>
      </w:tr>
      <w:tr>
        <w:tblPrEx>
          <w:tblCellMar>
            <w:top w:w="0" w:type="dxa"/>
            <w:left w:w="108" w:type="dxa"/>
            <w:bottom w:w="0" w:type="dxa"/>
            <w:right w:w="108" w:type="dxa"/>
          </w:tblCellMar>
        </w:tblPrEx>
        <w:trPr>
          <w:trHeight w:val="109"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4</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84854126</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PMM450-DS-OTS400\位置类型:ST\166hp\2000V\42A\204℃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2000V\42A</w:t>
            </w:r>
          </w:p>
        </w:tc>
      </w:tr>
      <w:tr>
        <w:tblPrEx>
          <w:tblCellMar>
            <w:top w:w="0" w:type="dxa"/>
            <w:left w:w="108" w:type="dxa"/>
            <w:bottom w:w="0" w:type="dxa"/>
            <w:right w:w="108" w:type="dxa"/>
          </w:tblCellMar>
        </w:tblPrEx>
        <w:trPr>
          <w:trHeight w:val="204"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5</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84854127</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PMM450-DS-OTS400\位置类型:ST\183.3hp\2209V\42A\204℃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2209V\42A</w:t>
            </w:r>
          </w:p>
        </w:tc>
      </w:tr>
      <w:tr>
        <w:tblPrEx>
          <w:tblCellMar>
            <w:top w:w="0" w:type="dxa"/>
            <w:left w:w="108" w:type="dxa"/>
            <w:bottom w:w="0" w:type="dxa"/>
            <w:right w:w="108" w:type="dxa"/>
          </w:tblCellMar>
        </w:tblPrEx>
        <w:trPr>
          <w:trHeight w:val="128"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6</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84854128</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PMM450-DS-OTS400\位置类型:ST\216.6hp\1900V\59A\204℃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1900V/59A</w:t>
            </w:r>
          </w:p>
        </w:tc>
      </w:tr>
      <w:tr>
        <w:tblPrEx>
          <w:tblCellMar>
            <w:top w:w="0" w:type="dxa"/>
            <w:left w:w="108" w:type="dxa"/>
            <w:bottom w:w="0" w:type="dxa"/>
            <w:right w:w="108" w:type="dxa"/>
          </w:tblCellMar>
        </w:tblPrEx>
        <w:trPr>
          <w:trHeight w:val="109"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7</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84854129</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PMM562-DS-OTS400\位置类型:ST\183hp\2217V\41A\204℃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2217V\41A</w:t>
            </w:r>
          </w:p>
        </w:tc>
      </w:tr>
      <w:tr>
        <w:tblPrEx>
          <w:tblCellMar>
            <w:top w:w="0" w:type="dxa"/>
            <w:left w:w="108" w:type="dxa"/>
            <w:bottom w:w="0" w:type="dxa"/>
            <w:right w:w="108" w:type="dxa"/>
          </w:tblCellMar>
        </w:tblPrEx>
        <w:trPr>
          <w:trHeight w:val="204"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8</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84854130</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PMM562-DS-OTS400\位置类型:ST\220hp\2661V\41A\204℃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2661V\41A</w:t>
            </w:r>
          </w:p>
        </w:tc>
      </w:tr>
      <w:tr>
        <w:tblPrEx>
          <w:tblCellMar>
            <w:top w:w="0" w:type="dxa"/>
            <w:left w:w="108" w:type="dxa"/>
            <w:bottom w:w="0" w:type="dxa"/>
            <w:right w:w="108" w:type="dxa"/>
          </w:tblCellMar>
        </w:tblPrEx>
        <w:trPr>
          <w:trHeight w:val="109"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9</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84854131</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PMM562-DS-OTS400\位置类型:ST\293hp\2020V\73A\204℃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2020V/73A</w:t>
            </w:r>
          </w:p>
        </w:tc>
      </w:tr>
      <w:tr>
        <w:tblPrEx>
          <w:tblCellMar>
            <w:top w:w="0" w:type="dxa"/>
            <w:left w:w="108" w:type="dxa"/>
            <w:bottom w:w="0" w:type="dxa"/>
            <w:right w:w="108" w:type="dxa"/>
          </w:tblCellMar>
        </w:tblPrEx>
        <w:trPr>
          <w:trHeight w:val="90"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10</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84854132</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PMM562-DS-OTS400\位置类型:ST\367hp\2524V\73A\204℃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2524V/73A</w:t>
            </w:r>
          </w:p>
        </w:tc>
      </w:tr>
      <w:tr>
        <w:tblPrEx>
          <w:tblCellMar>
            <w:top w:w="0" w:type="dxa"/>
            <w:left w:w="108" w:type="dxa"/>
            <w:bottom w:w="0" w:type="dxa"/>
            <w:right w:w="108" w:type="dxa"/>
          </w:tblCellMar>
        </w:tblPrEx>
        <w:trPr>
          <w:trHeight w:val="128"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11</w:t>
            </w:r>
          </w:p>
        </w:tc>
        <w:tc>
          <w:tcPr>
            <w:tcW w:w="93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i w:val="0"/>
                <w:iCs w:val="0"/>
                <w:color w:val="000000"/>
                <w:kern w:val="0"/>
                <w:sz w:val="18"/>
                <w:szCs w:val="18"/>
                <w:highlight w:val="none"/>
                <w:u w:val="none"/>
                <w:lang w:val="en-US" w:eastAsia="zh-CN" w:bidi="ar"/>
              </w:rPr>
              <w:t>84854133</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PMM562-DS-OTS400\位置类型:ST\477hp\3280V\73A\204℃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9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D0D0D"/>
                <w:kern w:val="0"/>
                <w:sz w:val="16"/>
                <w:szCs w:val="16"/>
                <w:highlight w:val="none"/>
                <w:u w:val="none"/>
                <w:lang w:val="en-US" w:eastAsia="zh-CN" w:bidi="ar"/>
              </w:rPr>
              <w:t>3280V/73A</w:t>
            </w:r>
          </w:p>
        </w:tc>
      </w:tr>
    </w:tbl>
    <w:p>
      <w:pPr>
        <w:jc w:val="left"/>
        <w:rPr>
          <w:rFonts w:ascii="Times New Roman" w:hAnsi="Times New Roman" w:eastAsia="宋体" w:cs="Times New Roman"/>
          <w:kern w:val="0"/>
          <w:sz w:val="22"/>
          <w:lang w:eastAsia="en-US"/>
        </w:rPr>
      </w:pP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bookmarkStart w:id="197" w:name="_Hlk65068493"/>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潜油永磁同步电机350系列,额定功率为150HP,电机要求80%负载率以下时功率因数0.82以上，效率为82%以上。投标时提供经CCS、ABS、BV、DNV第三方实验机构中的任意一家认证的测试报告（报告内容包括但不限于电机系列，额定功率，80%负载率以下时功率因数和效率等）。</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350系列电机中，其中150HP电机电压为1738V、电流为44A。</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潜油永磁同步电机为450系列。额定功率为117HP、133.3HP、166HP、183.3HP、216.6HP。全系列电机要求80%负载率下功率因数0.88以上，效率为86%以上。投标时提供经CCS、ABS、BV、DNV第三方实验机构中的任意一家认证的测试报告（报告内容包括但不限于电机系列，额定功率，80%负载率以下时功率因数和效率等）。</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450系列电机中，其中117HP电机电压为1788V、电流为32A；133.3HP电机电压为1600V、电流为42A；166HP电机电压为2000V、电流为42A；183.3HP电机电压为2209V、电流42A；216.6HP电机电压为1900V、电流59A。</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潜油永磁同步电机为562系列。额定功率为183HP、220HP、293HP、367HP、477HP。全系列电机要求80%负载率下功率因数0.93以上，效率93%以上。投标时提供经CCS、ABS、BV、DNV第三方实验机构中的任意一家认证的测试报告（报告内容包括但不限于电机系列，额定功率，80%负载率以下时功率因数和效率等）。</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562系列电机中， 183HP电机电压为2217V、电流为41A； 220HP电机电压为2661V电流为41A；293HP电机电压为2020V、电流为73A；367HP电机电压为2524V、电流为73A；477HP电机电压为3280V、电流为73A。</w:t>
      </w:r>
    </w:p>
    <w:bookmarkEnd w:id="197"/>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适用井温：180℃；本体耐温等级204℃</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电机额定同步转速为3000RPM，频率为100Hz。并且具备在此转速区间内稳定运行的能力，提供额定负载转速3000rpm下的出厂测试报告。</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转子采用永磁体，永磁体耐温不低于204℃，材质选用钕铁硼（NdFeB）或更高级别的钐钴（SmCo）材质及以上等级，</w:t>
      </w:r>
      <w:r>
        <w:rPr>
          <w:rFonts w:ascii="Times New Roman" w:hAnsi="Times New Roman" w:eastAsia="宋体" w:cs="Times New Roman"/>
          <w:kern w:val="0"/>
          <w:sz w:val="21"/>
          <w:szCs w:val="21"/>
          <w:lang w:eastAsia="zh-CN"/>
        </w:rPr>
        <w:t>满足对磁场强度和温度稳定性的高要求</w:t>
      </w:r>
      <w:r>
        <w:rPr>
          <w:rFonts w:hint="default" w:ascii="Times New Roman" w:hAnsi="Times New Roman" w:eastAsia="宋体" w:cs="Times New Roman"/>
          <w:kern w:val="0"/>
          <w:sz w:val="21"/>
          <w:szCs w:val="21"/>
          <w:lang w:eastAsia="zh-CN"/>
        </w:rPr>
        <w:t>。</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永磁电机为四极，转子永磁体采用内嵌式结构。</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电磁线的选择应具备适用于高压、高频等复杂工况，在高电压</w:t>
      </w:r>
      <w:r>
        <w:rPr>
          <w:rFonts w:ascii="Times New Roman" w:hAnsi="Times New Roman" w:eastAsia="宋体" w:cs="Times New Roman"/>
          <w:kern w:val="0"/>
          <w:sz w:val="21"/>
          <w:szCs w:val="21"/>
          <w:lang w:eastAsia="zh-CN"/>
        </w:rPr>
        <w:t>下能够有效抵抗电晕放电现象</w:t>
      </w:r>
      <w:r>
        <w:rPr>
          <w:rFonts w:hint="default" w:ascii="Times New Roman" w:hAnsi="Times New Roman" w:eastAsia="宋体" w:cs="Times New Roman"/>
          <w:kern w:val="0"/>
          <w:sz w:val="21"/>
          <w:szCs w:val="21"/>
          <w:lang w:eastAsia="zh-CN"/>
        </w:rPr>
        <w:t>，以降低电磁干扰和</w:t>
      </w:r>
      <w:r>
        <w:rPr>
          <w:rFonts w:ascii="Times New Roman" w:hAnsi="Times New Roman" w:eastAsia="宋体" w:cs="Times New Roman"/>
          <w:kern w:val="0"/>
          <w:sz w:val="21"/>
          <w:szCs w:val="21"/>
          <w:lang w:eastAsia="zh-CN"/>
        </w:rPr>
        <w:t>能量损失。</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4"/>
          <w:szCs w:val="24"/>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投标时提供电机规格如下数据表，至少包含：3000rpm转速下、频率为100Hz对应的额定功率、额定电压、额定电流、长度等数据，350系列功率范围至少覆盖：83~166HP，450系列功率范围至少覆盖：83~216.6HP、562系列功率范围至少覆盖183~697HP。</w:t>
      </w:r>
    </w:p>
    <w:p>
      <w:pPr>
        <w:widowControl w:val="0"/>
        <w:tabs>
          <w:tab w:val="center" w:pos="4153"/>
          <w:tab w:val="right" w:pos="8306"/>
        </w:tabs>
        <w:snapToGrid w:val="0"/>
        <w:jc w:val="left"/>
        <w:rPr>
          <w:rFonts w:hint="default" w:ascii="Times New Roman" w:hAnsi="Times New Roman" w:eastAsia="宋体" w:cs="Times New Roman"/>
          <w:kern w:val="0"/>
          <w:sz w:val="24"/>
          <w:szCs w:val="24"/>
          <w:lang w:val="en-US" w:eastAsia="zh-CN" w:bidi="ar-SA"/>
        </w:rPr>
      </w:pPr>
    </w:p>
    <w:tbl>
      <w:tblPr>
        <w:tblStyle w:val="10"/>
        <w:tblW w:w="46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928"/>
        <w:gridCol w:w="1942"/>
        <w:gridCol w:w="1275"/>
        <w:gridCol w:w="1037"/>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restart"/>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系列</w:t>
            </w:r>
          </w:p>
        </w:tc>
        <w:tc>
          <w:tcPr>
            <w:tcW w:w="1182" w:type="pct"/>
            <w:shd w:val="clear" w:color="auto" w:fill="FFFFFF"/>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额定功率（HP）</w:t>
            </w:r>
          </w:p>
        </w:tc>
        <w:tc>
          <w:tcPr>
            <w:tcW w:w="1190" w:type="pct"/>
            <w:shd w:val="clear" w:color="auto" w:fill="FFFFFF"/>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额定电压（V）</w:t>
            </w:r>
          </w:p>
        </w:tc>
        <w:tc>
          <w:tcPr>
            <w:tcW w:w="781" w:type="pct"/>
            <w:vMerge w:val="restart"/>
            <w:shd w:val="clear" w:color="auto" w:fill="FFFFFF"/>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额定电流（A）</w:t>
            </w:r>
          </w:p>
        </w:tc>
        <w:tc>
          <w:tcPr>
            <w:tcW w:w="635" w:type="pct"/>
            <w:vMerge w:val="restar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长度（m）</w:t>
            </w:r>
          </w:p>
        </w:tc>
        <w:tc>
          <w:tcPr>
            <w:tcW w:w="564" w:type="pct"/>
            <w:vMerge w:val="restar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重量（kg）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1182"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3000rpm</w:t>
            </w:r>
          </w:p>
        </w:tc>
        <w:tc>
          <w:tcPr>
            <w:tcW w:w="1190"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3000rpm</w:t>
            </w:r>
          </w:p>
        </w:tc>
        <w:tc>
          <w:tcPr>
            <w:tcW w:w="781" w:type="pct"/>
            <w:vMerge w:val="continue"/>
            <w:shd w:val="clear" w:color="auto" w:fill="FFFFFF"/>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635" w:type="pct"/>
            <w:vMerge w:val="continue"/>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564" w:type="pct"/>
            <w:vMerge w:val="continue"/>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350</w:t>
            </w:r>
          </w:p>
        </w:tc>
        <w:tc>
          <w:tcPr>
            <w:tcW w:w="1182"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1190"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781"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635"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564"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450</w:t>
            </w:r>
          </w:p>
        </w:tc>
        <w:tc>
          <w:tcPr>
            <w:tcW w:w="1182"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1190"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781"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635"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564"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562</w:t>
            </w:r>
          </w:p>
        </w:tc>
        <w:tc>
          <w:tcPr>
            <w:tcW w:w="1182"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1190"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781"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635"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564"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r>
    </w:tbl>
    <w:p>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电机接口尺寸符合《机械采油公司潜油电泵产品接口参数明细》（见附件一）要求。</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密封圈采用AFLAS材料，耐温等级不低于204℃，并提供AFLAS材质报告。</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电机轴采用42CrMo高强度合金钢及以上材质。</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接头、底座和壳体采用45钢，连接螺栓和垫片采用Monel K500，头、座采用45#钢材质(或相同性能的材质),送货文件应提供材质化学成分及机械性能检测报告，并注明炉号等可追溯性标识信息。</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运输帽预留丝堵放气孔，运输帽螺栓必须齐全并旋紧，出厂时应按照法兰连接螺栓型号配置相应数量的内外六角螺钉及下井件（O圈、垫片等）主备各一套。</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底部留有能与电泵工况装置配合的连接法兰，并预留星点引出线，星点引出线长度应保证露出电机端部500mm。450及以上系列电机尾扣为2-3/8″EU母扣；350系列电机尾款为1.9″EU母扣。电机绕组线圈内加装泵工况测温用热电耦并预装泵工况引线对插接头（对插接头图纸见附件六）。</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25℃环境温度下相间、对地绝缘电阻均应大于1000MΩ。</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电机三相绕组直流电阻不平衡率不得大于3%。</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成品电机应预注新的合格电机油，电机油耐温不低于200℃，电机到货静置24小时后，无渗漏。</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整机能承受压力为0.5MPa气压，历时5min的密封性能试验，各密封连接部位不泄漏。</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整机连接全部采用内外六角螺钉，采用法兰形式连接。</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材质要求：</w:t>
      </w:r>
    </w:p>
    <w:p>
      <w:pPr>
        <w:numPr>
          <w:ilvl w:val="0"/>
          <w:numId w:val="9"/>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投标方需提供永磁体的牌号，招标方可以进行检验验证。</w:t>
      </w:r>
    </w:p>
    <w:p>
      <w:pPr>
        <w:numPr>
          <w:ilvl w:val="0"/>
          <w:numId w:val="9"/>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壳体用45#钢，材质应满足</w:t>
      </w: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50"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0.2</w:t>
            </w:r>
            <w:r>
              <w:rPr>
                <w:rFonts w:hint="default" w:ascii="Times New Roman" w:hAnsi="Times New Roman" w:eastAsia="宋体" w:cs="Times New Roman"/>
                <w:kern w:val="0"/>
                <w:sz w:val="20"/>
                <w:szCs w:val="20"/>
                <w:lang w:eastAsia="zh-CN"/>
              </w:rPr>
              <w:t>0</w:t>
            </w:r>
          </w:p>
        </w:tc>
      </w:tr>
    </w:tbl>
    <w:p>
      <w:pPr>
        <w:ind w:left="425" w:right="11"/>
        <w:jc w:val="left"/>
        <w:rPr>
          <w:rFonts w:hint="default" w:ascii="Times New Roman" w:hAnsi="Times New Roman" w:eastAsia="宋体" w:cs="Times New Roman"/>
          <w:vanish/>
          <w:kern w:val="0"/>
          <w:sz w:val="22"/>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498"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25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w:t>
            </w:r>
            <w:r>
              <w:rPr>
                <w:rFonts w:hint="default" w:ascii="Times New Roman" w:hAnsi="Times New Roman" w:eastAsia="宋体" w:cs="Times New Roman"/>
                <w:kern w:val="0"/>
                <w:sz w:val="20"/>
                <w:szCs w:val="20"/>
                <w:lang w:eastAsia="en-US"/>
              </w:rPr>
              <w:t>/ MPa</w:t>
            </w:r>
          </w:p>
        </w:tc>
        <w:tc>
          <w:tcPr>
            <w:tcW w:w="1084"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149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590</w:t>
            </w:r>
          </w:p>
        </w:tc>
        <w:tc>
          <w:tcPr>
            <w:tcW w:w="125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335</w:t>
            </w:r>
          </w:p>
        </w:tc>
        <w:tc>
          <w:tcPr>
            <w:tcW w:w="1084"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14</w:t>
            </w:r>
          </w:p>
        </w:tc>
      </w:tr>
    </w:tbl>
    <w:p>
      <w:pPr>
        <w:numPr>
          <w:ilvl w:val="0"/>
          <w:numId w:val="9"/>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电机轴用42CrMo，材质应满足</w:t>
      </w: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501"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248" w:type="pct"/>
            <w:gridSpan w:val="5"/>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c>
          <w:tcPr>
            <w:tcW w:w="1004" w:type="pct"/>
            <w:gridSpan w:val="2"/>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01"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38</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45</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40</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6</w:t>
            </w:r>
            <w:r>
              <w:rPr>
                <w:rFonts w:hint="default" w:ascii="Times New Roman" w:hAnsi="Times New Roman" w:eastAsia="宋体" w:cs="Times New Roman"/>
                <w:kern w:val="0"/>
                <w:sz w:val="20"/>
                <w:szCs w:val="20"/>
                <w:lang w:eastAsia="en-US"/>
              </w:rPr>
              <w:t>0-0.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0-1.</w:t>
            </w:r>
            <w:r>
              <w:rPr>
                <w:rFonts w:hint="default" w:ascii="Times New Roman" w:hAnsi="Times New Roman" w:eastAsia="宋体" w:cs="Times New Roman"/>
                <w:kern w:val="0"/>
                <w:sz w:val="20"/>
                <w:szCs w:val="20"/>
                <w:lang w:eastAsia="zh-CN"/>
              </w:rPr>
              <w:t>2</w:t>
            </w:r>
            <w:r>
              <w:rPr>
                <w:rFonts w:hint="default" w:ascii="Times New Roman" w:hAnsi="Times New Roman" w:eastAsia="宋体" w:cs="Times New Roman"/>
                <w:kern w:val="0"/>
                <w:sz w:val="20"/>
                <w:szCs w:val="20"/>
                <w:lang w:eastAsia="en-US"/>
              </w:rPr>
              <w:t>0</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0.15-0.</w:t>
            </w:r>
            <w:r>
              <w:rPr>
                <w:rFonts w:hint="default" w:ascii="Times New Roman" w:hAnsi="Times New Roman" w:eastAsia="宋体" w:cs="Times New Roman"/>
                <w:kern w:val="0"/>
                <w:sz w:val="20"/>
                <w:szCs w:val="20"/>
                <w:lang w:eastAsia="zh-CN"/>
              </w:rPr>
              <w:t>30</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r>
    </w:tbl>
    <w:p>
      <w:pPr>
        <w:ind w:right="11"/>
        <w:jc w:val="left"/>
        <w:rPr>
          <w:rFonts w:hint="default" w:ascii="Times New Roman" w:hAnsi="Times New Roman" w:eastAsia="宋体" w:cs="Times New Roman"/>
          <w:vanish/>
          <w:kern w:val="0"/>
          <w:sz w:val="22"/>
          <w:lang w:eastAsia="en-US"/>
        </w:rPr>
      </w:pP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973"/>
        <w:gridCol w:w="2044"/>
        <w:gridCol w:w="2370"/>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序号</w:t>
            </w:r>
          </w:p>
        </w:tc>
        <w:tc>
          <w:tcPr>
            <w:tcW w:w="523"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牌号名称</w:t>
            </w:r>
          </w:p>
        </w:tc>
        <w:tc>
          <w:tcPr>
            <w:tcW w:w="4185" w:type="pct"/>
            <w:gridSpan w:val="3"/>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ind w:right="11"/>
              <w:jc w:val="center"/>
              <w:rPr>
                <w:rFonts w:hint="default" w:ascii="Times New Roman" w:hAnsi="Times New Roman" w:eastAsia="宋体" w:cs="Times New Roman"/>
                <w:b/>
                <w:kern w:val="0"/>
                <w:sz w:val="20"/>
                <w:szCs w:val="20"/>
                <w:lang w:eastAsia="en-US"/>
              </w:rPr>
            </w:pPr>
            <w:bookmarkStart w:id="198" w:name="_Hlk498195276"/>
          </w:p>
        </w:tc>
        <w:tc>
          <w:tcPr>
            <w:tcW w:w="523"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1181"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抗拉强度R</w:t>
            </w:r>
            <w:r>
              <w:rPr>
                <w:rFonts w:hint="default" w:ascii="Times New Roman" w:hAnsi="Times New Roman" w:eastAsia="宋体" w:cs="Times New Roman"/>
                <w:kern w:val="0"/>
                <w:sz w:val="22"/>
                <w:vertAlign w:val="subscript"/>
                <w:lang w:eastAsia="en-US"/>
              </w:rPr>
              <w:t>m</w:t>
            </w:r>
            <w:r>
              <w:rPr>
                <w:rFonts w:hint="default" w:ascii="Times New Roman" w:hAnsi="Times New Roman" w:eastAsia="宋体" w:cs="Times New Roman"/>
                <w:kern w:val="0"/>
                <w:sz w:val="22"/>
                <w:lang w:eastAsia="en-US"/>
              </w:rPr>
              <w:t>/MPa</w:t>
            </w:r>
          </w:p>
        </w:tc>
        <w:tc>
          <w:tcPr>
            <w:tcW w:w="1368"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屈服强度</w:t>
            </w:r>
          </w:p>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eL或</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 MPa</w:t>
            </w:r>
          </w:p>
        </w:tc>
        <w:tc>
          <w:tcPr>
            <w:tcW w:w="1635"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断后伸长率A/%</w:t>
            </w:r>
          </w:p>
        </w:tc>
      </w:tr>
      <w:bookmarkEnd w:id="19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2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1181"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1080</w:t>
            </w:r>
          </w:p>
        </w:tc>
        <w:tc>
          <w:tcPr>
            <w:tcW w:w="136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930</w:t>
            </w:r>
          </w:p>
        </w:tc>
        <w:tc>
          <w:tcPr>
            <w:tcW w:w="1635"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12</w:t>
            </w:r>
          </w:p>
        </w:tc>
      </w:tr>
    </w:tbl>
    <w:p>
      <w:pPr>
        <w:numPr>
          <w:ilvl w:val="0"/>
          <w:numId w:val="9"/>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头座用45#钢，材质应满足</w:t>
      </w: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0.2</w:t>
            </w:r>
            <w:r>
              <w:rPr>
                <w:rFonts w:hint="default" w:ascii="Times New Roman" w:hAnsi="Times New Roman" w:eastAsia="宋体" w:cs="Times New Roman"/>
                <w:kern w:val="0"/>
                <w:sz w:val="20"/>
                <w:szCs w:val="20"/>
                <w:lang w:eastAsia="zh-CN"/>
              </w:rPr>
              <w:t>0</w:t>
            </w:r>
          </w:p>
        </w:tc>
      </w:tr>
    </w:tbl>
    <w:p>
      <w:pPr>
        <w:ind w:left="425" w:right="11"/>
        <w:jc w:val="left"/>
        <w:rPr>
          <w:rFonts w:hint="default" w:ascii="Times New Roman" w:hAnsi="Times New Roman" w:eastAsia="宋体" w:cs="Times New Roman"/>
          <w:vanish/>
          <w:kern w:val="0"/>
          <w:sz w:val="22"/>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60"/>
        <w:gridCol w:w="1749"/>
        <w:gridCol w:w="2426"/>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999"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386"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eL或</w:t>
            </w:r>
            <w:r>
              <w:rPr>
                <w:rFonts w:hint="default" w:ascii="Times New Roman" w:hAnsi="Times New Roman" w:eastAsia="宋体" w:cs="Times New Roman"/>
                <w:kern w:val="0"/>
                <w:sz w:val="20"/>
                <w:szCs w:val="20"/>
                <w:lang w:eastAsia="en-US"/>
              </w:rPr>
              <w:t>R</w:t>
            </w:r>
            <w:r>
              <w:rPr>
                <w:rFonts w:hint="default" w:ascii="Times New Roman" w:hAnsi="Times New Roman" w:eastAsia="宋体" w:cs="Times New Roman"/>
                <w:kern w:val="0"/>
                <w:sz w:val="20"/>
                <w:szCs w:val="20"/>
                <w:vertAlign w:val="subscript"/>
                <w:lang w:eastAsia="en-US"/>
              </w:rPr>
              <w:t>P0.2</w:t>
            </w:r>
            <w:r>
              <w:rPr>
                <w:rFonts w:hint="default" w:ascii="Times New Roman" w:hAnsi="Times New Roman" w:eastAsia="宋体" w:cs="Times New Roman"/>
                <w:kern w:val="0"/>
                <w:sz w:val="20"/>
                <w:szCs w:val="20"/>
                <w:lang w:eastAsia="en-US"/>
              </w:rPr>
              <w:t>/ MPa</w:t>
            </w:r>
          </w:p>
        </w:tc>
        <w:tc>
          <w:tcPr>
            <w:tcW w:w="1447" w:type="pct"/>
            <w:vAlign w:val="center"/>
          </w:tcPr>
          <w:p>
            <w:pPr>
              <w:autoSpaceDE w:val="0"/>
              <w:autoSpaceDN w:val="0"/>
              <w:adjustRightInd w:val="0"/>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999"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600</w:t>
            </w:r>
          </w:p>
        </w:tc>
        <w:tc>
          <w:tcPr>
            <w:tcW w:w="1386"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355</w:t>
            </w:r>
          </w:p>
        </w:tc>
        <w:tc>
          <w:tcPr>
            <w:tcW w:w="1447" w:type="pct"/>
            <w:vAlign w:val="center"/>
          </w:tcPr>
          <w:p>
            <w:pPr>
              <w:autoSpaceDE w:val="0"/>
              <w:autoSpaceDN w:val="0"/>
              <w:adjustRightInd w:val="0"/>
              <w:spacing w:line="360" w:lineRule="auto"/>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16</w:t>
            </w:r>
          </w:p>
        </w:tc>
      </w:tr>
    </w:tbl>
    <w:p>
      <w:pPr>
        <w:numPr>
          <w:ilvl w:val="2"/>
          <w:numId w:val="8"/>
        </w:numPr>
        <w:autoSpaceDE w:val="0"/>
        <w:autoSpaceDN w:val="0"/>
        <w:adjustRightInd w:val="0"/>
        <w:spacing w:line="360" w:lineRule="auto"/>
        <w:ind w:left="567" w:hanging="567"/>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每台潜油电机配送2桶型号：BH6（单桶16kG以上）204℃合格电机油，符合下表技术要求，并附带电机油MSDS。</w:t>
      </w:r>
    </w:p>
    <w:tbl>
      <w:tblPr>
        <w:tblStyle w:val="9"/>
        <w:tblW w:w="46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2017"/>
        <w:gridCol w:w="2015"/>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8"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7"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8"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7"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4032" w:type="dxa"/>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2768" w:type="dxa"/>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widowControl w:val="0"/>
        <w:autoSpaceDE w:val="0"/>
        <w:autoSpaceDN w:val="0"/>
        <w:adjustRightInd w:val="0"/>
        <w:spacing w:line="360" w:lineRule="auto"/>
        <w:ind w:firstLine="0" w:firstLineChars="0"/>
        <w:jc w:val="left"/>
        <w:rPr>
          <w:rFonts w:hint="default" w:ascii="Times New Roman" w:hAnsi="Times New Roman" w:eastAsia="宋体" w:cs="Times New Roman"/>
          <w:kern w:val="0"/>
          <w:sz w:val="24"/>
          <w:szCs w:val="24"/>
          <w:lang w:val="en-US" w:eastAsia="zh-CN" w:bidi="ar-SA"/>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低速永磁潜油电机</w:t>
      </w:r>
    </w:p>
    <w:tbl>
      <w:tblPr>
        <w:tblStyle w:val="10"/>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07"/>
        <w:gridCol w:w="1129"/>
        <w:gridCol w:w="4199"/>
        <w:gridCol w:w="937"/>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7"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199" w:name="_Toc27761"/>
            <w:bookmarkStart w:id="200" w:name="_Toc2703"/>
            <w:bookmarkStart w:id="201" w:name="_Toc12340"/>
            <w:bookmarkStart w:id="202" w:name="_Toc21322"/>
            <w:bookmarkStart w:id="203" w:name="_Toc2741"/>
            <w:r>
              <w:rPr>
                <w:rFonts w:hint="default" w:ascii="Times New Roman" w:hAnsi="Times New Roman" w:eastAsia="宋体" w:cs="Times New Roman"/>
                <w:spacing w:val="0"/>
                <w:kern w:val="0"/>
                <w:sz w:val="21"/>
                <w:szCs w:val="21"/>
                <w:lang w:val="en-US" w:eastAsia="zh-CN" w:bidi="ar-SA"/>
              </w:rPr>
              <w:t>序号</w:t>
            </w:r>
            <w:bookmarkEnd w:id="199"/>
            <w:bookmarkEnd w:id="200"/>
            <w:bookmarkEnd w:id="201"/>
            <w:bookmarkEnd w:id="202"/>
            <w:bookmarkEnd w:id="203"/>
          </w:p>
        </w:tc>
        <w:tc>
          <w:tcPr>
            <w:tcW w:w="1107"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04" w:name="_Toc2769"/>
            <w:bookmarkStart w:id="205" w:name="_Toc14258"/>
            <w:bookmarkStart w:id="206" w:name="_Toc6871"/>
            <w:bookmarkStart w:id="207" w:name="_Toc16236"/>
            <w:bookmarkStart w:id="208" w:name="_Toc18231"/>
            <w:r>
              <w:rPr>
                <w:rFonts w:hint="default" w:ascii="Times New Roman" w:hAnsi="Times New Roman" w:eastAsia="宋体" w:cs="Times New Roman"/>
                <w:spacing w:val="0"/>
                <w:kern w:val="0"/>
                <w:sz w:val="21"/>
                <w:szCs w:val="21"/>
                <w:lang w:val="en-US" w:eastAsia="zh-CN" w:bidi="ar-SA"/>
              </w:rPr>
              <w:t>物料编码</w:t>
            </w:r>
            <w:bookmarkEnd w:id="204"/>
            <w:bookmarkEnd w:id="205"/>
            <w:bookmarkEnd w:id="206"/>
            <w:bookmarkEnd w:id="207"/>
            <w:bookmarkEnd w:id="208"/>
          </w:p>
        </w:tc>
        <w:tc>
          <w:tcPr>
            <w:tcW w:w="1129"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09" w:name="_Toc18390"/>
            <w:bookmarkStart w:id="210" w:name="_Toc18579"/>
            <w:bookmarkStart w:id="211" w:name="_Toc32385"/>
            <w:bookmarkStart w:id="212" w:name="_Toc27702"/>
            <w:bookmarkStart w:id="213" w:name="_Toc27235"/>
            <w:r>
              <w:rPr>
                <w:rFonts w:hint="default" w:ascii="Times New Roman" w:hAnsi="Times New Roman" w:eastAsia="宋体" w:cs="Times New Roman"/>
                <w:spacing w:val="0"/>
                <w:kern w:val="0"/>
                <w:sz w:val="21"/>
                <w:szCs w:val="21"/>
                <w:lang w:val="en-US" w:eastAsia="zh-CN" w:bidi="ar-SA"/>
              </w:rPr>
              <w:t>物资名称</w:t>
            </w:r>
            <w:bookmarkEnd w:id="209"/>
            <w:bookmarkEnd w:id="210"/>
            <w:bookmarkEnd w:id="211"/>
            <w:bookmarkEnd w:id="212"/>
            <w:bookmarkEnd w:id="213"/>
          </w:p>
        </w:tc>
        <w:tc>
          <w:tcPr>
            <w:tcW w:w="4199"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14" w:name="_Toc20061"/>
            <w:bookmarkStart w:id="215" w:name="_Toc4212"/>
            <w:bookmarkStart w:id="216" w:name="_Toc14046"/>
            <w:bookmarkStart w:id="217" w:name="_Toc31652"/>
            <w:bookmarkStart w:id="218" w:name="_Toc17515"/>
            <w:r>
              <w:rPr>
                <w:rFonts w:hint="default" w:ascii="Times New Roman" w:hAnsi="Times New Roman" w:eastAsia="宋体" w:cs="Times New Roman"/>
                <w:spacing w:val="0"/>
                <w:kern w:val="0"/>
                <w:sz w:val="21"/>
                <w:szCs w:val="21"/>
                <w:lang w:val="en-US" w:eastAsia="zh-CN" w:bidi="ar-SA"/>
              </w:rPr>
              <w:t>规格型号</w:t>
            </w:r>
            <w:bookmarkEnd w:id="214"/>
            <w:bookmarkEnd w:id="215"/>
            <w:bookmarkEnd w:id="216"/>
            <w:bookmarkEnd w:id="217"/>
            <w:bookmarkEnd w:id="218"/>
          </w:p>
        </w:tc>
        <w:tc>
          <w:tcPr>
            <w:tcW w:w="937"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19" w:name="_Toc22262"/>
            <w:bookmarkStart w:id="220" w:name="_Toc24869"/>
            <w:bookmarkStart w:id="221" w:name="_Toc28878"/>
            <w:bookmarkStart w:id="222" w:name="_Toc16665"/>
            <w:bookmarkStart w:id="223" w:name="_Toc4434"/>
            <w:r>
              <w:rPr>
                <w:rFonts w:hint="default" w:ascii="Times New Roman" w:hAnsi="Times New Roman" w:eastAsia="宋体" w:cs="Times New Roman"/>
                <w:spacing w:val="0"/>
                <w:kern w:val="0"/>
                <w:sz w:val="21"/>
                <w:szCs w:val="21"/>
                <w:lang w:val="en-US" w:eastAsia="zh-CN" w:bidi="ar-SA"/>
              </w:rPr>
              <w:t>单位</w:t>
            </w:r>
            <w:bookmarkEnd w:id="219"/>
            <w:bookmarkEnd w:id="220"/>
            <w:bookmarkEnd w:id="221"/>
            <w:bookmarkEnd w:id="222"/>
            <w:bookmarkEnd w:id="223"/>
          </w:p>
        </w:tc>
        <w:tc>
          <w:tcPr>
            <w:tcW w:w="1153"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24" w:name="_Toc25761"/>
            <w:bookmarkStart w:id="225" w:name="_Toc3599"/>
            <w:bookmarkStart w:id="226" w:name="_Toc25340"/>
            <w:bookmarkStart w:id="227" w:name="_Toc22679"/>
            <w:bookmarkStart w:id="228" w:name="_Toc15207"/>
            <w:r>
              <w:rPr>
                <w:rFonts w:hint="default" w:ascii="Times New Roman" w:hAnsi="Times New Roman" w:eastAsia="宋体" w:cs="Times New Roman"/>
                <w:spacing w:val="0"/>
                <w:kern w:val="0"/>
                <w:sz w:val="21"/>
                <w:szCs w:val="21"/>
                <w:lang w:val="en-US" w:eastAsia="zh-CN" w:bidi="ar-SA"/>
              </w:rPr>
              <w:t>备注</w:t>
            </w:r>
            <w:bookmarkEnd w:id="224"/>
            <w:bookmarkEnd w:id="225"/>
            <w:bookmarkEnd w:id="226"/>
            <w:bookmarkEnd w:id="227"/>
            <w:bookmarkEnd w:id="2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9212" w:type="dxa"/>
            <w:gridSpan w:val="6"/>
            <w:vAlign w:val="center"/>
          </w:tcPr>
          <w:p>
            <w:pPr>
              <w:widowControl/>
              <w:spacing w:line="360" w:lineRule="auto"/>
              <w:jc w:val="center"/>
              <w:rPr>
                <w:rFonts w:hint="default" w:ascii="Times New Roman" w:hAnsi="Times New Roman" w:eastAsia="宋体" w:cs="Times New Roman"/>
                <w:kern w:val="0"/>
                <w:sz w:val="21"/>
                <w:szCs w:val="21"/>
                <w:lang w:eastAsia="en-US"/>
              </w:rPr>
            </w:pPr>
            <w:bookmarkStart w:id="229" w:name="_Toc19131"/>
            <w:bookmarkEnd w:id="229"/>
            <w:bookmarkStart w:id="230" w:name="_Toc27404"/>
            <w:bookmarkEnd w:id="230"/>
            <w:bookmarkStart w:id="231" w:name="_Toc10412"/>
            <w:bookmarkEnd w:id="231"/>
            <w:bookmarkStart w:id="232" w:name="_Toc17207"/>
            <w:bookmarkEnd w:id="232"/>
            <w:bookmarkStart w:id="233" w:name="_Toc23013"/>
            <w:bookmarkEnd w:id="233"/>
            <w:r>
              <w:rPr>
                <w:rFonts w:hint="default" w:ascii="Times New Roman" w:hAnsi="Times New Roman" w:eastAsia="宋体" w:cs="Times New Roman"/>
                <w:kern w:val="0"/>
                <w:sz w:val="21"/>
                <w:szCs w:val="21"/>
                <w:lang w:eastAsia="en-US"/>
              </w:rPr>
              <w:t>标段</w:t>
            </w:r>
            <w:r>
              <w:rPr>
                <w:rFonts w:hint="eastAsia" w:ascii="Times New Roman" w:hAnsi="Times New Roman" w:eastAsia="宋体" w:cs="Times New Roman"/>
                <w:kern w:val="0"/>
                <w:sz w:val="21"/>
                <w:szCs w:val="21"/>
                <w:lang w:val="en-US" w:eastAsia="zh-CN"/>
              </w:rPr>
              <w:t>三</w:t>
            </w:r>
            <w:r>
              <w:rPr>
                <w:rFonts w:hint="eastAsia" w:ascii="Times New Roman" w:hAnsi="Times New Roman" w:eastAsia="宋体" w:cs="Times New Roman"/>
                <w:color w:val="000000"/>
                <w:kern w:val="0"/>
                <w:sz w:val="20"/>
                <w:szCs w:val="20"/>
                <w:lang w:val="en-US" w:eastAsia="zh-CN" w:bidi="ar"/>
              </w:rPr>
              <w:t>OTS400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87" w:type="dxa"/>
            <w:vAlign w:val="center"/>
          </w:tcPr>
          <w:p>
            <w:pPr>
              <w:widowControl w:val="0"/>
              <w:numPr>
                <w:ilvl w:val="0"/>
                <w:numId w:val="10"/>
              </w:numPr>
              <w:spacing w:line="360" w:lineRule="auto"/>
              <w:ind w:left="0" w:firstLine="0"/>
              <w:jc w:val="center"/>
              <w:outlineLvl w:val="1"/>
              <w:rPr>
                <w:rFonts w:hint="eastAsia" w:ascii="宋体" w:hAnsi="宋体" w:eastAsia="宋体" w:cs="宋体"/>
                <w:spacing w:val="0"/>
                <w:kern w:val="0"/>
                <w:sz w:val="18"/>
                <w:szCs w:val="18"/>
                <w:lang w:val="en-US" w:eastAsia="en-US" w:bidi="ar-SA"/>
              </w:rPr>
            </w:pPr>
            <w:bookmarkStart w:id="234" w:name="_Toc3527"/>
            <w:bookmarkEnd w:id="234"/>
            <w:bookmarkStart w:id="235" w:name="_Toc8695"/>
            <w:bookmarkEnd w:id="235"/>
            <w:bookmarkStart w:id="236" w:name="_Toc8010"/>
            <w:bookmarkEnd w:id="236"/>
            <w:bookmarkStart w:id="237" w:name="_Toc11620"/>
            <w:bookmarkEnd w:id="237"/>
            <w:bookmarkStart w:id="238" w:name="_Toc30271"/>
            <w:bookmarkEnd w:id="238"/>
          </w:p>
        </w:tc>
        <w:tc>
          <w:tcPr>
            <w:tcW w:w="1107"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84854134</w:t>
            </w:r>
          </w:p>
        </w:tc>
        <w:tc>
          <w:tcPr>
            <w:tcW w:w="1129" w:type="dxa"/>
            <w:vAlign w:val="center"/>
          </w:tcPr>
          <w:p>
            <w:pPr>
              <w:widowControl w:val="0"/>
              <w:spacing w:line="360" w:lineRule="auto"/>
              <w:jc w:val="center"/>
              <w:outlineLvl w:val="1"/>
              <w:rPr>
                <w:rFonts w:hint="eastAsia" w:ascii="宋体" w:hAnsi="宋体" w:eastAsia="宋体" w:cs="宋体"/>
                <w:spacing w:val="2"/>
                <w:kern w:val="0"/>
                <w:sz w:val="18"/>
                <w:szCs w:val="18"/>
                <w:lang w:val="en-US" w:eastAsia="zh-CN" w:bidi="ar-SA"/>
              </w:rPr>
            </w:pPr>
            <w:bookmarkStart w:id="239" w:name="_Toc2127"/>
            <w:bookmarkStart w:id="240" w:name="_Toc7089"/>
            <w:bookmarkStart w:id="241" w:name="_Toc19236"/>
            <w:bookmarkStart w:id="242" w:name="_Toc10821"/>
            <w:bookmarkStart w:id="243" w:name="_Toc12626"/>
            <w:r>
              <w:rPr>
                <w:rFonts w:hint="eastAsia" w:ascii="宋体" w:hAnsi="宋体" w:eastAsia="宋体" w:cs="宋体"/>
                <w:spacing w:val="2"/>
                <w:kern w:val="0"/>
                <w:sz w:val="18"/>
                <w:szCs w:val="18"/>
                <w:lang w:val="en-US" w:eastAsia="zh-CN" w:bidi="ar-SA"/>
              </w:rPr>
              <w:t>潜油电机</w:t>
            </w:r>
            <w:bookmarkEnd w:id="239"/>
            <w:bookmarkEnd w:id="240"/>
            <w:bookmarkEnd w:id="241"/>
            <w:bookmarkEnd w:id="242"/>
            <w:bookmarkEnd w:id="243"/>
          </w:p>
        </w:tc>
        <w:tc>
          <w:tcPr>
            <w:tcW w:w="419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LSPMM450-DS-OTS400\位置类型:ST\42hp\948V\40A\204℃</w:t>
            </w:r>
          </w:p>
        </w:tc>
        <w:tc>
          <w:tcPr>
            <w:tcW w:w="937" w:type="dxa"/>
            <w:vAlign w:val="center"/>
          </w:tcPr>
          <w:p>
            <w:pPr>
              <w:widowControl w:val="0"/>
              <w:spacing w:line="360" w:lineRule="auto"/>
              <w:jc w:val="center"/>
              <w:outlineLvl w:val="1"/>
              <w:rPr>
                <w:rFonts w:hint="eastAsia" w:ascii="宋体" w:hAnsi="宋体" w:eastAsia="宋体" w:cs="宋体"/>
                <w:spacing w:val="2"/>
                <w:kern w:val="0"/>
                <w:sz w:val="18"/>
                <w:szCs w:val="18"/>
                <w:lang w:val="en-US" w:eastAsia="zh-CN" w:bidi="ar-SA"/>
              </w:rPr>
            </w:pPr>
            <w:bookmarkStart w:id="244" w:name="_Toc8912"/>
            <w:bookmarkStart w:id="245" w:name="_Toc11146"/>
            <w:bookmarkStart w:id="246" w:name="_Toc10125"/>
            <w:bookmarkStart w:id="247" w:name="_Toc8208"/>
            <w:bookmarkStart w:id="248" w:name="_Toc21711"/>
            <w:r>
              <w:rPr>
                <w:rFonts w:hint="eastAsia" w:ascii="宋体" w:hAnsi="宋体" w:eastAsia="宋体" w:cs="宋体"/>
                <w:spacing w:val="2"/>
                <w:kern w:val="0"/>
                <w:sz w:val="18"/>
                <w:szCs w:val="18"/>
                <w:lang w:val="en-US" w:eastAsia="zh-CN" w:bidi="ar-SA"/>
              </w:rPr>
              <w:t>件</w:t>
            </w:r>
            <w:bookmarkEnd w:id="244"/>
            <w:bookmarkEnd w:id="245"/>
            <w:bookmarkEnd w:id="246"/>
            <w:bookmarkEnd w:id="247"/>
            <w:bookmarkEnd w:id="248"/>
          </w:p>
        </w:tc>
        <w:tc>
          <w:tcPr>
            <w:tcW w:w="1153"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en-US"/>
              </w:rPr>
            </w:pPr>
            <w:r>
              <w:rPr>
                <w:rFonts w:hint="eastAsia" w:ascii="宋体" w:hAnsi="宋体" w:eastAsia="宋体" w:cs="宋体"/>
                <w:i w:val="0"/>
                <w:iCs w:val="0"/>
                <w:color w:val="000000"/>
                <w:kern w:val="0"/>
                <w:sz w:val="18"/>
                <w:szCs w:val="18"/>
                <w:u w:val="none"/>
                <w:lang w:val="en-US" w:eastAsia="zh-CN" w:bidi="ar"/>
              </w:rPr>
              <w:t>948V/40A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87" w:type="dxa"/>
            <w:vAlign w:val="center"/>
          </w:tcPr>
          <w:p>
            <w:pPr>
              <w:widowControl w:val="0"/>
              <w:numPr>
                <w:ilvl w:val="0"/>
                <w:numId w:val="10"/>
              </w:numPr>
              <w:spacing w:line="360" w:lineRule="auto"/>
              <w:ind w:left="0" w:firstLine="0"/>
              <w:jc w:val="center"/>
              <w:outlineLvl w:val="1"/>
              <w:rPr>
                <w:rFonts w:hint="eastAsia" w:ascii="宋体" w:hAnsi="宋体" w:eastAsia="宋体" w:cs="宋体"/>
                <w:spacing w:val="0"/>
                <w:kern w:val="0"/>
                <w:sz w:val="18"/>
                <w:szCs w:val="18"/>
                <w:lang w:val="en-US" w:eastAsia="en-US" w:bidi="ar-SA"/>
              </w:rPr>
            </w:pPr>
          </w:p>
        </w:tc>
        <w:tc>
          <w:tcPr>
            <w:tcW w:w="1107"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84854135</w:t>
            </w:r>
          </w:p>
        </w:tc>
        <w:tc>
          <w:tcPr>
            <w:tcW w:w="1129" w:type="dxa"/>
            <w:vAlign w:val="center"/>
          </w:tcPr>
          <w:p>
            <w:pPr>
              <w:spacing w:line="360" w:lineRule="auto"/>
              <w:jc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潜油电机</w:t>
            </w:r>
          </w:p>
        </w:tc>
        <w:tc>
          <w:tcPr>
            <w:tcW w:w="419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LSPMM562-DS-OTS400\位置类型:ST\67.4hp\976V\39A\204℃</w:t>
            </w:r>
          </w:p>
        </w:tc>
        <w:tc>
          <w:tcPr>
            <w:tcW w:w="937" w:type="dxa"/>
            <w:vAlign w:val="center"/>
          </w:tcPr>
          <w:p>
            <w:pPr>
              <w:widowControl w:val="0"/>
              <w:spacing w:line="360" w:lineRule="auto"/>
              <w:jc w:val="center"/>
              <w:outlineLvl w:val="1"/>
              <w:rPr>
                <w:rFonts w:hint="eastAsia" w:ascii="宋体" w:hAnsi="宋体" w:eastAsia="宋体" w:cs="宋体"/>
                <w:spacing w:val="2"/>
                <w:kern w:val="0"/>
                <w:sz w:val="18"/>
                <w:szCs w:val="18"/>
                <w:lang w:val="en-US" w:eastAsia="zh-CN" w:bidi="ar-SA"/>
              </w:rPr>
            </w:pPr>
            <w:r>
              <w:rPr>
                <w:rFonts w:hint="eastAsia" w:ascii="宋体" w:hAnsi="宋体" w:eastAsia="宋体" w:cs="宋体"/>
                <w:spacing w:val="2"/>
                <w:kern w:val="0"/>
                <w:sz w:val="18"/>
                <w:szCs w:val="18"/>
                <w:lang w:val="en-US" w:eastAsia="zh-CN" w:bidi="ar-SA"/>
              </w:rPr>
              <w:t>件</w:t>
            </w:r>
          </w:p>
        </w:tc>
        <w:tc>
          <w:tcPr>
            <w:tcW w:w="1153"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976V/39A</w:t>
            </w:r>
          </w:p>
        </w:tc>
      </w:tr>
    </w:tbl>
    <w:p>
      <w:pPr>
        <w:widowControl w:val="0"/>
        <w:numPr>
          <w:ilvl w:val="2"/>
          <w:numId w:val="11"/>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450系列低速永磁潜油电机，额定功率42HP。</w:t>
      </w:r>
    </w:p>
    <w:p>
      <w:pPr>
        <w:widowControl w:val="0"/>
        <w:numPr>
          <w:ilvl w:val="2"/>
          <w:numId w:val="11"/>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562系列低速永磁潜油电机，额定功率67.4HP。</w:t>
      </w:r>
    </w:p>
    <w:p>
      <w:pPr>
        <w:widowControl w:val="0"/>
        <w:numPr>
          <w:ilvl w:val="2"/>
          <w:numId w:val="11"/>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450系列要求单节电机最大输出扭矩可以达到1000牛米以上；562系列要求单节电机最大输出扭矩可以达到1600牛米以上。</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适用井温：150℃；</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电机额定频率40HZ，额定转速300RPM。要求电机可以长期在150RPM情况下运行，并且在6.0HZ情况下能保证井下传感器的通讯稳定。</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转子采用永磁体，永磁体耐温不低于180℃，材质选用钕铁硼（NdFeB）或更高级别的钐钴（SmCo）材质及以上等级，</w:t>
      </w:r>
      <w:r>
        <w:rPr>
          <w:rFonts w:ascii="Times New Roman" w:hAnsi="Times New Roman" w:eastAsia="宋体" w:cs="Times New Roman"/>
          <w:kern w:val="0"/>
          <w:sz w:val="21"/>
          <w:szCs w:val="21"/>
          <w:lang w:eastAsia="zh-CN"/>
        </w:rPr>
        <w:t>满足对磁场强度和温度稳定性的高要求</w:t>
      </w:r>
      <w:r>
        <w:rPr>
          <w:rFonts w:hint="default" w:ascii="Times New Roman" w:hAnsi="Times New Roman" w:eastAsia="宋体" w:cs="Times New Roman"/>
          <w:kern w:val="0"/>
          <w:sz w:val="21"/>
          <w:szCs w:val="21"/>
          <w:lang w:eastAsia="zh-CN"/>
        </w:rPr>
        <w:t>。</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永磁电机级数≥16极。</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永磁电机电磁线采用电磁线耐交流电压等级不低于4000V，聚酰亚胺膜每层的叠包率不低于48%。</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电机接口尺寸符合《机械采油公司潜油电泵产品接口参数明细》（见附件一）要求。</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密封圈采用AFLAS，适用井温不低于204℃。</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电机轴采用42CrMo高强度合金钢及以上材质。</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接头、底座和壳体采用45钢，连接螺栓和垫片应采用Monel K500，头、座采用45#钢材质(或相同性能的材质),送货文件应提供材质化学成分及机械性能检测报告，并注明炉号等可追溯性标识信息。</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运输帽预留丝堵放气孔，运输帽螺栓必须齐全并旋紧，出厂时应按照法兰连接螺栓型号配置相应数量的内外六角螺钉及下井件（O圈、垫片等）主备各一套。</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底部留有能与电泵工况装置配合的连接法兰，并预留星点引出线，星点引出线长度应保证露出电机端部500mm。电机尾扣为2-3/8″EU母扣。电机绕组线圈内加装泵工况测温用热电耦并预装泵工况对插接头（对插接头图纸见附件六）。</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25℃环境温度下相间、对地绝缘电阻均应大于1000MΩ。</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电机三相绕组直流电阻不平衡率不得大于2%。</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成品电机应预注新的合格电机油，电机油耐温不低于200℃，电机到货静置24小时后，无渗漏。</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整机能承受压力为0.5MPa气压，历时5min的密封性能试验，各密封连接部位不泄漏。</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整机连接全部采用内外六角螺钉，采用法兰形式连接。</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材质要求</w:t>
      </w:r>
    </w:p>
    <w:p>
      <w:pPr>
        <w:numPr>
          <w:ilvl w:val="0"/>
          <w:numId w:val="12"/>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投标方需提供永磁体的牌号，招标方可以进行检验验证。</w:t>
      </w:r>
    </w:p>
    <w:p>
      <w:pPr>
        <w:numPr>
          <w:ilvl w:val="0"/>
          <w:numId w:val="12"/>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壳体用45</w:t>
      </w:r>
      <w:r>
        <w:rPr>
          <w:rFonts w:hint="default" w:ascii="Times New Roman" w:hAnsi="Times New Roman" w:eastAsia="宋体" w:cs="Times New Roman"/>
          <w:kern w:val="0"/>
          <w:sz w:val="21"/>
          <w:szCs w:val="21"/>
          <w:vertAlign w:val="superscript"/>
          <w:lang w:eastAsia="zh-CN"/>
        </w:rPr>
        <w:t>#</w:t>
      </w:r>
      <w:r>
        <w:rPr>
          <w:rFonts w:hint="default" w:ascii="Times New Roman" w:hAnsi="Times New Roman" w:eastAsia="宋体" w:cs="Times New Roman"/>
          <w:kern w:val="0"/>
          <w:sz w:val="21"/>
          <w:szCs w:val="21"/>
          <w:lang w:eastAsia="zh-CN"/>
        </w:rPr>
        <w:t>钢材质应满足</w:t>
      </w: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50"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0.2</w:t>
            </w:r>
            <w:r>
              <w:rPr>
                <w:rFonts w:hint="default" w:ascii="Times New Roman" w:hAnsi="Times New Roman" w:eastAsia="宋体" w:cs="Times New Roman"/>
                <w:kern w:val="0"/>
                <w:sz w:val="20"/>
                <w:szCs w:val="20"/>
                <w:lang w:eastAsia="zh-CN"/>
              </w:rPr>
              <w:t>0</w:t>
            </w:r>
          </w:p>
        </w:tc>
      </w:tr>
    </w:tbl>
    <w:p>
      <w:pPr>
        <w:widowControl w:val="0"/>
        <w:numPr>
          <w:ilvl w:val="0"/>
          <w:numId w:val="11"/>
        </w:numPr>
        <w:ind w:right="11" w:firstLine="420" w:firstLineChars="0"/>
        <w:jc w:val="left"/>
        <w:rPr>
          <w:rFonts w:hint="default" w:ascii="Times New Roman" w:hAnsi="Times New Roman" w:eastAsia="宋体" w:cs="Times New Roman"/>
          <w:vanish/>
          <w:kern w:val="0"/>
          <w:sz w:val="22"/>
          <w:szCs w:val="22"/>
          <w:lang w:val="en-US" w:eastAsia="en-US" w:bidi="ar-SA"/>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498"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25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w:t>
            </w:r>
            <w:r>
              <w:rPr>
                <w:rFonts w:hint="default" w:ascii="Times New Roman" w:hAnsi="Times New Roman" w:eastAsia="宋体" w:cs="Times New Roman"/>
                <w:kern w:val="0"/>
                <w:sz w:val="20"/>
                <w:szCs w:val="20"/>
                <w:lang w:eastAsia="en-US"/>
              </w:rPr>
              <w:t>/ MPa</w:t>
            </w:r>
          </w:p>
        </w:tc>
        <w:tc>
          <w:tcPr>
            <w:tcW w:w="1084"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149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590</w:t>
            </w:r>
          </w:p>
        </w:tc>
        <w:tc>
          <w:tcPr>
            <w:tcW w:w="125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335</w:t>
            </w:r>
          </w:p>
        </w:tc>
        <w:tc>
          <w:tcPr>
            <w:tcW w:w="1084"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14</w:t>
            </w:r>
          </w:p>
        </w:tc>
      </w:tr>
    </w:tbl>
    <w:p>
      <w:pPr>
        <w:numPr>
          <w:ilvl w:val="0"/>
          <w:numId w:val="12"/>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电机轴用42CrMo材质应满足</w:t>
      </w: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019"/>
        <w:gridCol w:w="868"/>
        <w:gridCol w:w="1149"/>
        <w:gridCol w:w="1019"/>
        <w:gridCol w:w="1168"/>
        <w:gridCol w:w="1313"/>
        <w:gridCol w:w="875"/>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585"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165" w:type="pct"/>
            <w:gridSpan w:val="5"/>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c>
          <w:tcPr>
            <w:tcW w:w="1003" w:type="pct"/>
            <w:gridSpan w:val="2"/>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5"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8"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8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498"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38</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45</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40</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6</w:t>
            </w:r>
            <w:r>
              <w:rPr>
                <w:rFonts w:hint="default" w:ascii="Times New Roman" w:hAnsi="Times New Roman" w:eastAsia="宋体" w:cs="Times New Roman"/>
                <w:kern w:val="0"/>
                <w:sz w:val="20"/>
                <w:szCs w:val="20"/>
                <w:lang w:eastAsia="en-US"/>
              </w:rPr>
              <w:t>0-0.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0-1.</w:t>
            </w:r>
            <w:r>
              <w:rPr>
                <w:rFonts w:hint="default" w:ascii="Times New Roman" w:hAnsi="Times New Roman" w:eastAsia="宋体" w:cs="Times New Roman"/>
                <w:kern w:val="0"/>
                <w:sz w:val="20"/>
                <w:szCs w:val="20"/>
                <w:lang w:eastAsia="zh-CN"/>
              </w:rPr>
              <w:t>2</w:t>
            </w:r>
            <w:r>
              <w:rPr>
                <w:rFonts w:hint="default" w:ascii="Times New Roman" w:hAnsi="Times New Roman" w:eastAsia="宋体" w:cs="Times New Roman"/>
                <w:kern w:val="0"/>
                <w:sz w:val="20"/>
                <w:szCs w:val="20"/>
                <w:lang w:eastAsia="en-US"/>
              </w:rPr>
              <w:t>0</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0.15-0.</w:t>
            </w:r>
            <w:r>
              <w:rPr>
                <w:rFonts w:hint="default" w:ascii="Times New Roman" w:hAnsi="Times New Roman" w:eastAsia="宋体" w:cs="Times New Roman"/>
                <w:kern w:val="0"/>
                <w:sz w:val="20"/>
                <w:szCs w:val="20"/>
                <w:lang w:eastAsia="zh-CN"/>
              </w:rPr>
              <w:t>30</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r>
    </w:tbl>
    <w:p>
      <w:pPr>
        <w:widowControl w:val="0"/>
        <w:numPr>
          <w:ilvl w:val="0"/>
          <w:numId w:val="11"/>
        </w:numPr>
        <w:ind w:right="11" w:firstLine="420" w:firstLineChars="0"/>
        <w:jc w:val="left"/>
        <w:rPr>
          <w:rFonts w:hint="default" w:ascii="Times New Roman" w:hAnsi="Times New Roman" w:eastAsia="宋体" w:cs="Times New Roman"/>
          <w:vanish/>
          <w:kern w:val="0"/>
          <w:sz w:val="22"/>
          <w:szCs w:val="22"/>
          <w:lang w:val="en-US" w:eastAsia="en-US" w:bidi="ar-SA"/>
        </w:rPr>
      </w:pP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973"/>
        <w:gridCol w:w="2044"/>
        <w:gridCol w:w="2464"/>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序号</w:t>
            </w:r>
          </w:p>
        </w:tc>
        <w:tc>
          <w:tcPr>
            <w:tcW w:w="523"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牌号名称</w:t>
            </w:r>
          </w:p>
        </w:tc>
        <w:tc>
          <w:tcPr>
            <w:tcW w:w="4186" w:type="pct"/>
            <w:gridSpan w:val="3"/>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523"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1181"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抗拉强度R</w:t>
            </w:r>
            <w:r>
              <w:rPr>
                <w:rFonts w:hint="default" w:ascii="Times New Roman" w:hAnsi="Times New Roman" w:eastAsia="宋体" w:cs="Times New Roman"/>
                <w:kern w:val="0"/>
                <w:sz w:val="22"/>
                <w:vertAlign w:val="subscript"/>
                <w:lang w:eastAsia="en-US"/>
              </w:rPr>
              <w:t>m</w:t>
            </w:r>
            <w:r>
              <w:rPr>
                <w:rFonts w:hint="default" w:ascii="Times New Roman" w:hAnsi="Times New Roman" w:eastAsia="宋体" w:cs="Times New Roman"/>
                <w:kern w:val="0"/>
                <w:sz w:val="22"/>
                <w:lang w:eastAsia="en-US"/>
              </w:rPr>
              <w:t>/MPa</w:t>
            </w:r>
          </w:p>
        </w:tc>
        <w:tc>
          <w:tcPr>
            <w:tcW w:w="1422"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屈服强度</w:t>
            </w:r>
          </w:p>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eL或</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 MPa</w:t>
            </w:r>
          </w:p>
        </w:tc>
        <w:tc>
          <w:tcPr>
            <w:tcW w:w="1582"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2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1181"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1080</w:t>
            </w:r>
          </w:p>
        </w:tc>
        <w:tc>
          <w:tcPr>
            <w:tcW w:w="1422"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930</w:t>
            </w:r>
          </w:p>
        </w:tc>
        <w:tc>
          <w:tcPr>
            <w:tcW w:w="1582"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12</w:t>
            </w:r>
          </w:p>
        </w:tc>
      </w:tr>
    </w:tbl>
    <w:p>
      <w:pPr>
        <w:numPr>
          <w:ilvl w:val="0"/>
          <w:numId w:val="12"/>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头座用45#钢材质应满足</w:t>
      </w: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873"/>
        <w:gridCol w:w="586"/>
        <w:gridCol w:w="581"/>
        <w:gridCol w:w="1167"/>
        <w:gridCol w:w="1020"/>
        <w:gridCol w:w="877"/>
        <w:gridCol w:w="467"/>
        <w:gridCol w:w="407"/>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10"/>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gridSpan w:val="2"/>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gridSpan w:val="2"/>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gridSpan w:val="2"/>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6"/>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667" w:type="pct"/>
            <w:gridSpan w:val="2"/>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gridSpan w:val="2"/>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0.2</w:t>
            </w:r>
            <w:r>
              <w:rPr>
                <w:rFonts w:hint="default" w:ascii="Times New Roman" w:hAnsi="Times New Roman" w:eastAsia="宋体" w:cs="Times New Roman"/>
                <w:kern w:val="0"/>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gridSpan w:val="2"/>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9"/>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gridSpan w:val="2"/>
            <w:vMerge w:val="continue"/>
            <w:vAlign w:val="center"/>
          </w:tcPr>
          <w:p>
            <w:pPr>
              <w:ind w:right="11"/>
              <w:jc w:val="center"/>
              <w:rPr>
                <w:rFonts w:hint="default" w:ascii="Times New Roman" w:hAnsi="Times New Roman" w:eastAsia="宋体" w:cs="Times New Roman"/>
                <w:kern w:val="0"/>
                <w:sz w:val="20"/>
                <w:szCs w:val="20"/>
                <w:lang w:eastAsia="en-US"/>
              </w:rPr>
            </w:pPr>
          </w:p>
        </w:tc>
        <w:tc>
          <w:tcPr>
            <w:tcW w:w="999" w:type="pct"/>
            <w:gridSpan w:val="2"/>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351" w:type="pct"/>
            <w:gridSpan w:val="3"/>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eL或</w:t>
            </w:r>
            <w:r>
              <w:rPr>
                <w:rFonts w:hint="default" w:ascii="Times New Roman" w:hAnsi="Times New Roman" w:eastAsia="宋体" w:cs="Times New Roman"/>
                <w:kern w:val="0"/>
                <w:sz w:val="20"/>
                <w:szCs w:val="20"/>
                <w:lang w:eastAsia="en-US"/>
              </w:rPr>
              <w:t>R</w:t>
            </w:r>
            <w:r>
              <w:rPr>
                <w:rFonts w:hint="default" w:ascii="Times New Roman" w:hAnsi="Times New Roman" w:eastAsia="宋体" w:cs="Times New Roman"/>
                <w:kern w:val="0"/>
                <w:sz w:val="20"/>
                <w:szCs w:val="20"/>
                <w:vertAlign w:val="subscript"/>
                <w:lang w:eastAsia="en-US"/>
              </w:rPr>
              <w:t>P0.2</w:t>
            </w:r>
            <w:r>
              <w:rPr>
                <w:rFonts w:hint="default" w:ascii="Times New Roman" w:hAnsi="Times New Roman" w:eastAsia="宋体" w:cs="Times New Roman"/>
                <w:kern w:val="0"/>
                <w:sz w:val="20"/>
                <w:szCs w:val="20"/>
                <w:lang w:eastAsia="en-US"/>
              </w:rPr>
              <w:t>/ MPa</w:t>
            </w:r>
          </w:p>
        </w:tc>
        <w:tc>
          <w:tcPr>
            <w:tcW w:w="1482" w:type="pct"/>
            <w:gridSpan w:val="4"/>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gridSpan w:val="2"/>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999" w:type="pct"/>
            <w:gridSpan w:val="2"/>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600</w:t>
            </w:r>
          </w:p>
        </w:tc>
        <w:tc>
          <w:tcPr>
            <w:tcW w:w="1351"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355</w:t>
            </w:r>
          </w:p>
        </w:tc>
        <w:tc>
          <w:tcPr>
            <w:tcW w:w="1482" w:type="pct"/>
            <w:gridSpan w:val="4"/>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16</w:t>
            </w:r>
          </w:p>
        </w:tc>
      </w:tr>
    </w:tbl>
    <w:p>
      <w:pPr>
        <w:numPr>
          <w:ilvl w:val="2"/>
          <w:numId w:val="13"/>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每台潜油电机配送2桶型号：BH6（单桶16kG以上）204℃合格电机油，符合下表技术要求，并附带电机油MSDS。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jc w:val="left"/>
        <w:rPr>
          <w:rFonts w:hint="eastAsia" w:ascii="Times New Roman" w:hAnsi="Times New Roman" w:eastAsia="宋体" w:cs="Times New Roman"/>
          <w:kern w:val="0"/>
          <w:sz w:val="22"/>
          <w:lang w:eastAsia="en-US"/>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潜油引接电缆</w:t>
      </w:r>
    </w:p>
    <w:tbl>
      <w:tblPr>
        <w:tblStyle w:val="10"/>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090"/>
        <w:gridCol w:w="1502"/>
        <w:gridCol w:w="3571"/>
        <w:gridCol w:w="101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49" w:name="_Toc19907"/>
            <w:bookmarkStart w:id="250" w:name="_Toc1869"/>
            <w:bookmarkStart w:id="251" w:name="_Toc27564"/>
            <w:bookmarkStart w:id="252" w:name="_Toc16361"/>
            <w:bookmarkStart w:id="253" w:name="_Toc12395"/>
            <w:r>
              <w:rPr>
                <w:rFonts w:hint="default" w:ascii="Times New Roman" w:hAnsi="Times New Roman" w:eastAsia="宋体" w:cs="Times New Roman"/>
                <w:spacing w:val="0"/>
                <w:kern w:val="0"/>
                <w:sz w:val="21"/>
                <w:szCs w:val="21"/>
                <w:lang w:val="en-US" w:eastAsia="zh-CN" w:bidi="ar-SA"/>
              </w:rPr>
              <w:t>序号</w:t>
            </w:r>
            <w:bookmarkEnd w:id="249"/>
            <w:bookmarkEnd w:id="250"/>
            <w:bookmarkEnd w:id="251"/>
            <w:bookmarkEnd w:id="252"/>
            <w:bookmarkEnd w:id="253"/>
          </w:p>
        </w:tc>
        <w:tc>
          <w:tcPr>
            <w:tcW w:w="109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54" w:name="_Toc5993"/>
            <w:bookmarkStart w:id="255" w:name="_Toc17200"/>
            <w:bookmarkStart w:id="256" w:name="_Toc22675"/>
            <w:bookmarkStart w:id="257" w:name="_Toc26271"/>
            <w:bookmarkStart w:id="258" w:name="_Toc11298"/>
            <w:r>
              <w:rPr>
                <w:rFonts w:hint="default" w:ascii="Times New Roman" w:hAnsi="Times New Roman" w:eastAsia="宋体" w:cs="Times New Roman"/>
                <w:spacing w:val="0"/>
                <w:kern w:val="0"/>
                <w:sz w:val="21"/>
                <w:szCs w:val="21"/>
                <w:lang w:val="en-US" w:eastAsia="zh-CN" w:bidi="ar-SA"/>
              </w:rPr>
              <w:t>物料编码</w:t>
            </w:r>
            <w:bookmarkEnd w:id="254"/>
            <w:bookmarkEnd w:id="255"/>
            <w:bookmarkEnd w:id="256"/>
            <w:bookmarkEnd w:id="257"/>
            <w:bookmarkEnd w:id="258"/>
          </w:p>
        </w:tc>
        <w:tc>
          <w:tcPr>
            <w:tcW w:w="150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59" w:name="_Toc25699"/>
            <w:bookmarkStart w:id="260" w:name="_Toc14461"/>
            <w:bookmarkStart w:id="261" w:name="_Toc12190"/>
            <w:bookmarkStart w:id="262" w:name="_Toc22162"/>
            <w:bookmarkStart w:id="263" w:name="_Toc15691"/>
            <w:r>
              <w:rPr>
                <w:rFonts w:hint="default" w:ascii="Times New Roman" w:hAnsi="Times New Roman" w:eastAsia="宋体" w:cs="Times New Roman"/>
                <w:spacing w:val="0"/>
                <w:kern w:val="0"/>
                <w:sz w:val="21"/>
                <w:szCs w:val="21"/>
                <w:lang w:val="en-US" w:eastAsia="zh-CN" w:bidi="ar-SA"/>
              </w:rPr>
              <w:t>物资名称</w:t>
            </w:r>
            <w:bookmarkEnd w:id="259"/>
            <w:bookmarkEnd w:id="260"/>
            <w:bookmarkEnd w:id="261"/>
            <w:bookmarkEnd w:id="262"/>
            <w:bookmarkEnd w:id="263"/>
          </w:p>
        </w:tc>
        <w:tc>
          <w:tcPr>
            <w:tcW w:w="3571"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64" w:name="_Toc2965"/>
            <w:bookmarkStart w:id="265" w:name="_Toc11964"/>
            <w:bookmarkStart w:id="266" w:name="_Toc20998"/>
            <w:bookmarkStart w:id="267" w:name="_Toc22925"/>
            <w:bookmarkStart w:id="268" w:name="_Toc27080"/>
            <w:r>
              <w:rPr>
                <w:rFonts w:hint="default" w:ascii="Times New Roman" w:hAnsi="Times New Roman" w:eastAsia="宋体" w:cs="Times New Roman"/>
                <w:spacing w:val="0"/>
                <w:kern w:val="0"/>
                <w:sz w:val="21"/>
                <w:szCs w:val="21"/>
                <w:lang w:val="en-US" w:eastAsia="zh-CN" w:bidi="ar-SA"/>
              </w:rPr>
              <w:t>规格型号</w:t>
            </w:r>
            <w:bookmarkEnd w:id="264"/>
            <w:bookmarkEnd w:id="265"/>
            <w:bookmarkEnd w:id="266"/>
            <w:bookmarkEnd w:id="267"/>
            <w:bookmarkEnd w:id="268"/>
          </w:p>
        </w:tc>
        <w:tc>
          <w:tcPr>
            <w:tcW w:w="101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69" w:name="_Toc30402"/>
            <w:bookmarkStart w:id="270" w:name="_Toc10658"/>
            <w:bookmarkStart w:id="271" w:name="_Toc9629"/>
            <w:bookmarkStart w:id="272" w:name="_Toc14420"/>
            <w:bookmarkStart w:id="273" w:name="_Toc12175"/>
            <w:r>
              <w:rPr>
                <w:rFonts w:hint="default" w:ascii="Times New Roman" w:hAnsi="Times New Roman" w:eastAsia="宋体" w:cs="Times New Roman"/>
                <w:spacing w:val="0"/>
                <w:kern w:val="0"/>
                <w:sz w:val="21"/>
                <w:szCs w:val="21"/>
                <w:lang w:val="en-US" w:eastAsia="zh-CN" w:bidi="ar-SA"/>
              </w:rPr>
              <w:t>单位</w:t>
            </w:r>
            <w:bookmarkEnd w:id="269"/>
            <w:bookmarkEnd w:id="270"/>
            <w:bookmarkEnd w:id="271"/>
            <w:bookmarkEnd w:id="272"/>
            <w:bookmarkEnd w:id="273"/>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74" w:name="_Toc12272"/>
            <w:bookmarkStart w:id="275" w:name="_Toc30255"/>
            <w:bookmarkStart w:id="276" w:name="_Toc27426"/>
            <w:bookmarkStart w:id="277" w:name="_Toc26143"/>
            <w:bookmarkStart w:id="278" w:name="_Toc1101"/>
            <w:r>
              <w:rPr>
                <w:rFonts w:hint="default" w:ascii="Times New Roman" w:hAnsi="Times New Roman" w:eastAsia="宋体" w:cs="Times New Roman"/>
                <w:spacing w:val="0"/>
                <w:kern w:val="0"/>
                <w:sz w:val="21"/>
                <w:szCs w:val="21"/>
                <w:lang w:val="en-US" w:eastAsia="zh-CN" w:bidi="ar-SA"/>
              </w:rPr>
              <w:t>备注</w:t>
            </w:r>
            <w:bookmarkEnd w:id="274"/>
            <w:bookmarkEnd w:id="275"/>
            <w:bookmarkEnd w:id="276"/>
            <w:bookmarkEnd w:id="277"/>
            <w:bookmarkEnd w:id="2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numPr>
                <w:ilvl w:val="0"/>
                <w:numId w:val="14"/>
              </w:numPr>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79" w:name="_Toc7398"/>
            <w:bookmarkEnd w:id="279"/>
            <w:bookmarkStart w:id="280" w:name="_Toc24678"/>
            <w:bookmarkEnd w:id="280"/>
            <w:bookmarkStart w:id="281" w:name="_Toc29231"/>
            <w:bookmarkEnd w:id="281"/>
            <w:bookmarkStart w:id="282" w:name="_Toc2117"/>
            <w:bookmarkEnd w:id="282"/>
            <w:bookmarkStart w:id="283" w:name="_Toc9555"/>
            <w:bookmarkEnd w:id="283"/>
          </w:p>
        </w:tc>
        <w:tc>
          <w:tcPr>
            <w:tcW w:w="109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20"/>
                <w:szCs w:val="20"/>
                <w:lang w:val="en-US" w:eastAsia="zh-CN" w:bidi="ar-SA"/>
              </w:rPr>
            </w:pPr>
            <w:bookmarkStart w:id="284" w:name="_Toc17843"/>
            <w:bookmarkStart w:id="285" w:name="_Toc5165"/>
            <w:bookmarkStart w:id="286" w:name="_Toc18204"/>
            <w:bookmarkStart w:id="287" w:name="_Toc32021"/>
            <w:bookmarkStart w:id="288" w:name="_Toc32063"/>
            <w:r>
              <w:rPr>
                <w:rFonts w:hint="default" w:ascii="Times New Roman" w:hAnsi="Times New Roman" w:eastAsia="宋体" w:cs="Times New Roman"/>
                <w:spacing w:val="2"/>
                <w:kern w:val="0"/>
                <w:sz w:val="18"/>
                <w:szCs w:val="18"/>
                <w:lang w:val="en-US" w:eastAsia="zh-CN" w:bidi="ar-SA"/>
              </w:rPr>
              <w:t>83974765</w:t>
            </w:r>
            <w:bookmarkEnd w:id="284"/>
            <w:bookmarkEnd w:id="285"/>
            <w:bookmarkEnd w:id="286"/>
            <w:bookmarkEnd w:id="287"/>
            <w:bookmarkEnd w:id="288"/>
          </w:p>
        </w:tc>
        <w:tc>
          <w:tcPr>
            <w:tcW w:w="150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89" w:name="_Toc5438"/>
            <w:bookmarkStart w:id="290" w:name="_Toc20226"/>
            <w:bookmarkStart w:id="291" w:name="_Toc30917"/>
            <w:bookmarkStart w:id="292" w:name="_Toc30377"/>
            <w:bookmarkStart w:id="293" w:name="_Toc16058"/>
            <w:r>
              <w:rPr>
                <w:rFonts w:hint="default" w:ascii="Times New Roman" w:hAnsi="Times New Roman" w:eastAsia="宋体" w:cs="Times New Roman"/>
                <w:spacing w:val="2"/>
                <w:kern w:val="0"/>
                <w:sz w:val="20"/>
                <w:szCs w:val="20"/>
                <w:lang w:val="en-US" w:eastAsia="zh-CN" w:bidi="ar-SA"/>
              </w:rPr>
              <w:t>潜油引接电缆</w:t>
            </w:r>
            <w:bookmarkEnd w:id="289"/>
            <w:bookmarkEnd w:id="290"/>
            <w:bookmarkEnd w:id="291"/>
            <w:bookmarkEnd w:id="292"/>
            <w:bookmarkEnd w:id="293"/>
          </w:p>
        </w:tc>
        <w:tc>
          <w:tcPr>
            <w:tcW w:w="3571" w:type="dxa"/>
            <w:vAlign w:val="center"/>
          </w:tcPr>
          <w:p>
            <w:pPr>
              <w:keepNext w:val="0"/>
              <w:keepLines w:val="0"/>
              <w:widowControl/>
              <w:suppressLineNumbers w:val="0"/>
              <w:jc w:val="left"/>
              <w:textAlignment w:val="center"/>
              <w:rPr>
                <w:rFonts w:hint="default" w:ascii="Times New Roman" w:hAnsi="Times New Roman" w:eastAsia="宋体" w:cs="Times New Roman"/>
                <w:spacing w:val="0"/>
                <w:kern w:val="0"/>
                <w:sz w:val="18"/>
                <w:szCs w:val="18"/>
                <w:lang w:eastAsia="en-US"/>
              </w:rPr>
            </w:pPr>
            <w:r>
              <w:rPr>
                <w:rFonts w:hint="eastAsia" w:ascii="宋体" w:hAnsi="宋体" w:eastAsia="宋体" w:cs="宋体"/>
                <w:i w:val="0"/>
                <w:iCs w:val="0"/>
                <w:color w:val="000000"/>
                <w:kern w:val="0"/>
                <w:sz w:val="18"/>
                <w:szCs w:val="18"/>
                <w:u w:val="none"/>
                <w:lang w:val="en-US" w:eastAsia="zh-CN" w:bidi="ar"/>
              </w:rPr>
              <w:t>AWG4#\25m\镀锌\150℃\缠绕式\562\3kV\MLE562T</w:t>
            </w:r>
          </w:p>
        </w:tc>
        <w:tc>
          <w:tcPr>
            <w:tcW w:w="1012" w:type="dxa"/>
            <w:vAlign w:val="center"/>
          </w:tcPr>
          <w:p>
            <w:pPr>
              <w:widowControl/>
              <w:jc w:val="center"/>
              <w:textAlignment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18"/>
                <w:szCs w:val="18"/>
                <w:lang w:eastAsia="zh-CN" w:bidi="ar"/>
              </w:rPr>
              <w:t>件</w:t>
            </w:r>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numPr>
                <w:ilvl w:val="0"/>
                <w:numId w:val="14"/>
              </w:numPr>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94" w:name="_Toc30082"/>
            <w:bookmarkEnd w:id="294"/>
            <w:bookmarkStart w:id="295" w:name="_Toc24570"/>
            <w:bookmarkEnd w:id="295"/>
            <w:bookmarkStart w:id="296" w:name="_Toc16116"/>
            <w:bookmarkEnd w:id="296"/>
            <w:bookmarkStart w:id="297" w:name="_Toc21057"/>
            <w:bookmarkEnd w:id="297"/>
            <w:bookmarkStart w:id="298" w:name="_Toc25581"/>
            <w:bookmarkEnd w:id="298"/>
          </w:p>
        </w:tc>
        <w:tc>
          <w:tcPr>
            <w:tcW w:w="109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18"/>
                <w:szCs w:val="18"/>
                <w:lang w:val="en-US" w:eastAsia="zh-CN" w:bidi="ar-SA"/>
              </w:rPr>
            </w:pPr>
            <w:bookmarkStart w:id="299" w:name="_Toc30681"/>
            <w:bookmarkStart w:id="300" w:name="_Toc6972"/>
            <w:bookmarkStart w:id="301" w:name="_Toc16685"/>
            <w:bookmarkStart w:id="302" w:name="_Toc1624"/>
            <w:bookmarkStart w:id="303" w:name="_Toc11504"/>
            <w:r>
              <w:rPr>
                <w:rFonts w:hint="default" w:ascii="Times New Roman" w:hAnsi="Times New Roman" w:eastAsia="宋体" w:cs="Times New Roman"/>
                <w:spacing w:val="2"/>
                <w:kern w:val="0"/>
                <w:sz w:val="18"/>
                <w:szCs w:val="18"/>
                <w:lang w:val="en-US" w:eastAsia="zh-CN" w:bidi="ar-SA"/>
              </w:rPr>
              <w:t>84256627</w:t>
            </w:r>
            <w:bookmarkEnd w:id="299"/>
            <w:bookmarkEnd w:id="300"/>
            <w:bookmarkEnd w:id="301"/>
            <w:bookmarkEnd w:id="302"/>
            <w:bookmarkEnd w:id="303"/>
          </w:p>
        </w:tc>
        <w:tc>
          <w:tcPr>
            <w:tcW w:w="150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20"/>
                <w:szCs w:val="20"/>
                <w:lang w:val="en-US" w:eastAsia="zh-CN" w:bidi="ar-SA"/>
              </w:rPr>
            </w:pPr>
            <w:bookmarkStart w:id="304" w:name="_Toc30018"/>
            <w:bookmarkStart w:id="305" w:name="_Toc6168"/>
            <w:bookmarkStart w:id="306" w:name="_Toc12553"/>
            <w:bookmarkStart w:id="307" w:name="_Toc21933"/>
            <w:bookmarkStart w:id="308" w:name="_Toc8535"/>
            <w:r>
              <w:rPr>
                <w:rFonts w:hint="default" w:ascii="Times New Roman" w:hAnsi="Times New Roman" w:eastAsia="宋体" w:cs="Times New Roman"/>
                <w:spacing w:val="2"/>
                <w:kern w:val="0"/>
                <w:sz w:val="20"/>
                <w:szCs w:val="20"/>
                <w:lang w:val="en-US" w:eastAsia="zh-CN" w:bidi="ar-SA"/>
              </w:rPr>
              <w:t>潜油引接电缆</w:t>
            </w:r>
            <w:bookmarkEnd w:id="304"/>
            <w:bookmarkEnd w:id="305"/>
            <w:bookmarkEnd w:id="306"/>
            <w:bookmarkEnd w:id="307"/>
            <w:bookmarkEnd w:id="308"/>
          </w:p>
        </w:tc>
        <w:tc>
          <w:tcPr>
            <w:tcW w:w="3571" w:type="dxa"/>
            <w:vAlign w:val="center"/>
          </w:tcPr>
          <w:p>
            <w:pPr>
              <w:keepNext w:val="0"/>
              <w:keepLines w:val="0"/>
              <w:widowControl/>
              <w:suppressLineNumbers w:val="0"/>
              <w:jc w:val="left"/>
              <w:textAlignment w:val="center"/>
              <w:rPr>
                <w:rFonts w:hint="default" w:ascii="Times New Roman" w:hAnsi="Times New Roman" w:eastAsia="宋体" w:cs="Times New Roman"/>
                <w:kern w:val="0"/>
                <w:sz w:val="13"/>
                <w:szCs w:val="13"/>
                <w:lang w:eastAsia="en-US"/>
              </w:rPr>
            </w:pPr>
            <w:r>
              <w:rPr>
                <w:rFonts w:hint="eastAsia" w:ascii="宋体" w:hAnsi="宋体" w:eastAsia="宋体" w:cs="宋体"/>
                <w:i w:val="0"/>
                <w:iCs w:val="0"/>
                <w:color w:val="000000"/>
                <w:kern w:val="0"/>
                <w:sz w:val="18"/>
                <w:szCs w:val="18"/>
                <w:u w:val="none"/>
                <w:lang w:val="en-US" w:eastAsia="zh-CN" w:bidi="ar"/>
              </w:rPr>
              <w:t>AWG6#\25m\镀锌\204℃\缠绕式\350\6kV\MLE350T</w:t>
            </w:r>
          </w:p>
        </w:tc>
        <w:tc>
          <w:tcPr>
            <w:tcW w:w="1012" w:type="dxa"/>
            <w:vAlign w:val="center"/>
          </w:tcPr>
          <w:p>
            <w:pPr>
              <w:widowControl/>
              <w:jc w:val="center"/>
              <w:textAlignment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bidi="ar"/>
              </w:rPr>
              <w:t>件</w:t>
            </w:r>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numPr>
                <w:ilvl w:val="0"/>
                <w:numId w:val="14"/>
              </w:numPr>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09" w:name="_Toc7202"/>
            <w:bookmarkEnd w:id="309"/>
            <w:bookmarkStart w:id="310" w:name="_Toc20360"/>
            <w:bookmarkEnd w:id="310"/>
            <w:bookmarkStart w:id="311" w:name="_Toc28053"/>
            <w:bookmarkEnd w:id="311"/>
            <w:bookmarkStart w:id="312" w:name="_Toc9435"/>
            <w:bookmarkEnd w:id="312"/>
            <w:bookmarkStart w:id="313" w:name="_Toc9249"/>
            <w:bookmarkEnd w:id="313"/>
          </w:p>
        </w:tc>
        <w:tc>
          <w:tcPr>
            <w:tcW w:w="109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20"/>
                <w:szCs w:val="20"/>
                <w:lang w:val="en-US" w:eastAsia="zh-CN" w:bidi="ar-SA"/>
              </w:rPr>
            </w:pPr>
            <w:bookmarkStart w:id="314" w:name="_Toc22751"/>
            <w:bookmarkStart w:id="315" w:name="_Toc31792"/>
            <w:bookmarkStart w:id="316" w:name="_Toc19265"/>
            <w:bookmarkStart w:id="317" w:name="_Toc16613"/>
            <w:bookmarkStart w:id="318" w:name="_Toc24730"/>
            <w:r>
              <w:rPr>
                <w:rFonts w:hint="default" w:ascii="Times New Roman" w:hAnsi="Times New Roman" w:eastAsia="宋体" w:cs="Times New Roman"/>
                <w:spacing w:val="2"/>
                <w:kern w:val="0"/>
                <w:sz w:val="18"/>
                <w:szCs w:val="18"/>
                <w:lang w:val="en-US" w:eastAsia="zh-CN" w:bidi="ar-SA"/>
              </w:rPr>
              <w:t>83974768</w:t>
            </w:r>
            <w:bookmarkEnd w:id="314"/>
            <w:bookmarkEnd w:id="315"/>
            <w:bookmarkEnd w:id="316"/>
            <w:bookmarkEnd w:id="317"/>
            <w:bookmarkEnd w:id="318"/>
          </w:p>
        </w:tc>
        <w:tc>
          <w:tcPr>
            <w:tcW w:w="150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19" w:name="_Toc11527"/>
            <w:bookmarkStart w:id="320" w:name="_Toc28780"/>
            <w:bookmarkStart w:id="321" w:name="_Toc27891"/>
            <w:bookmarkStart w:id="322" w:name="_Toc12995"/>
            <w:bookmarkStart w:id="323" w:name="_Toc30221"/>
            <w:r>
              <w:rPr>
                <w:rFonts w:hint="default" w:ascii="Times New Roman" w:hAnsi="Times New Roman" w:eastAsia="宋体" w:cs="Times New Roman"/>
                <w:spacing w:val="2"/>
                <w:kern w:val="0"/>
                <w:sz w:val="20"/>
                <w:szCs w:val="20"/>
                <w:lang w:val="en-US" w:eastAsia="zh-CN" w:bidi="ar-SA"/>
              </w:rPr>
              <w:t>潜油引接电缆</w:t>
            </w:r>
            <w:bookmarkEnd w:id="319"/>
            <w:bookmarkEnd w:id="320"/>
            <w:bookmarkEnd w:id="321"/>
            <w:bookmarkEnd w:id="322"/>
            <w:bookmarkEnd w:id="323"/>
          </w:p>
        </w:tc>
        <w:tc>
          <w:tcPr>
            <w:tcW w:w="3571" w:type="dxa"/>
            <w:vAlign w:val="center"/>
          </w:tcPr>
          <w:p>
            <w:pPr>
              <w:keepNext w:val="0"/>
              <w:keepLines w:val="0"/>
              <w:widowControl/>
              <w:suppressLineNumbers w:val="0"/>
              <w:jc w:val="left"/>
              <w:textAlignment w:val="center"/>
              <w:rPr>
                <w:rFonts w:hint="default" w:ascii="Times New Roman" w:hAnsi="Times New Roman" w:eastAsia="宋体" w:cs="Times New Roman"/>
                <w:spacing w:val="0"/>
                <w:kern w:val="0"/>
                <w:sz w:val="18"/>
                <w:szCs w:val="18"/>
                <w:lang w:eastAsia="en-US"/>
              </w:rPr>
            </w:pPr>
            <w:r>
              <w:rPr>
                <w:rFonts w:hint="eastAsia" w:ascii="宋体" w:hAnsi="宋体" w:eastAsia="宋体" w:cs="宋体"/>
                <w:i w:val="0"/>
                <w:iCs w:val="0"/>
                <w:color w:val="000000"/>
                <w:kern w:val="0"/>
                <w:sz w:val="18"/>
                <w:szCs w:val="18"/>
                <w:u w:val="none"/>
                <w:lang w:val="en-US" w:eastAsia="zh-CN" w:bidi="ar"/>
              </w:rPr>
              <w:t>AWG4#\25m\镀锌\204℃\缠绕式\562\6kV\MLE562T</w:t>
            </w:r>
          </w:p>
        </w:tc>
        <w:tc>
          <w:tcPr>
            <w:tcW w:w="1012" w:type="dxa"/>
            <w:vAlign w:val="center"/>
          </w:tcPr>
          <w:p>
            <w:pPr>
              <w:widowControl/>
              <w:jc w:val="center"/>
              <w:textAlignment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18"/>
                <w:szCs w:val="18"/>
                <w:lang w:eastAsia="zh-CN" w:bidi="ar"/>
              </w:rPr>
              <w:t>件</w:t>
            </w:r>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p>
        </w:tc>
      </w:tr>
    </w:tbl>
    <w:p>
      <w:pPr>
        <w:widowControl w:val="0"/>
        <w:numPr>
          <w:ilvl w:val="0"/>
          <w:numId w:val="15"/>
        </w:numPr>
        <w:autoSpaceDE w:val="0"/>
        <w:autoSpaceDN w:val="0"/>
        <w:adjustRightInd w:val="0"/>
        <w:spacing w:line="360" w:lineRule="auto"/>
        <w:ind w:left="420" w:hanging="42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潜油引接电缆为350系列和562系列。</w:t>
      </w:r>
    </w:p>
    <w:p>
      <w:pPr>
        <w:widowControl w:val="0"/>
        <w:numPr>
          <w:ilvl w:val="0"/>
          <w:numId w:val="15"/>
        </w:numPr>
        <w:autoSpaceDE w:val="0"/>
        <w:autoSpaceDN w:val="0"/>
        <w:adjustRightInd w:val="0"/>
        <w:spacing w:line="360" w:lineRule="auto"/>
        <w:ind w:left="420" w:hanging="42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电缆标称电压等级为3KV，AWG4</w:t>
      </w:r>
      <w:r>
        <w:rPr>
          <w:rFonts w:hint="default" w:ascii="Times New Roman" w:hAnsi="Times New Roman" w:eastAsia="宋体" w:cs="Times New Roman"/>
          <w:kern w:val="0"/>
          <w:sz w:val="21"/>
          <w:szCs w:val="21"/>
          <w:vertAlign w:val="superscript"/>
          <w:lang w:val="en-US" w:eastAsia="zh-CN" w:bidi="ar-SA"/>
        </w:rPr>
        <w:t>#</w:t>
      </w:r>
      <w:r>
        <w:rPr>
          <w:rFonts w:hint="default" w:ascii="Times New Roman" w:hAnsi="Times New Roman" w:eastAsia="宋体" w:cs="Times New Roman"/>
          <w:kern w:val="0"/>
          <w:sz w:val="21"/>
          <w:szCs w:val="21"/>
          <w:lang w:val="en-US" w:eastAsia="zh-CN" w:bidi="ar-SA"/>
        </w:rPr>
        <w:t>电缆芯线截面积为3×20mm</w:t>
      </w:r>
      <w:r>
        <w:rPr>
          <w:rFonts w:hint="default" w:ascii="Times New Roman" w:hAnsi="Times New Roman" w:eastAsia="宋体" w:cs="Times New Roman"/>
          <w:kern w:val="0"/>
          <w:sz w:val="21"/>
          <w:szCs w:val="21"/>
          <w:vertAlign w:val="superscript"/>
          <w:lang w:val="en-US" w:eastAsia="zh-CN" w:bidi="ar-SA"/>
        </w:rPr>
        <w:t>2</w:t>
      </w:r>
      <w:r>
        <w:rPr>
          <w:rFonts w:hint="default" w:ascii="Times New Roman" w:hAnsi="Times New Roman" w:eastAsia="宋体" w:cs="Times New Roman"/>
          <w:kern w:val="0"/>
          <w:sz w:val="21"/>
          <w:szCs w:val="21"/>
          <w:lang w:val="en-US" w:eastAsia="zh-CN" w:bidi="ar-SA"/>
        </w:rPr>
        <w:t>。</w:t>
      </w:r>
    </w:p>
    <w:p>
      <w:pPr>
        <w:widowControl w:val="0"/>
        <w:numPr>
          <w:ilvl w:val="0"/>
          <w:numId w:val="15"/>
        </w:numPr>
        <w:autoSpaceDE w:val="0"/>
        <w:autoSpaceDN w:val="0"/>
        <w:adjustRightInd w:val="0"/>
        <w:spacing w:line="360" w:lineRule="auto"/>
        <w:ind w:left="420" w:hanging="42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电缆标称电压等级为6kV，AWG6</w:t>
      </w:r>
      <w:r>
        <w:rPr>
          <w:rFonts w:hint="default" w:ascii="Times New Roman" w:hAnsi="Times New Roman" w:eastAsia="宋体" w:cs="Times New Roman"/>
          <w:kern w:val="0"/>
          <w:sz w:val="21"/>
          <w:szCs w:val="21"/>
          <w:vertAlign w:val="superscript"/>
          <w:lang w:val="en-US" w:eastAsia="zh-CN" w:bidi="ar-SA"/>
        </w:rPr>
        <w:t>#</w:t>
      </w:r>
      <w:r>
        <w:rPr>
          <w:rFonts w:hint="default" w:ascii="Times New Roman" w:hAnsi="Times New Roman" w:eastAsia="宋体" w:cs="Times New Roman"/>
          <w:kern w:val="0"/>
          <w:sz w:val="21"/>
          <w:szCs w:val="21"/>
          <w:lang w:val="en-US" w:eastAsia="zh-CN" w:bidi="ar-SA"/>
        </w:rPr>
        <w:t>电缆芯线截面积为3×13mm</w:t>
      </w:r>
      <w:r>
        <w:rPr>
          <w:rFonts w:hint="default" w:ascii="Times New Roman" w:hAnsi="Times New Roman" w:eastAsia="宋体" w:cs="Times New Roman"/>
          <w:kern w:val="0"/>
          <w:sz w:val="21"/>
          <w:szCs w:val="21"/>
          <w:vertAlign w:val="superscript"/>
          <w:lang w:val="en-US" w:eastAsia="zh-CN" w:bidi="ar-SA"/>
        </w:rPr>
        <w:t>2</w:t>
      </w:r>
      <w:r>
        <w:rPr>
          <w:rFonts w:hint="default" w:ascii="Times New Roman" w:hAnsi="Times New Roman" w:eastAsia="宋体" w:cs="Times New Roman"/>
          <w:kern w:val="0"/>
          <w:sz w:val="21"/>
          <w:szCs w:val="21"/>
          <w:lang w:val="en-US" w:eastAsia="zh-CN" w:bidi="ar-SA"/>
        </w:rPr>
        <w:t>，AWG4</w:t>
      </w:r>
      <w:r>
        <w:rPr>
          <w:rFonts w:hint="default" w:ascii="Times New Roman" w:hAnsi="Times New Roman" w:eastAsia="宋体" w:cs="Times New Roman"/>
          <w:kern w:val="0"/>
          <w:sz w:val="21"/>
          <w:szCs w:val="21"/>
          <w:vertAlign w:val="superscript"/>
          <w:lang w:val="en-US" w:eastAsia="zh-CN" w:bidi="ar-SA"/>
        </w:rPr>
        <w:t>#</w:t>
      </w:r>
      <w:r>
        <w:rPr>
          <w:rFonts w:hint="default" w:ascii="Times New Roman" w:hAnsi="Times New Roman" w:eastAsia="宋体" w:cs="Times New Roman"/>
          <w:kern w:val="0"/>
          <w:sz w:val="21"/>
          <w:szCs w:val="21"/>
          <w:lang w:val="en-US" w:eastAsia="zh-CN" w:bidi="ar-SA"/>
        </w:rPr>
        <w:t>电缆芯线截面积为3×20mm</w:t>
      </w:r>
      <w:r>
        <w:rPr>
          <w:rFonts w:hint="default" w:ascii="Times New Roman" w:hAnsi="Times New Roman" w:eastAsia="宋体" w:cs="Times New Roman"/>
          <w:kern w:val="0"/>
          <w:sz w:val="21"/>
          <w:szCs w:val="21"/>
          <w:vertAlign w:val="superscript"/>
          <w:lang w:val="en-US" w:eastAsia="zh-CN" w:bidi="ar-SA"/>
        </w:rPr>
        <w:t>2</w:t>
      </w:r>
      <w:r>
        <w:rPr>
          <w:rFonts w:hint="default" w:ascii="Times New Roman" w:hAnsi="Times New Roman" w:eastAsia="宋体" w:cs="Times New Roman"/>
          <w:kern w:val="0"/>
          <w:sz w:val="21"/>
          <w:szCs w:val="21"/>
          <w:lang w:val="en-US" w:eastAsia="zh-CN" w:bidi="ar-SA"/>
        </w:rPr>
        <w:t>。</w:t>
      </w:r>
    </w:p>
    <w:p>
      <w:pPr>
        <w:widowControl w:val="0"/>
        <w:numPr>
          <w:ilvl w:val="0"/>
          <w:numId w:val="15"/>
        </w:numPr>
        <w:autoSpaceDE w:val="0"/>
        <w:autoSpaceDN w:val="0"/>
        <w:adjustRightInd w:val="0"/>
        <w:spacing w:line="360" w:lineRule="auto"/>
        <w:ind w:left="420" w:hanging="42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适用井温：等级为204℃及150℃两种。</w:t>
      </w:r>
    </w:p>
    <w:p>
      <w:pPr>
        <w:numPr>
          <w:ilvl w:val="0"/>
          <w:numId w:val="15"/>
        </w:numPr>
        <w:spacing w:line="360" w:lineRule="auto"/>
        <w:ind w:left="420" w:hanging="42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潜油引接电缆上应标刻有产品编号、产品规格，执行标准代码，质量及制造商的地址信息。外观完好，标识清晰，无锈蚀，无裂痕，目测无变形。并应在包装内提供产品合格证及检测报告。</w:t>
      </w:r>
    </w:p>
    <w:p>
      <w:pPr>
        <w:numPr>
          <w:ilvl w:val="0"/>
          <w:numId w:val="15"/>
        </w:numPr>
        <w:autoSpaceDE w:val="0"/>
        <w:autoSpaceDN w:val="0"/>
        <w:adjustRightInd w:val="0"/>
        <w:spacing w:line="360" w:lineRule="auto"/>
        <w:ind w:left="420" w:hanging="42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关键部件材质及力学性能要求：绝缘层为聚酰亚胺－F46膜三层绕包烧结和乙丙橡胶组合绝缘，护套层为铅护套。绝缘电阻大于1000M</w:t>
      </w:r>
      <w:r>
        <w:rPr>
          <w:rFonts w:hint="default" w:ascii="Times New Roman" w:hAnsi="Times New Roman" w:eastAsia="宋体" w:cs="Times New Roman"/>
          <w:kern w:val="0"/>
          <w:sz w:val="21"/>
          <w:szCs w:val="21"/>
          <w:lang w:eastAsia="en-US"/>
        </w:rPr>
        <w:t>Ω</w:t>
      </w:r>
      <w:r>
        <w:rPr>
          <w:rFonts w:hint="default" w:ascii="Times New Roman" w:hAnsi="Times New Roman" w:eastAsia="宋体" w:cs="Times New Roman"/>
          <w:kern w:val="0"/>
          <w:sz w:val="21"/>
          <w:szCs w:val="21"/>
          <w:lang w:eastAsia="zh-CN"/>
        </w:rPr>
        <w:t>·km。送货文件应提供性能检测报告，并注批次号等可追溯性标识信息。乙丙橡胶组其老化和耐油性能应符合GB/T16750－2015 表13要求。</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表13 乙丙橡胶技术指标</w:t>
      </w:r>
    </w:p>
    <w:tbl>
      <w:tblPr>
        <w:tblStyle w:val="9"/>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4361"/>
        <w:gridCol w:w="1691"/>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65" w:type="dxa"/>
            <w:vMerge w:val="restart"/>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4361" w:type="dxa"/>
            <w:vMerge w:val="restart"/>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项   目</w:t>
            </w:r>
          </w:p>
        </w:tc>
        <w:tc>
          <w:tcPr>
            <w:tcW w:w="3579" w:type="dxa"/>
            <w:gridSpan w:val="2"/>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65" w:type="dxa"/>
            <w:vMerge w:val="continue"/>
          </w:tcPr>
          <w:p>
            <w:pPr>
              <w:spacing w:line="360" w:lineRule="auto"/>
              <w:jc w:val="left"/>
              <w:rPr>
                <w:rFonts w:hint="default" w:ascii="Times New Roman" w:hAnsi="Times New Roman" w:eastAsia="宋体" w:cs="Times New Roman"/>
                <w:kern w:val="0"/>
                <w:sz w:val="21"/>
                <w:szCs w:val="21"/>
                <w:lang w:eastAsia="en-US"/>
              </w:rPr>
            </w:pPr>
          </w:p>
        </w:tc>
        <w:tc>
          <w:tcPr>
            <w:tcW w:w="4361" w:type="dxa"/>
            <w:vMerge w:val="continue"/>
          </w:tcPr>
          <w:p>
            <w:pPr>
              <w:spacing w:line="360" w:lineRule="auto"/>
              <w:jc w:val="center"/>
              <w:rPr>
                <w:rFonts w:hint="default" w:ascii="Times New Roman" w:hAnsi="Times New Roman" w:eastAsia="宋体" w:cs="Times New Roman"/>
                <w:kern w:val="0"/>
                <w:sz w:val="21"/>
                <w:szCs w:val="21"/>
                <w:lang w:eastAsia="en-US"/>
              </w:rPr>
            </w:pPr>
          </w:p>
        </w:tc>
        <w:tc>
          <w:tcPr>
            <w:tcW w:w="3579" w:type="dxa"/>
            <w:gridSpan w:val="2"/>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乙丙橡胶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65" w:type="dxa"/>
            <w:vMerge w:val="continue"/>
          </w:tcPr>
          <w:p>
            <w:pPr>
              <w:spacing w:line="360" w:lineRule="auto"/>
              <w:jc w:val="left"/>
              <w:rPr>
                <w:rFonts w:hint="default" w:ascii="Times New Roman" w:hAnsi="Times New Roman" w:eastAsia="宋体" w:cs="Times New Roman"/>
                <w:kern w:val="0"/>
                <w:sz w:val="21"/>
                <w:szCs w:val="21"/>
                <w:lang w:eastAsia="en-US"/>
              </w:rPr>
            </w:pPr>
          </w:p>
        </w:tc>
        <w:tc>
          <w:tcPr>
            <w:tcW w:w="4361" w:type="dxa"/>
            <w:vMerge w:val="continue"/>
          </w:tcPr>
          <w:p>
            <w:pPr>
              <w:spacing w:line="360" w:lineRule="auto"/>
              <w:jc w:val="center"/>
              <w:rPr>
                <w:rFonts w:hint="default" w:ascii="Times New Roman" w:hAnsi="Times New Roman" w:eastAsia="宋体" w:cs="Times New Roman"/>
                <w:kern w:val="0"/>
                <w:sz w:val="21"/>
                <w:szCs w:val="21"/>
                <w:lang w:eastAsia="en-US"/>
              </w:rPr>
            </w:pPr>
          </w:p>
        </w:tc>
        <w:tc>
          <w:tcPr>
            <w:tcW w:w="1691"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E1</w:t>
            </w:r>
            <w:r>
              <w:rPr>
                <w:rFonts w:hint="default" w:ascii="Times New Roman" w:hAnsi="Times New Roman" w:eastAsia="宋体" w:cs="Times New Roman"/>
                <w:kern w:val="0"/>
                <w:sz w:val="21"/>
                <w:szCs w:val="21"/>
                <w:vertAlign w:val="superscript"/>
                <w:lang w:eastAsia="en-US"/>
              </w:rPr>
              <w:t>a</w:t>
            </w:r>
          </w:p>
        </w:tc>
        <w:tc>
          <w:tcPr>
            <w:tcW w:w="1888"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E2</w:t>
            </w:r>
            <w:r>
              <w:rPr>
                <w:rFonts w:hint="default" w:ascii="Times New Roman" w:hAnsi="Times New Roman" w:eastAsia="宋体" w:cs="Times New Roman"/>
                <w:kern w:val="0"/>
                <w:sz w:val="21"/>
                <w:szCs w:val="21"/>
                <w:vertAlign w:val="superscript"/>
                <w:lang w:eastAsia="en-US"/>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4361" w:type="dxa"/>
          </w:tcPr>
          <w:p>
            <w:pPr>
              <w:ind w:left="420" w:hanging="420" w:hanging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老化前试样</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抗张强度           最小值/MPa</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断裂伸长率         最小值/%</w:t>
            </w:r>
          </w:p>
        </w:tc>
        <w:tc>
          <w:tcPr>
            <w:tcW w:w="1691" w:type="dxa"/>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en-US"/>
              </w:rPr>
              <w:t>5</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100</w:t>
            </w:r>
          </w:p>
        </w:tc>
        <w:tc>
          <w:tcPr>
            <w:tcW w:w="1888" w:type="dxa"/>
          </w:tcPr>
          <w:p>
            <w:pPr>
              <w:jc w:val="center"/>
              <w:rPr>
                <w:rFonts w:hint="default" w:ascii="Times New Roman" w:hAnsi="Times New Roman" w:eastAsia="宋体" w:cs="Times New Roman"/>
                <w:kern w:val="0"/>
                <w:sz w:val="21"/>
                <w:szCs w:val="21"/>
                <w:lang w:eastAsia="en-US"/>
              </w:rPr>
            </w:pP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6</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w:t>
            </w:r>
          </w:p>
        </w:tc>
        <w:tc>
          <w:tcPr>
            <w:tcW w:w="4361" w:type="dxa"/>
          </w:tcPr>
          <w:p>
            <w:pPr>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空气烘箱热老化试验</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老化条件             温度/℃</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时间/h</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老化后抗张强度        最大变化率/% 老化后断裂伸长率      最大变化率/%</w:t>
            </w:r>
          </w:p>
        </w:tc>
        <w:tc>
          <w:tcPr>
            <w:tcW w:w="1691" w:type="dxa"/>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en-US"/>
              </w:rPr>
              <w:t>135±2</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168</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30</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30</w:t>
            </w:r>
          </w:p>
        </w:tc>
        <w:tc>
          <w:tcPr>
            <w:tcW w:w="1888" w:type="dxa"/>
          </w:tcPr>
          <w:p>
            <w:pPr>
              <w:jc w:val="center"/>
              <w:rPr>
                <w:rFonts w:hint="default" w:ascii="Times New Roman" w:hAnsi="Times New Roman" w:eastAsia="宋体" w:cs="Times New Roman"/>
                <w:kern w:val="0"/>
                <w:sz w:val="21"/>
                <w:szCs w:val="21"/>
                <w:lang w:eastAsia="en-US"/>
              </w:rPr>
            </w:pP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135±2</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168</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30</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w:t>
            </w:r>
          </w:p>
        </w:tc>
        <w:tc>
          <w:tcPr>
            <w:tcW w:w="4361" w:type="dxa"/>
          </w:tcPr>
          <w:p>
            <w:pPr>
              <w:spacing w:line="36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热延伸试验</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试验条件              空气温度/℃</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载荷时间/min</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机械应力/Kpa</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载荷下最大伸长率/%</w:t>
            </w:r>
          </w:p>
          <w:p>
            <w:pPr>
              <w:spacing w:line="360" w:lineRule="auto"/>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 xml:space="preserve">    </w:t>
            </w:r>
            <w:r>
              <w:rPr>
                <w:rFonts w:hint="default" w:ascii="Times New Roman" w:hAnsi="Times New Roman" w:eastAsia="宋体" w:cs="Times New Roman"/>
                <w:kern w:val="0"/>
                <w:sz w:val="21"/>
                <w:szCs w:val="21"/>
                <w:lang w:eastAsia="en-US"/>
              </w:rPr>
              <w:t>冷却后最大永久变形/%</w:t>
            </w:r>
          </w:p>
        </w:tc>
        <w:tc>
          <w:tcPr>
            <w:tcW w:w="1691" w:type="dxa"/>
          </w:tcPr>
          <w:p>
            <w:pPr>
              <w:spacing w:line="360" w:lineRule="auto"/>
              <w:jc w:val="center"/>
              <w:rPr>
                <w:rFonts w:hint="default" w:ascii="Times New Roman" w:hAnsi="Times New Roman" w:eastAsia="宋体" w:cs="Times New Roman"/>
                <w:kern w:val="0"/>
                <w:sz w:val="21"/>
                <w:szCs w:val="21"/>
                <w:lang w:eastAsia="en-US"/>
              </w:rPr>
            </w:pP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250±3</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15</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200</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175</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15</w:t>
            </w:r>
          </w:p>
        </w:tc>
        <w:tc>
          <w:tcPr>
            <w:tcW w:w="1888" w:type="dxa"/>
          </w:tcPr>
          <w:p>
            <w:pPr>
              <w:spacing w:line="360" w:lineRule="auto"/>
              <w:jc w:val="center"/>
              <w:rPr>
                <w:rFonts w:hint="default" w:ascii="Times New Roman" w:hAnsi="Times New Roman" w:eastAsia="宋体" w:cs="Times New Roman"/>
                <w:kern w:val="0"/>
                <w:sz w:val="21"/>
                <w:szCs w:val="21"/>
                <w:lang w:eastAsia="en-US"/>
              </w:rPr>
            </w:pP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250±3</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15</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200</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175</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w:t>
            </w:r>
          </w:p>
        </w:tc>
        <w:tc>
          <w:tcPr>
            <w:tcW w:w="4361" w:type="dxa"/>
          </w:tcPr>
          <w:p>
            <w:pPr>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耐油试验（采用20号机油）</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试验条件              温度/℃</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时间/h</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抗张强度              最大变化率/%</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断裂伸长率            最大变化率/%</w:t>
            </w:r>
          </w:p>
        </w:tc>
        <w:tc>
          <w:tcPr>
            <w:tcW w:w="1691" w:type="dxa"/>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en-US"/>
              </w:rPr>
              <w:t>121±2</w:t>
            </w:r>
            <w:r>
              <w:rPr>
                <w:rFonts w:hint="default" w:ascii="Times New Roman" w:hAnsi="Times New Roman" w:eastAsia="宋体" w:cs="Times New Roman"/>
                <w:kern w:val="0"/>
                <w:sz w:val="21"/>
                <w:szCs w:val="21"/>
                <w:vertAlign w:val="superscript"/>
                <w:lang w:eastAsia="en-US"/>
              </w:rPr>
              <w:br w:type="textWrapping"/>
            </w:r>
            <w:r>
              <w:rPr>
                <w:rFonts w:hint="default" w:ascii="Times New Roman" w:hAnsi="Times New Roman" w:eastAsia="宋体" w:cs="Times New Roman"/>
                <w:kern w:val="0"/>
                <w:sz w:val="21"/>
                <w:szCs w:val="21"/>
                <w:lang w:eastAsia="en-US"/>
              </w:rPr>
              <w:t>18</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45</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45</w:t>
            </w:r>
          </w:p>
        </w:tc>
        <w:tc>
          <w:tcPr>
            <w:tcW w:w="1888" w:type="dxa"/>
          </w:tcPr>
          <w:p>
            <w:pPr>
              <w:jc w:val="center"/>
              <w:rPr>
                <w:rFonts w:hint="default" w:ascii="Times New Roman" w:hAnsi="Times New Roman" w:eastAsia="宋体" w:cs="Times New Roman"/>
                <w:kern w:val="0"/>
                <w:sz w:val="21"/>
                <w:szCs w:val="21"/>
                <w:lang w:eastAsia="en-US"/>
              </w:rPr>
            </w:pP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121±2</w:t>
            </w:r>
            <w:r>
              <w:rPr>
                <w:rFonts w:hint="default" w:ascii="Times New Roman" w:hAnsi="Times New Roman" w:eastAsia="宋体" w:cs="Times New Roman"/>
                <w:kern w:val="0"/>
                <w:sz w:val="21"/>
                <w:szCs w:val="21"/>
                <w:vertAlign w:val="superscript"/>
                <w:lang w:eastAsia="en-US"/>
              </w:rPr>
              <w:br w:type="textWrapping"/>
            </w:r>
            <w:r>
              <w:rPr>
                <w:rFonts w:hint="default" w:ascii="Times New Roman" w:hAnsi="Times New Roman" w:eastAsia="宋体" w:cs="Times New Roman"/>
                <w:kern w:val="0"/>
                <w:sz w:val="21"/>
                <w:szCs w:val="21"/>
                <w:lang w:eastAsia="en-US"/>
              </w:rPr>
              <w:t>18</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40</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5" w:type="dxa"/>
            <w:gridSpan w:val="4"/>
          </w:tcPr>
          <w:p>
            <w:pPr>
              <w:spacing w:line="360" w:lineRule="auto"/>
              <w:jc w:val="left"/>
              <w:rPr>
                <w:rFonts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a E1在井温小于或等于120℃使用。</w:t>
            </w:r>
          </w:p>
          <w:p>
            <w:pPr>
              <w:spacing w:line="360" w:lineRule="auto"/>
              <w:jc w:val="left"/>
              <w:rPr>
                <w:rFonts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b E2在井温120℃以上、150℃及以下使用。</w:t>
            </w:r>
          </w:p>
          <w:p>
            <w:pPr>
              <w:spacing w:line="360" w:lineRule="auto"/>
              <w:jc w:val="left"/>
              <w:rPr>
                <w:rFonts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产品温度等级在适用井温大于150℃时，适用GB/T-11026电器绝缘材料耐热性标准进行老化试验。</w:t>
            </w:r>
          </w:p>
        </w:tc>
      </w:tr>
    </w:tbl>
    <w:p>
      <w:pPr>
        <w:autoSpaceDE w:val="0"/>
        <w:autoSpaceDN w:val="0"/>
        <w:adjustRightInd w:val="0"/>
        <w:spacing w:line="36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聚酰亚胺-F46复合薄膜指标满足GB/T 16750-2015《潜油电泵机组》中表18要求。</w:t>
      </w:r>
    </w:p>
    <w:p>
      <w:pPr>
        <w:autoSpaceDE w:val="0"/>
        <w:autoSpaceDN w:val="0"/>
        <w:adjustRightInd w:val="0"/>
        <w:spacing w:line="360" w:lineRule="auto"/>
        <w:ind w:left="42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表18 聚酰亚胺-F46复合薄膜技术指标</w:t>
      </w:r>
    </w:p>
    <w:tbl>
      <w:tblPr>
        <w:tblStyle w:val="9"/>
        <w:tblW w:w="8520" w:type="dxa"/>
        <w:tblInd w:w="93" w:type="dxa"/>
        <w:tblLayout w:type="autofit"/>
        <w:tblCellMar>
          <w:top w:w="0" w:type="dxa"/>
          <w:left w:w="108" w:type="dxa"/>
          <w:bottom w:w="0" w:type="dxa"/>
          <w:right w:w="108" w:type="dxa"/>
        </w:tblCellMar>
      </w:tblPr>
      <w:tblGrid>
        <w:gridCol w:w="724"/>
        <w:gridCol w:w="3536"/>
        <w:gridCol w:w="4260"/>
      </w:tblGrid>
      <w:tr>
        <w:tblPrEx>
          <w:tblCellMar>
            <w:top w:w="0" w:type="dxa"/>
            <w:left w:w="108" w:type="dxa"/>
            <w:bottom w:w="0" w:type="dxa"/>
            <w:right w:w="108" w:type="dxa"/>
          </w:tblCellMar>
        </w:tblPrEx>
        <w:trPr>
          <w:trHeight w:val="27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3536"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项目</w:t>
            </w:r>
          </w:p>
        </w:tc>
        <w:tc>
          <w:tcPr>
            <w:tcW w:w="4260"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指标</w:t>
            </w:r>
          </w:p>
        </w:tc>
      </w:tr>
      <w:tr>
        <w:tblPrEx>
          <w:tblCellMar>
            <w:top w:w="0" w:type="dxa"/>
            <w:left w:w="108" w:type="dxa"/>
            <w:bottom w:w="0" w:type="dxa"/>
            <w:right w:w="108" w:type="dxa"/>
          </w:tblCellMar>
        </w:tblPrEx>
        <w:trPr>
          <w:trHeight w:val="54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外观</w:t>
            </w:r>
          </w:p>
        </w:tc>
        <w:tc>
          <w:tcPr>
            <w:tcW w:w="426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透明或半透明的金黄色薄膜，表面平滑无针孔、气泡和导电杂质，边缘整齐无破损</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厚度/mm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（0.045-0.075）±0.006</w:t>
            </w:r>
          </w:p>
        </w:tc>
      </w:tr>
      <w:tr>
        <w:tblPrEx>
          <w:tblCellMar>
            <w:top w:w="0" w:type="dxa"/>
            <w:left w:w="108" w:type="dxa"/>
            <w:bottom w:w="0" w:type="dxa"/>
            <w:right w:w="108" w:type="dxa"/>
          </w:tblCellMar>
        </w:tblPrEx>
        <w:trPr>
          <w:trHeight w:val="27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w:t>
            </w:r>
          </w:p>
        </w:tc>
        <w:tc>
          <w:tcPr>
            <w:tcW w:w="353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长度/m</w:t>
            </w:r>
          </w:p>
        </w:tc>
        <w:tc>
          <w:tcPr>
            <w:tcW w:w="4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≥40</w:t>
            </w:r>
          </w:p>
        </w:tc>
      </w:tr>
      <w:tr>
        <w:tblPrEx>
          <w:tblCellMar>
            <w:top w:w="0" w:type="dxa"/>
            <w:left w:w="108" w:type="dxa"/>
            <w:bottom w:w="0" w:type="dxa"/>
            <w:right w:w="108" w:type="dxa"/>
          </w:tblCellMar>
        </w:tblPrEx>
        <w:trPr>
          <w:trHeight w:val="54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w:t>
            </w:r>
          </w:p>
        </w:tc>
        <w:tc>
          <w:tcPr>
            <w:tcW w:w="353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抗张强度/Mpa</w:t>
            </w:r>
          </w:p>
        </w:tc>
        <w:tc>
          <w:tcPr>
            <w:tcW w:w="426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FHF:≥80</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HF:≥90</w:t>
            </w:r>
          </w:p>
        </w:tc>
      </w:tr>
      <w:tr>
        <w:tblPrEx>
          <w:tblCellMar>
            <w:top w:w="0" w:type="dxa"/>
            <w:left w:w="108" w:type="dxa"/>
            <w:bottom w:w="0" w:type="dxa"/>
            <w:right w:w="108" w:type="dxa"/>
          </w:tblCellMar>
        </w:tblPrEx>
        <w:trPr>
          <w:trHeight w:val="27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5</w:t>
            </w:r>
          </w:p>
        </w:tc>
        <w:tc>
          <w:tcPr>
            <w:tcW w:w="3536"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断裂伸长率/%</w:t>
            </w:r>
          </w:p>
        </w:tc>
        <w:tc>
          <w:tcPr>
            <w:tcW w:w="4260"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≥40</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6</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剥离强度/（N/2.5cm）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≥6</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7</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击穿强度/（MV/m）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≥120</w:t>
            </w:r>
          </w:p>
        </w:tc>
      </w:tr>
      <w:tr>
        <w:tblPrEx>
          <w:tblCellMar>
            <w:top w:w="0" w:type="dxa"/>
            <w:left w:w="108" w:type="dxa"/>
            <w:bottom w:w="0" w:type="dxa"/>
            <w:right w:w="108" w:type="dxa"/>
          </w:tblCellMar>
        </w:tblPrEx>
        <w:trPr>
          <w:trHeight w:val="315"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8</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体积电阻率（室温）/（</w:t>
            </w:r>
            <w:r>
              <w:rPr>
                <w:rFonts w:hint="default" w:ascii="Times New Roman" w:hAnsi="Times New Roman" w:eastAsia="宋体" w:cs="Times New Roman"/>
                <w:kern w:val="0"/>
                <w:sz w:val="21"/>
                <w:szCs w:val="21"/>
                <w:lang w:eastAsia="en-US"/>
              </w:rPr>
              <w:t>Ω</w:t>
            </w:r>
            <w:r>
              <w:rPr>
                <w:rFonts w:hint="default" w:ascii="Times New Roman" w:hAnsi="Times New Roman" w:eastAsia="宋体" w:cs="Times New Roman"/>
                <w:kern w:val="0"/>
                <w:sz w:val="21"/>
                <w:szCs w:val="21"/>
                <w:lang w:eastAsia="zh-CN"/>
              </w:rPr>
              <w:t>·cm)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≥10</w:t>
            </w:r>
            <w:r>
              <w:rPr>
                <w:rFonts w:hint="default" w:ascii="Times New Roman" w:hAnsi="Times New Roman" w:eastAsia="宋体" w:cs="Times New Roman"/>
                <w:kern w:val="0"/>
                <w:sz w:val="21"/>
                <w:szCs w:val="21"/>
                <w:vertAlign w:val="superscript"/>
                <w:lang w:eastAsia="en-US"/>
              </w:rPr>
              <w:t>15</w:t>
            </w:r>
          </w:p>
        </w:tc>
      </w:tr>
      <w:tr>
        <w:tblPrEx>
          <w:tblCellMar>
            <w:top w:w="0" w:type="dxa"/>
            <w:left w:w="108" w:type="dxa"/>
            <w:bottom w:w="0" w:type="dxa"/>
            <w:right w:w="108" w:type="dxa"/>
          </w:tblCellMar>
        </w:tblPrEx>
        <w:trPr>
          <w:trHeight w:val="315"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9</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表面电阻率/Ω</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≥10</w:t>
            </w:r>
            <w:r>
              <w:rPr>
                <w:rFonts w:hint="default" w:ascii="Times New Roman" w:hAnsi="Times New Roman" w:eastAsia="宋体" w:cs="Times New Roman"/>
                <w:kern w:val="0"/>
                <w:sz w:val="21"/>
                <w:szCs w:val="21"/>
                <w:vertAlign w:val="superscript"/>
                <w:lang w:eastAsia="en-US"/>
              </w:rPr>
              <w:t>13</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10</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介电常数（50Hz或1MHz）</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2-3</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11</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介质损耗角正切值（50Hz或1MHz）</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≤0.001</w:t>
            </w:r>
          </w:p>
        </w:tc>
      </w:tr>
      <w:tr>
        <w:tblPrEx>
          <w:tblCellMar>
            <w:top w:w="0" w:type="dxa"/>
            <w:left w:w="108" w:type="dxa"/>
            <w:bottom w:w="0" w:type="dxa"/>
            <w:right w:w="108" w:type="dxa"/>
          </w:tblCellMar>
        </w:tblPrEx>
        <w:trPr>
          <w:trHeight w:val="270" w:hRule="atLeast"/>
        </w:trPr>
        <w:tc>
          <w:tcPr>
            <w:tcW w:w="852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注：FHF表示双面复合薄膜，HF表示单面复合薄膜</w:t>
            </w:r>
          </w:p>
        </w:tc>
      </w:tr>
    </w:tbl>
    <w:p>
      <w:pPr>
        <w:autoSpaceDE w:val="0"/>
        <w:autoSpaceDN w:val="0"/>
        <w:adjustRightInd w:val="0"/>
        <w:spacing w:line="36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合金铅护套表面应光滑无铅渣等夹杂物或破损，合金铅材质应满足下表。</w:t>
      </w:r>
    </w:p>
    <w:tbl>
      <w:tblPr>
        <w:tblStyle w:val="9"/>
        <w:tblW w:w="57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286"/>
        <w:gridCol w:w="878"/>
        <w:gridCol w:w="1022"/>
        <w:gridCol w:w="442"/>
        <w:gridCol w:w="685"/>
        <w:gridCol w:w="583"/>
        <w:gridCol w:w="685"/>
        <w:gridCol w:w="685"/>
        <w:gridCol w:w="711"/>
        <w:gridCol w:w="685"/>
        <w:gridCol w:w="685"/>
        <w:gridCol w:w="685"/>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3" w:type="pct"/>
            <w:vMerge w:val="restar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640" w:type="pct"/>
            <w:vMerge w:val="restar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牌号名称</w:t>
            </w:r>
          </w:p>
        </w:tc>
        <w:tc>
          <w:tcPr>
            <w:tcW w:w="1166" w:type="pct"/>
            <w:gridSpan w:val="3"/>
            <w:vAlign w:val="center"/>
          </w:tcPr>
          <w:p>
            <w:pPr>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化学成分（质量分数）/% </w:t>
            </w:r>
          </w:p>
        </w:tc>
        <w:tc>
          <w:tcPr>
            <w:tcW w:w="2981" w:type="pct"/>
            <w:gridSpan w:val="9"/>
          </w:tcPr>
          <w:p>
            <w:pPr>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其他杂质化学成分（质量分数）/%，不大于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3" w:type="pct"/>
            <w:vMerge w:val="continue"/>
            <w:vAlign w:val="center"/>
          </w:tcPr>
          <w:p>
            <w:pPr>
              <w:jc w:val="center"/>
              <w:rPr>
                <w:rFonts w:hint="default" w:ascii="Times New Roman" w:hAnsi="Times New Roman" w:eastAsia="宋体" w:cs="Times New Roman"/>
                <w:b/>
                <w:kern w:val="0"/>
                <w:sz w:val="21"/>
                <w:szCs w:val="21"/>
                <w:lang w:eastAsia="zh-CN"/>
              </w:rPr>
            </w:pPr>
          </w:p>
        </w:tc>
        <w:tc>
          <w:tcPr>
            <w:tcW w:w="640" w:type="pct"/>
            <w:vMerge w:val="continue"/>
            <w:vAlign w:val="center"/>
          </w:tcPr>
          <w:p>
            <w:pPr>
              <w:jc w:val="center"/>
              <w:rPr>
                <w:rFonts w:hint="default" w:ascii="Times New Roman" w:hAnsi="Times New Roman" w:eastAsia="宋体" w:cs="Times New Roman"/>
                <w:b/>
                <w:kern w:val="0"/>
                <w:sz w:val="21"/>
                <w:szCs w:val="21"/>
                <w:lang w:eastAsia="zh-CN"/>
              </w:rPr>
            </w:pPr>
          </w:p>
        </w:tc>
        <w:tc>
          <w:tcPr>
            <w:tcW w:w="437"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shd w:val="clear" w:color="auto" w:fill="FFFFFF"/>
                <w:lang w:eastAsia="en-US"/>
              </w:rPr>
              <w:t>Sb</w:t>
            </w:r>
          </w:p>
        </w:tc>
        <w:tc>
          <w:tcPr>
            <w:tcW w:w="509"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Cu</w:t>
            </w:r>
          </w:p>
        </w:tc>
        <w:tc>
          <w:tcPr>
            <w:tcW w:w="220"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Pb</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Ag</w:t>
            </w:r>
          </w:p>
        </w:tc>
        <w:tc>
          <w:tcPr>
            <w:tcW w:w="290"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Bi</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As</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Sn</w:t>
            </w:r>
          </w:p>
        </w:tc>
        <w:tc>
          <w:tcPr>
            <w:tcW w:w="354"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Zn</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Fe</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Cd</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Ni</w:t>
            </w:r>
          </w:p>
        </w:tc>
        <w:tc>
          <w:tcPr>
            <w:tcW w:w="29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3"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640"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Pb-Sb-Cu 合金</w:t>
            </w:r>
          </w:p>
        </w:tc>
        <w:tc>
          <w:tcPr>
            <w:tcW w:w="437" w:type="pct"/>
            <w:vAlign w:val="center"/>
          </w:tcPr>
          <w:p>
            <w:pPr>
              <w:ind w:left="-105" w:leftChars="-50" w:right="-46" w:rightChars="-22"/>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0.4-0.8</w:t>
            </w:r>
          </w:p>
        </w:tc>
        <w:tc>
          <w:tcPr>
            <w:tcW w:w="509" w:type="pct"/>
            <w:vAlign w:val="center"/>
          </w:tcPr>
          <w:p>
            <w:pPr>
              <w:ind w:left="-105" w:leftChars="-50" w:right="-105" w:rightChars="-5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0.02-0.06</w:t>
            </w:r>
          </w:p>
        </w:tc>
        <w:tc>
          <w:tcPr>
            <w:tcW w:w="220"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余量</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0.008</w:t>
            </w:r>
          </w:p>
        </w:tc>
        <w:tc>
          <w:tcPr>
            <w:tcW w:w="290"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0.06</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0.001</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0.001</w:t>
            </w:r>
          </w:p>
        </w:tc>
        <w:tc>
          <w:tcPr>
            <w:tcW w:w="354" w:type="pct"/>
          </w:tcPr>
          <w:p>
            <w:pPr>
              <w:ind w:left="-126" w:leftChars="-60" w:right="-99" w:rightChars="-47"/>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0.0005</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0.002</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0.002</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0.002</w:t>
            </w:r>
          </w:p>
        </w:tc>
        <w:tc>
          <w:tcPr>
            <w:tcW w:w="29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0.06</w:t>
            </w:r>
          </w:p>
        </w:tc>
      </w:tr>
    </w:tbl>
    <w:p>
      <w:pPr>
        <w:numPr>
          <w:ilvl w:val="0"/>
          <w:numId w:val="15"/>
        </w:numPr>
        <w:autoSpaceDE w:val="0"/>
        <w:autoSpaceDN w:val="0"/>
        <w:adjustRightInd w:val="0"/>
        <w:spacing w:line="360" w:lineRule="auto"/>
        <w:ind w:left="420" w:right="0" w:rightChars="0" w:hanging="42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电缆头参照“《潜油电泵机组》国标GB/T 16750-2015  6.1.6电缆头”进行检测，并符合“《潜油电泵机组》国标GB/T 16750-2015 5.2.5.12”检测标准。</w:t>
      </w:r>
    </w:p>
    <w:p>
      <w:pPr>
        <w:numPr>
          <w:ilvl w:val="0"/>
          <w:numId w:val="15"/>
        </w:numPr>
        <w:autoSpaceDE w:val="0"/>
        <w:autoSpaceDN w:val="0"/>
        <w:adjustRightInd w:val="0"/>
        <w:spacing w:line="360" w:lineRule="auto"/>
        <w:ind w:left="420" w:hanging="420"/>
        <w:jc w:val="both"/>
        <w:rPr>
          <w:rFonts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用耐压测试仪对电缆头进行50HZ交流电耐电压测试，试验电压为2倍的电机最高工作电压加1kV，频率50Hz，持续1min不应击穿。</w:t>
      </w:r>
    </w:p>
    <w:p>
      <w:pPr>
        <w:numPr>
          <w:ilvl w:val="0"/>
          <w:numId w:val="15"/>
        </w:numPr>
        <w:autoSpaceDE w:val="0"/>
        <w:autoSpaceDN w:val="0"/>
        <w:adjustRightInd w:val="0"/>
        <w:spacing w:line="360" w:lineRule="auto"/>
        <w:ind w:left="420" w:right="0" w:hanging="42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铠皮为镀锌钢带，镀锌钢带材质应满足：</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166"/>
        <w:gridCol w:w="1164"/>
        <w:gridCol w:w="1166"/>
        <w:gridCol w:w="1022"/>
        <w:gridCol w:w="1166"/>
        <w:gridCol w:w="1166"/>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98" w:type="pct"/>
            <w:vMerge w:val="restar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665" w:type="pct"/>
            <w:vMerge w:val="restar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牌号名称</w:t>
            </w:r>
          </w:p>
        </w:tc>
        <w:tc>
          <w:tcPr>
            <w:tcW w:w="3937" w:type="pct"/>
            <w:gridSpan w:val="6"/>
          </w:tcPr>
          <w:p>
            <w:pPr>
              <w:ind w:right="11"/>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化学成分（熔炼分析）（质量分数）/%，不大于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98" w:type="pct"/>
            <w:vMerge w:val="continue"/>
            <w:vAlign w:val="center"/>
          </w:tcPr>
          <w:p>
            <w:pPr>
              <w:ind w:right="11"/>
              <w:jc w:val="center"/>
              <w:rPr>
                <w:rFonts w:hint="default" w:ascii="Times New Roman" w:hAnsi="Times New Roman" w:eastAsia="宋体" w:cs="Times New Roman"/>
                <w:b/>
                <w:kern w:val="0"/>
                <w:sz w:val="21"/>
                <w:szCs w:val="21"/>
                <w:lang w:eastAsia="zh-CN"/>
              </w:rPr>
            </w:pPr>
          </w:p>
        </w:tc>
        <w:tc>
          <w:tcPr>
            <w:tcW w:w="665" w:type="pct"/>
            <w:vMerge w:val="continue"/>
            <w:vAlign w:val="center"/>
          </w:tcPr>
          <w:p>
            <w:pPr>
              <w:ind w:right="11"/>
              <w:jc w:val="center"/>
              <w:rPr>
                <w:rFonts w:hint="default" w:ascii="Times New Roman" w:hAnsi="Times New Roman" w:eastAsia="宋体" w:cs="Times New Roman"/>
                <w:b/>
                <w:kern w:val="0"/>
                <w:sz w:val="21"/>
                <w:szCs w:val="21"/>
                <w:lang w:eastAsia="zh-CN"/>
              </w:rPr>
            </w:pPr>
          </w:p>
        </w:tc>
        <w:tc>
          <w:tcPr>
            <w:tcW w:w="664"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C</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Si</w:t>
            </w:r>
          </w:p>
        </w:tc>
        <w:tc>
          <w:tcPr>
            <w:tcW w:w="583"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Mn</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P</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S</w:t>
            </w:r>
          </w:p>
        </w:tc>
        <w:tc>
          <w:tcPr>
            <w:tcW w:w="69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8"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DX53D+Z</w:t>
            </w:r>
          </w:p>
        </w:tc>
        <w:tc>
          <w:tcPr>
            <w:tcW w:w="664"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0.12</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0.50</w:t>
            </w:r>
          </w:p>
        </w:tc>
        <w:tc>
          <w:tcPr>
            <w:tcW w:w="583"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0.60</w:t>
            </w:r>
          </w:p>
        </w:tc>
        <w:tc>
          <w:tcPr>
            <w:tcW w:w="665" w:type="pct"/>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0.10</w:t>
            </w:r>
          </w:p>
        </w:tc>
        <w:tc>
          <w:tcPr>
            <w:tcW w:w="665" w:type="pct"/>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0.045</w:t>
            </w:r>
          </w:p>
        </w:tc>
        <w:tc>
          <w:tcPr>
            <w:tcW w:w="69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0.30</w:t>
            </w:r>
          </w:p>
        </w:tc>
      </w:tr>
    </w:tbl>
    <w:p>
      <w:pPr>
        <w:ind w:left="420" w:right="11"/>
        <w:jc w:val="left"/>
        <w:rPr>
          <w:rFonts w:hint="default" w:ascii="Times New Roman" w:hAnsi="Times New Roman" w:eastAsia="宋体" w:cs="Times New Roman"/>
          <w:vanish/>
          <w:kern w:val="0"/>
          <w:sz w:val="21"/>
          <w:szCs w:val="21"/>
          <w:lang w:eastAsia="en-US"/>
        </w:rPr>
      </w:pPr>
    </w:p>
    <w:tbl>
      <w:tblPr>
        <w:tblStyle w:val="9"/>
        <w:tblW w:w="50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181"/>
        <w:gridCol w:w="2361"/>
        <w:gridCol w:w="2217"/>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97" w:type="pct"/>
            <w:vMerge w:val="restar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665" w:type="pct"/>
            <w:vMerge w:val="restar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牌号名称</w:t>
            </w:r>
          </w:p>
        </w:tc>
        <w:tc>
          <w:tcPr>
            <w:tcW w:w="3938"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397" w:type="pct"/>
            <w:vMerge w:val="continue"/>
            <w:vAlign w:val="center"/>
          </w:tcPr>
          <w:p>
            <w:pPr>
              <w:ind w:right="11"/>
              <w:jc w:val="center"/>
              <w:rPr>
                <w:rFonts w:hint="default" w:ascii="Times New Roman" w:hAnsi="Times New Roman" w:eastAsia="宋体" w:cs="Times New Roman"/>
                <w:b/>
                <w:kern w:val="0"/>
                <w:sz w:val="21"/>
                <w:szCs w:val="21"/>
                <w:lang w:eastAsia="en-US"/>
              </w:rPr>
            </w:pPr>
          </w:p>
        </w:tc>
        <w:tc>
          <w:tcPr>
            <w:tcW w:w="665" w:type="pct"/>
            <w:vMerge w:val="continue"/>
            <w:vAlign w:val="center"/>
          </w:tcPr>
          <w:p>
            <w:pPr>
              <w:ind w:right="11"/>
              <w:jc w:val="center"/>
              <w:rPr>
                <w:rFonts w:hint="default" w:ascii="Times New Roman" w:hAnsi="Times New Roman" w:eastAsia="宋体" w:cs="Times New Roman"/>
                <w:b/>
                <w:kern w:val="0"/>
                <w:sz w:val="21"/>
                <w:szCs w:val="21"/>
                <w:lang w:eastAsia="en-US"/>
              </w:rPr>
            </w:pPr>
          </w:p>
        </w:tc>
        <w:tc>
          <w:tcPr>
            <w:tcW w:w="1330" w:type="pct"/>
            <w:vAlign w:val="center"/>
          </w:tcPr>
          <w:p>
            <w:pPr>
              <w:autoSpaceDE w:val="0"/>
              <w:autoSpaceDN w:val="0"/>
              <w:adjustRightInd w:val="0"/>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屈服强度R</w:t>
            </w:r>
            <w:r>
              <w:rPr>
                <w:rFonts w:hint="default" w:ascii="Times New Roman" w:hAnsi="Times New Roman" w:eastAsia="宋体" w:cs="Times New Roman"/>
                <w:kern w:val="0"/>
                <w:sz w:val="21"/>
                <w:szCs w:val="21"/>
                <w:vertAlign w:val="subscript"/>
                <w:lang w:eastAsia="en-US"/>
              </w:rPr>
              <w:t>eL</w:t>
            </w:r>
            <w:r>
              <w:rPr>
                <w:rFonts w:hint="default" w:ascii="Times New Roman" w:hAnsi="Times New Roman" w:eastAsia="宋体" w:cs="Times New Roman"/>
                <w:kern w:val="0"/>
                <w:sz w:val="21"/>
                <w:szCs w:val="21"/>
                <w:lang w:eastAsia="en-US"/>
              </w:rPr>
              <w:t>/MPa</w:t>
            </w:r>
          </w:p>
        </w:tc>
        <w:tc>
          <w:tcPr>
            <w:tcW w:w="1249" w:type="pct"/>
            <w:vAlign w:val="center"/>
          </w:tcPr>
          <w:p>
            <w:pPr>
              <w:autoSpaceDE w:val="0"/>
              <w:autoSpaceDN w:val="0"/>
              <w:adjustRightInd w:val="0"/>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抗拉强度R</w:t>
            </w:r>
            <w:r>
              <w:rPr>
                <w:rFonts w:hint="default" w:ascii="Times New Roman" w:hAnsi="Times New Roman" w:eastAsia="宋体" w:cs="Times New Roman"/>
                <w:kern w:val="0"/>
                <w:sz w:val="21"/>
                <w:szCs w:val="21"/>
                <w:vertAlign w:val="subscript"/>
                <w:lang w:eastAsia="en-US"/>
              </w:rPr>
              <w:t>m</w:t>
            </w:r>
            <w:r>
              <w:rPr>
                <w:rFonts w:hint="default" w:ascii="Times New Roman" w:hAnsi="Times New Roman" w:eastAsia="宋体" w:cs="Times New Roman"/>
                <w:kern w:val="0"/>
                <w:sz w:val="21"/>
                <w:szCs w:val="21"/>
                <w:lang w:eastAsia="en-US"/>
              </w:rPr>
              <w:t>/MPa</w:t>
            </w:r>
          </w:p>
        </w:tc>
        <w:tc>
          <w:tcPr>
            <w:tcW w:w="1359" w:type="pct"/>
            <w:vAlign w:val="center"/>
          </w:tcPr>
          <w:p>
            <w:pPr>
              <w:autoSpaceDE w:val="0"/>
              <w:autoSpaceDN w:val="0"/>
              <w:adjustRightInd w:val="0"/>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断后伸长率A/%不小于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97"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DX53D+Z</w:t>
            </w:r>
          </w:p>
        </w:tc>
        <w:tc>
          <w:tcPr>
            <w:tcW w:w="133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140～260</w:t>
            </w:r>
          </w:p>
        </w:tc>
        <w:tc>
          <w:tcPr>
            <w:tcW w:w="1249"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270～380</w:t>
            </w:r>
          </w:p>
        </w:tc>
        <w:tc>
          <w:tcPr>
            <w:tcW w:w="1359"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30</w:t>
            </w:r>
          </w:p>
        </w:tc>
      </w:tr>
    </w:tbl>
    <w:p>
      <w:pPr>
        <w:jc w:val="left"/>
        <w:rPr>
          <w:rFonts w:hint="default" w:ascii="Times New Roman" w:hAnsi="Times New Roman" w:eastAsia="宋体" w:cs="Times New Roman"/>
          <w:kern w:val="0"/>
          <w:sz w:val="21"/>
          <w:szCs w:val="21"/>
          <w:lang w:eastAsia="zh-CN"/>
        </w:rPr>
      </w:pPr>
    </w:p>
    <w:p>
      <w:pPr>
        <w:widowControl w:val="0"/>
        <w:tabs>
          <w:tab w:val="center" w:pos="4153"/>
          <w:tab w:val="right" w:pos="8306"/>
        </w:tabs>
        <w:snapToGrid w:val="0"/>
        <w:jc w:val="left"/>
        <w:rPr>
          <w:rFonts w:hint="default" w:ascii="Times New Roman" w:hAnsi="Times New Roman" w:eastAsia="宋体" w:cs="Times New Roman"/>
          <w:kern w:val="0"/>
          <w:sz w:val="18"/>
          <w:szCs w:val="18"/>
          <w:lang w:val="en-US" w:eastAsia="zh-CN" w:bidi="ar-SA"/>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常速潜油保护器（3000RPM）</w:t>
      </w:r>
    </w:p>
    <w:tbl>
      <w:tblPr>
        <w:tblStyle w:val="10"/>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1349"/>
        <w:gridCol w:w="3900"/>
        <w:gridCol w:w="84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24" w:name="_Toc15195"/>
            <w:bookmarkStart w:id="325" w:name="_Toc12549"/>
            <w:bookmarkStart w:id="326" w:name="_Toc10282"/>
            <w:bookmarkStart w:id="327" w:name="_Toc16836"/>
            <w:bookmarkStart w:id="328" w:name="_Toc22318"/>
            <w:r>
              <w:rPr>
                <w:rFonts w:hint="default" w:ascii="Times New Roman" w:hAnsi="Times New Roman" w:eastAsia="宋体" w:cs="Times New Roman"/>
                <w:spacing w:val="0"/>
                <w:kern w:val="0"/>
                <w:sz w:val="21"/>
                <w:szCs w:val="21"/>
                <w:lang w:val="en-US" w:eastAsia="zh-CN" w:bidi="ar-SA"/>
              </w:rPr>
              <w:t>序号</w:t>
            </w:r>
            <w:bookmarkEnd w:id="324"/>
            <w:bookmarkEnd w:id="325"/>
            <w:bookmarkEnd w:id="326"/>
            <w:bookmarkEnd w:id="327"/>
            <w:bookmarkEnd w:id="328"/>
          </w:p>
        </w:tc>
        <w:tc>
          <w:tcPr>
            <w:tcW w:w="1276"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29" w:name="_Toc31705"/>
            <w:bookmarkStart w:id="330" w:name="_Toc3391"/>
            <w:bookmarkStart w:id="331" w:name="_Toc30783"/>
            <w:bookmarkStart w:id="332" w:name="_Toc11365"/>
            <w:bookmarkStart w:id="333" w:name="_Toc21441"/>
            <w:r>
              <w:rPr>
                <w:rFonts w:hint="default" w:ascii="Times New Roman" w:hAnsi="Times New Roman" w:eastAsia="宋体" w:cs="Times New Roman"/>
                <w:spacing w:val="0"/>
                <w:kern w:val="0"/>
                <w:sz w:val="21"/>
                <w:szCs w:val="21"/>
                <w:lang w:val="en-US" w:eastAsia="zh-CN" w:bidi="ar-SA"/>
              </w:rPr>
              <w:t>物料编码</w:t>
            </w:r>
            <w:bookmarkEnd w:id="329"/>
            <w:bookmarkEnd w:id="330"/>
            <w:bookmarkEnd w:id="331"/>
            <w:bookmarkEnd w:id="332"/>
            <w:bookmarkEnd w:id="333"/>
          </w:p>
        </w:tc>
        <w:tc>
          <w:tcPr>
            <w:tcW w:w="1349"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34" w:name="_Toc7395"/>
            <w:bookmarkStart w:id="335" w:name="_Toc31628"/>
            <w:bookmarkStart w:id="336" w:name="_Toc28309"/>
            <w:bookmarkStart w:id="337" w:name="_Toc17140"/>
            <w:bookmarkStart w:id="338" w:name="_Toc32582"/>
            <w:r>
              <w:rPr>
                <w:rFonts w:hint="default" w:ascii="Times New Roman" w:hAnsi="Times New Roman" w:eastAsia="宋体" w:cs="Times New Roman"/>
                <w:spacing w:val="0"/>
                <w:kern w:val="0"/>
                <w:sz w:val="21"/>
                <w:szCs w:val="21"/>
                <w:lang w:val="en-US" w:eastAsia="zh-CN" w:bidi="ar-SA"/>
              </w:rPr>
              <w:t>物资名称</w:t>
            </w:r>
            <w:bookmarkEnd w:id="334"/>
            <w:bookmarkEnd w:id="335"/>
            <w:bookmarkEnd w:id="336"/>
            <w:bookmarkEnd w:id="337"/>
            <w:bookmarkEnd w:id="338"/>
          </w:p>
        </w:tc>
        <w:tc>
          <w:tcPr>
            <w:tcW w:w="390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39" w:name="_Toc4174"/>
            <w:bookmarkStart w:id="340" w:name="_Toc15330"/>
            <w:bookmarkStart w:id="341" w:name="_Toc9767"/>
            <w:bookmarkStart w:id="342" w:name="_Toc14136"/>
            <w:bookmarkStart w:id="343" w:name="_Toc20107"/>
            <w:r>
              <w:rPr>
                <w:rFonts w:hint="default" w:ascii="Times New Roman" w:hAnsi="Times New Roman" w:eastAsia="宋体" w:cs="Times New Roman"/>
                <w:spacing w:val="0"/>
                <w:kern w:val="0"/>
                <w:sz w:val="21"/>
                <w:szCs w:val="21"/>
                <w:lang w:val="en-US" w:eastAsia="zh-CN" w:bidi="ar-SA"/>
              </w:rPr>
              <w:t>规格型号</w:t>
            </w:r>
            <w:bookmarkEnd w:id="339"/>
            <w:bookmarkEnd w:id="340"/>
            <w:bookmarkEnd w:id="341"/>
            <w:bookmarkEnd w:id="342"/>
            <w:bookmarkEnd w:id="343"/>
          </w:p>
        </w:tc>
        <w:tc>
          <w:tcPr>
            <w:tcW w:w="84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44" w:name="_Toc8572"/>
            <w:bookmarkStart w:id="345" w:name="_Toc13300"/>
            <w:bookmarkStart w:id="346" w:name="_Toc18544"/>
            <w:bookmarkStart w:id="347" w:name="_Toc15015"/>
            <w:bookmarkStart w:id="348" w:name="_Toc19535"/>
            <w:r>
              <w:rPr>
                <w:rFonts w:hint="default" w:ascii="Times New Roman" w:hAnsi="Times New Roman" w:eastAsia="宋体" w:cs="Times New Roman"/>
                <w:spacing w:val="0"/>
                <w:kern w:val="0"/>
                <w:sz w:val="21"/>
                <w:szCs w:val="21"/>
                <w:lang w:val="en-US" w:eastAsia="zh-CN" w:bidi="ar-SA"/>
              </w:rPr>
              <w:t>单位</w:t>
            </w:r>
            <w:bookmarkEnd w:id="344"/>
            <w:bookmarkEnd w:id="345"/>
            <w:bookmarkEnd w:id="346"/>
            <w:bookmarkEnd w:id="347"/>
            <w:bookmarkEnd w:id="348"/>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49" w:name="_Toc27387"/>
            <w:bookmarkStart w:id="350" w:name="_Toc2772"/>
            <w:bookmarkStart w:id="351" w:name="_Toc27109"/>
            <w:bookmarkStart w:id="352" w:name="_Toc14212"/>
            <w:bookmarkStart w:id="353" w:name="_Toc31991"/>
            <w:r>
              <w:rPr>
                <w:rFonts w:hint="default" w:ascii="Times New Roman" w:hAnsi="Times New Roman" w:eastAsia="宋体" w:cs="Times New Roman"/>
                <w:spacing w:val="0"/>
                <w:kern w:val="0"/>
                <w:sz w:val="21"/>
                <w:szCs w:val="21"/>
                <w:lang w:val="en-US" w:eastAsia="zh-CN" w:bidi="ar-SA"/>
              </w:rPr>
              <w:t>备注</w:t>
            </w:r>
            <w:bookmarkEnd w:id="349"/>
            <w:bookmarkEnd w:id="350"/>
            <w:bookmarkEnd w:id="351"/>
            <w:bookmarkEnd w:id="352"/>
            <w:bookmarkEnd w:id="3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widowControl w:val="0"/>
              <w:numPr>
                <w:ilvl w:val="0"/>
                <w:numId w:val="16"/>
              </w:numPr>
              <w:spacing w:line="479" w:lineRule="exact"/>
              <w:jc w:val="center"/>
              <w:outlineLvl w:val="1"/>
              <w:rPr>
                <w:rFonts w:hint="eastAsia" w:ascii="宋体" w:hAnsi="宋体" w:eastAsia="宋体" w:cs="宋体"/>
                <w:spacing w:val="0"/>
                <w:kern w:val="0"/>
                <w:sz w:val="18"/>
                <w:szCs w:val="18"/>
                <w:lang w:val="en-US" w:eastAsia="en-US" w:bidi="ar-SA"/>
              </w:rPr>
            </w:pPr>
            <w:bookmarkStart w:id="354" w:name="_Toc6576"/>
            <w:bookmarkEnd w:id="354"/>
            <w:bookmarkStart w:id="355" w:name="_Toc5434"/>
            <w:bookmarkEnd w:id="355"/>
            <w:bookmarkStart w:id="356" w:name="_Toc9703"/>
            <w:bookmarkEnd w:id="356"/>
            <w:bookmarkStart w:id="357" w:name="_Toc9317"/>
            <w:bookmarkEnd w:id="357"/>
            <w:bookmarkStart w:id="358" w:name="_Toc28706"/>
            <w:bookmarkEnd w:id="358"/>
          </w:p>
        </w:tc>
        <w:tc>
          <w:tcPr>
            <w:tcW w:w="1276"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84256628</w:t>
            </w:r>
          </w:p>
        </w:tc>
        <w:tc>
          <w:tcPr>
            <w:tcW w:w="1349"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color w:val="000000"/>
                <w:kern w:val="0"/>
                <w:sz w:val="18"/>
                <w:szCs w:val="18"/>
                <w:lang w:eastAsia="zh-CN" w:bidi="ar"/>
              </w:rPr>
              <w:t>潜油保护器</w:t>
            </w:r>
          </w:p>
        </w:tc>
        <w:tc>
          <w:tcPr>
            <w:tcW w:w="3900"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en-US"/>
              </w:rPr>
            </w:pPr>
            <w:r>
              <w:rPr>
                <w:rFonts w:hint="eastAsia" w:ascii="宋体" w:hAnsi="宋体" w:eastAsia="宋体" w:cs="宋体"/>
                <w:i w:val="0"/>
                <w:iCs w:val="0"/>
                <w:color w:val="000000"/>
                <w:kern w:val="0"/>
                <w:sz w:val="18"/>
                <w:szCs w:val="18"/>
                <w:u w:val="none"/>
                <w:lang w:val="en-US" w:eastAsia="zh-CN" w:bidi="ar"/>
              </w:rPr>
              <w:t>BPR338\BPBSL\高承载\180℃</w:t>
            </w:r>
          </w:p>
        </w:tc>
        <w:tc>
          <w:tcPr>
            <w:tcW w:w="842"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eastAsia" w:ascii="宋体" w:hAnsi="宋体" w:eastAsia="宋体" w:cs="宋体"/>
                <w:spacing w:val="0"/>
                <w:kern w:val="0"/>
                <w:sz w:val="18"/>
                <w:szCs w:val="18"/>
                <w:lang w:val="en-US" w:eastAsia="en-US" w:bidi="ar-SA"/>
              </w:rPr>
            </w:pPr>
            <w:bookmarkStart w:id="359" w:name="_Toc18646"/>
            <w:bookmarkEnd w:id="359"/>
            <w:bookmarkStart w:id="360" w:name="_Toc9274"/>
            <w:bookmarkEnd w:id="360"/>
            <w:bookmarkStart w:id="361" w:name="_Toc9306"/>
            <w:bookmarkEnd w:id="361"/>
            <w:bookmarkStart w:id="362" w:name="_Toc21873"/>
            <w:bookmarkEnd w:id="362"/>
            <w:bookmarkStart w:id="363" w:name="_Toc5154"/>
            <w:bookmarkEnd w:id="363"/>
          </w:p>
        </w:tc>
        <w:tc>
          <w:tcPr>
            <w:tcW w:w="1276"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84272406</w:t>
            </w:r>
          </w:p>
        </w:tc>
        <w:tc>
          <w:tcPr>
            <w:tcW w:w="1349"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color w:val="000000"/>
                <w:kern w:val="0"/>
                <w:sz w:val="18"/>
                <w:szCs w:val="18"/>
                <w:lang w:eastAsia="zh-CN" w:bidi="ar"/>
              </w:rPr>
              <w:t>潜油保护器</w:t>
            </w:r>
          </w:p>
        </w:tc>
        <w:tc>
          <w:tcPr>
            <w:tcW w:w="3900"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en-US"/>
              </w:rPr>
            </w:pPr>
            <w:r>
              <w:rPr>
                <w:rFonts w:hint="eastAsia" w:ascii="宋体" w:hAnsi="宋体" w:eastAsia="宋体" w:cs="宋体"/>
                <w:i w:val="0"/>
                <w:iCs w:val="0"/>
                <w:color w:val="000000"/>
                <w:kern w:val="0"/>
                <w:sz w:val="18"/>
                <w:szCs w:val="18"/>
                <w:u w:val="none"/>
                <w:lang w:val="en-US" w:eastAsia="zh-CN" w:bidi="ar"/>
              </w:rPr>
              <w:t>BPR338-YC\BPBSL/BPBSL\高承载\180℃</w:t>
            </w:r>
          </w:p>
        </w:tc>
        <w:tc>
          <w:tcPr>
            <w:tcW w:w="842"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eastAsia" w:ascii="宋体" w:hAnsi="宋体" w:eastAsia="宋体" w:cs="宋体"/>
                <w:spacing w:val="0"/>
                <w:kern w:val="0"/>
                <w:sz w:val="18"/>
                <w:szCs w:val="18"/>
                <w:lang w:val="en-US" w:eastAsia="en-US" w:bidi="ar-SA"/>
              </w:rPr>
            </w:pPr>
            <w:bookmarkStart w:id="364" w:name="_Toc29541"/>
            <w:bookmarkEnd w:id="364"/>
            <w:bookmarkStart w:id="365" w:name="_Toc16268"/>
            <w:bookmarkEnd w:id="365"/>
            <w:bookmarkStart w:id="366" w:name="_Toc19995"/>
            <w:bookmarkEnd w:id="366"/>
            <w:bookmarkStart w:id="367" w:name="_Toc19861"/>
            <w:bookmarkEnd w:id="367"/>
            <w:bookmarkStart w:id="368" w:name="_Toc6767"/>
            <w:bookmarkEnd w:id="368"/>
          </w:p>
        </w:tc>
        <w:tc>
          <w:tcPr>
            <w:tcW w:w="1276"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82368738</w:t>
            </w:r>
          </w:p>
        </w:tc>
        <w:tc>
          <w:tcPr>
            <w:tcW w:w="1349"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color w:val="000000"/>
                <w:kern w:val="0"/>
                <w:sz w:val="18"/>
                <w:szCs w:val="18"/>
                <w:lang w:eastAsia="zh-CN" w:bidi="ar"/>
              </w:rPr>
              <w:t>潜油保护器</w:t>
            </w:r>
          </w:p>
        </w:tc>
        <w:tc>
          <w:tcPr>
            <w:tcW w:w="3900"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en-US"/>
              </w:rPr>
            </w:pPr>
            <w:r>
              <w:rPr>
                <w:rFonts w:hint="eastAsia" w:ascii="宋体" w:hAnsi="宋体" w:eastAsia="宋体" w:cs="宋体"/>
                <w:i w:val="0"/>
                <w:iCs w:val="0"/>
                <w:color w:val="000000"/>
                <w:kern w:val="0"/>
                <w:sz w:val="18"/>
                <w:szCs w:val="18"/>
                <w:u w:val="none"/>
                <w:lang w:val="en-US" w:eastAsia="zh-CN" w:bidi="ar"/>
              </w:rPr>
              <w:t>BPR400\BPBSL\高承载\180℃</w:t>
            </w:r>
          </w:p>
        </w:tc>
        <w:tc>
          <w:tcPr>
            <w:tcW w:w="842"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eastAsia" w:ascii="宋体" w:hAnsi="宋体" w:eastAsia="宋体" w:cs="宋体"/>
                <w:spacing w:val="0"/>
                <w:kern w:val="0"/>
                <w:sz w:val="18"/>
                <w:szCs w:val="18"/>
                <w:lang w:val="en-US" w:eastAsia="zh-CN" w:bidi="ar-SA"/>
              </w:rPr>
            </w:pPr>
            <w:bookmarkStart w:id="369" w:name="_Toc3137"/>
            <w:bookmarkEnd w:id="369"/>
            <w:bookmarkStart w:id="370" w:name="_Toc8678"/>
            <w:bookmarkEnd w:id="370"/>
            <w:bookmarkStart w:id="371" w:name="_Toc10702"/>
            <w:bookmarkEnd w:id="371"/>
            <w:bookmarkStart w:id="372" w:name="_Toc25267"/>
            <w:bookmarkEnd w:id="372"/>
            <w:bookmarkStart w:id="373" w:name="_Toc9312"/>
            <w:bookmarkEnd w:id="373"/>
          </w:p>
        </w:tc>
        <w:tc>
          <w:tcPr>
            <w:tcW w:w="1276"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84272407</w:t>
            </w:r>
          </w:p>
        </w:tc>
        <w:tc>
          <w:tcPr>
            <w:tcW w:w="1349"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color w:val="000000"/>
                <w:kern w:val="0"/>
                <w:sz w:val="18"/>
                <w:szCs w:val="18"/>
                <w:lang w:eastAsia="zh-CN" w:bidi="ar"/>
              </w:rPr>
              <w:t>潜油保护器</w:t>
            </w:r>
          </w:p>
        </w:tc>
        <w:tc>
          <w:tcPr>
            <w:tcW w:w="3900"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BPR400-YC\BPBSL/BPBSL\高承载\180℃</w:t>
            </w:r>
          </w:p>
        </w:tc>
        <w:tc>
          <w:tcPr>
            <w:tcW w:w="842"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eastAsia" w:ascii="宋体" w:hAnsi="宋体" w:eastAsia="宋体" w:cs="宋体"/>
                <w:spacing w:val="0"/>
                <w:kern w:val="0"/>
                <w:sz w:val="18"/>
                <w:szCs w:val="18"/>
                <w:lang w:val="en-US" w:eastAsia="zh-CN" w:bidi="ar-SA"/>
              </w:rPr>
            </w:pPr>
            <w:bookmarkStart w:id="374" w:name="_Toc22727"/>
            <w:bookmarkEnd w:id="374"/>
            <w:bookmarkStart w:id="375" w:name="_Toc6352"/>
            <w:bookmarkEnd w:id="375"/>
            <w:bookmarkStart w:id="376" w:name="_Toc21445"/>
            <w:bookmarkEnd w:id="376"/>
            <w:bookmarkStart w:id="377" w:name="_Toc26645"/>
            <w:bookmarkEnd w:id="377"/>
          </w:p>
        </w:tc>
        <w:tc>
          <w:tcPr>
            <w:tcW w:w="1276"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82368562</w:t>
            </w:r>
          </w:p>
        </w:tc>
        <w:tc>
          <w:tcPr>
            <w:tcW w:w="1349"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color w:val="000000"/>
                <w:kern w:val="0"/>
                <w:sz w:val="18"/>
                <w:szCs w:val="18"/>
                <w:lang w:eastAsia="zh-CN" w:bidi="ar"/>
              </w:rPr>
              <w:t>潜油保护器</w:t>
            </w:r>
          </w:p>
        </w:tc>
        <w:tc>
          <w:tcPr>
            <w:tcW w:w="3900"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BPR540\BPBSL\高承载\180℃</w:t>
            </w:r>
          </w:p>
        </w:tc>
        <w:tc>
          <w:tcPr>
            <w:tcW w:w="842" w:type="dxa"/>
            <w:vAlign w:val="center"/>
          </w:tcPr>
          <w:p>
            <w:pPr>
              <w:widowControl/>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eastAsia" w:ascii="宋体" w:hAnsi="宋体" w:eastAsia="宋体" w:cs="宋体"/>
                <w:spacing w:val="0"/>
                <w:kern w:val="0"/>
                <w:sz w:val="18"/>
                <w:szCs w:val="18"/>
                <w:lang w:val="en-US" w:eastAsia="zh-CN" w:bidi="ar-SA"/>
              </w:rPr>
            </w:pPr>
            <w:bookmarkStart w:id="378" w:name="_Toc29366"/>
            <w:bookmarkEnd w:id="378"/>
            <w:bookmarkStart w:id="379" w:name="_Toc24572"/>
            <w:bookmarkEnd w:id="379"/>
            <w:bookmarkStart w:id="380" w:name="_Toc14050"/>
            <w:bookmarkEnd w:id="380"/>
            <w:bookmarkStart w:id="381" w:name="_Toc24797"/>
            <w:bookmarkEnd w:id="381"/>
          </w:p>
        </w:tc>
        <w:tc>
          <w:tcPr>
            <w:tcW w:w="1276"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83974769</w:t>
            </w:r>
          </w:p>
        </w:tc>
        <w:tc>
          <w:tcPr>
            <w:tcW w:w="1349"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color w:val="000000"/>
                <w:kern w:val="0"/>
                <w:sz w:val="18"/>
                <w:szCs w:val="18"/>
                <w:lang w:eastAsia="zh-CN" w:bidi="ar"/>
              </w:rPr>
              <w:t>潜油保护器</w:t>
            </w:r>
          </w:p>
        </w:tc>
        <w:tc>
          <w:tcPr>
            <w:tcW w:w="3900"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BPR540\BPBSL/BPBSL\高承载\180℃</w:t>
            </w:r>
          </w:p>
        </w:tc>
        <w:tc>
          <w:tcPr>
            <w:tcW w:w="842" w:type="dxa"/>
            <w:vAlign w:val="center"/>
          </w:tcPr>
          <w:p>
            <w:pPr>
              <w:widowControl/>
              <w:jc w:val="center"/>
              <w:textAlignment w:val="center"/>
              <w:rPr>
                <w:rFonts w:hint="eastAsia" w:ascii="宋体" w:hAnsi="宋体" w:eastAsia="宋体" w:cs="宋体"/>
                <w:kern w:val="0"/>
                <w:sz w:val="18"/>
                <w:szCs w:val="18"/>
                <w:lang w:eastAsia="zh-CN" w:bidi="ar"/>
              </w:rPr>
            </w:pPr>
            <w:r>
              <w:rPr>
                <w:rFonts w:hint="eastAsia" w:ascii="宋体" w:hAnsi="宋体" w:eastAsia="宋体" w:cs="宋体"/>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18"/>
                <w:szCs w:val="18"/>
                <w:lang w:eastAsia="zh-CN"/>
              </w:rPr>
            </w:pPr>
          </w:p>
        </w:tc>
      </w:tr>
    </w:tbl>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保护器为 338、400、540 系列，型号分为 BPBSL单节和BPBSL+BPBSL串接。</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适用井温：180℃，本体耐温等级204℃；；</w:t>
      </w:r>
    </w:p>
    <w:p>
      <w:pPr>
        <w:widowControl w:val="0"/>
        <w:numPr>
          <w:ilvl w:val="0"/>
          <w:numId w:val="17"/>
        </w:numPr>
        <w:tabs>
          <w:tab w:val="left" w:pos="2020"/>
        </w:tabs>
        <w:spacing w:line="360" w:lineRule="auto"/>
        <w:ind w:right="187" w:rightChars="89" w:firstLine="200" w:firstLineChars="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1"/>
          <w:szCs w:val="21"/>
          <w:lang w:val="en-US" w:eastAsia="zh-CN" w:bidi="ar-SA"/>
        </w:rPr>
        <w:t>保护器采用高承载止推轴承338系列保护器轴向承载力≥1.3吨；400系列保护器轴向承载力≥2.5吨.540系列保护器轴向承载力≥5吨。串接保护器采用双节高承载止推轴承。</w:t>
      </w:r>
    </w:p>
    <w:p>
      <w:pPr>
        <w:widowControl w:val="0"/>
        <w:numPr>
          <w:ilvl w:val="0"/>
          <w:numId w:val="17"/>
        </w:numPr>
        <w:tabs>
          <w:tab w:val="left" w:pos="2020"/>
        </w:tabs>
        <w:spacing w:line="360" w:lineRule="auto"/>
        <w:ind w:right="187" w:rightChars="89" w:firstLine="200" w:firstLineChars="0"/>
        <w:jc w:val="both"/>
        <w:rPr>
          <w:rFonts w:hint="default" w:ascii="Times New Roman" w:hAnsi="Times New Roman" w:eastAsia="Microsoft YaHei UI"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保护器在额定同步转速为3000rpm、频率为100Hz具备稳定运行的能力，提供额定负载下转速3000rpm、频率为100Hz下的出厂测试报告。</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密封圈采用AFLAS，适用井温不低于204℃，</w:t>
      </w:r>
      <w:r>
        <w:rPr>
          <w:rFonts w:hint="default" w:ascii="Times New Roman" w:hAnsi="Times New Roman" w:eastAsia="宋体" w:cs="Times New Roman"/>
          <w:kern w:val="0"/>
          <w:sz w:val="24"/>
          <w:szCs w:val="24"/>
          <w:lang w:val="en-US" w:eastAsia="zh-CN" w:bidi="ar-SA"/>
        </w:rPr>
        <w:t>并提供AFLAS材质报告</w:t>
      </w:r>
      <w:r>
        <w:rPr>
          <w:rFonts w:hint="default" w:ascii="Times New Roman" w:hAnsi="Times New Roman" w:eastAsia="宋体" w:cs="Times New Roman"/>
          <w:kern w:val="0"/>
          <w:sz w:val="21"/>
          <w:szCs w:val="21"/>
          <w:lang w:val="en-US" w:eastAsia="zh-CN" w:bidi="ar-SA"/>
        </w:rPr>
        <w:t>。</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潜油保护器外观完好，目测无变形、无锈蚀。运输帽螺栓必须齐全并旋紧。</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潜油保护器水平状态盘轴应滑快无阻滞，盘轴力矩不大于7.5N.m/节。</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潜油保护器上下连接头尺寸及轴头窜量应满足《机械采油分公司潜油电泵产品接口参数明细》（见附件一）文件要求。</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保护器轴材质蒙乃尔K-500，头座为45号钢材质,壳体为45号钢材质，送货文件应提供材质化学成分及机械性能检测报告，并注明炉号等可追溯性标识信息。</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整机连接全部采用内外六角螺钉，采用法兰形式连接。</w:t>
      </w:r>
    </w:p>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轴用蒙乃尔K-500材质应满足</w:t>
      </w:r>
    </w:p>
    <w:p>
      <w:pPr>
        <w:ind w:right="11"/>
        <w:jc w:val="left"/>
        <w:rPr>
          <w:rFonts w:hint="default" w:ascii="Times New Roman" w:hAnsi="Times New Roman" w:eastAsia="宋体" w:cs="Times New Roman"/>
          <w:vanish/>
          <w:kern w:val="0"/>
          <w:sz w:val="20"/>
          <w:szCs w:val="20"/>
          <w:lang w:eastAsia="en-US"/>
        </w:rPr>
      </w:pPr>
    </w:p>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ascii="Times New Roman" w:hAnsi="Times New Roman" w:eastAsia="宋体" w:cs="Times New Roman"/>
          <w:kern w:val="0"/>
          <w:sz w:val="22"/>
          <w:lang w:eastAsia="en-US"/>
        </w:rPr>
        <w:drawing>
          <wp:inline distT="0" distB="0" distL="114300" distR="114300">
            <wp:extent cx="5734685" cy="1866265"/>
            <wp:effectExtent l="0" t="0" r="1841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5734685" cy="1866265"/>
                    </a:xfrm>
                    <a:prstGeom prst="rect">
                      <a:avLst/>
                    </a:prstGeom>
                    <a:noFill/>
                    <a:ln>
                      <a:noFill/>
                    </a:ln>
                  </pic:spPr>
                </pic:pic>
              </a:graphicData>
            </a:graphic>
          </wp:inline>
        </w:drawing>
      </w:r>
    </w:p>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头座用45</w:t>
      </w:r>
      <w:r>
        <w:rPr>
          <w:rFonts w:hint="default" w:ascii="Times New Roman" w:hAnsi="Times New Roman" w:eastAsia="宋体" w:cs="Times New Roman"/>
          <w:kern w:val="0"/>
          <w:sz w:val="20"/>
          <w:szCs w:val="20"/>
          <w:vertAlign w:val="superscript"/>
          <w:lang w:eastAsia="en-US"/>
        </w:rPr>
        <w:t>#</w:t>
      </w:r>
      <w:r>
        <w:rPr>
          <w:rFonts w:hint="default" w:ascii="Times New Roman" w:hAnsi="Times New Roman" w:eastAsia="宋体" w:cs="Times New Roman"/>
          <w:kern w:val="0"/>
          <w:sz w:val="20"/>
          <w:szCs w:val="20"/>
          <w:lang w:eastAsia="en-US"/>
        </w:rPr>
        <w:t>钢材质应满足</w:t>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75"/>
        <w:gridCol w:w="1169"/>
        <w:gridCol w:w="1169"/>
        <w:gridCol w:w="1022"/>
        <w:gridCol w:w="879"/>
        <w:gridCol w:w="877"/>
        <w:gridCol w:w="731"/>
        <w:gridCol w:w="73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tc>
      </w:tr>
    </w:tbl>
    <w:p>
      <w:pPr>
        <w:ind w:left="425" w:right="11"/>
        <w:jc w:val="left"/>
        <w:rPr>
          <w:rFonts w:hint="default" w:ascii="Times New Roman" w:hAnsi="Times New Roman" w:eastAsia="宋体" w:cs="Times New Roman"/>
          <w:vanish/>
          <w:kern w:val="0"/>
          <w:sz w:val="20"/>
          <w:szCs w:val="20"/>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60"/>
        <w:gridCol w:w="1759"/>
        <w:gridCol w:w="2435"/>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005"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391"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eL或</w:t>
            </w:r>
            <w:r>
              <w:rPr>
                <w:rFonts w:hint="default" w:ascii="Times New Roman" w:hAnsi="Times New Roman" w:eastAsia="宋体" w:cs="Times New Roman"/>
                <w:kern w:val="0"/>
                <w:sz w:val="20"/>
                <w:szCs w:val="20"/>
                <w:lang w:eastAsia="en-US"/>
              </w:rPr>
              <w:t>R</w:t>
            </w:r>
            <w:r>
              <w:rPr>
                <w:rFonts w:hint="default" w:ascii="Times New Roman" w:hAnsi="Times New Roman" w:eastAsia="宋体" w:cs="Times New Roman"/>
                <w:kern w:val="0"/>
                <w:sz w:val="20"/>
                <w:szCs w:val="20"/>
                <w:vertAlign w:val="subscript"/>
                <w:lang w:eastAsia="en-US"/>
              </w:rPr>
              <w:t>P0.2</w:t>
            </w:r>
            <w:r>
              <w:rPr>
                <w:rFonts w:hint="default" w:ascii="Times New Roman" w:hAnsi="Times New Roman" w:eastAsia="宋体" w:cs="Times New Roman"/>
                <w:kern w:val="0"/>
                <w:sz w:val="20"/>
                <w:szCs w:val="20"/>
                <w:lang w:eastAsia="en-US"/>
              </w:rPr>
              <w:t>/ MPa</w:t>
            </w:r>
          </w:p>
        </w:tc>
        <w:tc>
          <w:tcPr>
            <w:tcW w:w="1435" w:type="pct"/>
            <w:vAlign w:val="center"/>
          </w:tcPr>
          <w:p>
            <w:pPr>
              <w:autoSpaceDE w:val="0"/>
              <w:autoSpaceDN w:val="0"/>
              <w:adjustRightInd w:val="0"/>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005"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600</w:t>
            </w:r>
          </w:p>
        </w:tc>
        <w:tc>
          <w:tcPr>
            <w:tcW w:w="1391"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355</w:t>
            </w:r>
          </w:p>
        </w:tc>
        <w:tc>
          <w:tcPr>
            <w:tcW w:w="1435" w:type="pct"/>
            <w:vAlign w:val="center"/>
          </w:tcPr>
          <w:p>
            <w:pPr>
              <w:autoSpaceDE w:val="0"/>
              <w:autoSpaceDN w:val="0"/>
              <w:adjustRightInd w:val="0"/>
              <w:spacing w:line="360" w:lineRule="auto"/>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16</w:t>
            </w:r>
          </w:p>
        </w:tc>
      </w:tr>
    </w:tbl>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壳体用45</w:t>
      </w:r>
      <w:r>
        <w:rPr>
          <w:rFonts w:hint="default" w:ascii="Times New Roman" w:hAnsi="Times New Roman" w:eastAsia="宋体" w:cs="Times New Roman"/>
          <w:kern w:val="0"/>
          <w:sz w:val="20"/>
          <w:szCs w:val="20"/>
          <w:vertAlign w:val="superscript"/>
          <w:lang w:eastAsia="en-US"/>
        </w:rPr>
        <w:t>#</w:t>
      </w:r>
      <w:r>
        <w:rPr>
          <w:rFonts w:hint="default" w:ascii="Times New Roman" w:hAnsi="Times New Roman" w:eastAsia="宋体" w:cs="Times New Roman"/>
          <w:kern w:val="0"/>
          <w:sz w:val="20"/>
          <w:szCs w:val="20"/>
          <w:lang w:eastAsia="en-US"/>
        </w:rPr>
        <w:t>钢材质应满足</w:t>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75"/>
        <w:gridCol w:w="1169"/>
        <w:gridCol w:w="1169"/>
        <w:gridCol w:w="1022"/>
        <w:gridCol w:w="879"/>
        <w:gridCol w:w="877"/>
        <w:gridCol w:w="731"/>
        <w:gridCol w:w="73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6"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tc>
      </w:tr>
    </w:tbl>
    <w:p>
      <w:pPr>
        <w:ind w:left="425" w:right="11"/>
        <w:jc w:val="left"/>
        <w:rPr>
          <w:rFonts w:hint="default" w:ascii="Times New Roman" w:hAnsi="Times New Roman" w:eastAsia="宋体" w:cs="Times New Roman"/>
          <w:vanish/>
          <w:kern w:val="0"/>
          <w:sz w:val="20"/>
          <w:szCs w:val="20"/>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3"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498"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25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w:t>
            </w:r>
            <w:r>
              <w:rPr>
                <w:rFonts w:hint="default" w:ascii="Times New Roman" w:hAnsi="Times New Roman" w:eastAsia="宋体" w:cs="Times New Roman"/>
                <w:kern w:val="0"/>
                <w:sz w:val="20"/>
                <w:szCs w:val="20"/>
                <w:lang w:eastAsia="en-US"/>
              </w:rPr>
              <w:t>/ MPa</w:t>
            </w:r>
          </w:p>
        </w:tc>
        <w:tc>
          <w:tcPr>
            <w:tcW w:w="1084"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49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590</w:t>
            </w:r>
          </w:p>
        </w:tc>
        <w:tc>
          <w:tcPr>
            <w:tcW w:w="125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335</w:t>
            </w:r>
          </w:p>
        </w:tc>
        <w:tc>
          <w:tcPr>
            <w:tcW w:w="1084"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14</w:t>
            </w:r>
          </w:p>
        </w:tc>
      </w:tr>
    </w:tbl>
    <w:p>
      <w:pPr>
        <w:autoSpaceDE w:val="0"/>
        <w:autoSpaceDN w:val="0"/>
        <w:adjustRightInd w:val="0"/>
        <w:spacing w:line="360" w:lineRule="auto"/>
        <w:ind w:firstLine="210" w:firstLineChars="1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潜油保护器使用电机油为型号：BH6-204℃合格电机油，符合下表技术要求，并附带电机油MSDS。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低速潜油保护器（100RPM）</w:t>
      </w:r>
    </w:p>
    <w:tbl>
      <w:tblPr>
        <w:tblStyle w:val="10"/>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418"/>
        <w:gridCol w:w="1650"/>
        <w:gridCol w:w="3571"/>
        <w:gridCol w:w="101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82" w:name="_Toc18772"/>
            <w:bookmarkStart w:id="383" w:name="_Toc32234"/>
            <w:bookmarkStart w:id="384" w:name="_Toc16185"/>
            <w:bookmarkStart w:id="385" w:name="_Toc15867"/>
            <w:bookmarkStart w:id="386" w:name="_Toc10634"/>
            <w:r>
              <w:rPr>
                <w:rFonts w:hint="default" w:ascii="Times New Roman" w:hAnsi="Times New Roman" w:eastAsia="宋体" w:cs="Times New Roman"/>
                <w:spacing w:val="0"/>
                <w:kern w:val="0"/>
                <w:sz w:val="21"/>
                <w:szCs w:val="21"/>
                <w:lang w:val="en-US" w:eastAsia="zh-CN" w:bidi="ar-SA"/>
              </w:rPr>
              <w:t>序号</w:t>
            </w:r>
            <w:bookmarkEnd w:id="382"/>
            <w:bookmarkEnd w:id="383"/>
            <w:bookmarkEnd w:id="384"/>
            <w:bookmarkEnd w:id="385"/>
            <w:bookmarkEnd w:id="386"/>
          </w:p>
        </w:tc>
        <w:tc>
          <w:tcPr>
            <w:tcW w:w="1418"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87" w:name="_Toc8307"/>
            <w:bookmarkStart w:id="388" w:name="_Toc1196"/>
            <w:bookmarkStart w:id="389" w:name="_Toc15066"/>
            <w:bookmarkStart w:id="390" w:name="_Toc23839"/>
            <w:bookmarkStart w:id="391" w:name="_Toc27888"/>
            <w:r>
              <w:rPr>
                <w:rFonts w:hint="default" w:ascii="Times New Roman" w:hAnsi="Times New Roman" w:eastAsia="宋体" w:cs="Times New Roman"/>
                <w:spacing w:val="0"/>
                <w:kern w:val="0"/>
                <w:sz w:val="21"/>
                <w:szCs w:val="21"/>
                <w:lang w:val="en-US" w:eastAsia="zh-CN" w:bidi="ar-SA"/>
              </w:rPr>
              <w:t>物料编码</w:t>
            </w:r>
            <w:bookmarkEnd w:id="387"/>
            <w:bookmarkEnd w:id="388"/>
            <w:bookmarkEnd w:id="389"/>
            <w:bookmarkEnd w:id="390"/>
            <w:bookmarkEnd w:id="391"/>
          </w:p>
        </w:tc>
        <w:tc>
          <w:tcPr>
            <w:tcW w:w="165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92" w:name="_Toc7461"/>
            <w:bookmarkStart w:id="393" w:name="_Toc3057"/>
            <w:bookmarkStart w:id="394" w:name="_Toc13305"/>
            <w:bookmarkStart w:id="395" w:name="_Toc18081"/>
            <w:r>
              <w:rPr>
                <w:rFonts w:hint="default" w:ascii="Times New Roman" w:hAnsi="Times New Roman" w:eastAsia="宋体" w:cs="Times New Roman"/>
                <w:spacing w:val="0"/>
                <w:kern w:val="0"/>
                <w:sz w:val="21"/>
                <w:szCs w:val="21"/>
                <w:lang w:val="en-US" w:eastAsia="zh-CN" w:bidi="ar-SA"/>
              </w:rPr>
              <w:t>物资名称</w:t>
            </w:r>
            <w:bookmarkEnd w:id="392"/>
            <w:bookmarkEnd w:id="393"/>
            <w:bookmarkEnd w:id="394"/>
            <w:bookmarkEnd w:id="395"/>
          </w:p>
        </w:tc>
        <w:tc>
          <w:tcPr>
            <w:tcW w:w="3571"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96" w:name="_Toc2430"/>
            <w:bookmarkStart w:id="397" w:name="_Toc6743"/>
            <w:bookmarkStart w:id="398" w:name="_Toc9169"/>
            <w:bookmarkStart w:id="399" w:name="_Toc16616"/>
            <w:bookmarkStart w:id="400" w:name="_Toc30892"/>
            <w:r>
              <w:rPr>
                <w:rFonts w:hint="default" w:ascii="Times New Roman" w:hAnsi="Times New Roman" w:eastAsia="宋体" w:cs="Times New Roman"/>
                <w:spacing w:val="0"/>
                <w:kern w:val="0"/>
                <w:sz w:val="21"/>
                <w:szCs w:val="21"/>
                <w:lang w:val="en-US" w:eastAsia="zh-CN" w:bidi="ar-SA"/>
              </w:rPr>
              <w:t>规格型号</w:t>
            </w:r>
            <w:bookmarkEnd w:id="396"/>
            <w:bookmarkEnd w:id="397"/>
            <w:bookmarkEnd w:id="398"/>
            <w:bookmarkEnd w:id="399"/>
            <w:bookmarkEnd w:id="400"/>
          </w:p>
        </w:tc>
        <w:tc>
          <w:tcPr>
            <w:tcW w:w="101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r>
              <w:rPr>
                <w:rFonts w:hint="default" w:ascii="Times New Roman" w:hAnsi="Times New Roman" w:eastAsia="宋体" w:cs="Times New Roman"/>
                <w:spacing w:val="0"/>
                <w:kern w:val="0"/>
                <w:sz w:val="21"/>
                <w:szCs w:val="21"/>
                <w:lang w:val="en-US" w:eastAsia="zh-CN" w:bidi="ar-SA"/>
              </w:rPr>
              <w:t>单位</w:t>
            </w:r>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401" w:name="_Toc23912"/>
            <w:bookmarkStart w:id="402" w:name="_Toc629"/>
            <w:bookmarkStart w:id="403" w:name="_Toc16444"/>
            <w:bookmarkStart w:id="404" w:name="_Toc16590"/>
            <w:bookmarkStart w:id="405" w:name="_Toc7018"/>
            <w:r>
              <w:rPr>
                <w:rFonts w:hint="default" w:ascii="Times New Roman" w:hAnsi="Times New Roman" w:eastAsia="宋体" w:cs="Times New Roman"/>
                <w:spacing w:val="0"/>
                <w:kern w:val="0"/>
                <w:sz w:val="21"/>
                <w:szCs w:val="21"/>
                <w:lang w:val="en-US" w:eastAsia="zh-CN" w:bidi="ar-SA"/>
              </w:rPr>
              <w:t>备注</w:t>
            </w:r>
            <w:bookmarkEnd w:id="401"/>
            <w:bookmarkEnd w:id="402"/>
            <w:bookmarkEnd w:id="403"/>
            <w:bookmarkEnd w:id="404"/>
            <w:bookmarkEnd w:id="4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8"/>
              </w:numPr>
              <w:spacing w:line="479" w:lineRule="exact"/>
              <w:jc w:val="center"/>
              <w:outlineLvl w:val="1"/>
              <w:rPr>
                <w:rFonts w:hint="eastAsia" w:ascii="宋体" w:hAnsi="宋体" w:eastAsia="宋体" w:cs="宋体"/>
                <w:spacing w:val="0"/>
                <w:kern w:val="0"/>
                <w:sz w:val="18"/>
                <w:szCs w:val="18"/>
                <w:lang w:val="en-US" w:eastAsia="en-US" w:bidi="ar-SA"/>
              </w:rPr>
            </w:pPr>
            <w:bookmarkStart w:id="406" w:name="_Toc13831"/>
            <w:bookmarkEnd w:id="406"/>
            <w:bookmarkStart w:id="407" w:name="_Toc26285"/>
            <w:bookmarkEnd w:id="407"/>
            <w:bookmarkStart w:id="408" w:name="_Toc27904"/>
            <w:bookmarkEnd w:id="408"/>
            <w:bookmarkStart w:id="409" w:name="_Toc7665"/>
            <w:bookmarkEnd w:id="409"/>
            <w:bookmarkStart w:id="410" w:name="_Toc22548"/>
            <w:bookmarkEnd w:id="410"/>
          </w:p>
        </w:tc>
        <w:tc>
          <w:tcPr>
            <w:tcW w:w="1418" w:type="dxa"/>
            <w:vAlign w:val="center"/>
          </w:tcPr>
          <w:p>
            <w:pPr>
              <w:widowControl w:val="0"/>
              <w:spacing w:line="479" w:lineRule="exact"/>
              <w:jc w:val="center"/>
              <w:outlineLvl w:val="1"/>
              <w:rPr>
                <w:rFonts w:hint="eastAsia" w:ascii="宋体" w:hAnsi="宋体" w:eastAsia="宋体" w:cs="宋体"/>
                <w:spacing w:val="2"/>
                <w:kern w:val="0"/>
                <w:sz w:val="18"/>
                <w:szCs w:val="18"/>
                <w:lang w:val="en-US" w:eastAsia="zh-CN" w:bidi="ar-SA"/>
              </w:rPr>
            </w:pPr>
            <w:bookmarkStart w:id="411" w:name="_Toc3551"/>
            <w:bookmarkStart w:id="412" w:name="_Toc13635"/>
            <w:bookmarkStart w:id="413" w:name="_Toc21641"/>
            <w:bookmarkStart w:id="414" w:name="_Toc26979"/>
            <w:bookmarkStart w:id="415" w:name="_Toc9349"/>
            <w:r>
              <w:rPr>
                <w:rFonts w:hint="eastAsia" w:ascii="宋体" w:hAnsi="宋体" w:eastAsia="宋体" w:cs="宋体"/>
                <w:spacing w:val="2"/>
                <w:kern w:val="0"/>
                <w:sz w:val="18"/>
                <w:szCs w:val="18"/>
                <w:lang w:val="en-US" w:eastAsia="zh-CN" w:bidi="ar-SA"/>
              </w:rPr>
              <w:t>83974780</w:t>
            </w:r>
            <w:bookmarkEnd w:id="411"/>
            <w:bookmarkEnd w:id="412"/>
            <w:bookmarkEnd w:id="413"/>
            <w:bookmarkEnd w:id="414"/>
            <w:bookmarkEnd w:id="415"/>
          </w:p>
        </w:tc>
        <w:tc>
          <w:tcPr>
            <w:tcW w:w="1650" w:type="dxa"/>
            <w:vAlign w:val="center"/>
          </w:tcPr>
          <w:p>
            <w:pPr>
              <w:widowControl w:val="0"/>
              <w:spacing w:line="479" w:lineRule="exact"/>
              <w:jc w:val="center"/>
              <w:outlineLvl w:val="1"/>
              <w:rPr>
                <w:rFonts w:hint="eastAsia" w:ascii="宋体" w:hAnsi="宋体" w:eastAsia="宋体" w:cs="宋体"/>
                <w:spacing w:val="2"/>
                <w:kern w:val="0"/>
                <w:sz w:val="18"/>
                <w:szCs w:val="18"/>
                <w:lang w:val="en-US" w:eastAsia="zh-CN" w:bidi="ar-SA"/>
              </w:rPr>
            </w:pPr>
            <w:bookmarkStart w:id="416" w:name="_Toc4221"/>
            <w:bookmarkStart w:id="417" w:name="_Toc6885"/>
            <w:bookmarkStart w:id="418" w:name="_Toc892"/>
            <w:bookmarkStart w:id="419" w:name="_Toc13022"/>
            <w:bookmarkStart w:id="420" w:name="_Toc13959"/>
            <w:r>
              <w:rPr>
                <w:rFonts w:hint="eastAsia" w:ascii="宋体" w:hAnsi="宋体" w:eastAsia="宋体" w:cs="宋体"/>
                <w:spacing w:val="2"/>
                <w:kern w:val="0"/>
                <w:sz w:val="18"/>
                <w:szCs w:val="18"/>
                <w:lang w:val="en-US" w:eastAsia="zh-CN" w:bidi="ar-SA"/>
              </w:rPr>
              <w:t>潜油保护器</w:t>
            </w:r>
            <w:bookmarkEnd w:id="416"/>
            <w:bookmarkEnd w:id="417"/>
            <w:bookmarkEnd w:id="418"/>
            <w:bookmarkEnd w:id="419"/>
            <w:bookmarkEnd w:id="420"/>
          </w:p>
        </w:tc>
        <w:tc>
          <w:tcPr>
            <w:tcW w:w="3571"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LS BPR400\BPBSL\高承载\150℃</w:t>
            </w:r>
          </w:p>
        </w:tc>
        <w:tc>
          <w:tcPr>
            <w:tcW w:w="1012" w:type="dxa"/>
            <w:vAlign w:val="center"/>
          </w:tcPr>
          <w:p>
            <w:pPr>
              <w:widowControl w:val="0"/>
              <w:spacing w:line="479" w:lineRule="exact"/>
              <w:jc w:val="center"/>
              <w:outlineLvl w:val="1"/>
              <w:rPr>
                <w:rFonts w:hint="eastAsia" w:ascii="宋体" w:hAnsi="宋体" w:eastAsia="宋体" w:cs="宋体"/>
                <w:spacing w:val="0"/>
                <w:kern w:val="0"/>
                <w:sz w:val="18"/>
                <w:szCs w:val="18"/>
                <w:lang w:val="en-US" w:eastAsia="zh-CN" w:bidi="ar-SA"/>
              </w:rPr>
            </w:pPr>
            <w:r>
              <w:rPr>
                <w:rFonts w:hint="eastAsia" w:ascii="宋体" w:hAnsi="宋体" w:eastAsia="宋体" w:cs="宋体"/>
                <w:spacing w:val="2"/>
                <w:kern w:val="0"/>
                <w:sz w:val="18"/>
                <w:szCs w:val="18"/>
                <w:lang w:val="en-US" w:eastAsia="zh-CN" w:bidi="ar-SA"/>
              </w:rPr>
              <w:t>件</w:t>
            </w:r>
          </w:p>
        </w:tc>
        <w:tc>
          <w:tcPr>
            <w:tcW w:w="1040" w:type="dxa"/>
          </w:tcPr>
          <w:p>
            <w:pPr>
              <w:widowControl/>
              <w:jc w:val="center"/>
              <w:rPr>
                <w:rFonts w:hint="default" w:ascii="Times New Roman" w:hAnsi="Times New Roman" w:eastAsia="宋体" w:cs="Times New Roman"/>
                <w:kern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8"/>
              </w:numPr>
              <w:spacing w:line="479" w:lineRule="exact"/>
              <w:jc w:val="center"/>
              <w:outlineLvl w:val="1"/>
              <w:rPr>
                <w:rFonts w:hint="eastAsia" w:ascii="宋体" w:hAnsi="宋体" w:eastAsia="宋体" w:cs="宋体"/>
                <w:spacing w:val="0"/>
                <w:kern w:val="0"/>
                <w:sz w:val="18"/>
                <w:szCs w:val="18"/>
                <w:lang w:val="en-US" w:eastAsia="en-US" w:bidi="ar-SA"/>
              </w:rPr>
            </w:pPr>
            <w:bookmarkStart w:id="421" w:name="_Toc4984"/>
            <w:bookmarkEnd w:id="421"/>
            <w:bookmarkStart w:id="422" w:name="_Toc1177"/>
            <w:bookmarkEnd w:id="422"/>
            <w:bookmarkStart w:id="423" w:name="_Toc28742"/>
            <w:bookmarkEnd w:id="423"/>
            <w:bookmarkStart w:id="424" w:name="_Toc14511"/>
            <w:bookmarkEnd w:id="424"/>
            <w:bookmarkStart w:id="425" w:name="_Toc28209"/>
            <w:bookmarkEnd w:id="425"/>
          </w:p>
        </w:tc>
        <w:tc>
          <w:tcPr>
            <w:tcW w:w="1418" w:type="dxa"/>
            <w:vAlign w:val="center"/>
          </w:tcPr>
          <w:p>
            <w:pPr>
              <w:widowControl w:val="0"/>
              <w:spacing w:line="479" w:lineRule="exact"/>
              <w:jc w:val="center"/>
              <w:outlineLvl w:val="1"/>
              <w:rPr>
                <w:rFonts w:hint="eastAsia" w:ascii="宋体" w:hAnsi="宋体" w:eastAsia="宋体" w:cs="宋体"/>
                <w:spacing w:val="2"/>
                <w:kern w:val="0"/>
                <w:sz w:val="18"/>
                <w:szCs w:val="18"/>
                <w:lang w:val="en-US" w:eastAsia="zh-CN" w:bidi="ar-SA"/>
              </w:rPr>
            </w:pPr>
            <w:bookmarkStart w:id="426" w:name="_Toc8364"/>
            <w:bookmarkStart w:id="427" w:name="_Toc5455"/>
            <w:bookmarkStart w:id="428" w:name="_Toc31521"/>
            <w:bookmarkStart w:id="429" w:name="_Toc31203"/>
            <w:bookmarkStart w:id="430" w:name="_Toc25306"/>
            <w:r>
              <w:rPr>
                <w:rFonts w:hint="eastAsia" w:ascii="宋体" w:hAnsi="宋体" w:eastAsia="宋体" w:cs="宋体"/>
                <w:spacing w:val="2"/>
                <w:kern w:val="0"/>
                <w:sz w:val="18"/>
                <w:szCs w:val="18"/>
                <w:lang w:val="en-US" w:eastAsia="zh-CN" w:bidi="ar-SA"/>
              </w:rPr>
              <w:t>83974781</w:t>
            </w:r>
            <w:bookmarkEnd w:id="426"/>
            <w:bookmarkEnd w:id="427"/>
            <w:bookmarkEnd w:id="428"/>
            <w:bookmarkEnd w:id="429"/>
            <w:bookmarkEnd w:id="430"/>
          </w:p>
        </w:tc>
        <w:tc>
          <w:tcPr>
            <w:tcW w:w="1650" w:type="dxa"/>
            <w:vAlign w:val="center"/>
          </w:tcPr>
          <w:p>
            <w:pPr>
              <w:widowControl w:val="0"/>
              <w:spacing w:line="479" w:lineRule="exact"/>
              <w:jc w:val="center"/>
              <w:outlineLvl w:val="1"/>
              <w:rPr>
                <w:rFonts w:hint="eastAsia" w:ascii="宋体" w:hAnsi="宋体" w:eastAsia="宋体" w:cs="宋体"/>
                <w:spacing w:val="2"/>
                <w:kern w:val="0"/>
                <w:sz w:val="18"/>
                <w:szCs w:val="18"/>
                <w:lang w:val="en-US" w:eastAsia="zh-CN" w:bidi="ar-SA"/>
              </w:rPr>
            </w:pPr>
            <w:bookmarkStart w:id="431" w:name="_Toc28797"/>
            <w:bookmarkStart w:id="432" w:name="_Toc17747"/>
            <w:bookmarkStart w:id="433" w:name="_Toc16353"/>
            <w:bookmarkStart w:id="434" w:name="_Toc5325"/>
            <w:bookmarkStart w:id="435" w:name="_Toc30795"/>
            <w:r>
              <w:rPr>
                <w:rFonts w:hint="eastAsia" w:ascii="宋体" w:hAnsi="宋体" w:eastAsia="宋体" w:cs="宋体"/>
                <w:spacing w:val="2"/>
                <w:kern w:val="0"/>
                <w:sz w:val="18"/>
                <w:szCs w:val="18"/>
                <w:lang w:val="en-US" w:eastAsia="zh-CN" w:bidi="ar-SA"/>
              </w:rPr>
              <w:t>潜油保护器</w:t>
            </w:r>
            <w:bookmarkEnd w:id="431"/>
            <w:bookmarkEnd w:id="432"/>
            <w:bookmarkEnd w:id="433"/>
            <w:bookmarkEnd w:id="434"/>
            <w:bookmarkEnd w:id="435"/>
          </w:p>
        </w:tc>
        <w:tc>
          <w:tcPr>
            <w:tcW w:w="3571"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LS BPR540\BPBSL\高承载\150℃</w:t>
            </w:r>
          </w:p>
        </w:tc>
        <w:tc>
          <w:tcPr>
            <w:tcW w:w="1012" w:type="dxa"/>
            <w:vAlign w:val="center"/>
          </w:tcPr>
          <w:p>
            <w:pPr>
              <w:widowControl w:val="0"/>
              <w:spacing w:line="479" w:lineRule="exact"/>
              <w:jc w:val="center"/>
              <w:outlineLvl w:val="1"/>
              <w:rPr>
                <w:rFonts w:hint="eastAsia" w:ascii="宋体" w:hAnsi="宋体" w:eastAsia="宋体" w:cs="宋体"/>
                <w:spacing w:val="0"/>
                <w:kern w:val="0"/>
                <w:sz w:val="18"/>
                <w:szCs w:val="18"/>
                <w:lang w:val="en-US" w:eastAsia="zh-CN" w:bidi="ar-SA"/>
              </w:rPr>
            </w:pPr>
            <w:r>
              <w:rPr>
                <w:rFonts w:hint="eastAsia" w:ascii="宋体" w:hAnsi="宋体" w:eastAsia="宋体" w:cs="宋体"/>
                <w:spacing w:val="2"/>
                <w:kern w:val="0"/>
                <w:sz w:val="18"/>
                <w:szCs w:val="18"/>
                <w:lang w:val="en-US" w:eastAsia="zh-CN" w:bidi="ar-SA"/>
              </w:rPr>
              <w:t>件</w:t>
            </w:r>
          </w:p>
        </w:tc>
        <w:tc>
          <w:tcPr>
            <w:tcW w:w="1040" w:type="dxa"/>
          </w:tcPr>
          <w:p>
            <w:pPr>
              <w:widowControl/>
              <w:jc w:val="center"/>
              <w:rPr>
                <w:rFonts w:hint="default" w:ascii="Times New Roman" w:hAnsi="Times New Roman" w:eastAsia="宋体" w:cs="Times New Roman"/>
                <w:kern w:val="0"/>
                <w:sz w:val="20"/>
                <w:szCs w:val="20"/>
                <w:lang w:eastAsia="zh-CN"/>
              </w:rPr>
            </w:pPr>
          </w:p>
        </w:tc>
      </w:tr>
    </w:tbl>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保护器为 400及540 系列，型号为 BPBSL AR UHL HT1 HSS。</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适用井温：150℃；</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保护器采用超高承载止推轴承，轴向承载力≥5吨。串接保护器采用双节高承载止推轴承。</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潜油保护器外观完好，目测无变形、无锈蚀。运输帽螺栓必须齐全并旋紧。</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潜油保护器水平状态盘轴应滑快无阻滞，盘轴力矩不大于7.5N.m/节。</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密封圈采用AFLAS，适用井温不低于204℃。</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潜油保护器上下连接头尺寸及轴头窜量应满足《机械采油分公司潜油电泵产品接口参数明细》（见附件一）文件要求。</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400保护器轴规格为7/8in，材质为718，；540保护器轴规格为1-3/16in，材质为718，头座为45号钢材质,壳体为45号钢材质，送货文件应提供材质化学成分及机械性能检测报告，并注明炉号等可追溯性标识信息。</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整机连接全部采用内外六角螺钉，采用法兰形式连接。 </w:t>
      </w:r>
    </w:p>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头座用45</w:t>
      </w:r>
      <w:r>
        <w:rPr>
          <w:rFonts w:hint="default" w:ascii="Times New Roman" w:hAnsi="Times New Roman" w:eastAsia="宋体" w:cs="Times New Roman"/>
          <w:kern w:val="0"/>
          <w:sz w:val="20"/>
          <w:szCs w:val="20"/>
          <w:vertAlign w:val="superscript"/>
          <w:lang w:eastAsia="en-US"/>
        </w:rPr>
        <w:t>#</w:t>
      </w:r>
      <w:r>
        <w:rPr>
          <w:rFonts w:hint="default" w:ascii="Times New Roman" w:hAnsi="Times New Roman" w:eastAsia="宋体" w:cs="Times New Roman"/>
          <w:kern w:val="0"/>
          <w:sz w:val="20"/>
          <w:szCs w:val="20"/>
          <w:lang w:eastAsia="en-US"/>
        </w:rPr>
        <w:t>钢材质应满足</w:t>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75"/>
        <w:gridCol w:w="1169"/>
        <w:gridCol w:w="1169"/>
        <w:gridCol w:w="1022"/>
        <w:gridCol w:w="879"/>
        <w:gridCol w:w="877"/>
        <w:gridCol w:w="731"/>
        <w:gridCol w:w="73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tc>
      </w:tr>
    </w:tbl>
    <w:p>
      <w:pPr>
        <w:ind w:left="425" w:right="11"/>
        <w:jc w:val="left"/>
        <w:rPr>
          <w:rFonts w:hint="default" w:ascii="Times New Roman" w:hAnsi="Times New Roman" w:eastAsia="宋体" w:cs="Times New Roman"/>
          <w:vanish/>
          <w:kern w:val="0"/>
          <w:sz w:val="20"/>
          <w:szCs w:val="20"/>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460"/>
        <w:gridCol w:w="1770"/>
        <w:gridCol w:w="2416"/>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011"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38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eL或</w:t>
            </w:r>
            <w:r>
              <w:rPr>
                <w:rFonts w:hint="default" w:ascii="Times New Roman" w:hAnsi="Times New Roman" w:eastAsia="宋体" w:cs="Times New Roman"/>
                <w:kern w:val="0"/>
                <w:sz w:val="20"/>
                <w:szCs w:val="20"/>
                <w:lang w:eastAsia="en-US"/>
              </w:rPr>
              <w:t>R</w:t>
            </w:r>
            <w:r>
              <w:rPr>
                <w:rFonts w:hint="default" w:ascii="Times New Roman" w:hAnsi="Times New Roman" w:eastAsia="宋体" w:cs="Times New Roman"/>
                <w:kern w:val="0"/>
                <w:sz w:val="20"/>
                <w:szCs w:val="20"/>
                <w:vertAlign w:val="subscript"/>
                <w:lang w:eastAsia="en-US"/>
              </w:rPr>
              <w:t>P0.2</w:t>
            </w:r>
            <w:r>
              <w:rPr>
                <w:rFonts w:hint="default" w:ascii="Times New Roman" w:hAnsi="Times New Roman" w:eastAsia="宋体" w:cs="Times New Roman"/>
                <w:kern w:val="0"/>
                <w:sz w:val="20"/>
                <w:szCs w:val="20"/>
                <w:lang w:eastAsia="en-US"/>
              </w:rPr>
              <w:t>/ MPa</w:t>
            </w:r>
          </w:p>
        </w:tc>
        <w:tc>
          <w:tcPr>
            <w:tcW w:w="1441" w:type="pct"/>
            <w:vAlign w:val="center"/>
          </w:tcPr>
          <w:p>
            <w:pPr>
              <w:autoSpaceDE w:val="0"/>
              <w:autoSpaceDN w:val="0"/>
              <w:adjustRightInd w:val="0"/>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011"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600</w:t>
            </w:r>
          </w:p>
        </w:tc>
        <w:tc>
          <w:tcPr>
            <w:tcW w:w="138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355</w:t>
            </w:r>
          </w:p>
        </w:tc>
        <w:tc>
          <w:tcPr>
            <w:tcW w:w="1441" w:type="pct"/>
            <w:vAlign w:val="center"/>
          </w:tcPr>
          <w:p>
            <w:pPr>
              <w:autoSpaceDE w:val="0"/>
              <w:autoSpaceDN w:val="0"/>
              <w:adjustRightInd w:val="0"/>
              <w:spacing w:line="360" w:lineRule="auto"/>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16</w:t>
            </w:r>
          </w:p>
        </w:tc>
      </w:tr>
    </w:tbl>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壳体用45</w:t>
      </w:r>
      <w:r>
        <w:rPr>
          <w:rFonts w:hint="default" w:ascii="Times New Roman" w:hAnsi="Times New Roman" w:eastAsia="宋体" w:cs="Times New Roman"/>
          <w:kern w:val="0"/>
          <w:sz w:val="20"/>
          <w:szCs w:val="20"/>
          <w:vertAlign w:val="superscript"/>
          <w:lang w:eastAsia="en-US"/>
        </w:rPr>
        <w:t>#</w:t>
      </w:r>
      <w:r>
        <w:rPr>
          <w:rFonts w:hint="default" w:ascii="Times New Roman" w:hAnsi="Times New Roman" w:eastAsia="宋体" w:cs="Times New Roman"/>
          <w:kern w:val="0"/>
          <w:sz w:val="20"/>
          <w:szCs w:val="20"/>
          <w:lang w:eastAsia="en-US"/>
        </w:rPr>
        <w:t>钢材质应满足</w:t>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75"/>
        <w:gridCol w:w="1169"/>
        <w:gridCol w:w="1169"/>
        <w:gridCol w:w="1022"/>
        <w:gridCol w:w="879"/>
        <w:gridCol w:w="877"/>
        <w:gridCol w:w="731"/>
        <w:gridCol w:w="73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6"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tc>
      </w:tr>
    </w:tbl>
    <w:p>
      <w:pPr>
        <w:ind w:left="425" w:right="11"/>
        <w:jc w:val="left"/>
        <w:rPr>
          <w:rFonts w:hint="default" w:ascii="Times New Roman" w:hAnsi="Times New Roman" w:eastAsia="宋体" w:cs="Times New Roman"/>
          <w:vanish/>
          <w:kern w:val="0"/>
          <w:sz w:val="20"/>
          <w:szCs w:val="20"/>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3"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498"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25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w:t>
            </w:r>
            <w:r>
              <w:rPr>
                <w:rFonts w:hint="default" w:ascii="Times New Roman" w:hAnsi="Times New Roman" w:eastAsia="宋体" w:cs="Times New Roman"/>
                <w:kern w:val="0"/>
                <w:sz w:val="20"/>
                <w:szCs w:val="20"/>
                <w:lang w:eastAsia="en-US"/>
              </w:rPr>
              <w:t>/ MPa</w:t>
            </w:r>
          </w:p>
        </w:tc>
        <w:tc>
          <w:tcPr>
            <w:tcW w:w="1084"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49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590</w:t>
            </w:r>
          </w:p>
        </w:tc>
        <w:tc>
          <w:tcPr>
            <w:tcW w:w="125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335</w:t>
            </w:r>
          </w:p>
        </w:tc>
        <w:tc>
          <w:tcPr>
            <w:tcW w:w="1084"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14</w:t>
            </w:r>
          </w:p>
        </w:tc>
      </w:tr>
    </w:tbl>
    <w:p>
      <w:pPr>
        <w:autoSpaceDE w:val="0"/>
        <w:autoSpaceDN w:val="0"/>
        <w:adjustRightInd w:val="0"/>
        <w:spacing w:line="360" w:lineRule="auto"/>
        <w:ind w:firstLine="240" w:firstLineChars="100"/>
        <w:jc w:val="both"/>
        <w:rPr>
          <w:rFonts w:hint="default" w:ascii="Times New Roman" w:hAnsi="Times New Roman" w:eastAsia="宋体" w:cs="Times New Roman"/>
          <w:kern w:val="0"/>
          <w:sz w:val="24"/>
          <w:szCs w:val="24"/>
          <w:lang w:eastAsia="zh-CN"/>
        </w:rPr>
      </w:pPr>
    </w:p>
    <w:p>
      <w:pPr>
        <w:autoSpaceDE w:val="0"/>
        <w:autoSpaceDN w:val="0"/>
        <w:adjustRightInd w:val="0"/>
        <w:spacing w:line="360" w:lineRule="auto"/>
        <w:ind w:firstLine="210" w:firstLineChars="1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潜油保护器使用电机油为型号：BH6 204℃合格电机油，符合下表技术要求，并附带电机油MSDS。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ind w:left="-445" w:leftChars="-212" w:right="-55" w:rightChars="-26"/>
        <w:jc w:val="left"/>
        <w:rPr>
          <w:rFonts w:hint="eastAsia" w:ascii="Times New Roman" w:hAnsi="Times New Roman" w:eastAsia="宋体" w:cs="Times New Roman"/>
          <w:kern w:val="0"/>
          <w:sz w:val="22"/>
          <w:lang w:eastAsia="en-US"/>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扭矩连接轴</w:t>
      </w:r>
    </w:p>
    <w:tbl>
      <w:tblPr>
        <w:tblStyle w:val="10"/>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204"/>
        <w:gridCol w:w="1329"/>
        <w:gridCol w:w="3355"/>
        <w:gridCol w:w="739"/>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pPr>
              <w:spacing w:line="360" w:lineRule="auto"/>
              <w:jc w:val="both"/>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1204"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物料编码</w:t>
            </w:r>
          </w:p>
        </w:tc>
        <w:tc>
          <w:tcPr>
            <w:tcW w:w="1329"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物资名称</w:t>
            </w:r>
          </w:p>
        </w:tc>
        <w:tc>
          <w:tcPr>
            <w:tcW w:w="3355"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规格型号</w:t>
            </w:r>
          </w:p>
        </w:tc>
        <w:tc>
          <w:tcPr>
            <w:tcW w:w="739"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单位</w:t>
            </w:r>
          </w:p>
        </w:tc>
        <w:tc>
          <w:tcPr>
            <w:tcW w:w="804"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871" w:type="dxa"/>
            <w:vAlign w:val="center"/>
          </w:tcPr>
          <w:p>
            <w:pPr>
              <w:spacing w:line="360" w:lineRule="auto"/>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1</w:t>
            </w:r>
          </w:p>
        </w:tc>
        <w:tc>
          <w:tcPr>
            <w:tcW w:w="1204" w:type="dxa"/>
            <w:vAlign w:val="center"/>
          </w:tcPr>
          <w:p>
            <w:pPr>
              <w:spacing w:line="360" w:lineRule="auto"/>
              <w:jc w:val="both"/>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83975191</w:t>
            </w:r>
          </w:p>
        </w:tc>
        <w:tc>
          <w:tcPr>
            <w:tcW w:w="1329" w:type="dxa"/>
            <w:vAlign w:val="center"/>
          </w:tcPr>
          <w:p>
            <w:pPr>
              <w:spacing w:line="360" w:lineRule="auto"/>
              <w:jc w:val="both"/>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扭矩连接轴</w:t>
            </w:r>
          </w:p>
        </w:tc>
        <w:tc>
          <w:tcPr>
            <w:tcW w:w="3355"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FSA400\1500Nm\中海油能源发展股份有限公司工程技术分公司\TBA</w:t>
            </w:r>
          </w:p>
        </w:tc>
        <w:tc>
          <w:tcPr>
            <w:tcW w:w="739" w:type="dxa"/>
            <w:vAlign w:val="center"/>
          </w:tcPr>
          <w:p>
            <w:pPr>
              <w:spacing w:line="360" w:lineRule="auto"/>
              <w:jc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件</w:t>
            </w:r>
          </w:p>
        </w:tc>
        <w:tc>
          <w:tcPr>
            <w:tcW w:w="804" w:type="dxa"/>
            <w:vAlign w:val="center"/>
          </w:tcPr>
          <w:p>
            <w:pPr>
              <w:widowControl/>
              <w:spacing w:line="360" w:lineRule="auto"/>
              <w:jc w:val="both"/>
              <w:rPr>
                <w:rFonts w:hint="eastAsia" w:ascii="宋体" w:hAnsi="宋体" w:eastAsia="宋体" w:cs="宋体"/>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871" w:type="dxa"/>
            <w:vAlign w:val="center"/>
          </w:tcPr>
          <w:p>
            <w:pPr>
              <w:spacing w:line="360" w:lineRule="auto"/>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2</w:t>
            </w:r>
          </w:p>
        </w:tc>
        <w:tc>
          <w:tcPr>
            <w:tcW w:w="1204" w:type="dxa"/>
            <w:vAlign w:val="center"/>
          </w:tcPr>
          <w:p>
            <w:pPr>
              <w:spacing w:line="360" w:lineRule="auto"/>
              <w:jc w:val="both"/>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84519419</w:t>
            </w:r>
          </w:p>
        </w:tc>
        <w:tc>
          <w:tcPr>
            <w:tcW w:w="1329" w:type="dxa"/>
            <w:vAlign w:val="center"/>
          </w:tcPr>
          <w:p>
            <w:pPr>
              <w:spacing w:line="360" w:lineRule="auto"/>
              <w:jc w:val="both"/>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扭矩连接轴</w:t>
            </w:r>
          </w:p>
        </w:tc>
        <w:tc>
          <w:tcPr>
            <w:tcW w:w="3355"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FSA513\3000N.m\中海油能源发展股份有限公司工程技术分公司\TBA130</w:t>
            </w:r>
          </w:p>
        </w:tc>
        <w:tc>
          <w:tcPr>
            <w:tcW w:w="739" w:type="dxa"/>
            <w:vAlign w:val="center"/>
          </w:tcPr>
          <w:p>
            <w:pPr>
              <w:spacing w:line="360" w:lineRule="auto"/>
              <w:jc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件</w:t>
            </w:r>
          </w:p>
        </w:tc>
        <w:tc>
          <w:tcPr>
            <w:tcW w:w="804" w:type="dxa"/>
            <w:vAlign w:val="center"/>
          </w:tcPr>
          <w:p>
            <w:pPr>
              <w:widowControl/>
              <w:spacing w:line="360" w:lineRule="auto"/>
              <w:jc w:val="both"/>
              <w:rPr>
                <w:rFonts w:hint="eastAsia" w:ascii="宋体" w:hAnsi="宋体" w:eastAsia="宋体" w:cs="宋体"/>
                <w:kern w:val="0"/>
                <w:sz w:val="18"/>
                <w:szCs w:val="18"/>
                <w:lang w:eastAsia="zh-CN"/>
              </w:rPr>
            </w:pPr>
          </w:p>
        </w:tc>
      </w:tr>
    </w:tbl>
    <w:p>
      <w:pPr>
        <w:widowControl w:val="0"/>
        <w:tabs>
          <w:tab w:val="left" w:pos="2020"/>
        </w:tabs>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（1）扭矩连接轴为 400及513 系列，外径分别为101.6mm及130mm。 </w:t>
      </w:r>
    </w:p>
    <w:p>
      <w:pPr>
        <w:widowControl w:val="0"/>
        <w:tabs>
          <w:tab w:val="left" w:pos="2020"/>
        </w:tabs>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（2）头座、底座及壳体材质均为45号钢。</w:t>
      </w:r>
    </w:p>
    <w:p>
      <w:pPr>
        <w:widowControl w:val="0"/>
        <w:tabs>
          <w:tab w:val="left" w:pos="2020"/>
        </w:tabs>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（3）头座与螺杆泵连接，螺纹连接尺寸为3-1/2″EUB或其它螺杆泵适配扣型，扭矩连接轴上端通过1″（或7/8″）的抽油杆扣与螺杆泵转子连接，并可按照用户要求加工为其它扣型。</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（4）400系列扭矩连接轴额定扭矩值不低于1500 N•M，513系列扭矩连接轴额定扭矩值不低于3000 N•M。</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（5）扭矩连接轴下端接口尺寸应满足《机械采油分公司潜油电泵产品接口参数明细》（见附件一）中对应保护器上端接口尺寸匹配要求。</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（6）底座与低速潜油保护器连接，连接采用内外六角螺钉，采用法兰形式连接。</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（7）扭矩连接轴与螺杆泵装配后出厂，外观完好，目测无变形、无锈蚀。</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（8）扭矩连接轴本体上应有清晰牢固的产品标识及相关信息，包括不限于：产品名称及型号，出厂日期和产品出厂编号，重量，长度，制造厂名称、地址。非常规产品（防腐、防砂等）应进行标识。</w:t>
      </w: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（防腐）潜油永磁电机（3000RPM）</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具体规格型号见“二、需求一览表，行1-11项”。</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适用井温：180℃。</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电机同步转速为3000RPM，频率为100Hz。</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转子采用永磁体，永磁体耐温不低于204℃，材质选用钕铁硼（NdFeB）或更高级别的钐钴（SmCo）材质及以上等级，</w:t>
      </w:r>
      <w:r>
        <w:rPr>
          <w:rFonts w:ascii="Times New Roman" w:hAnsi="Times New Roman" w:eastAsia="宋体" w:cs="Times New Roman"/>
          <w:kern w:val="0"/>
          <w:sz w:val="21"/>
          <w:szCs w:val="21"/>
          <w:lang w:eastAsia="zh-CN"/>
        </w:rPr>
        <w:t>满足对磁场强度和温度稳定性的高要求</w:t>
      </w:r>
      <w:r>
        <w:rPr>
          <w:rFonts w:hint="default" w:ascii="Times New Roman" w:hAnsi="Times New Roman" w:eastAsia="宋体" w:cs="Times New Roman"/>
          <w:kern w:val="0"/>
          <w:sz w:val="21"/>
          <w:szCs w:val="21"/>
          <w:lang w:eastAsia="zh-CN"/>
        </w:rPr>
        <w:t>。</w:t>
      </w:r>
    </w:p>
    <w:p>
      <w:pPr>
        <w:widowControl w:val="0"/>
        <w:numPr>
          <w:ilvl w:val="2"/>
          <w:numId w:val="2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永磁电机为四极，转子永磁体采用内嵌式结构。</w:t>
      </w:r>
    </w:p>
    <w:p>
      <w:pPr>
        <w:widowControl w:val="0"/>
        <w:numPr>
          <w:ilvl w:val="2"/>
          <w:numId w:val="2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电机额定电压在1667V以下，电磁线采用耐交流电压等级不低于4000V，额定电压高于1667V低于2750V的，电磁线采用耐交流电压等级不低于7250V；额定电压高于2750V的，电磁线采用耐交流电压等级不低于10KV，聚酰亚胺膜每层的叠包率不低于48%。电磁线的选择应具备适用于高压、高频等复杂工况，在高电压</w:t>
      </w:r>
      <w:r>
        <w:rPr>
          <w:rFonts w:ascii="Times New Roman" w:hAnsi="Times New Roman" w:eastAsia="宋体" w:cs="Times New Roman"/>
          <w:kern w:val="0"/>
          <w:sz w:val="21"/>
          <w:szCs w:val="21"/>
          <w:lang w:val="en-US" w:eastAsia="zh-CN" w:bidi="ar-SA"/>
        </w:rPr>
        <w:t>下能够有效抵抗电晕放电现象</w:t>
      </w:r>
      <w:r>
        <w:rPr>
          <w:rFonts w:hint="default" w:ascii="Times New Roman" w:hAnsi="Times New Roman" w:eastAsia="宋体" w:cs="Times New Roman"/>
          <w:kern w:val="0"/>
          <w:sz w:val="21"/>
          <w:szCs w:val="21"/>
          <w:lang w:val="en-US" w:eastAsia="zh-CN" w:bidi="ar-SA"/>
        </w:rPr>
        <w:t>，以降低电磁干扰和</w:t>
      </w:r>
      <w:r>
        <w:rPr>
          <w:rFonts w:ascii="Times New Roman" w:hAnsi="Times New Roman" w:eastAsia="宋体" w:cs="Times New Roman"/>
          <w:kern w:val="0"/>
          <w:sz w:val="21"/>
          <w:szCs w:val="21"/>
          <w:lang w:val="en-US" w:eastAsia="zh-CN" w:bidi="ar-SA"/>
        </w:rPr>
        <w:t>能量损失。</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电机接口尺寸符合满足《机械采油公司潜油电泵产品接口参数明细》（见附件一）要求。</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密封圈采用AFLAS，适用井温不低于204℃，并具有防腐蚀性能。</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电机轴采用42CrMo高强度合金钢及以上材质。</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在腐蚀环境下，与井液接触部件要求具有防腐蚀性能。壳体采用9Cr1Mo，接头、底座采用2Cr13，连接螺栓和垫片应采用MonelK-500，其他与井液接触的零部件按照CO</w:t>
      </w:r>
      <w:r>
        <w:rPr>
          <w:rFonts w:hint="default" w:ascii="Times New Roman" w:hAnsi="Times New Roman" w:eastAsia="宋体" w:cs="Times New Roman"/>
          <w:kern w:val="0"/>
          <w:sz w:val="21"/>
          <w:szCs w:val="21"/>
          <w:vertAlign w:val="subscript"/>
          <w:lang w:eastAsia="zh-CN"/>
        </w:rPr>
        <w:t>2</w:t>
      </w:r>
      <w:r>
        <w:rPr>
          <w:rFonts w:hint="default" w:ascii="Times New Roman" w:hAnsi="Times New Roman" w:eastAsia="宋体" w:cs="Times New Roman"/>
          <w:kern w:val="0"/>
          <w:sz w:val="21"/>
          <w:szCs w:val="21"/>
          <w:lang w:eastAsia="zh-CN"/>
        </w:rPr>
        <w:t>和H</w:t>
      </w:r>
      <w:r>
        <w:rPr>
          <w:rFonts w:hint="default" w:ascii="Times New Roman" w:hAnsi="Times New Roman" w:eastAsia="宋体" w:cs="Times New Roman"/>
          <w:kern w:val="0"/>
          <w:sz w:val="21"/>
          <w:szCs w:val="21"/>
          <w:vertAlign w:val="subscript"/>
          <w:lang w:eastAsia="zh-CN"/>
        </w:rPr>
        <w:t>2</w:t>
      </w:r>
      <w:r>
        <w:rPr>
          <w:rFonts w:hint="default" w:ascii="Times New Roman" w:hAnsi="Times New Roman" w:eastAsia="宋体" w:cs="Times New Roman"/>
          <w:kern w:val="0"/>
          <w:sz w:val="21"/>
          <w:szCs w:val="21"/>
          <w:lang w:eastAsia="zh-CN"/>
        </w:rPr>
        <w:t>S腐蚀要求进行配置。送货文件应提供材质化学成分及机械性能检测报告，并注明炉号等可追溯性标识信息。</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运输帽螺栓必须齐全并旋紧，出厂时应按照法兰连接螺栓型号配置相应数量的内外六角螺钉及下井件（O圈、垫片等）主备各一套。</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底部留有能与电泵工况装置配合的连接法兰，并预留星点引出线，星点引出线长度应保证露出电机端部500mm。450及以上系列电机尾扣为2-3/8″EU母扣；350系列电机尾款为1.9″EU母扣。电机绕组线圈内加装泵工况测温用热电耦并预装泵工况对插接头（对插接头图纸见附件六）。</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电机在25℃环境温度下相间、对地绝缘电阻均应大于1000MΩ。</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电机三相绕组直流电阻不平衡率不得大于2%。</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成品电机应预注新的合格电机油，电机油耐温不低于200℃，电机到货静置24小时后，无渗漏。</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整机能承受压力为0.5MPa气压，历时5min的密封性能试验，各密封连接部位不泄漏。</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整机连接全部采用内外六角螺钉，采用法兰形式连接。</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其它材质要求：</w:t>
      </w:r>
    </w:p>
    <w:p>
      <w:pPr>
        <w:numPr>
          <w:ilvl w:val="0"/>
          <w:numId w:val="21"/>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投标方需提供永磁体的牌号，招标方可以进行检验验证。</w:t>
      </w:r>
    </w:p>
    <w:p>
      <w:pPr>
        <w:numPr>
          <w:ilvl w:val="0"/>
          <w:numId w:val="21"/>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电壳体用9Cr1Mo，材质应满足</w:t>
      </w:r>
    </w:p>
    <w:tbl>
      <w:tblPr>
        <w:tblStyle w:val="9"/>
        <w:tblW w:w="4991" w:type="pct"/>
        <w:tblInd w:w="-34" w:type="dxa"/>
        <w:tblLayout w:type="fixed"/>
        <w:tblCellMar>
          <w:top w:w="0" w:type="dxa"/>
          <w:left w:w="0" w:type="dxa"/>
          <w:bottom w:w="0" w:type="dxa"/>
          <w:right w:w="0" w:type="dxa"/>
        </w:tblCellMar>
      </w:tblPr>
      <w:tblGrid>
        <w:gridCol w:w="731"/>
        <w:gridCol w:w="1315"/>
        <w:gridCol w:w="177"/>
        <w:gridCol w:w="553"/>
        <w:gridCol w:w="532"/>
        <w:gridCol w:w="340"/>
        <w:gridCol w:w="877"/>
        <w:gridCol w:w="730"/>
        <w:gridCol w:w="728"/>
        <w:gridCol w:w="685"/>
        <w:gridCol w:w="723"/>
        <w:gridCol w:w="723"/>
        <w:gridCol w:w="640"/>
      </w:tblGrid>
      <w:tr>
        <w:tblPrEx>
          <w:tblCellMar>
            <w:top w:w="0" w:type="dxa"/>
            <w:left w:w="0" w:type="dxa"/>
            <w:bottom w:w="0" w:type="dxa"/>
            <w:right w:w="0" w:type="dxa"/>
          </w:tblCellMar>
        </w:tblPrEx>
        <w:trPr>
          <w:trHeight w:val="331" w:hRule="atLeast"/>
        </w:trPr>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101" w:type="pct"/>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0"/>
                <w:szCs w:val="20"/>
                <w:lang w:eastAsia="en-US"/>
              </w:rPr>
            </w:pPr>
          </w:p>
        </w:tc>
        <w:tc>
          <w:tcPr>
            <w:tcW w:w="620" w:type="pct"/>
            <w:gridSpan w:val="2"/>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0"/>
                <w:szCs w:val="20"/>
                <w:lang w:eastAsia="en-US"/>
              </w:rPr>
            </w:pPr>
          </w:p>
        </w:tc>
        <w:tc>
          <w:tcPr>
            <w:tcW w:w="3112" w:type="pct"/>
            <w:gridSpan w:val="8"/>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CellMar>
            <w:top w:w="0" w:type="dxa"/>
            <w:left w:w="0" w:type="dxa"/>
            <w:bottom w:w="0" w:type="dxa"/>
            <w:right w:w="0" w:type="dxa"/>
          </w:tblCellMar>
        </w:tblPrEx>
        <w:trPr>
          <w:trHeight w:val="407" w:hRule="atLeast"/>
        </w:trPr>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zh-CN"/>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zh-CN"/>
              </w:rPr>
            </w:pPr>
          </w:p>
        </w:tc>
        <w:tc>
          <w:tcPr>
            <w:tcW w:w="417" w:type="pct"/>
            <w:gridSpan w:val="2"/>
            <w:tcBorders>
              <w:top w:val="nil"/>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498" w:type="pct"/>
            <w:gridSpan w:val="2"/>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tcBorders>
              <w:top w:val="nil"/>
              <w:left w:val="single" w:color="auto" w:sz="4" w:space="0"/>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417"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6"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391"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367" w:type="pct"/>
            <w:tcBorders>
              <w:top w:val="nil"/>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r>
      <w:tr>
        <w:tblPrEx>
          <w:tblCellMar>
            <w:top w:w="0" w:type="dxa"/>
            <w:left w:w="0" w:type="dxa"/>
            <w:bottom w:w="0" w:type="dxa"/>
            <w:right w:w="0" w:type="dxa"/>
          </w:tblCellMar>
        </w:tblPrEx>
        <w:trPr>
          <w:trHeight w:val="369" w:hRule="atLeast"/>
        </w:trPr>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ind w:right="-109" w:rightChars="-5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9Cr1Mo</w:t>
            </w:r>
          </w:p>
        </w:tc>
        <w:tc>
          <w:tcPr>
            <w:tcW w:w="417"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98" w:type="pct"/>
            <w:gridSpan w:val="2"/>
            <w:tcBorders>
              <w:top w:val="single" w:color="auto" w:sz="4" w:space="0"/>
              <w:left w:val="single" w:color="auto" w:sz="4" w:space="0"/>
              <w:bottom w:val="single" w:color="auto" w:sz="4" w:space="0"/>
              <w:right w:val="single" w:color="auto" w:sz="4" w:space="0"/>
            </w:tcBorders>
            <w:vAlign w:val="center"/>
          </w:tcPr>
          <w:p>
            <w:pPr>
              <w:ind w:left="-4" w:leftChars="-2" w:right="-42" w:rightChars="-2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0.3-0.6</w:t>
            </w:r>
          </w:p>
        </w:tc>
        <w:tc>
          <w:tcPr>
            <w:tcW w:w="501"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ind w:left="-92" w:leftChars="-44" w:right="-107" w:rightChars="-5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0.9-1.1</w:t>
            </w:r>
          </w:p>
        </w:tc>
        <w:tc>
          <w:tcPr>
            <w:tcW w:w="417" w:type="pct"/>
            <w:tcBorders>
              <w:top w:val="nil"/>
              <w:left w:val="nil"/>
              <w:bottom w:val="single" w:color="auto" w:sz="4" w:space="0"/>
              <w:right w:val="single" w:color="auto" w:sz="8" w:space="0"/>
            </w:tcBorders>
            <w:tcMar>
              <w:top w:w="0" w:type="dxa"/>
              <w:left w:w="108" w:type="dxa"/>
              <w:bottom w:w="0" w:type="dxa"/>
              <w:right w:w="108" w:type="dxa"/>
            </w:tcMar>
            <w:vAlign w:val="center"/>
          </w:tcPr>
          <w:p>
            <w:pPr>
              <w:ind w:right="-109" w:rightChars="-5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8-10</w:t>
            </w:r>
          </w:p>
        </w:tc>
        <w:tc>
          <w:tcPr>
            <w:tcW w:w="416"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103" w:leftChars="-49" w:right="-109" w:rightChars="-52" w:firstLine="32" w:firstLineChars="16"/>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w:t>
            </w:r>
          </w:p>
          <w:p>
            <w:pPr>
              <w:ind w:left="-103" w:leftChars="-49" w:right="-109" w:rightChars="-52" w:firstLine="32" w:firstLineChars="16"/>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391"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88" w:leftChars="-42" w:right="-126" w:rightChars="-6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0.02</w:t>
            </w:r>
          </w:p>
          <w:p>
            <w:pPr>
              <w:ind w:left="-88" w:leftChars="-42" w:right="-126" w:rightChars="-6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94" w:leftChars="-45" w:right="-103" w:rightChars="-49"/>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0.01</w:t>
            </w:r>
          </w:p>
          <w:p>
            <w:pPr>
              <w:ind w:left="-94" w:leftChars="-45" w:right="-103" w:rightChars="-49"/>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367" w:type="pct"/>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r>
    </w:tbl>
    <w:p>
      <w:pPr>
        <w:jc w:val="both"/>
        <w:rPr>
          <w:rFonts w:hint="default" w:ascii="Times New Roman" w:hAnsi="Times New Roman" w:eastAsia="宋体" w:cs="Times New Roman"/>
          <w:vanish/>
          <w:kern w:val="0"/>
          <w:sz w:val="22"/>
          <w:szCs w:val="21"/>
          <w:lang w:eastAsia="en-US"/>
        </w:rPr>
      </w:pPr>
    </w:p>
    <w:tbl>
      <w:tblPr>
        <w:tblStyle w:val="9"/>
        <w:tblW w:w="4991" w:type="pct"/>
        <w:tblInd w:w="-34" w:type="dxa"/>
        <w:tblLayout w:type="autofit"/>
        <w:tblCellMar>
          <w:top w:w="0" w:type="dxa"/>
          <w:left w:w="0" w:type="dxa"/>
          <w:bottom w:w="0" w:type="dxa"/>
          <w:right w:w="0" w:type="dxa"/>
        </w:tblCellMar>
      </w:tblPr>
      <w:tblGrid>
        <w:gridCol w:w="730"/>
        <w:gridCol w:w="1314"/>
        <w:gridCol w:w="2184"/>
        <w:gridCol w:w="2480"/>
        <w:gridCol w:w="2043"/>
      </w:tblGrid>
      <w:tr>
        <w:tblPrEx>
          <w:tblCellMar>
            <w:top w:w="0" w:type="dxa"/>
            <w:left w:w="0" w:type="dxa"/>
            <w:bottom w:w="0" w:type="dxa"/>
            <w:right w:w="0" w:type="dxa"/>
          </w:tblCellMar>
        </w:tblPrEx>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20"/>
                <w:szCs w:val="20"/>
                <w:lang w:eastAsia="en-US"/>
              </w:rPr>
              <w:t>牌号名称</w:t>
            </w:r>
          </w:p>
        </w:tc>
        <w:tc>
          <w:tcPr>
            <w:tcW w:w="3832" w:type="pct"/>
            <w:gridSpan w:val="3"/>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w:t>
            </w:r>
          </w:p>
        </w:tc>
      </w:tr>
      <w:tr>
        <w:tblPrEx>
          <w:tblCellMar>
            <w:top w:w="0" w:type="dxa"/>
            <w:left w:w="0" w:type="dxa"/>
            <w:bottom w:w="0" w:type="dxa"/>
            <w:right w:w="0" w:type="dxa"/>
          </w:tblCellMar>
        </w:tblPrEx>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en-US"/>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2"/>
                <w:szCs w:val="21"/>
                <w:lang w:eastAsia="en-US"/>
              </w:rPr>
            </w:pPr>
          </w:p>
        </w:tc>
        <w:tc>
          <w:tcPr>
            <w:tcW w:w="1248"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抗拉强度R</w:t>
            </w:r>
            <w:r>
              <w:rPr>
                <w:rFonts w:hint="default" w:ascii="Times New Roman" w:hAnsi="Times New Roman" w:eastAsia="宋体" w:cs="Times New Roman"/>
                <w:kern w:val="0"/>
                <w:sz w:val="18"/>
                <w:szCs w:val="18"/>
                <w:vertAlign w:val="subscript"/>
                <w:lang w:eastAsia="en-US"/>
              </w:rPr>
              <w:t>m</w:t>
            </w:r>
            <w:r>
              <w:rPr>
                <w:rFonts w:hint="default" w:ascii="Times New Roman" w:hAnsi="Times New Roman" w:eastAsia="宋体" w:cs="Times New Roman"/>
                <w:kern w:val="0"/>
                <w:sz w:val="18"/>
                <w:szCs w:val="18"/>
                <w:lang w:eastAsia="en-US"/>
              </w:rPr>
              <w:t>/MPa</w:t>
            </w:r>
          </w:p>
        </w:tc>
        <w:tc>
          <w:tcPr>
            <w:tcW w:w="1417"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屈服强度</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w:t>
            </w:r>
            <w:r>
              <w:rPr>
                <w:rFonts w:hint="default" w:ascii="Times New Roman" w:hAnsi="Times New Roman" w:eastAsia="宋体" w:cs="Times New Roman"/>
                <w:kern w:val="0"/>
                <w:sz w:val="18"/>
                <w:szCs w:val="18"/>
                <w:lang w:eastAsia="en-US"/>
              </w:rPr>
              <w:t xml:space="preserve"> (MPa)</w:t>
            </w:r>
          </w:p>
        </w:tc>
        <w:tc>
          <w:tcPr>
            <w:tcW w:w="1167" w:type="pct"/>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布氏硬度HBW</w:t>
            </w:r>
          </w:p>
        </w:tc>
      </w:tr>
      <w:tr>
        <w:tblPrEx>
          <w:tblCellMar>
            <w:top w:w="0" w:type="dxa"/>
            <w:left w:w="0" w:type="dxa"/>
            <w:bottom w:w="0" w:type="dxa"/>
            <w:right w:w="0" w:type="dxa"/>
          </w:tblCellMar>
        </w:tblPrEx>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18"/>
                <w:szCs w:val="18"/>
                <w:lang w:eastAsia="en-US"/>
              </w:rPr>
              <w:t>9Cr1Mo</w:t>
            </w:r>
          </w:p>
        </w:tc>
        <w:tc>
          <w:tcPr>
            <w:tcW w:w="1248"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2"/>
                <w:lang w:eastAsia="en-US"/>
              </w:rPr>
              <w:t>≥</w:t>
            </w:r>
            <w:r>
              <w:rPr>
                <w:rFonts w:hint="default" w:ascii="Times New Roman" w:hAnsi="Times New Roman" w:eastAsia="宋体" w:cs="Times New Roman"/>
                <w:kern w:val="0"/>
                <w:sz w:val="18"/>
                <w:szCs w:val="18"/>
                <w:lang w:eastAsia="en-US"/>
              </w:rPr>
              <w:t>655</w:t>
            </w:r>
          </w:p>
        </w:tc>
        <w:tc>
          <w:tcPr>
            <w:tcW w:w="1417"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552-655</w:t>
            </w:r>
          </w:p>
        </w:tc>
        <w:tc>
          <w:tcPr>
            <w:tcW w:w="1167" w:type="pct"/>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2"/>
                <w:lang w:eastAsia="en-US"/>
              </w:rPr>
              <w:t>241</w:t>
            </w:r>
            <w:r>
              <w:rPr>
                <w:rFonts w:hint="default" w:ascii="Times New Roman" w:hAnsi="Times New Roman" w:eastAsia="宋体" w:cs="Times New Roman"/>
                <w:kern w:val="0"/>
                <w:sz w:val="20"/>
                <w:szCs w:val="20"/>
                <w:lang w:eastAsia="en-US"/>
              </w:rPr>
              <w:t xml:space="preserve"> max</w:t>
            </w:r>
          </w:p>
        </w:tc>
      </w:tr>
    </w:tbl>
    <w:p>
      <w:pPr>
        <w:numPr>
          <w:ilvl w:val="0"/>
          <w:numId w:val="21"/>
        </w:numPr>
        <w:autoSpaceDE w:val="0"/>
        <w:autoSpaceDN w:val="0"/>
        <w:adjustRightInd w:val="0"/>
        <w:spacing w:line="360" w:lineRule="auto"/>
        <w:ind w:right="11" w:firstLine="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电机轴用42CrMo，材质应满足</w:t>
      </w: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501"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248" w:type="pct"/>
            <w:gridSpan w:val="5"/>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c>
          <w:tcPr>
            <w:tcW w:w="1004" w:type="pct"/>
            <w:gridSpan w:val="2"/>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01"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38</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45</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40</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6</w:t>
            </w:r>
            <w:r>
              <w:rPr>
                <w:rFonts w:hint="default" w:ascii="Times New Roman" w:hAnsi="Times New Roman" w:eastAsia="宋体" w:cs="Times New Roman"/>
                <w:kern w:val="0"/>
                <w:sz w:val="20"/>
                <w:szCs w:val="20"/>
                <w:lang w:eastAsia="en-US"/>
              </w:rPr>
              <w:t>0-0.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0-1.</w:t>
            </w:r>
            <w:r>
              <w:rPr>
                <w:rFonts w:hint="default" w:ascii="Times New Roman" w:hAnsi="Times New Roman" w:eastAsia="宋体" w:cs="Times New Roman"/>
                <w:kern w:val="0"/>
                <w:sz w:val="20"/>
                <w:szCs w:val="20"/>
                <w:lang w:eastAsia="zh-CN"/>
              </w:rPr>
              <w:t>2</w:t>
            </w:r>
            <w:r>
              <w:rPr>
                <w:rFonts w:hint="default" w:ascii="Times New Roman" w:hAnsi="Times New Roman" w:eastAsia="宋体" w:cs="Times New Roman"/>
                <w:kern w:val="0"/>
                <w:sz w:val="20"/>
                <w:szCs w:val="20"/>
                <w:lang w:eastAsia="en-US"/>
              </w:rPr>
              <w:t>0</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0.15-0.</w:t>
            </w:r>
            <w:r>
              <w:rPr>
                <w:rFonts w:hint="default" w:ascii="Times New Roman" w:hAnsi="Times New Roman" w:eastAsia="宋体" w:cs="Times New Roman"/>
                <w:kern w:val="0"/>
                <w:sz w:val="20"/>
                <w:szCs w:val="20"/>
                <w:lang w:eastAsia="zh-CN"/>
              </w:rPr>
              <w:t>30</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r>
    </w:tbl>
    <w:p>
      <w:pPr>
        <w:ind w:right="11"/>
        <w:jc w:val="left"/>
        <w:rPr>
          <w:rFonts w:hint="default" w:ascii="Times New Roman" w:hAnsi="Times New Roman" w:eastAsia="宋体" w:cs="Times New Roman"/>
          <w:vanish/>
          <w:kern w:val="0"/>
          <w:sz w:val="22"/>
          <w:lang w:eastAsia="en-US"/>
        </w:rPr>
      </w:pP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973"/>
        <w:gridCol w:w="2033"/>
        <w:gridCol w:w="2733"/>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序号</w:t>
            </w:r>
          </w:p>
        </w:tc>
        <w:tc>
          <w:tcPr>
            <w:tcW w:w="523"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牌号名称</w:t>
            </w:r>
          </w:p>
        </w:tc>
        <w:tc>
          <w:tcPr>
            <w:tcW w:w="4187" w:type="pct"/>
            <w:gridSpan w:val="3"/>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523"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1175"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抗拉强度R</w:t>
            </w:r>
            <w:r>
              <w:rPr>
                <w:rFonts w:hint="default" w:ascii="Times New Roman" w:hAnsi="Times New Roman" w:eastAsia="宋体" w:cs="Times New Roman"/>
                <w:kern w:val="0"/>
                <w:sz w:val="22"/>
                <w:vertAlign w:val="subscript"/>
                <w:lang w:eastAsia="en-US"/>
              </w:rPr>
              <w:t>m</w:t>
            </w:r>
            <w:r>
              <w:rPr>
                <w:rFonts w:hint="default" w:ascii="Times New Roman" w:hAnsi="Times New Roman" w:eastAsia="宋体" w:cs="Times New Roman"/>
                <w:kern w:val="0"/>
                <w:sz w:val="22"/>
                <w:lang w:eastAsia="en-US"/>
              </w:rPr>
              <w:t>/MPa</w:t>
            </w:r>
          </w:p>
        </w:tc>
        <w:tc>
          <w:tcPr>
            <w:tcW w:w="1576"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屈服强度</w:t>
            </w:r>
          </w:p>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eL或</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 MPa</w:t>
            </w:r>
          </w:p>
        </w:tc>
        <w:tc>
          <w:tcPr>
            <w:tcW w:w="1435"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2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1175"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1080</w:t>
            </w:r>
          </w:p>
        </w:tc>
        <w:tc>
          <w:tcPr>
            <w:tcW w:w="1576"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930</w:t>
            </w:r>
          </w:p>
        </w:tc>
        <w:tc>
          <w:tcPr>
            <w:tcW w:w="1435"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12</w:t>
            </w:r>
          </w:p>
        </w:tc>
      </w:tr>
    </w:tbl>
    <w:p>
      <w:pPr>
        <w:numPr>
          <w:ilvl w:val="0"/>
          <w:numId w:val="21"/>
        </w:numPr>
        <w:autoSpaceDE w:val="0"/>
        <w:autoSpaceDN w:val="0"/>
        <w:adjustRightInd w:val="0"/>
        <w:spacing w:line="360" w:lineRule="auto"/>
        <w:ind w:right="11" w:firstLine="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头座用2Cr13，材质应满足</w:t>
      </w:r>
    </w:p>
    <w:tbl>
      <w:tblPr>
        <w:tblStyle w:val="9"/>
        <w:tblW w:w="4997" w:type="pct"/>
        <w:tblInd w:w="0" w:type="dxa"/>
        <w:tblLayout w:type="fixed"/>
        <w:tblCellMar>
          <w:top w:w="0" w:type="dxa"/>
          <w:left w:w="0" w:type="dxa"/>
          <w:bottom w:w="0" w:type="dxa"/>
          <w:right w:w="0" w:type="dxa"/>
        </w:tblCellMar>
      </w:tblPr>
      <w:tblGrid>
        <w:gridCol w:w="537"/>
        <w:gridCol w:w="16"/>
        <w:gridCol w:w="1141"/>
        <w:gridCol w:w="33"/>
        <w:gridCol w:w="1225"/>
        <w:gridCol w:w="47"/>
        <w:gridCol w:w="542"/>
        <w:gridCol w:w="319"/>
        <w:gridCol w:w="869"/>
        <w:gridCol w:w="1016"/>
        <w:gridCol w:w="333"/>
        <w:gridCol w:w="674"/>
        <w:gridCol w:w="869"/>
        <w:gridCol w:w="1139"/>
      </w:tblGrid>
      <w:tr>
        <w:tblPrEx>
          <w:tblCellMar>
            <w:top w:w="0" w:type="dxa"/>
            <w:left w:w="0" w:type="dxa"/>
            <w:bottom w:w="0" w:type="dxa"/>
            <w:right w:w="0" w:type="dxa"/>
          </w:tblCellMar>
        </w:tblPrEx>
        <w:trPr>
          <w:trHeight w:val="331" w:hRule="atLeast"/>
        </w:trPr>
        <w:tc>
          <w:tcPr>
            <w:tcW w:w="306"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序号</w:t>
            </w:r>
          </w:p>
        </w:tc>
        <w:tc>
          <w:tcPr>
            <w:tcW w:w="660"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牌号名称</w:t>
            </w:r>
          </w:p>
        </w:tc>
        <w:tc>
          <w:tcPr>
            <w:tcW w:w="717" w:type="pct"/>
            <w:gridSpan w:val="2"/>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1"/>
                <w:lang w:eastAsia="en-US"/>
              </w:rPr>
            </w:pPr>
          </w:p>
        </w:tc>
        <w:tc>
          <w:tcPr>
            <w:tcW w:w="3315" w:type="pct"/>
            <w:gridSpan w:val="9"/>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1"/>
                <w:lang w:eastAsia="zh-CN"/>
              </w:rPr>
            </w:pPr>
            <w:r>
              <w:rPr>
                <w:rFonts w:hint="default" w:ascii="Times New Roman" w:hAnsi="Times New Roman" w:eastAsia="宋体" w:cs="Times New Roman"/>
                <w:kern w:val="0"/>
                <w:sz w:val="21"/>
                <w:lang w:eastAsia="zh-CN"/>
              </w:rPr>
              <w:t>化学成分（质量分数）%</w:t>
            </w:r>
          </w:p>
        </w:tc>
      </w:tr>
      <w:tr>
        <w:tblPrEx>
          <w:tblCellMar>
            <w:top w:w="0" w:type="dxa"/>
            <w:left w:w="0" w:type="dxa"/>
            <w:bottom w:w="0" w:type="dxa"/>
            <w:right w:w="0" w:type="dxa"/>
          </w:tblCellMar>
        </w:tblPrEx>
        <w:trPr>
          <w:trHeight w:val="407" w:hRule="atLeast"/>
        </w:trPr>
        <w:tc>
          <w:tcPr>
            <w:tcW w:w="306"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zh-CN"/>
              </w:rPr>
            </w:pPr>
          </w:p>
        </w:tc>
        <w:tc>
          <w:tcPr>
            <w:tcW w:w="660" w:type="pct"/>
            <w:gridSpan w:val="2"/>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zh-CN"/>
              </w:rPr>
            </w:pPr>
          </w:p>
        </w:tc>
        <w:tc>
          <w:tcPr>
            <w:tcW w:w="744" w:type="pct"/>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C</w:t>
            </w:r>
          </w:p>
        </w:tc>
        <w:tc>
          <w:tcPr>
            <w:tcW w:w="491" w:type="pct"/>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Si</w:t>
            </w:r>
          </w:p>
        </w:tc>
        <w:tc>
          <w:tcPr>
            <w:tcW w:w="496"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Mn</w:t>
            </w:r>
          </w:p>
        </w:tc>
        <w:tc>
          <w:tcPr>
            <w:tcW w:w="580"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p</w:t>
            </w:r>
          </w:p>
        </w:tc>
        <w:tc>
          <w:tcPr>
            <w:tcW w:w="575" w:type="pct"/>
            <w:gridSpan w:val="2"/>
            <w:tcBorders>
              <w:top w:val="nil"/>
              <w:left w:val="nil"/>
              <w:bottom w:val="single" w:color="auto" w:sz="8"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S</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Ni</w:t>
            </w:r>
          </w:p>
        </w:tc>
        <w:tc>
          <w:tcPr>
            <w:tcW w:w="647" w:type="pct"/>
            <w:tcBorders>
              <w:top w:val="nil"/>
              <w:left w:val="single" w:color="auto" w:sz="4" w:space="0"/>
              <w:bottom w:val="single" w:color="auto" w:sz="8"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Cr</w:t>
            </w:r>
          </w:p>
        </w:tc>
      </w:tr>
      <w:tr>
        <w:tblPrEx>
          <w:tblCellMar>
            <w:top w:w="0" w:type="dxa"/>
            <w:left w:w="0" w:type="dxa"/>
            <w:bottom w:w="0" w:type="dxa"/>
            <w:right w:w="0" w:type="dxa"/>
          </w:tblCellMar>
        </w:tblPrEx>
        <w:trPr>
          <w:trHeight w:val="369" w:hRule="atLeast"/>
        </w:trPr>
        <w:tc>
          <w:tcPr>
            <w:tcW w:w="306"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w:t>
            </w:r>
          </w:p>
        </w:tc>
        <w:tc>
          <w:tcPr>
            <w:tcW w:w="660"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2Cr13</w:t>
            </w:r>
          </w:p>
        </w:tc>
        <w:tc>
          <w:tcPr>
            <w:tcW w:w="744" w:type="pct"/>
            <w:gridSpan w:val="3"/>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0.16-0.25</w:t>
            </w:r>
          </w:p>
        </w:tc>
        <w:tc>
          <w:tcPr>
            <w:tcW w:w="491"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1max</w:t>
            </w:r>
          </w:p>
        </w:tc>
        <w:tc>
          <w:tcPr>
            <w:tcW w:w="496"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1max</w:t>
            </w:r>
          </w:p>
        </w:tc>
        <w:tc>
          <w:tcPr>
            <w:tcW w:w="580"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0.04max</w:t>
            </w:r>
          </w:p>
        </w:tc>
        <w:tc>
          <w:tcPr>
            <w:tcW w:w="575"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0.03max</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0.6max</w:t>
            </w:r>
          </w:p>
        </w:tc>
        <w:tc>
          <w:tcPr>
            <w:tcW w:w="647" w:type="pct"/>
            <w:tcBorders>
              <w:top w:val="nil"/>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12-14</w:t>
            </w:r>
          </w:p>
        </w:tc>
      </w:tr>
      <w:tr>
        <w:tblPrEx>
          <w:tblCellMar>
            <w:top w:w="0" w:type="dxa"/>
            <w:left w:w="0" w:type="dxa"/>
            <w:bottom w:w="0" w:type="dxa"/>
            <w:right w:w="0" w:type="dxa"/>
          </w:tblCellMar>
        </w:tblPrEx>
        <w:tc>
          <w:tcPr>
            <w:tcW w:w="315" w:type="pct"/>
            <w:gridSpan w:val="2"/>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序号</w:t>
            </w:r>
          </w:p>
        </w:tc>
        <w:tc>
          <w:tcPr>
            <w:tcW w:w="669"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牌号名称</w:t>
            </w:r>
          </w:p>
        </w:tc>
        <w:tc>
          <w:tcPr>
            <w:tcW w:w="4014" w:type="pct"/>
            <w:gridSpan w:val="10"/>
            <w:tcBorders>
              <w:top w:val="single" w:color="auto" w:sz="4" w:space="0"/>
              <w:left w:val="nil"/>
              <w:bottom w:val="single" w:color="auto" w:sz="4" w:space="0"/>
              <w:right w:val="single" w:color="auto" w:sz="4" w:space="0"/>
            </w:tcBorders>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力学性能</w:t>
            </w:r>
          </w:p>
        </w:tc>
      </w:tr>
      <w:tr>
        <w:tblPrEx>
          <w:tblCellMar>
            <w:top w:w="0" w:type="dxa"/>
            <w:left w:w="0" w:type="dxa"/>
            <w:bottom w:w="0" w:type="dxa"/>
            <w:right w:w="0" w:type="dxa"/>
          </w:tblCellMar>
        </w:tblPrEx>
        <w:tc>
          <w:tcPr>
            <w:tcW w:w="315" w:type="pct"/>
            <w:gridSpan w:val="2"/>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en-US"/>
              </w:rPr>
            </w:pPr>
          </w:p>
        </w:tc>
        <w:tc>
          <w:tcPr>
            <w:tcW w:w="669" w:type="pct"/>
            <w:gridSpan w:val="2"/>
            <w:vMerge w:val="continue"/>
            <w:tcBorders>
              <w:top w:val="single" w:color="auto" w:sz="8" w:space="0"/>
              <w:left w:val="nil"/>
              <w:bottom w:val="single" w:color="auto" w:sz="8" w:space="0"/>
              <w:right w:val="single" w:color="auto" w:sz="4" w:space="0"/>
            </w:tcBorders>
            <w:vAlign w:val="center"/>
          </w:tcPr>
          <w:p>
            <w:pPr>
              <w:jc w:val="left"/>
              <w:rPr>
                <w:rFonts w:hint="default" w:ascii="Times New Roman" w:hAnsi="Times New Roman" w:eastAsia="宋体" w:cs="Times New Roman"/>
                <w:kern w:val="0"/>
                <w:sz w:val="21"/>
                <w:lang w:eastAsia="en-US"/>
              </w:rPr>
            </w:pPr>
          </w:p>
        </w:tc>
        <w:tc>
          <w:tcPr>
            <w:tcW w:w="1035" w:type="pct"/>
            <w:gridSpan w:val="3"/>
            <w:tcBorders>
              <w:top w:val="single" w:color="auto" w:sz="4" w:space="0"/>
              <w:left w:val="single" w:color="auto" w:sz="4" w:space="0"/>
              <w:bottom w:val="single" w:color="auto" w:sz="4" w:space="0"/>
              <w:right w:val="single" w:color="auto" w:sz="4" w:space="0"/>
            </w:tcBorders>
          </w:tcPr>
          <w:p>
            <w:pPr>
              <w:tabs>
                <w:tab w:val="left" w:pos="698"/>
              </w:tabs>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非比例延伸强度</w:t>
            </w:r>
          </w:p>
          <w:p>
            <w:pPr>
              <w:tabs>
                <w:tab w:val="left" w:pos="698"/>
              </w:tabs>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R</w:t>
            </w:r>
            <w:r>
              <w:rPr>
                <w:rFonts w:hint="default" w:ascii="Times New Roman" w:hAnsi="Times New Roman" w:eastAsia="宋体" w:cs="Times New Roman"/>
                <w:kern w:val="0"/>
                <w:sz w:val="21"/>
                <w:vertAlign w:val="subscript"/>
                <w:lang w:eastAsia="en-US"/>
              </w:rPr>
              <w:t>p0.2</w:t>
            </w:r>
            <w:r>
              <w:rPr>
                <w:rFonts w:hint="default" w:ascii="Times New Roman" w:hAnsi="Times New Roman" w:eastAsia="宋体" w:cs="Times New Roman"/>
                <w:kern w:val="0"/>
                <w:sz w:val="21"/>
                <w:lang w:eastAsia="en-US"/>
              </w:rPr>
              <w:t>/ MPa</w:t>
            </w:r>
          </w:p>
        </w:tc>
        <w:tc>
          <w:tcPr>
            <w:tcW w:w="1448" w:type="pct"/>
            <w:gridSpan w:val="4"/>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抗拉强度R</w:t>
            </w:r>
            <w:r>
              <w:rPr>
                <w:rFonts w:hint="default" w:ascii="Times New Roman" w:hAnsi="Times New Roman" w:eastAsia="宋体" w:cs="Times New Roman"/>
                <w:kern w:val="0"/>
                <w:sz w:val="21"/>
                <w:vertAlign w:val="subscript"/>
                <w:lang w:eastAsia="en-US"/>
              </w:rPr>
              <w:t>m</w:t>
            </w:r>
            <w:r>
              <w:rPr>
                <w:rFonts w:hint="default" w:ascii="Times New Roman" w:hAnsi="Times New Roman" w:eastAsia="宋体" w:cs="Times New Roman"/>
                <w:kern w:val="0"/>
                <w:sz w:val="21"/>
                <w:lang w:eastAsia="en-US"/>
              </w:rPr>
              <w:t>/MPa</w:t>
            </w:r>
          </w:p>
        </w:tc>
        <w:tc>
          <w:tcPr>
            <w:tcW w:w="1530" w:type="pct"/>
            <w:gridSpan w:val="3"/>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b/>
                <w:bCs/>
                <w:kern w:val="0"/>
                <w:sz w:val="21"/>
                <w:lang w:eastAsia="en-US"/>
              </w:rPr>
            </w:pPr>
            <w:r>
              <w:rPr>
                <w:rFonts w:hint="default" w:ascii="Times New Roman" w:hAnsi="Times New Roman" w:eastAsia="宋体" w:cs="Times New Roman"/>
                <w:kern w:val="0"/>
                <w:sz w:val="21"/>
                <w:lang w:eastAsia="en-US"/>
              </w:rPr>
              <w:t>伸长率A%</w:t>
            </w:r>
          </w:p>
        </w:tc>
      </w:tr>
      <w:tr>
        <w:tblPrEx>
          <w:tblCellMar>
            <w:top w:w="0" w:type="dxa"/>
            <w:left w:w="0" w:type="dxa"/>
            <w:bottom w:w="0" w:type="dxa"/>
            <w:right w:w="0" w:type="dxa"/>
          </w:tblCellMar>
        </w:tblPrEx>
        <w:tc>
          <w:tcPr>
            <w:tcW w:w="315" w:type="pct"/>
            <w:gridSpan w:val="2"/>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w:t>
            </w:r>
          </w:p>
        </w:tc>
        <w:tc>
          <w:tcPr>
            <w:tcW w:w="669"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2Cr13</w:t>
            </w:r>
          </w:p>
        </w:tc>
        <w:tc>
          <w:tcPr>
            <w:tcW w:w="1035"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≥440</w:t>
            </w:r>
          </w:p>
        </w:tc>
        <w:tc>
          <w:tcPr>
            <w:tcW w:w="1448" w:type="pct"/>
            <w:gridSpan w:val="4"/>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≥640</w:t>
            </w:r>
          </w:p>
        </w:tc>
        <w:tc>
          <w:tcPr>
            <w:tcW w:w="1530" w:type="pct"/>
            <w:gridSpan w:val="3"/>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b/>
                <w:bCs/>
                <w:kern w:val="0"/>
                <w:sz w:val="21"/>
                <w:lang w:eastAsia="en-US"/>
              </w:rPr>
            </w:pPr>
            <w:r>
              <w:rPr>
                <w:rFonts w:hint="default" w:ascii="Times New Roman" w:hAnsi="Times New Roman" w:eastAsia="宋体" w:cs="Times New Roman"/>
                <w:kern w:val="0"/>
                <w:sz w:val="21"/>
                <w:lang w:eastAsia="en-US"/>
              </w:rPr>
              <w:t>≥20</w:t>
            </w:r>
          </w:p>
        </w:tc>
      </w:tr>
    </w:tbl>
    <w:p>
      <w:pPr>
        <w:numPr>
          <w:ilvl w:val="2"/>
          <w:numId w:val="20"/>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每台潜油电机配送2桶型号：BH6（单桶16kG以上）204℃合格电机油，符合下表技术要求，并附带电机油MSDS。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spacing w:line="360" w:lineRule="auto"/>
        <w:ind w:firstLine="420" w:firstLineChars="200"/>
        <w:jc w:val="left"/>
        <w:rPr>
          <w:rFonts w:hint="default" w:ascii="Times New Roman" w:hAnsi="Times New Roman" w:eastAsia="宋体" w:cs="Times New Roman"/>
          <w:kern w:val="0"/>
          <w:sz w:val="21"/>
          <w:szCs w:val="21"/>
          <w:lang w:eastAsia="zh-CN"/>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（防腐）低速永磁潜油电机</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具体规格型号见“二、需求一览表，行12-13项”。</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适用井温：150℃。</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电机额定频率40HZ，额定转速300RPM。要求电机可以长期在150RPM情况下运行，并且在6.0HZ情况下能保证井下传感器的通讯稳定。</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转子采用永磁体，永磁体耐温不低于180℃，材质选用钕铁硼（NdFeB）或更高级别的钐钴（SmCo）材质及以上等级，</w:t>
      </w:r>
      <w:r>
        <w:rPr>
          <w:rFonts w:ascii="Times New Roman" w:hAnsi="Times New Roman" w:eastAsia="宋体" w:cs="Times New Roman"/>
          <w:kern w:val="0"/>
          <w:sz w:val="21"/>
          <w:szCs w:val="21"/>
          <w:lang w:eastAsia="zh-CN"/>
        </w:rPr>
        <w:t>满足对磁场强度和温度稳定性的高要求</w:t>
      </w:r>
      <w:r>
        <w:rPr>
          <w:rFonts w:hint="default" w:ascii="Times New Roman" w:hAnsi="Times New Roman" w:eastAsia="宋体" w:cs="Times New Roman"/>
          <w:kern w:val="0"/>
          <w:sz w:val="21"/>
          <w:szCs w:val="21"/>
          <w:lang w:eastAsia="zh-CN"/>
        </w:rPr>
        <w:t>。</w:t>
      </w:r>
    </w:p>
    <w:p>
      <w:pPr>
        <w:widowControl w:val="0"/>
        <w:numPr>
          <w:ilvl w:val="2"/>
          <w:numId w:val="2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永磁电机级数≥16极。</w:t>
      </w:r>
    </w:p>
    <w:p>
      <w:pPr>
        <w:widowControl w:val="0"/>
        <w:numPr>
          <w:ilvl w:val="2"/>
          <w:numId w:val="2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永磁电机电磁线采用电磁线耐交流电压等级不低于4000V，聚酰亚胺膜每层的叠包率不低于48%。</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电机接口尺寸符合满足《机械采油公司潜油电泵产品接口参数明细》（见附件一）要求。</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密封圈采用AFLAS，适用井温204℃，并具有防腐蚀性能。</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电机轴采用42CrMo高强度合金钢及以上材质。</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在腐蚀环境下，与井液接触部件要求具有防腐蚀性能。壳体采用9Cr1Mo，接头、底座采用2Cr13，连接螺栓和垫片应采用MonelK-500，其他与井液接触的零部件按照CO2和H2S腐蚀要求进行配置。送货文件应提供材质化学成分及机械性能检测报告，并注明炉号等可追溯性标识信息。</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运输帽螺栓必须齐全并旋紧，并配送2套一次性下井件。</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底部留有能与电泵工况装置配合的连接法兰，并预留星点引出线，星点引出线长度应保证露出电机端部500mm。电机尾扣为2-3/8″EU母扣。电机绕组线圈内加装泵工况测温用热电耦并预装泵工况对插接头（对插接头图纸见附件六）。</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电机外观完好，目测无变形、无锈蚀，表面应有防锈涂敷层，涂层应完整、无破损。</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电机在25℃环境温度下相间、对地绝缘电阻均应大于1000MΩ。</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电机三相绕组直流电阻不平衡率不得大于2%。</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成品电机应预注新的合格电机油，电机油耐温不低于200℃，电机到货静置24小时后，无渗漏。</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整机能承受压力为0.5MPa气压，历时5min的密封性能试验，各密封连接部位不泄漏。</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整机连接全部采用内外六角螺钉，采用法兰形式连接。</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其它材质要求：</w:t>
      </w:r>
    </w:p>
    <w:p>
      <w:pPr>
        <w:numPr>
          <w:ilvl w:val="0"/>
          <w:numId w:val="23"/>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投标方需提供永磁体的牌号，招标方可以进行检验验证。</w:t>
      </w:r>
    </w:p>
    <w:p>
      <w:pPr>
        <w:numPr>
          <w:ilvl w:val="0"/>
          <w:numId w:val="23"/>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电壳体用9Cr1Mo，材质应满足：</w:t>
      </w:r>
    </w:p>
    <w:tbl>
      <w:tblPr>
        <w:tblStyle w:val="9"/>
        <w:tblW w:w="4991" w:type="pct"/>
        <w:tblInd w:w="-34" w:type="dxa"/>
        <w:tblLayout w:type="fixed"/>
        <w:tblCellMar>
          <w:top w:w="0" w:type="dxa"/>
          <w:left w:w="0" w:type="dxa"/>
          <w:bottom w:w="0" w:type="dxa"/>
          <w:right w:w="0" w:type="dxa"/>
        </w:tblCellMar>
      </w:tblPr>
      <w:tblGrid>
        <w:gridCol w:w="731"/>
        <w:gridCol w:w="1315"/>
        <w:gridCol w:w="177"/>
        <w:gridCol w:w="553"/>
        <w:gridCol w:w="532"/>
        <w:gridCol w:w="340"/>
        <w:gridCol w:w="877"/>
        <w:gridCol w:w="730"/>
        <w:gridCol w:w="728"/>
        <w:gridCol w:w="685"/>
        <w:gridCol w:w="723"/>
        <w:gridCol w:w="723"/>
        <w:gridCol w:w="640"/>
      </w:tblGrid>
      <w:tr>
        <w:tblPrEx>
          <w:tblCellMar>
            <w:top w:w="0" w:type="dxa"/>
            <w:left w:w="0" w:type="dxa"/>
            <w:bottom w:w="0" w:type="dxa"/>
            <w:right w:w="0" w:type="dxa"/>
          </w:tblCellMar>
        </w:tblPrEx>
        <w:trPr>
          <w:trHeight w:val="331" w:hRule="atLeast"/>
        </w:trPr>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101" w:type="pct"/>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0"/>
                <w:szCs w:val="20"/>
                <w:lang w:eastAsia="en-US"/>
              </w:rPr>
            </w:pPr>
          </w:p>
        </w:tc>
        <w:tc>
          <w:tcPr>
            <w:tcW w:w="620" w:type="pct"/>
            <w:gridSpan w:val="2"/>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0"/>
                <w:szCs w:val="20"/>
                <w:lang w:eastAsia="en-US"/>
              </w:rPr>
            </w:pPr>
          </w:p>
        </w:tc>
        <w:tc>
          <w:tcPr>
            <w:tcW w:w="3112" w:type="pct"/>
            <w:gridSpan w:val="8"/>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CellMar>
            <w:top w:w="0" w:type="dxa"/>
            <w:left w:w="0" w:type="dxa"/>
            <w:bottom w:w="0" w:type="dxa"/>
            <w:right w:w="0" w:type="dxa"/>
          </w:tblCellMar>
        </w:tblPrEx>
        <w:trPr>
          <w:trHeight w:val="407" w:hRule="atLeast"/>
        </w:trPr>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zh-CN"/>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zh-CN"/>
              </w:rPr>
            </w:pPr>
          </w:p>
        </w:tc>
        <w:tc>
          <w:tcPr>
            <w:tcW w:w="417" w:type="pct"/>
            <w:gridSpan w:val="2"/>
            <w:tcBorders>
              <w:top w:val="nil"/>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498" w:type="pct"/>
            <w:gridSpan w:val="2"/>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tcBorders>
              <w:top w:val="nil"/>
              <w:left w:val="single" w:color="auto" w:sz="4" w:space="0"/>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417"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6"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391"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367" w:type="pct"/>
            <w:tcBorders>
              <w:top w:val="nil"/>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r>
      <w:tr>
        <w:tblPrEx>
          <w:tblCellMar>
            <w:top w:w="0" w:type="dxa"/>
            <w:left w:w="0" w:type="dxa"/>
            <w:bottom w:w="0" w:type="dxa"/>
            <w:right w:w="0" w:type="dxa"/>
          </w:tblCellMar>
        </w:tblPrEx>
        <w:trPr>
          <w:trHeight w:val="369" w:hRule="atLeast"/>
        </w:trPr>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ind w:right="-109" w:rightChars="-5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9Cr1Mo</w:t>
            </w:r>
          </w:p>
        </w:tc>
        <w:tc>
          <w:tcPr>
            <w:tcW w:w="417"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98" w:type="pct"/>
            <w:gridSpan w:val="2"/>
            <w:tcBorders>
              <w:top w:val="single" w:color="auto" w:sz="4" w:space="0"/>
              <w:left w:val="single" w:color="auto" w:sz="4" w:space="0"/>
              <w:bottom w:val="single" w:color="auto" w:sz="4" w:space="0"/>
              <w:right w:val="single" w:color="auto" w:sz="4" w:space="0"/>
            </w:tcBorders>
            <w:vAlign w:val="center"/>
          </w:tcPr>
          <w:p>
            <w:pPr>
              <w:ind w:left="-4" w:leftChars="-2" w:right="-42" w:rightChars="-2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0.3-0.6</w:t>
            </w:r>
          </w:p>
        </w:tc>
        <w:tc>
          <w:tcPr>
            <w:tcW w:w="501"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ind w:left="-92" w:leftChars="-44" w:right="-107" w:rightChars="-5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0.9-1.1</w:t>
            </w:r>
          </w:p>
        </w:tc>
        <w:tc>
          <w:tcPr>
            <w:tcW w:w="417" w:type="pct"/>
            <w:tcBorders>
              <w:top w:val="nil"/>
              <w:left w:val="nil"/>
              <w:bottom w:val="single" w:color="auto" w:sz="4" w:space="0"/>
              <w:right w:val="single" w:color="auto" w:sz="8" w:space="0"/>
            </w:tcBorders>
            <w:tcMar>
              <w:top w:w="0" w:type="dxa"/>
              <w:left w:w="108" w:type="dxa"/>
              <w:bottom w:w="0" w:type="dxa"/>
              <w:right w:w="108" w:type="dxa"/>
            </w:tcMar>
            <w:vAlign w:val="center"/>
          </w:tcPr>
          <w:p>
            <w:pPr>
              <w:ind w:right="-109" w:rightChars="-5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8-10</w:t>
            </w:r>
          </w:p>
        </w:tc>
        <w:tc>
          <w:tcPr>
            <w:tcW w:w="416"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103" w:leftChars="-49" w:right="-109" w:rightChars="-52" w:firstLine="32" w:firstLineChars="16"/>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w:t>
            </w:r>
          </w:p>
          <w:p>
            <w:pPr>
              <w:ind w:left="-103" w:leftChars="-49" w:right="-109" w:rightChars="-52" w:firstLine="32" w:firstLineChars="16"/>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391"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88" w:leftChars="-42" w:right="-126" w:rightChars="-6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0.02</w:t>
            </w:r>
          </w:p>
          <w:p>
            <w:pPr>
              <w:ind w:left="-88" w:leftChars="-42" w:right="-126" w:rightChars="-6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94" w:leftChars="-45" w:right="-103" w:rightChars="-49"/>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0.01</w:t>
            </w:r>
          </w:p>
          <w:p>
            <w:pPr>
              <w:ind w:left="-94" w:leftChars="-45" w:right="-103" w:rightChars="-49"/>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367" w:type="pct"/>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r>
    </w:tbl>
    <w:p>
      <w:pPr>
        <w:jc w:val="both"/>
        <w:rPr>
          <w:rFonts w:hint="default" w:ascii="Times New Roman" w:hAnsi="Times New Roman" w:eastAsia="宋体" w:cs="Times New Roman"/>
          <w:vanish/>
          <w:kern w:val="0"/>
          <w:sz w:val="22"/>
          <w:szCs w:val="21"/>
          <w:lang w:eastAsia="en-US"/>
        </w:rPr>
      </w:pPr>
    </w:p>
    <w:tbl>
      <w:tblPr>
        <w:tblStyle w:val="9"/>
        <w:tblW w:w="4991" w:type="pct"/>
        <w:tblInd w:w="-34" w:type="dxa"/>
        <w:tblLayout w:type="autofit"/>
        <w:tblCellMar>
          <w:top w:w="0" w:type="dxa"/>
          <w:left w:w="0" w:type="dxa"/>
          <w:bottom w:w="0" w:type="dxa"/>
          <w:right w:w="0" w:type="dxa"/>
        </w:tblCellMar>
      </w:tblPr>
      <w:tblGrid>
        <w:gridCol w:w="730"/>
        <w:gridCol w:w="1314"/>
        <w:gridCol w:w="2184"/>
        <w:gridCol w:w="2480"/>
        <w:gridCol w:w="2043"/>
      </w:tblGrid>
      <w:tr>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20"/>
                <w:szCs w:val="20"/>
                <w:lang w:eastAsia="en-US"/>
              </w:rPr>
              <w:t>牌号名称</w:t>
            </w:r>
          </w:p>
        </w:tc>
        <w:tc>
          <w:tcPr>
            <w:tcW w:w="3832" w:type="pct"/>
            <w:gridSpan w:val="3"/>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w:t>
            </w:r>
          </w:p>
        </w:tc>
      </w:tr>
      <w:tr>
        <w:tblPrEx>
          <w:tblCellMar>
            <w:top w:w="0" w:type="dxa"/>
            <w:left w:w="0" w:type="dxa"/>
            <w:bottom w:w="0" w:type="dxa"/>
            <w:right w:w="0" w:type="dxa"/>
          </w:tblCellMar>
        </w:tblPrEx>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en-US"/>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2"/>
                <w:szCs w:val="21"/>
                <w:lang w:eastAsia="en-US"/>
              </w:rPr>
            </w:pPr>
          </w:p>
        </w:tc>
        <w:tc>
          <w:tcPr>
            <w:tcW w:w="1248"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抗拉强度R</w:t>
            </w:r>
            <w:r>
              <w:rPr>
                <w:rFonts w:hint="default" w:ascii="Times New Roman" w:hAnsi="Times New Roman" w:eastAsia="宋体" w:cs="Times New Roman"/>
                <w:kern w:val="0"/>
                <w:sz w:val="18"/>
                <w:szCs w:val="18"/>
                <w:vertAlign w:val="subscript"/>
                <w:lang w:eastAsia="en-US"/>
              </w:rPr>
              <w:t>m</w:t>
            </w:r>
            <w:r>
              <w:rPr>
                <w:rFonts w:hint="default" w:ascii="Times New Roman" w:hAnsi="Times New Roman" w:eastAsia="宋体" w:cs="Times New Roman"/>
                <w:kern w:val="0"/>
                <w:sz w:val="18"/>
                <w:szCs w:val="18"/>
                <w:lang w:eastAsia="en-US"/>
              </w:rPr>
              <w:t>/MPa</w:t>
            </w:r>
          </w:p>
        </w:tc>
        <w:tc>
          <w:tcPr>
            <w:tcW w:w="1417"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屈服强度</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w:t>
            </w:r>
            <w:r>
              <w:rPr>
                <w:rFonts w:hint="default" w:ascii="Times New Roman" w:hAnsi="Times New Roman" w:eastAsia="宋体" w:cs="Times New Roman"/>
                <w:kern w:val="0"/>
                <w:sz w:val="18"/>
                <w:szCs w:val="18"/>
                <w:lang w:eastAsia="en-US"/>
              </w:rPr>
              <w:t xml:space="preserve"> (MPa)</w:t>
            </w:r>
          </w:p>
        </w:tc>
        <w:tc>
          <w:tcPr>
            <w:tcW w:w="1167" w:type="pct"/>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布氏硬度HBW</w:t>
            </w:r>
          </w:p>
        </w:tc>
      </w:tr>
      <w:tr>
        <w:tblPrEx>
          <w:tblCellMar>
            <w:top w:w="0" w:type="dxa"/>
            <w:left w:w="0" w:type="dxa"/>
            <w:bottom w:w="0" w:type="dxa"/>
            <w:right w:w="0" w:type="dxa"/>
          </w:tblCellMar>
        </w:tblPrEx>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18"/>
                <w:szCs w:val="18"/>
                <w:lang w:eastAsia="en-US"/>
              </w:rPr>
              <w:t>9Cr1Mo</w:t>
            </w:r>
          </w:p>
        </w:tc>
        <w:tc>
          <w:tcPr>
            <w:tcW w:w="1248"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2"/>
                <w:lang w:eastAsia="en-US"/>
              </w:rPr>
              <w:t>≥</w:t>
            </w:r>
            <w:r>
              <w:rPr>
                <w:rFonts w:hint="default" w:ascii="Times New Roman" w:hAnsi="Times New Roman" w:eastAsia="宋体" w:cs="Times New Roman"/>
                <w:kern w:val="0"/>
                <w:sz w:val="18"/>
                <w:szCs w:val="18"/>
                <w:lang w:eastAsia="en-US"/>
              </w:rPr>
              <w:t>655</w:t>
            </w:r>
          </w:p>
        </w:tc>
        <w:tc>
          <w:tcPr>
            <w:tcW w:w="1417"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552-655</w:t>
            </w:r>
          </w:p>
        </w:tc>
        <w:tc>
          <w:tcPr>
            <w:tcW w:w="1167" w:type="pct"/>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2"/>
                <w:lang w:eastAsia="en-US"/>
              </w:rPr>
              <w:t>241</w:t>
            </w:r>
            <w:r>
              <w:rPr>
                <w:rFonts w:hint="default" w:ascii="Times New Roman" w:hAnsi="Times New Roman" w:eastAsia="宋体" w:cs="Times New Roman"/>
                <w:kern w:val="0"/>
                <w:sz w:val="20"/>
                <w:szCs w:val="20"/>
                <w:lang w:eastAsia="en-US"/>
              </w:rPr>
              <w:t xml:space="preserve"> max</w:t>
            </w:r>
          </w:p>
        </w:tc>
      </w:tr>
    </w:tbl>
    <w:p>
      <w:pPr>
        <w:numPr>
          <w:ilvl w:val="0"/>
          <w:numId w:val="23"/>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电机轴用42CrMo，材质应满足</w:t>
      </w: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501"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248" w:type="pct"/>
            <w:gridSpan w:val="5"/>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c>
          <w:tcPr>
            <w:tcW w:w="1004" w:type="pct"/>
            <w:gridSpan w:val="2"/>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01"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38</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45</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40</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6</w:t>
            </w:r>
            <w:r>
              <w:rPr>
                <w:rFonts w:hint="default" w:ascii="Times New Roman" w:hAnsi="Times New Roman" w:eastAsia="宋体" w:cs="Times New Roman"/>
                <w:kern w:val="0"/>
                <w:sz w:val="20"/>
                <w:szCs w:val="20"/>
                <w:lang w:eastAsia="en-US"/>
              </w:rPr>
              <w:t>0-0.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0-1.</w:t>
            </w:r>
            <w:r>
              <w:rPr>
                <w:rFonts w:hint="default" w:ascii="Times New Roman" w:hAnsi="Times New Roman" w:eastAsia="宋体" w:cs="Times New Roman"/>
                <w:kern w:val="0"/>
                <w:sz w:val="20"/>
                <w:szCs w:val="20"/>
                <w:lang w:eastAsia="zh-CN"/>
              </w:rPr>
              <w:t>2</w:t>
            </w:r>
            <w:r>
              <w:rPr>
                <w:rFonts w:hint="default" w:ascii="Times New Roman" w:hAnsi="Times New Roman" w:eastAsia="宋体" w:cs="Times New Roman"/>
                <w:kern w:val="0"/>
                <w:sz w:val="20"/>
                <w:szCs w:val="20"/>
                <w:lang w:eastAsia="en-US"/>
              </w:rPr>
              <w:t>0</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0.15-0.</w:t>
            </w:r>
            <w:r>
              <w:rPr>
                <w:rFonts w:hint="default" w:ascii="Times New Roman" w:hAnsi="Times New Roman" w:eastAsia="宋体" w:cs="Times New Roman"/>
                <w:kern w:val="0"/>
                <w:sz w:val="20"/>
                <w:szCs w:val="20"/>
                <w:lang w:eastAsia="zh-CN"/>
              </w:rPr>
              <w:t>30</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r>
    </w:tbl>
    <w:p>
      <w:pPr>
        <w:ind w:right="11"/>
        <w:jc w:val="left"/>
        <w:rPr>
          <w:rFonts w:hint="default" w:ascii="Times New Roman" w:hAnsi="Times New Roman" w:eastAsia="宋体" w:cs="Times New Roman"/>
          <w:vanish/>
          <w:kern w:val="0"/>
          <w:sz w:val="22"/>
          <w:lang w:eastAsia="en-US"/>
        </w:rPr>
      </w:pP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973"/>
        <w:gridCol w:w="2158"/>
        <w:gridCol w:w="2297"/>
        <w:gridCol w:w="2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序号</w:t>
            </w:r>
          </w:p>
        </w:tc>
        <w:tc>
          <w:tcPr>
            <w:tcW w:w="523"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牌号名称</w:t>
            </w:r>
          </w:p>
        </w:tc>
        <w:tc>
          <w:tcPr>
            <w:tcW w:w="4185" w:type="pct"/>
            <w:gridSpan w:val="3"/>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523"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1246"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抗拉强度R</w:t>
            </w:r>
            <w:r>
              <w:rPr>
                <w:rFonts w:hint="default" w:ascii="Times New Roman" w:hAnsi="Times New Roman" w:eastAsia="宋体" w:cs="Times New Roman"/>
                <w:kern w:val="0"/>
                <w:sz w:val="22"/>
                <w:vertAlign w:val="subscript"/>
                <w:lang w:eastAsia="en-US"/>
              </w:rPr>
              <w:t>m</w:t>
            </w:r>
            <w:r>
              <w:rPr>
                <w:rFonts w:hint="default" w:ascii="Times New Roman" w:hAnsi="Times New Roman" w:eastAsia="宋体" w:cs="Times New Roman"/>
                <w:kern w:val="0"/>
                <w:sz w:val="22"/>
                <w:lang w:eastAsia="en-US"/>
              </w:rPr>
              <w:t>/MPa</w:t>
            </w:r>
          </w:p>
        </w:tc>
        <w:tc>
          <w:tcPr>
            <w:tcW w:w="1326"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屈服强度</w:t>
            </w:r>
          </w:p>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eL或</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 MPa</w:t>
            </w:r>
          </w:p>
        </w:tc>
        <w:tc>
          <w:tcPr>
            <w:tcW w:w="1612"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2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1246"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1080</w:t>
            </w:r>
          </w:p>
        </w:tc>
        <w:tc>
          <w:tcPr>
            <w:tcW w:w="1326"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930</w:t>
            </w:r>
          </w:p>
        </w:tc>
        <w:tc>
          <w:tcPr>
            <w:tcW w:w="1612"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12</w:t>
            </w:r>
          </w:p>
        </w:tc>
      </w:tr>
    </w:tbl>
    <w:p>
      <w:pPr>
        <w:numPr>
          <w:ilvl w:val="0"/>
          <w:numId w:val="23"/>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头座用2Cr13，材质应满足</w:t>
      </w:r>
    </w:p>
    <w:tbl>
      <w:tblPr>
        <w:tblStyle w:val="9"/>
        <w:tblW w:w="4997" w:type="pct"/>
        <w:tblInd w:w="0" w:type="dxa"/>
        <w:tblLayout w:type="fixed"/>
        <w:tblCellMar>
          <w:top w:w="0" w:type="dxa"/>
          <w:left w:w="0" w:type="dxa"/>
          <w:bottom w:w="0" w:type="dxa"/>
          <w:right w:w="0" w:type="dxa"/>
        </w:tblCellMar>
      </w:tblPr>
      <w:tblGrid>
        <w:gridCol w:w="537"/>
        <w:gridCol w:w="16"/>
        <w:gridCol w:w="1158"/>
        <w:gridCol w:w="32"/>
        <w:gridCol w:w="1209"/>
        <w:gridCol w:w="79"/>
        <w:gridCol w:w="830"/>
        <w:gridCol w:w="869"/>
        <w:gridCol w:w="1016"/>
        <w:gridCol w:w="486"/>
        <w:gridCol w:w="522"/>
        <w:gridCol w:w="869"/>
        <w:gridCol w:w="1137"/>
      </w:tblGrid>
      <w:tr>
        <w:tblPrEx>
          <w:tblCellMar>
            <w:top w:w="0" w:type="dxa"/>
            <w:left w:w="0" w:type="dxa"/>
            <w:bottom w:w="0" w:type="dxa"/>
            <w:right w:w="0" w:type="dxa"/>
          </w:tblCellMar>
        </w:tblPrEx>
        <w:trPr>
          <w:trHeight w:val="331" w:hRule="atLeast"/>
        </w:trPr>
        <w:tc>
          <w:tcPr>
            <w:tcW w:w="306"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序号</w:t>
            </w:r>
          </w:p>
        </w:tc>
        <w:tc>
          <w:tcPr>
            <w:tcW w:w="669"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牌号名称</w:t>
            </w:r>
          </w:p>
        </w:tc>
        <w:tc>
          <w:tcPr>
            <w:tcW w:w="708" w:type="pct"/>
            <w:gridSpan w:val="2"/>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1"/>
                <w:lang w:eastAsia="en-US"/>
              </w:rPr>
            </w:pPr>
          </w:p>
        </w:tc>
        <w:tc>
          <w:tcPr>
            <w:tcW w:w="3315" w:type="pct"/>
            <w:gridSpan w:val="8"/>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1"/>
                <w:lang w:eastAsia="zh-CN"/>
              </w:rPr>
            </w:pPr>
            <w:r>
              <w:rPr>
                <w:rFonts w:hint="default" w:ascii="Times New Roman" w:hAnsi="Times New Roman" w:eastAsia="宋体" w:cs="Times New Roman"/>
                <w:kern w:val="0"/>
                <w:sz w:val="21"/>
                <w:lang w:eastAsia="zh-CN"/>
              </w:rPr>
              <w:t>化学成分（质量分数）%</w:t>
            </w:r>
          </w:p>
        </w:tc>
      </w:tr>
      <w:tr>
        <w:tblPrEx>
          <w:tblCellMar>
            <w:top w:w="0" w:type="dxa"/>
            <w:left w:w="0" w:type="dxa"/>
            <w:bottom w:w="0" w:type="dxa"/>
            <w:right w:w="0" w:type="dxa"/>
          </w:tblCellMar>
        </w:tblPrEx>
        <w:trPr>
          <w:trHeight w:val="407" w:hRule="atLeast"/>
        </w:trPr>
        <w:tc>
          <w:tcPr>
            <w:tcW w:w="306"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zh-CN"/>
              </w:rPr>
            </w:pPr>
          </w:p>
        </w:tc>
        <w:tc>
          <w:tcPr>
            <w:tcW w:w="669" w:type="pct"/>
            <w:gridSpan w:val="2"/>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zh-CN"/>
              </w:rPr>
            </w:pPr>
          </w:p>
        </w:tc>
        <w:tc>
          <w:tcPr>
            <w:tcW w:w="753" w:type="pct"/>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C</w:t>
            </w:r>
          </w:p>
        </w:tc>
        <w:tc>
          <w:tcPr>
            <w:tcW w:w="473"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Si</w:t>
            </w:r>
          </w:p>
        </w:tc>
        <w:tc>
          <w:tcPr>
            <w:tcW w:w="496"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Mn</w:t>
            </w:r>
          </w:p>
        </w:tc>
        <w:tc>
          <w:tcPr>
            <w:tcW w:w="580"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p</w:t>
            </w:r>
          </w:p>
        </w:tc>
        <w:tc>
          <w:tcPr>
            <w:tcW w:w="575" w:type="pct"/>
            <w:gridSpan w:val="2"/>
            <w:tcBorders>
              <w:top w:val="nil"/>
              <w:left w:val="nil"/>
              <w:bottom w:val="single" w:color="auto" w:sz="8"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S</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Ni</w:t>
            </w:r>
          </w:p>
        </w:tc>
        <w:tc>
          <w:tcPr>
            <w:tcW w:w="647" w:type="pct"/>
            <w:tcBorders>
              <w:top w:val="nil"/>
              <w:left w:val="single" w:color="auto" w:sz="4" w:space="0"/>
              <w:bottom w:val="single" w:color="auto" w:sz="8"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Cr</w:t>
            </w:r>
          </w:p>
        </w:tc>
      </w:tr>
      <w:tr>
        <w:tblPrEx>
          <w:tblCellMar>
            <w:top w:w="0" w:type="dxa"/>
            <w:left w:w="0" w:type="dxa"/>
            <w:bottom w:w="0" w:type="dxa"/>
            <w:right w:w="0" w:type="dxa"/>
          </w:tblCellMar>
        </w:tblPrEx>
        <w:trPr>
          <w:trHeight w:val="369" w:hRule="atLeast"/>
        </w:trPr>
        <w:tc>
          <w:tcPr>
            <w:tcW w:w="306"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w:t>
            </w:r>
          </w:p>
        </w:tc>
        <w:tc>
          <w:tcPr>
            <w:tcW w:w="669"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2Cr13</w:t>
            </w:r>
          </w:p>
        </w:tc>
        <w:tc>
          <w:tcPr>
            <w:tcW w:w="753" w:type="pct"/>
            <w:gridSpan w:val="3"/>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0.16-0.25</w:t>
            </w:r>
          </w:p>
        </w:tc>
        <w:tc>
          <w:tcPr>
            <w:tcW w:w="473"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1max</w:t>
            </w:r>
          </w:p>
        </w:tc>
        <w:tc>
          <w:tcPr>
            <w:tcW w:w="496"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1max</w:t>
            </w:r>
          </w:p>
        </w:tc>
        <w:tc>
          <w:tcPr>
            <w:tcW w:w="580"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0.04max</w:t>
            </w:r>
          </w:p>
        </w:tc>
        <w:tc>
          <w:tcPr>
            <w:tcW w:w="575"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0.03max</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0.6max</w:t>
            </w:r>
          </w:p>
        </w:tc>
        <w:tc>
          <w:tcPr>
            <w:tcW w:w="647" w:type="pct"/>
            <w:tcBorders>
              <w:top w:val="nil"/>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12-14</w:t>
            </w:r>
          </w:p>
        </w:tc>
      </w:tr>
      <w:tr>
        <w:tblPrEx>
          <w:tblCellMar>
            <w:top w:w="0" w:type="dxa"/>
            <w:left w:w="0" w:type="dxa"/>
            <w:bottom w:w="0" w:type="dxa"/>
            <w:right w:w="0" w:type="dxa"/>
          </w:tblCellMar>
        </w:tblPrEx>
        <w:tc>
          <w:tcPr>
            <w:tcW w:w="315" w:type="pct"/>
            <w:gridSpan w:val="2"/>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序号</w:t>
            </w:r>
          </w:p>
        </w:tc>
        <w:tc>
          <w:tcPr>
            <w:tcW w:w="678"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牌号名称</w:t>
            </w:r>
          </w:p>
        </w:tc>
        <w:tc>
          <w:tcPr>
            <w:tcW w:w="4005" w:type="pct"/>
            <w:gridSpan w:val="9"/>
            <w:tcBorders>
              <w:top w:val="single" w:color="auto" w:sz="4" w:space="0"/>
              <w:left w:val="nil"/>
              <w:bottom w:val="single" w:color="auto" w:sz="4" w:space="0"/>
              <w:right w:val="single" w:color="auto" w:sz="4" w:space="0"/>
            </w:tcBorders>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力学性能</w:t>
            </w:r>
          </w:p>
        </w:tc>
      </w:tr>
      <w:tr>
        <w:tblPrEx>
          <w:tblCellMar>
            <w:top w:w="0" w:type="dxa"/>
            <w:left w:w="0" w:type="dxa"/>
            <w:bottom w:w="0" w:type="dxa"/>
            <w:right w:w="0" w:type="dxa"/>
          </w:tblCellMar>
        </w:tblPrEx>
        <w:tc>
          <w:tcPr>
            <w:tcW w:w="315" w:type="pct"/>
            <w:gridSpan w:val="2"/>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en-US"/>
              </w:rPr>
            </w:pPr>
          </w:p>
        </w:tc>
        <w:tc>
          <w:tcPr>
            <w:tcW w:w="678" w:type="pct"/>
            <w:gridSpan w:val="2"/>
            <w:vMerge w:val="continue"/>
            <w:tcBorders>
              <w:top w:val="single" w:color="auto" w:sz="8" w:space="0"/>
              <w:left w:val="nil"/>
              <w:bottom w:val="single" w:color="auto" w:sz="8" w:space="0"/>
              <w:right w:val="single" w:color="auto" w:sz="4" w:space="0"/>
            </w:tcBorders>
            <w:vAlign w:val="center"/>
          </w:tcPr>
          <w:p>
            <w:pPr>
              <w:jc w:val="left"/>
              <w:rPr>
                <w:rFonts w:hint="default" w:ascii="Times New Roman" w:hAnsi="Times New Roman" w:eastAsia="宋体" w:cs="Times New Roman"/>
                <w:kern w:val="0"/>
                <w:sz w:val="21"/>
                <w:lang w:eastAsia="en-US"/>
              </w:rPr>
            </w:pPr>
          </w:p>
        </w:tc>
        <w:tc>
          <w:tcPr>
            <w:tcW w:w="1209" w:type="pct"/>
            <w:gridSpan w:val="3"/>
            <w:tcBorders>
              <w:top w:val="single" w:color="auto" w:sz="4" w:space="0"/>
              <w:left w:val="single" w:color="auto" w:sz="4" w:space="0"/>
              <w:bottom w:val="single" w:color="auto" w:sz="4" w:space="0"/>
              <w:right w:val="single" w:color="auto" w:sz="4" w:space="0"/>
            </w:tcBorders>
          </w:tcPr>
          <w:p>
            <w:pPr>
              <w:tabs>
                <w:tab w:val="left" w:pos="698"/>
              </w:tabs>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非比例延伸强度</w:t>
            </w:r>
          </w:p>
          <w:p>
            <w:pPr>
              <w:tabs>
                <w:tab w:val="left" w:pos="698"/>
              </w:tabs>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R</w:t>
            </w:r>
            <w:r>
              <w:rPr>
                <w:rFonts w:hint="default" w:ascii="Times New Roman" w:hAnsi="Times New Roman" w:eastAsia="宋体" w:cs="Times New Roman"/>
                <w:kern w:val="0"/>
                <w:sz w:val="21"/>
                <w:vertAlign w:val="subscript"/>
                <w:lang w:eastAsia="en-US"/>
              </w:rPr>
              <w:t>p0.2</w:t>
            </w:r>
            <w:r>
              <w:rPr>
                <w:rFonts w:hint="default" w:ascii="Times New Roman" w:hAnsi="Times New Roman" w:eastAsia="宋体" w:cs="Times New Roman"/>
                <w:kern w:val="0"/>
                <w:sz w:val="21"/>
                <w:lang w:eastAsia="en-US"/>
              </w:rPr>
              <w:t>/ MPa</w:t>
            </w:r>
          </w:p>
        </w:tc>
        <w:tc>
          <w:tcPr>
            <w:tcW w:w="1353" w:type="pct"/>
            <w:gridSpan w:val="3"/>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抗拉强度R</w:t>
            </w:r>
            <w:r>
              <w:rPr>
                <w:rFonts w:hint="default" w:ascii="Times New Roman" w:hAnsi="Times New Roman" w:eastAsia="宋体" w:cs="Times New Roman"/>
                <w:kern w:val="0"/>
                <w:sz w:val="21"/>
                <w:vertAlign w:val="subscript"/>
                <w:lang w:eastAsia="en-US"/>
              </w:rPr>
              <w:t>m</w:t>
            </w:r>
            <w:r>
              <w:rPr>
                <w:rFonts w:hint="default" w:ascii="Times New Roman" w:hAnsi="Times New Roman" w:eastAsia="宋体" w:cs="Times New Roman"/>
                <w:kern w:val="0"/>
                <w:sz w:val="21"/>
                <w:lang w:eastAsia="en-US"/>
              </w:rPr>
              <w:t>/MPa</w:t>
            </w:r>
          </w:p>
        </w:tc>
        <w:tc>
          <w:tcPr>
            <w:tcW w:w="1442" w:type="pct"/>
            <w:gridSpan w:val="3"/>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b/>
                <w:bCs/>
                <w:kern w:val="0"/>
                <w:sz w:val="21"/>
                <w:lang w:eastAsia="en-US"/>
              </w:rPr>
            </w:pPr>
            <w:r>
              <w:rPr>
                <w:rFonts w:hint="default" w:ascii="Times New Roman" w:hAnsi="Times New Roman" w:eastAsia="宋体" w:cs="Times New Roman"/>
                <w:kern w:val="0"/>
                <w:sz w:val="21"/>
                <w:lang w:eastAsia="zh-CN"/>
              </w:rPr>
              <w:t>断后</w:t>
            </w:r>
            <w:r>
              <w:rPr>
                <w:rFonts w:hint="default" w:ascii="Times New Roman" w:hAnsi="Times New Roman" w:eastAsia="宋体" w:cs="Times New Roman"/>
                <w:kern w:val="0"/>
                <w:sz w:val="21"/>
                <w:lang w:eastAsia="en-US"/>
              </w:rPr>
              <w:t>伸长率A%</w:t>
            </w:r>
          </w:p>
        </w:tc>
      </w:tr>
      <w:tr>
        <w:tblPrEx>
          <w:tblCellMar>
            <w:top w:w="0" w:type="dxa"/>
            <w:left w:w="0" w:type="dxa"/>
            <w:bottom w:w="0" w:type="dxa"/>
            <w:right w:w="0" w:type="dxa"/>
          </w:tblCellMar>
        </w:tblPrEx>
        <w:tc>
          <w:tcPr>
            <w:tcW w:w="315" w:type="pct"/>
            <w:gridSpan w:val="2"/>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w:t>
            </w:r>
          </w:p>
        </w:tc>
        <w:tc>
          <w:tcPr>
            <w:tcW w:w="678"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2Cr13</w:t>
            </w:r>
          </w:p>
        </w:tc>
        <w:tc>
          <w:tcPr>
            <w:tcW w:w="1209"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≥440</w:t>
            </w:r>
          </w:p>
        </w:tc>
        <w:tc>
          <w:tcPr>
            <w:tcW w:w="1353" w:type="pct"/>
            <w:gridSpan w:val="3"/>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≥640</w:t>
            </w:r>
          </w:p>
        </w:tc>
        <w:tc>
          <w:tcPr>
            <w:tcW w:w="1442" w:type="pct"/>
            <w:gridSpan w:val="3"/>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b/>
                <w:bCs/>
                <w:kern w:val="0"/>
                <w:sz w:val="21"/>
                <w:lang w:eastAsia="en-US"/>
              </w:rPr>
            </w:pPr>
            <w:r>
              <w:rPr>
                <w:rFonts w:hint="default" w:ascii="Times New Roman" w:hAnsi="Times New Roman" w:eastAsia="宋体" w:cs="Times New Roman"/>
                <w:kern w:val="0"/>
                <w:sz w:val="21"/>
                <w:lang w:eastAsia="en-US"/>
              </w:rPr>
              <w:t>≥20</w:t>
            </w:r>
          </w:p>
        </w:tc>
      </w:tr>
    </w:tbl>
    <w:p>
      <w:pPr>
        <w:numPr>
          <w:ilvl w:val="2"/>
          <w:numId w:val="22"/>
        </w:numPr>
        <w:autoSpaceDE w:val="0"/>
        <w:autoSpaceDN w:val="0"/>
        <w:adjustRightInd w:val="0"/>
        <w:spacing w:line="360" w:lineRule="auto"/>
        <w:ind w:left="567" w:hanging="567"/>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每台潜油电机配送2桶型号：BH6（单桶16kG以上）204℃合格电机油，符合下表技术要求，并附带电机油MSDS。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ind w:right="-55" w:rightChars="-26"/>
        <w:jc w:val="left"/>
        <w:rPr>
          <w:rFonts w:hint="eastAsia" w:ascii="Times New Roman" w:hAnsi="Times New Roman" w:eastAsia="宋体" w:cs="Times New Roman"/>
          <w:kern w:val="0"/>
          <w:sz w:val="22"/>
          <w:lang w:eastAsia="en-US"/>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（防腐）潜油引接电缆</w:t>
      </w:r>
    </w:p>
    <w:p>
      <w:pPr>
        <w:numPr>
          <w:ilvl w:val="0"/>
          <w:numId w:val="24"/>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具体规格型号见“二、需求一览表，行14-16项”。</w:t>
      </w:r>
    </w:p>
    <w:p>
      <w:pPr>
        <w:numPr>
          <w:ilvl w:val="0"/>
          <w:numId w:val="24"/>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潜油引接电缆为350系列和562系列。</w:t>
      </w:r>
    </w:p>
    <w:p>
      <w:pPr>
        <w:numPr>
          <w:ilvl w:val="0"/>
          <w:numId w:val="24"/>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电缆标称电压等级为6kV，AWG6</w:t>
      </w:r>
      <w:r>
        <w:rPr>
          <w:rFonts w:hint="default" w:ascii="Times New Roman" w:hAnsi="Times New Roman" w:eastAsia="宋体" w:cs="Times New Roman"/>
          <w:kern w:val="0"/>
          <w:sz w:val="21"/>
          <w:szCs w:val="21"/>
          <w:vertAlign w:val="superscript"/>
          <w:lang w:eastAsia="zh-CN"/>
        </w:rPr>
        <w:t>#</w:t>
      </w:r>
      <w:r>
        <w:rPr>
          <w:rFonts w:hint="default" w:ascii="Times New Roman" w:hAnsi="Times New Roman" w:eastAsia="宋体" w:cs="Times New Roman"/>
          <w:kern w:val="0"/>
          <w:sz w:val="21"/>
          <w:szCs w:val="21"/>
          <w:lang w:eastAsia="zh-CN"/>
        </w:rPr>
        <w:t>电缆芯线截面积为3×13mm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，AWG4</w:t>
      </w:r>
      <w:r>
        <w:rPr>
          <w:rFonts w:hint="default" w:ascii="Times New Roman" w:hAnsi="Times New Roman" w:eastAsia="宋体" w:cs="Times New Roman"/>
          <w:kern w:val="0"/>
          <w:sz w:val="21"/>
          <w:szCs w:val="21"/>
          <w:vertAlign w:val="superscript"/>
          <w:lang w:eastAsia="zh-CN"/>
        </w:rPr>
        <w:t>#</w:t>
      </w:r>
      <w:r>
        <w:rPr>
          <w:rFonts w:hint="default" w:ascii="Times New Roman" w:hAnsi="Times New Roman" w:eastAsia="宋体" w:cs="Times New Roman"/>
          <w:kern w:val="0"/>
          <w:sz w:val="21"/>
          <w:szCs w:val="21"/>
          <w:lang w:eastAsia="zh-CN"/>
        </w:rPr>
        <w:t>电缆芯线截面积为3×20mm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w:t>
      </w:r>
    </w:p>
    <w:p>
      <w:pPr>
        <w:numPr>
          <w:ilvl w:val="0"/>
          <w:numId w:val="24"/>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电缆标称电压等级为3kV，AWG4</w:t>
      </w:r>
      <w:r>
        <w:rPr>
          <w:rFonts w:hint="default" w:ascii="Times New Roman" w:hAnsi="Times New Roman" w:eastAsia="宋体" w:cs="Times New Roman"/>
          <w:kern w:val="0"/>
          <w:sz w:val="21"/>
          <w:szCs w:val="21"/>
          <w:vertAlign w:val="superscript"/>
          <w:lang w:eastAsia="zh-CN"/>
        </w:rPr>
        <w:t>#</w:t>
      </w:r>
      <w:r>
        <w:rPr>
          <w:rFonts w:hint="default" w:ascii="Times New Roman" w:hAnsi="Times New Roman" w:eastAsia="宋体" w:cs="Times New Roman"/>
          <w:kern w:val="0"/>
          <w:sz w:val="21"/>
          <w:szCs w:val="21"/>
          <w:lang w:eastAsia="zh-CN"/>
        </w:rPr>
        <w:t>电缆芯线截面积为3×20mm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w:t>
      </w:r>
    </w:p>
    <w:p>
      <w:pPr>
        <w:numPr>
          <w:ilvl w:val="0"/>
          <w:numId w:val="24"/>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适用井温：按规格型号要求，204℃及150℃两种。</w:t>
      </w:r>
    </w:p>
    <w:p>
      <w:pPr>
        <w:numPr>
          <w:ilvl w:val="0"/>
          <w:numId w:val="24"/>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潜油引接电缆上应标刻有产品编号、产品规格，执行标准代码，质量及制造商的地址信息。外观完好，标识清晰，无锈蚀，无裂痕，目测无变形。并应在包装内提供产品合格证及检测报告。</w:t>
      </w:r>
    </w:p>
    <w:p>
      <w:pPr>
        <w:numPr>
          <w:ilvl w:val="0"/>
          <w:numId w:val="24"/>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关键部件材质及力学性能要求：绝缘层为聚酰亚胺－F46膜三层绕包烧结和乙丙橡胶组合绝缘，护套层为铅护套。绝缘电阻大于1000M</w:t>
      </w:r>
      <w:r>
        <w:rPr>
          <w:rFonts w:hint="default" w:ascii="Times New Roman" w:hAnsi="Times New Roman" w:eastAsia="宋体" w:cs="Times New Roman"/>
          <w:kern w:val="0"/>
          <w:sz w:val="21"/>
          <w:szCs w:val="21"/>
          <w:lang w:eastAsia="en-US"/>
        </w:rPr>
        <w:t>Ω</w:t>
      </w:r>
      <w:r>
        <w:rPr>
          <w:rFonts w:hint="default" w:ascii="Times New Roman" w:hAnsi="Times New Roman" w:eastAsia="宋体" w:cs="Times New Roman"/>
          <w:kern w:val="0"/>
          <w:sz w:val="21"/>
          <w:szCs w:val="21"/>
          <w:lang w:eastAsia="zh-CN"/>
        </w:rPr>
        <w:t>·km。送货文件应提供性能检测报告，并注批次号等可追溯性标识信息。乙丙橡胶组其老化和耐油性能应符合GB/T16750－2015 表13要求。</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表13 乙丙橡胶技术指标</w:t>
      </w:r>
    </w:p>
    <w:tbl>
      <w:tblPr>
        <w:tblStyle w:val="9"/>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4361"/>
        <w:gridCol w:w="1691"/>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565" w:type="dxa"/>
            <w:vMerge w:val="restart"/>
            <w:vAlign w:val="center"/>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361" w:type="dxa"/>
            <w:vMerge w:val="restart"/>
            <w:vAlign w:val="center"/>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   目</w:t>
            </w:r>
          </w:p>
        </w:tc>
        <w:tc>
          <w:tcPr>
            <w:tcW w:w="3579" w:type="dxa"/>
            <w:gridSpan w:val="2"/>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65" w:type="dxa"/>
            <w:vMerge w:val="continue"/>
          </w:tcPr>
          <w:p>
            <w:pPr>
              <w:spacing w:line="360" w:lineRule="auto"/>
              <w:jc w:val="left"/>
              <w:rPr>
                <w:rFonts w:hint="default" w:ascii="Times New Roman" w:hAnsi="Times New Roman" w:eastAsia="宋体" w:cs="Times New Roman"/>
                <w:kern w:val="0"/>
                <w:sz w:val="20"/>
                <w:szCs w:val="20"/>
                <w:lang w:eastAsia="en-US"/>
              </w:rPr>
            </w:pPr>
          </w:p>
        </w:tc>
        <w:tc>
          <w:tcPr>
            <w:tcW w:w="4361" w:type="dxa"/>
            <w:vMerge w:val="continue"/>
          </w:tcPr>
          <w:p>
            <w:pPr>
              <w:spacing w:line="360" w:lineRule="auto"/>
              <w:jc w:val="center"/>
              <w:rPr>
                <w:rFonts w:hint="default" w:ascii="Times New Roman" w:hAnsi="Times New Roman" w:eastAsia="宋体" w:cs="Times New Roman"/>
                <w:kern w:val="0"/>
                <w:sz w:val="20"/>
                <w:szCs w:val="20"/>
                <w:lang w:eastAsia="en-US"/>
              </w:rPr>
            </w:pPr>
          </w:p>
        </w:tc>
        <w:tc>
          <w:tcPr>
            <w:tcW w:w="3579" w:type="dxa"/>
            <w:gridSpan w:val="2"/>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乙丙橡胶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65" w:type="dxa"/>
            <w:vMerge w:val="continue"/>
          </w:tcPr>
          <w:p>
            <w:pPr>
              <w:spacing w:line="360" w:lineRule="auto"/>
              <w:jc w:val="left"/>
              <w:rPr>
                <w:rFonts w:hint="default" w:ascii="Times New Roman" w:hAnsi="Times New Roman" w:eastAsia="宋体" w:cs="Times New Roman"/>
                <w:kern w:val="0"/>
                <w:sz w:val="20"/>
                <w:szCs w:val="20"/>
                <w:lang w:eastAsia="en-US"/>
              </w:rPr>
            </w:pPr>
          </w:p>
        </w:tc>
        <w:tc>
          <w:tcPr>
            <w:tcW w:w="4361" w:type="dxa"/>
            <w:vMerge w:val="continue"/>
          </w:tcPr>
          <w:p>
            <w:pPr>
              <w:spacing w:line="360" w:lineRule="auto"/>
              <w:jc w:val="center"/>
              <w:rPr>
                <w:rFonts w:hint="default" w:ascii="Times New Roman" w:hAnsi="Times New Roman" w:eastAsia="宋体" w:cs="Times New Roman"/>
                <w:kern w:val="0"/>
                <w:sz w:val="20"/>
                <w:szCs w:val="20"/>
                <w:lang w:eastAsia="en-US"/>
              </w:rPr>
            </w:pPr>
          </w:p>
        </w:tc>
        <w:tc>
          <w:tcPr>
            <w:tcW w:w="1691"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E1</w:t>
            </w:r>
            <w:r>
              <w:rPr>
                <w:rFonts w:hint="default" w:ascii="Times New Roman" w:hAnsi="Times New Roman" w:eastAsia="宋体" w:cs="Times New Roman"/>
                <w:kern w:val="0"/>
                <w:sz w:val="20"/>
                <w:szCs w:val="20"/>
                <w:vertAlign w:val="superscript"/>
                <w:lang w:eastAsia="en-US"/>
              </w:rPr>
              <w:t>a</w:t>
            </w:r>
          </w:p>
        </w:tc>
        <w:tc>
          <w:tcPr>
            <w:tcW w:w="1888"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E2</w:t>
            </w:r>
            <w:r>
              <w:rPr>
                <w:rFonts w:hint="default" w:ascii="Times New Roman" w:hAnsi="Times New Roman" w:eastAsia="宋体" w:cs="Times New Roman"/>
                <w:kern w:val="0"/>
                <w:sz w:val="20"/>
                <w:szCs w:val="20"/>
                <w:vertAlign w:val="superscript"/>
                <w:lang w:eastAsia="en-US"/>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361" w:type="dxa"/>
          </w:tcPr>
          <w:p>
            <w:pPr>
              <w:ind w:left="400" w:hanging="400" w:hangingChars="200"/>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老化前试样</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抗张强度              最小值/MPa</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断裂伸长率            最小值/%</w:t>
            </w:r>
          </w:p>
        </w:tc>
        <w:tc>
          <w:tcPr>
            <w:tcW w:w="1691" w:type="dxa"/>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en-US"/>
              </w:rPr>
              <w:t>5</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100</w:t>
            </w:r>
          </w:p>
        </w:tc>
        <w:tc>
          <w:tcPr>
            <w:tcW w:w="1888" w:type="dxa"/>
          </w:tcPr>
          <w:p>
            <w:pPr>
              <w:jc w:val="center"/>
              <w:rPr>
                <w:rFonts w:hint="default" w:ascii="Times New Roman" w:hAnsi="Times New Roman" w:eastAsia="宋体" w:cs="Times New Roman"/>
                <w:kern w:val="0"/>
                <w:sz w:val="20"/>
                <w:szCs w:val="20"/>
                <w:lang w:eastAsia="en-US"/>
              </w:rPr>
            </w:pP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4361" w:type="dxa"/>
          </w:tcPr>
          <w:p>
            <w:pPr>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空气烘箱热老化试验</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老化条件              温度/℃</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时间/h</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老化后抗张强度        最大变化率/%</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老化后断裂伸长率      最大变化率/%</w:t>
            </w:r>
          </w:p>
        </w:tc>
        <w:tc>
          <w:tcPr>
            <w:tcW w:w="1691" w:type="dxa"/>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en-US"/>
              </w:rPr>
              <w:t>135±2</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168</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30</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30</w:t>
            </w:r>
          </w:p>
        </w:tc>
        <w:tc>
          <w:tcPr>
            <w:tcW w:w="1888" w:type="dxa"/>
          </w:tcPr>
          <w:p>
            <w:pPr>
              <w:jc w:val="center"/>
              <w:rPr>
                <w:rFonts w:hint="default" w:ascii="Times New Roman" w:hAnsi="Times New Roman" w:eastAsia="宋体" w:cs="Times New Roman"/>
                <w:kern w:val="0"/>
                <w:sz w:val="20"/>
                <w:szCs w:val="20"/>
                <w:lang w:eastAsia="en-US"/>
              </w:rPr>
            </w:pP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135±2</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168</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30</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4361" w:type="dxa"/>
          </w:tcPr>
          <w:p>
            <w:pPr>
              <w:spacing w:line="360" w:lineRule="auto"/>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热延伸试验</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试验条件              空气温度/℃</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载荷时间/min</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机械应力/Kpa</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载荷下最大伸长率/%</w:t>
            </w:r>
          </w:p>
          <w:p>
            <w:pPr>
              <w:spacing w:line="360" w:lineRule="auto"/>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 xml:space="preserve">    </w:t>
            </w:r>
            <w:r>
              <w:rPr>
                <w:rFonts w:hint="default" w:ascii="Times New Roman" w:hAnsi="Times New Roman" w:eastAsia="宋体" w:cs="Times New Roman"/>
                <w:kern w:val="0"/>
                <w:sz w:val="20"/>
                <w:szCs w:val="20"/>
                <w:lang w:eastAsia="en-US"/>
              </w:rPr>
              <w:t>冷却后最大永久变形/%</w:t>
            </w:r>
          </w:p>
        </w:tc>
        <w:tc>
          <w:tcPr>
            <w:tcW w:w="1691" w:type="dxa"/>
          </w:tcPr>
          <w:p>
            <w:pPr>
              <w:spacing w:line="360" w:lineRule="auto"/>
              <w:jc w:val="center"/>
              <w:rPr>
                <w:rFonts w:hint="default" w:ascii="Times New Roman" w:hAnsi="Times New Roman" w:eastAsia="宋体" w:cs="Times New Roman"/>
                <w:kern w:val="0"/>
                <w:sz w:val="20"/>
                <w:szCs w:val="20"/>
                <w:lang w:eastAsia="en-US"/>
              </w:rPr>
            </w:pP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250±3</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15</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200</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175</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15</w:t>
            </w:r>
          </w:p>
        </w:tc>
        <w:tc>
          <w:tcPr>
            <w:tcW w:w="1888" w:type="dxa"/>
          </w:tcPr>
          <w:p>
            <w:pPr>
              <w:spacing w:line="360" w:lineRule="auto"/>
              <w:jc w:val="center"/>
              <w:rPr>
                <w:rFonts w:hint="default" w:ascii="Times New Roman" w:hAnsi="Times New Roman" w:eastAsia="宋体" w:cs="Times New Roman"/>
                <w:kern w:val="0"/>
                <w:sz w:val="20"/>
                <w:szCs w:val="20"/>
                <w:lang w:eastAsia="en-US"/>
              </w:rPr>
            </w:pP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250±3</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15</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200</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175</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4361" w:type="dxa"/>
          </w:tcPr>
          <w:p>
            <w:pPr>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耐油试验（采用20号机油）</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试验条件              温度/℃</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时间/h</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抗张强度              最大变化率/%</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断裂伸长率            最大变化率/%</w:t>
            </w:r>
          </w:p>
        </w:tc>
        <w:tc>
          <w:tcPr>
            <w:tcW w:w="1691" w:type="dxa"/>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en-US"/>
              </w:rPr>
              <w:t>121±2</w:t>
            </w:r>
            <w:r>
              <w:rPr>
                <w:rFonts w:hint="default" w:ascii="Times New Roman" w:hAnsi="Times New Roman" w:eastAsia="宋体" w:cs="Times New Roman"/>
                <w:kern w:val="0"/>
                <w:sz w:val="20"/>
                <w:szCs w:val="20"/>
                <w:vertAlign w:val="superscript"/>
                <w:lang w:eastAsia="en-US"/>
              </w:rPr>
              <w:br w:type="textWrapping"/>
            </w:r>
            <w:r>
              <w:rPr>
                <w:rFonts w:hint="default" w:ascii="Times New Roman" w:hAnsi="Times New Roman" w:eastAsia="宋体" w:cs="Times New Roman"/>
                <w:kern w:val="0"/>
                <w:sz w:val="20"/>
                <w:szCs w:val="20"/>
                <w:lang w:eastAsia="en-US"/>
              </w:rPr>
              <w:t>18</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888" w:type="dxa"/>
          </w:tcPr>
          <w:p>
            <w:pPr>
              <w:jc w:val="center"/>
              <w:rPr>
                <w:rFonts w:hint="default" w:ascii="Times New Roman" w:hAnsi="Times New Roman" w:eastAsia="宋体" w:cs="Times New Roman"/>
                <w:kern w:val="0"/>
                <w:sz w:val="20"/>
                <w:szCs w:val="20"/>
                <w:lang w:eastAsia="en-US"/>
              </w:rPr>
            </w:pP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121±2</w:t>
            </w:r>
            <w:r>
              <w:rPr>
                <w:rFonts w:hint="default" w:ascii="Times New Roman" w:hAnsi="Times New Roman" w:eastAsia="宋体" w:cs="Times New Roman"/>
                <w:kern w:val="0"/>
                <w:sz w:val="20"/>
                <w:szCs w:val="20"/>
                <w:vertAlign w:val="superscript"/>
                <w:lang w:eastAsia="en-US"/>
              </w:rPr>
              <w:br w:type="textWrapping"/>
            </w:r>
            <w:r>
              <w:rPr>
                <w:rFonts w:hint="default" w:ascii="Times New Roman" w:hAnsi="Times New Roman" w:eastAsia="宋体" w:cs="Times New Roman"/>
                <w:kern w:val="0"/>
                <w:sz w:val="20"/>
                <w:szCs w:val="20"/>
                <w:lang w:eastAsia="en-US"/>
              </w:rPr>
              <w:t>18</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5" w:type="dxa"/>
            <w:gridSpan w:val="4"/>
          </w:tcPr>
          <w:p>
            <w:pPr>
              <w:spacing w:line="360" w:lineRule="auto"/>
              <w:jc w:val="left"/>
              <w:rPr>
                <w:rFonts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a E1在井温小于或等于120℃使用。</w:t>
            </w:r>
          </w:p>
          <w:p>
            <w:pPr>
              <w:spacing w:line="360" w:lineRule="auto"/>
              <w:jc w:val="left"/>
              <w:rPr>
                <w:rFonts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b E2在井温120℃以上、150℃及以下使用。</w:t>
            </w:r>
          </w:p>
          <w:p>
            <w:pPr>
              <w:spacing w:line="360" w:lineRule="auto"/>
              <w:jc w:val="left"/>
              <w:rPr>
                <w:rFonts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产品温度等级在适用井温大于150℃时，适用GB/T-11026电器绝缘材料耐热性标准进行老化试验。</w:t>
            </w:r>
          </w:p>
        </w:tc>
      </w:tr>
    </w:tbl>
    <w:p>
      <w:pPr>
        <w:autoSpaceDE w:val="0"/>
        <w:autoSpaceDN w:val="0"/>
        <w:adjustRightInd w:val="0"/>
        <w:spacing w:line="360" w:lineRule="auto"/>
        <w:jc w:val="left"/>
        <w:rPr>
          <w:rFonts w:hint="default" w:ascii="Times New Roman" w:hAnsi="Times New Roman" w:eastAsia="宋体" w:cs="Times New Roman"/>
          <w:kern w:val="0"/>
          <w:sz w:val="22"/>
          <w:szCs w:val="20"/>
          <w:lang w:eastAsia="zh-CN"/>
        </w:rPr>
      </w:pPr>
      <w:r>
        <w:rPr>
          <w:rFonts w:hint="default" w:ascii="Times New Roman" w:hAnsi="Times New Roman" w:eastAsia="宋体" w:cs="Times New Roman"/>
          <w:kern w:val="0"/>
          <w:sz w:val="22"/>
          <w:szCs w:val="20"/>
          <w:lang w:eastAsia="zh-CN"/>
        </w:rPr>
        <w:t>聚酰亚胺-F46复合薄膜指标满足GB/T 16750-2015《潜油电泵机组》中表18要求。</w:t>
      </w:r>
    </w:p>
    <w:p>
      <w:pPr>
        <w:autoSpaceDE w:val="0"/>
        <w:autoSpaceDN w:val="0"/>
        <w:adjustRightInd w:val="0"/>
        <w:spacing w:line="360" w:lineRule="auto"/>
        <w:ind w:left="420"/>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表18 聚酰亚胺-F46复合薄膜技术指标</w:t>
      </w:r>
    </w:p>
    <w:tbl>
      <w:tblPr>
        <w:tblStyle w:val="9"/>
        <w:tblW w:w="8520" w:type="dxa"/>
        <w:tblInd w:w="93" w:type="dxa"/>
        <w:tblLayout w:type="autofit"/>
        <w:tblCellMar>
          <w:top w:w="0" w:type="dxa"/>
          <w:left w:w="108" w:type="dxa"/>
          <w:bottom w:w="0" w:type="dxa"/>
          <w:right w:w="108" w:type="dxa"/>
        </w:tblCellMar>
      </w:tblPr>
      <w:tblGrid>
        <w:gridCol w:w="724"/>
        <w:gridCol w:w="3536"/>
        <w:gridCol w:w="4260"/>
      </w:tblGrid>
      <w:tr>
        <w:tblPrEx>
          <w:tblCellMar>
            <w:top w:w="0" w:type="dxa"/>
            <w:left w:w="108" w:type="dxa"/>
            <w:bottom w:w="0" w:type="dxa"/>
            <w:right w:w="108" w:type="dxa"/>
          </w:tblCellMar>
        </w:tblPrEx>
        <w:trPr>
          <w:trHeight w:val="27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3536"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4260"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指标</w:t>
            </w:r>
          </w:p>
        </w:tc>
      </w:tr>
      <w:tr>
        <w:tblPrEx>
          <w:tblCellMar>
            <w:top w:w="0" w:type="dxa"/>
            <w:left w:w="108" w:type="dxa"/>
            <w:bottom w:w="0" w:type="dxa"/>
            <w:right w:w="108" w:type="dxa"/>
          </w:tblCellMar>
        </w:tblPrEx>
        <w:trPr>
          <w:trHeight w:val="54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外观</w:t>
            </w:r>
          </w:p>
        </w:tc>
        <w:tc>
          <w:tcPr>
            <w:tcW w:w="426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透明或半透明的金黄色薄膜，表面平滑无针孔、气泡和导电杂质，边缘整齐无破损</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厚度/mm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（0.045-0.075）±0.006</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长度/m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tc>
      </w:tr>
      <w:tr>
        <w:tblPrEx>
          <w:tblCellMar>
            <w:top w:w="0" w:type="dxa"/>
            <w:left w:w="108" w:type="dxa"/>
            <w:bottom w:w="0" w:type="dxa"/>
            <w:right w:w="108" w:type="dxa"/>
          </w:tblCellMar>
        </w:tblPrEx>
        <w:trPr>
          <w:trHeight w:val="54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抗张强度/Mpa</w:t>
            </w:r>
          </w:p>
        </w:tc>
        <w:tc>
          <w:tcPr>
            <w:tcW w:w="426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FHF:≥80</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HF:≥90</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断裂伸长率/%</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剥离强度/（N/2.5cm）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击穿强度/（MV/m）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≥120</w:t>
            </w:r>
          </w:p>
        </w:tc>
      </w:tr>
      <w:tr>
        <w:tblPrEx>
          <w:tblCellMar>
            <w:top w:w="0" w:type="dxa"/>
            <w:left w:w="108" w:type="dxa"/>
            <w:bottom w:w="0" w:type="dxa"/>
            <w:right w:w="108" w:type="dxa"/>
          </w:tblCellMar>
        </w:tblPrEx>
        <w:trPr>
          <w:trHeight w:val="315"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体积电阻率（室温）/（</w:t>
            </w:r>
            <w:r>
              <w:rPr>
                <w:rFonts w:hint="default" w:ascii="Times New Roman" w:hAnsi="Times New Roman" w:eastAsia="宋体" w:cs="Times New Roman"/>
                <w:kern w:val="0"/>
                <w:sz w:val="20"/>
                <w:szCs w:val="20"/>
                <w:lang w:eastAsia="en-US"/>
              </w:rPr>
              <w:t>Ω</w:t>
            </w:r>
            <w:r>
              <w:rPr>
                <w:rFonts w:hint="default" w:ascii="Times New Roman" w:hAnsi="Times New Roman" w:eastAsia="宋体" w:cs="Times New Roman"/>
                <w:kern w:val="0"/>
                <w:sz w:val="20"/>
                <w:szCs w:val="20"/>
                <w:lang w:eastAsia="zh-CN"/>
              </w:rPr>
              <w:t>·cm)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w:t>
            </w:r>
            <w:r>
              <w:rPr>
                <w:rFonts w:hint="default" w:ascii="Times New Roman" w:hAnsi="Times New Roman" w:eastAsia="宋体" w:cs="Times New Roman"/>
                <w:kern w:val="0"/>
                <w:sz w:val="20"/>
                <w:szCs w:val="20"/>
                <w:vertAlign w:val="superscript"/>
                <w:lang w:eastAsia="en-US"/>
              </w:rPr>
              <w:t>15</w:t>
            </w:r>
          </w:p>
        </w:tc>
      </w:tr>
      <w:tr>
        <w:tblPrEx>
          <w:tblCellMar>
            <w:top w:w="0" w:type="dxa"/>
            <w:left w:w="108" w:type="dxa"/>
            <w:bottom w:w="0" w:type="dxa"/>
            <w:right w:w="108" w:type="dxa"/>
          </w:tblCellMar>
        </w:tblPrEx>
        <w:trPr>
          <w:trHeight w:val="315"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9</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表面电阻率/Ω</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w:t>
            </w:r>
            <w:r>
              <w:rPr>
                <w:rFonts w:hint="default" w:ascii="Times New Roman" w:hAnsi="Times New Roman" w:eastAsia="宋体" w:cs="Times New Roman"/>
                <w:kern w:val="0"/>
                <w:sz w:val="20"/>
                <w:szCs w:val="20"/>
                <w:vertAlign w:val="superscript"/>
                <w:lang w:eastAsia="en-US"/>
              </w:rPr>
              <w:t>13</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介电常数（50Hz或1MHz）</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2-3</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11</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介质损耗角正切值（50Hz或1MHz）</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≤0.001</w:t>
            </w:r>
          </w:p>
        </w:tc>
      </w:tr>
      <w:tr>
        <w:tblPrEx>
          <w:tblCellMar>
            <w:top w:w="0" w:type="dxa"/>
            <w:left w:w="108" w:type="dxa"/>
            <w:bottom w:w="0" w:type="dxa"/>
            <w:right w:w="108" w:type="dxa"/>
          </w:tblCellMar>
        </w:tblPrEx>
        <w:trPr>
          <w:trHeight w:val="270" w:hRule="atLeast"/>
        </w:trPr>
        <w:tc>
          <w:tcPr>
            <w:tcW w:w="852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注：FHF表示双面复合薄膜，HF表示单面复合薄膜</w:t>
            </w:r>
          </w:p>
        </w:tc>
      </w:tr>
    </w:tbl>
    <w:p>
      <w:pPr>
        <w:autoSpaceDE w:val="0"/>
        <w:autoSpaceDN w:val="0"/>
        <w:adjustRightInd w:val="0"/>
        <w:spacing w:line="360" w:lineRule="auto"/>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合金铅护套表面应光滑无铅渣等夹杂物或破损，合金铅材质应满足下表。</w:t>
      </w:r>
    </w:p>
    <w:tbl>
      <w:tblPr>
        <w:tblStyle w:val="9"/>
        <w:tblW w:w="57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286"/>
        <w:gridCol w:w="879"/>
        <w:gridCol w:w="1022"/>
        <w:gridCol w:w="442"/>
        <w:gridCol w:w="632"/>
        <w:gridCol w:w="727"/>
        <w:gridCol w:w="590"/>
        <w:gridCol w:w="685"/>
        <w:gridCol w:w="711"/>
        <w:gridCol w:w="685"/>
        <w:gridCol w:w="685"/>
        <w:gridCol w:w="685"/>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3"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640"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1166" w:type="pct"/>
            <w:gridSpan w:val="3"/>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 xml:space="preserve">化学成分（质量分数）/% </w:t>
            </w:r>
          </w:p>
        </w:tc>
        <w:tc>
          <w:tcPr>
            <w:tcW w:w="2981" w:type="pct"/>
            <w:gridSpan w:val="9"/>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其他杂质化学成分（质量分数）/%，不大于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3" w:type="pct"/>
            <w:vMerge w:val="continue"/>
            <w:vAlign w:val="center"/>
          </w:tcPr>
          <w:p>
            <w:pPr>
              <w:jc w:val="center"/>
              <w:rPr>
                <w:rFonts w:hint="default" w:ascii="Times New Roman" w:hAnsi="Times New Roman" w:eastAsia="宋体" w:cs="Times New Roman"/>
                <w:b/>
                <w:kern w:val="0"/>
                <w:sz w:val="20"/>
                <w:szCs w:val="20"/>
                <w:lang w:eastAsia="zh-CN"/>
              </w:rPr>
            </w:pPr>
          </w:p>
        </w:tc>
        <w:tc>
          <w:tcPr>
            <w:tcW w:w="640" w:type="pct"/>
            <w:vMerge w:val="continue"/>
            <w:vAlign w:val="center"/>
          </w:tcPr>
          <w:p>
            <w:pPr>
              <w:jc w:val="center"/>
              <w:rPr>
                <w:rFonts w:hint="default" w:ascii="Times New Roman" w:hAnsi="Times New Roman" w:eastAsia="宋体" w:cs="Times New Roman"/>
                <w:b/>
                <w:kern w:val="0"/>
                <w:sz w:val="20"/>
                <w:szCs w:val="20"/>
                <w:lang w:eastAsia="zh-CN"/>
              </w:rPr>
            </w:pPr>
          </w:p>
        </w:tc>
        <w:tc>
          <w:tcPr>
            <w:tcW w:w="437"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shd w:val="clear" w:color="auto" w:fill="FFFFFF"/>
                <w:lang w:eastAsia="en-US"/>
              </w:rPr>
              <w:t>Sb</w:t>
            </w:r>
          </w:p>
        </w:tc>
        <w:tc>
          <w:tcPr>
            <w:tcW w:w="509"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c>
          <w:tcPr>
            <w:tcW w:w="220"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Pb</w:t>
            </w:r>
          </w:p>
        </w:tc>
        <w:tc>
          <w:tcPr>
            <w:tcW w:w="315"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Ag</w:t>
            </w:r>
          </w:p>
        </w:tc>
        <w:tc>
          <w:tcPr>
            <w:tcW w:w="362"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Bi</w:t>
            </w:r>
          </w:p>
        </w:tc>
        <w:tc>
          <w:tcPr>
            <w:tcW w:w="29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As</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Sn</w:t>
            </w:r>
          </w:p>
        </w:tc>
        <w:tc>
          <w:tcPr>
            <w:tcW w:w="35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Zn</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Fe</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Cd</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292"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3"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640"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Pb-Sb-Cu 合金</w:t>
            </w:r>
          </w:p>
        </w:tc>
        <w:tc>
          <w:tcPr>
            <w:tcW w:w="437" w:type="pct"/>
            <w:vAlign w:val="center"/>
          </w:tcPr>
          <w:p>
            <w:pPr>
              <w:ind w:left="-105" w:leftChars="-50" w:right="-46" w:rightChars="-2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0.4-0.8</w:t>
            </w:r>
          </w:p>
        </w:tc>
        <w:tc>
          <w:tcPr>
            <w:tcW w:w="509" w:type="pct"/>
            <w:vAlign w:val="center"/>
          </w:tcPr>
          <w:p>
            <w:pPr>
              <w:ind w:left="-105" w:leftChars="-50"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0.02-0.06</w:t>
            </w:r>
          </w:p>
        </w:tc>
        <w:tc>
          <w:tcPr>
            <w:tcW w:w="220"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余量</w:t>
            </w:r>
          </w:p>
        </w:tc>
        <w:tc>
          <w:tcPr>
            <w:tcW w:w="315"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0.008</w:t>
            </w:r>
          </w:p>
        </w:tc>
        <w:tc>
          <w:tcPr>
            <w:tcW w:w="362"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0.06</w:t>
            </w:r>
          </w:p>
        </w:tc>
        <w:tc>
          <w:tcPr>
            <w:tcW w:w="29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0.001</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0.001</w:t>
            </w:r>
          </w:p>
        </w:tc>
        <w:tc>
          <w:tcPr>
            <w:tcW w:w="354" w:type="pct"/>
          </w:tcPr>
          <w:p>
            <w:pPr>
              <w:ind w:left="-126" w:leftChars="-60" w:right="-99" w:rightChars="-47"/>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0.0005</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0.002</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0.002</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0.002</w:t>
            </w:r>
          </w:p>
        </w:tc>
        <w:tc>
          <w:tcPr>
            <w:tcW w:w="292"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0.06</w:t>
            </w:r>
          </w:p>
        </w:tc>
      </w:tr>
    </w:tbl>
    <w:p>
      <w:pPr>
        <w:numPr>
          <w:ilvl w:val="0"/>
          <w:numId w:val="24"/>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电缆头参照“《潜油电泵机组》国标GB/T 16750-2015  6.1.6电缆头”进行检测，并符合“《潜油电泵机组》国标GB/T 16750-2015 5.2.5.12”检测标准。</w:t>
      </w:r>
    </w:p>
    <w:p>
      <w:pPr>
        <w:numPr>
          <w:ilvl w:val="0"/>
          <w:numId w:val="24"/>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用耐压测试仪对电缆头进行50HZ交流电耐电压测试，试验电压为2倍的电机最高工作电压加1kV，频率50Hz，持续1min不应击穿。</w:t>
      </w:r>
    </w:p>
    <w:p>
      <w:pPr>
        <w:numPr>
          <w:ilvl w:val="0"/>
          <w:numId w:val="24"/>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铠皮为304不锈钢钢带。</w:t>
      </w:r>
    </w:p>
    <w:p>
      <w:pPr>
        <w:tabs>
          <w:tab w:val="left" w:pos="4830"/>
        </w:tabs>
        <w:autoSpaceDE w:val="0"/>
        <w:autoSpaceDN w:val="0"/>
        <w:adjustRightInd w:val="0"/>
        <w:spacing w:line="360" w:lineRule="auto"/>
        <w:ind w:firstLine="400" w:firstLineChars="200"/>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304不锈钢材质应满足</w:t>
      </w:r>
      <w:r>
        <w:rPr>
          <w:rFonts w:hint="default" w:ascii="Times New Roman" w:hAnsi="Times New Roman" w:eastAsia="宋体" w:cs="Times New Roman"/>
          <w:kern w:val="0"/>
          <w:sz w:val="20"/>
          <w:szCs w:val="20"/>
          <w:lang w:eastAsia="en-US"/>
        </w:rPr>
        <w:tab/>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218"/>
        <w:gridCol w:w="849"/>
        <w:gridCol w:w="698"/>
        <w:gridCol w:w="835"/>
        <w:gridCol w:w="839"/>
        <w:gridCol w:w="976"/>
        <w:gridCol w:w="837"/>
        <w:gridCol w:w="835"/>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33"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695"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484" w:type="pct"/>
          </w:tcPr>
          <w:p>
            <w:pPr>
              <w:jc w:val="center"/>
              <w:rPr>
                <w:rFonts w:hint="default" w:ascii="Times New Roman" w:hAnsi="Times New Roman" w:eastAsia="宋体" w:cs="Times New Roman"/>
                <w:kern w:val="0"/>
                <w:sz w:val="20"/>
                <w:szCs w:val="20"/>
                <w:lang w:eastAsia="en-US"/>
              </w:rPr>
            </w:pPr>
          </w:p>
        </w:tc>
        <w:tc>
          <w:tcPr>
            <w:tcW w:w="3487" w:type="pct"/>
            <w:gridSpan w:val="7"/>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33" w:type="pct"/>
            <w:vMerge w:val="continue"/>
            <w:vAlign w:val="center"/>
          </w:tcPr>
          <w:p>
            <w:pPr>
              <w:jc w:val="center"/>
              <w:rPr>
                <w:rFonts w:hint="default" w:ascii="Times New Roman" w:hAnsi="Times New Roman" w:eastAsia="宋体" w:cs="Times New Roman"/>
                <w:kern w:val="0"/>
                <w:sz w:val="20"/>
                <w:szCs w:val="20"/>
                <w:lang w:eastAsia="zh-CN"/>
              </w:rPr>
            </w:pPr>
          </w:p>
        </w:tc>
        <w:tc>
          <w:tcPr>
            <w:tcW w:w="695" w:type="pct"/>
            <w:vMerge w:val="continue"/>
            <w:vAlign w:val="center"/>
          </w:tcPr>
          <w:p>
            <w:pPr>
              <w:jc w:val="center"/>
              <w:rPr>
                <w:rFonts w:hint="default" w:ascii="Times New Roman" w:hAnsi="Times New Roman" w:eastAsia="宋体" w:cs="Times New Roman"/>
                <w:kern w:val="0"/>
                <w:sz w:val="20"/>
                <w:szCs w:val="20"/>
                <w:lang w:eastAsia="zh-CN"/>
              </w:rPr>
            </w:pPr>
          </w:p>
        </w:tc>
        <w:tc>
          <w:tcPr>
            <w:tcW w:w="48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398"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476"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478"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57"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77"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76"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625"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其他元素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33"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695"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06Cr19Ni10</w:t>
            </w:r>
          </w:p>
        </w:tc>
        <w:tc>
          <w:tcPr>
            <w:tcW w:w="48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0.08max</w:t>
            </w:r>
          </w:p>
        </w:tc>
        <w:tc>
          <w:tcPr>
            <w:tcW w:w="398"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 max</w:t>
            </w:r>
          </w:p>
        </w:tc>
        <w:tc>
          <w:tcPr>
            <w:tcW w:w="476" w:type="pct"/>
          </w:tcPr>
          <w:p>
            <w:pPr>
              <w:ind w:left="-59" w:leftChars="-28" w:right="-99" w:rightChars="-47"/>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 max</w:t>
            </w:r>
          </w:p>
        </w:tc>
        <w:tc>
          <w:tcPr>
            <w:tcW w:w="478" w:type="pct"/>
          </w:tcPr>
          <w:p>
            <w:pPr>
              <w:ind w:left="-109" w:leftChars="-52" w:right="-107" w:rightChars="-5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0.045 max</w:t>
            </w:r>
          </w:p>
        </w:tc>
        <w:tc>
          <w:tcPr>
            <w:tcW w:w="557" w:type="pct"/>
          </w:tcPr>
          <w:p>
            <w:pPr>
              <w:ind w:left="-97" w:leftChars="-46" w:right="-90" w:rightChars="-43"/>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 max</w:t>
            </w:r>
          </w:p>
        </w:tc>
        <w:tc>
          <w:tcPr>
            <w:tcW w:w="477" w:type="pct"/>
          </w:tcPr>
          <w:p>
            <w:pPr>
              <w:ind w:left="-109" w:leftChars="-52"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8-11</w:t>
            </w:r>
          </w:p>
        </w:tc>
        <w:tc>
          <w:tcPr>
            <w:tcW w:w="476"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18-20</w:t>
            </w:r>
          </w:p>
        </w:tc>
        <w:tc>
          <w:tcPr>
            <w:tcW w:w="625"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w:t>
            </w:r>
          </w:p>
        </w:tc>
      </w:tr>
    </w:tbl>
    <w:p>
      <w:pPr>
        <w:jc w:val="left"/>
        <w:rPr>
          <w:rFonts w:hint="default" w:ascii="Times New Roman" w:hAnsi="Times New Roman" w:eastAsia="宋体" w:cs="Times New Roman"/>
          <w:vanish/>
          <w:kern w:val="0"/>
          <w:sz w:val="20"/>
          <w:szCs w:val="20"/>
          <w:lang w:eastAsia="en-US"/>
        </w:rPr>
      </w:pPr>
    </w:p>
    <w:tbl>
      <w:tblPr>
        <w:tblStyle w:val="9"/>
        <w:tblW w:w="5018"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353"/>
        <w:gridCol w:w="1951"/>
        <w:gridCol w:w="2437"/>
        <w:gridCol w:w="2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69" w:type="pct"/>
            <w:vMerge w:val="restart"/>
            <w:vAlign w:val="center"/>
          </w:tcPr>
          <w:p>
            <w:pPr>
              <w:autoSpaceDE w:val="0"/>
              <w:autoSpaceDN w:val="0"/>
              <w:adjustRightIn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96" w:type="pct"/>
            <w:gridSpan w:val="3"/>
          </w:tcPr>
          <w:p>
            <w:pPr>
              <w:autoSpaceDE w:val="0"/>
              <w:autoSpaceDN w:val="0"/>
              <w:adjustRightIn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jc w:val="center"/>
              <w:rPr>
                <w:rFonts w:hint="default" w:ascii="Times New Roman" w:hAnsi="Times New Roman" w:eastAsia="宋体" w:cs="Times New Roman"/>
                <w:kern w:val="0"/>
                <w:sz w:val="20"/>
                <w:szCs w:val="20"/>
                <w:lang w:eastAsia="en-US"/>
              </w:rPr>
            </w:pPr>
          </w:p>
        </w:tc>
        <w:tc>
          <w:tcPr>
            <w:tcW w:w="769" w:type="pct"/>
            <w:vMerge w:val="continue"/>
            <w:vAlign w:val="center"/>
          </w:tcPr>
          <w:p>
            <w:pPr>
              <w:autoSpaceDE w:val="0"/>
              <w:autoSpaceDN w:val="0"/>
              <w:adjustRightInd w:val="0"/>
              <w:spacing w:line="360" w:lineRule="auto"/>
              <w:jc w:val="center"/>
              <w:rPr>
                <w:rFonts w:hint="default" w:ascii="Times New Roman" w:hAnsi="Times New Roman" w:eastAsia="宋体" w:cs="Times New Roman"/>
                <w:kern w:val="0"/>
                <w:sz w:val="20"/>
                <w:szCs w:val="20"/>
                <w:lang w:eastAsia="en-US"/>
              </w:rPr>
            </w:pPr>
          </w:p>
        </w:tc>
        <w:tc>
          <w:tcPr>
            <w:tcW w:w="1109" w:type="pct"/>
            <w:vAlign w:val="center"/>
          </w:tcPr>
          <w:p>
            <w:pPr>
              <w:autoSpaceDE w:val="0"/>
              <w:autoSpaceDN w:val="0"/>
              <w:adjustRightInd w:val="0"/>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规定非比例延伸强度R</w:t>
            </w:r>
            <w:r>
              <w:rPr>
                <w:rFonts w:hint="default" w:ascii="Times New Roman" w:hAnsi="Times New Roman" w:eastAsia="宋体" w:cs="Times New Roman"/>
                <w:kern w:val="0"/>
                <w:sz w:val="20"/>
                <w:szCs w:val="20"/>
                <w:vertAlign w:val="subscript"/>
                <w:lang w:eastAsia="zh-CN"/>
              </w:rPr>
              <w:t>P0.2</w:t>
            </w:r>
            <w:r>
              <w:rPr>
                <w:rFonts w:hint="default" w:ascii="Times New Roman" w:hAnsi="Times New Roman" w:eastAsia="宋体" w:cs="Times New Roman"/>
                <w:kern w:val="0"/>
                <w:sz w:val="20"/>
                <w:szCs w:val="20"/>
                <w:lang w:eastAsia="zh-CN"/>
              </w:rPr>
              <w:t>/ (MPa)</w:t>
            </w:r>
          </w:p>
        </w:tc>
        <w:tc>
          <w:tcPr>
            <w:tcW w:w="1384" w:type="pct"/>
            <w:vAlign w:val="center"/>
          </w:tcPr>
          <w:p>
            <w:pPr>
              <w:autoSpaceDE w:val="0"/>
              <w:autoSpaceDN w:val="0"/>
              <w:adjustRightInd w:val="0"/>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抗拉强度R</w:t>
            </w:r>
            <w:r>
              <w:rPr>
                <w:rFonts w:hint="default" w:ascii="Times New Roman" w:hAnsi="Times New Roman" w:eastAsia="宋体" w:cs="Times New Roman"/>
                <w:kern w:val="0"/>
                <w:sz w:val="20"/>
                <w:szCs w:val="20"/>
                <w:vertAlign w:val="subscript"/>
                <w:lang w:eastAsia="zh-CN"/>
              </w:rPr>
              <w:t>m</w:t>
            </w:r>
            <w:r>
              <w:rPr>
                <w:rFonts w:hint="default" w:ascii="Times New Roman" w:hAnsi="Times New Roman" w:eastAsia="宋体" w:cs="Times New Roman"/>
                <w:kern w:val="0"/>
                <w:sz w:val="20"/>
                <w:szCs w:val="20"/>
                <w:lang w:eastAsia="zh-CN"/>
              </w:rPr>
              <w:t>/（MPa）</w:t>
            </w:r>
          </w:p>
        </w:tc>
        <w:tc>
          <w:tcPr>
            <w:tcW w:w="1402" w:type="pct"/>
            <w:vAlign w:val="center"/>
          </w:tcPr>
          <w:p>
            <w:pPr>
              <w:autoSpaceDE w:val="0"/>
              <w:autoSpaceDN w:val="0"/>
              <w:adjustRightInd w:val="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69" w:type="pct"/>
            <w:vAlign w:val="center"/>
          </w:tcPr>
          <w:p>
            <w:pPr>
              <w:autoSpaceDE w:val="0"/>
              <w:autoSpaceDN w:val="0"/>
              <w:adjustRightIn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06Cr19Ni10</w:t>
            </w:r>
          </w:p>
        </w:tc>
        <w:tc>
          <w:tcPr>
            <w:tcW w:w="1109" w:type="pct"/>
            <w:vAlign w:val="center"/>
          </w:tcPr>
          <w:p>
            <w:pPr>
              <w:autoSpaceDE w:val="0"/>
              <w:autoSpaceDN w:val="0"/>
              <w:adjustRightInd w:val="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≥205</w:t>
            </w:r>
          </w:p>
        </w:tc>
        <w:tc>
          <w:tcPr>
            <w:tcW w:w="1384" w:type="pct"/>
            <w:vAlign w:val="center"/>
          </w:tcPr>
          <w:p>
            <w:pPr>
              <w:autoSpaceDE w:val="0"/>
              <w:autoSpaceDN w:val="0"/>
              <w:adjustRightInd w:val="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≥520</w:t>
            </w:r>
          </w:p>
        </w:tc>
        <w:tc>
          <w:tcPr>
            <w:tcW w:w="1402" w:type="pct"/>
            <w:vAlign w:val="center"/>
          </w:tcPr>
          <w:p>
            <w:pPr>
              <w:autoSpaceDE w:val="0"/>
              <w:autoSpaceDN w:val="0"/>
              <w:adjustRightInd w:val="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tc>
      </w:tr>
    </w:tbl>
    <w:p>
      <w:pPr>
        <w:jc w:val="left"/>
        <w:rPr>
          <w:rFonts w:hint="default" w:ascii="Times New Roman" w:hAnsi="Times New Roman" w:eastAsia="宋体" w:cs="Times New Roman"/>
          <w:kern w:val="0"/>
          <w:sz w:val="22"/>
          <w:lang w:eastAsia="en-US"/>
        </w:rPr>
      </w:pPr>
    </w:p>
    <w:p>
      <w:pPr>
        <w:keepNext/>
        <w:keepLines/>
        <w:widowControl w:val="0"/>
        <w:numPr>
          <w:ilvl w:val="1"/>
          <w:numId w:val="25"/>
        </w:numPr>
        <w:spacing w:before="340" w:after="330" w:line="360" w:lineRule="auto"/>
        <w:ind w:left="420" w:leftChars="20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（防腐）低速潜油保护器（100RPM）</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具体规格型号见“二、需求一览表，行23-24项”。</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保护器为 400及540 系列，型号为 BPBSL AR UHL HT1 HSS。</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适用井温为：180℃。</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采用防腐材质，与井液接触部件具有防 CO2腐蚀功能。要求的防腐配置如下：头、座采用 416 SS，</w:t>
      </w:r>
      <w:r>
        <w:rPr>
          <w:rFonts w:hint="eastAsia" w:ascii="Times New Roman" w:hAnsi="Times New Roman" w:eastAsia="宋体" w:cs="Times New Roman"/>
          <w:kern w:val="0"/>
          <w:sz w:val="21"/>
          <w:szCs w:val="21"/>
          <w:lang w:val="en-US" w:eastAsia="zh-CN" w:bidi="ar-SA"/>
        </w:rPr>
        <w:t>轴材质采用</w:t>
      </w:r>
      <w:r>
        <w:rPr>
          <w:rFonts w:hint="default" w:ascii="Times New Roman" w:hAnsi="Times New Roman" w:eastAsia="宋体" w:cs="Times New Roman"/>
          <w:kern w:val="0"/>
          <w:sz w:val="21"/>
          <w:szCs w:val="21"/>
          <w:lang w:val="en-US" w:eastAsia="zh-CN" w:bidi="ar-SA"/>
        </w:rPr>
        <w:t>Monel K500，壳体采用 9Cr1Mo，橡胶件采用 HSN，花键套采用 1Cr18Ni9Ti 或 2Cr13，连接螺栓、丝堵、注油阀采用 Monel K500。</w:t>
      </w:r>
      <w:r>
        <w:rPr>
          <w:rFonts w:hint="eastAsia" w:ascii="Times New Roman" w:hAnsi="Times New Roman" w:eastAsia="宋体" w:cs="Times New Roman"/>
          <w:kern w:val="0"/>
          <w:sz w:val="21"/>
          <w:szCs w:val="21"/>
          <w:lang w:val="en-US" w:eastAsia="zh-CN" w:bidi="ar-SA"/>
        </w:rPr>
        <w:t>货文件应提供材质化学成分及机械性能检测报告，并注明炉号等可追溯性标识信息。</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保护器采用高承载止推轴承。</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潜油保护器外观完好，目测无变形、无锈蚀。运输帽螺栓必须齐全并旋紧。</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潜油保护器水平状态盘轴应滑快无阻滞，盘轴力矩不大于7.5N.m/节。</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潜油保护器上下连接头尺寸及轴头窜量应满足《机械采油分公司潜油电泵产品接口参数明细》（见附件一）文件要求。</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整机连接全部采用内外六角螺钉，采用法兰形式连接。</w:t>
      </w:r>
    </w:p>
    <w:p>
      <w:pPr>
        <w:keepNext/>
        <w:keepLines/>
        <w:widowControl w:val="0"/>
        <w:numPr>
          <w:ilvl w:val="1"/>
          <w:numId w:val="25"/>
        </w:numPr>
        <w:spacing w:before="340" w:after="330" w:line="360" w:lineRule="auto"/>
        <w:ind w:left="420" w:leftChars="20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（防腐）常速潜油保护器（3000RPM）</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具体规格型号见“二、需求一览表，行17-22项”。</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保护器为 338、400及540 系列，型号分为 BPBSL单节和BPBSL+BPBSL串接。</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适用井温为：按规格型号要求，180℃及150℃两种。</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采用防腐材质，与井液接触部件具有防 CO2腐蚀功能。要求的防腐配置如下：头、座采用 416 SS，</w:t>
      </w:r>
      <w:r>
        <w:rPr>
          <w:rFonts w:hint="eastAsia" w:ascii="Times New Roman" w:hAnsi="Times New Roman" w:eastAsia="宋体" w:cs="Times New Roman"/>
          <w:kern w:val="0"/>
          <w:sz w:val="21"/>
          <w:szCs w:val="21"/>
          <w:lang w:val="en-US" w:eastAsia="zh-CN" w:bidi="ar-SA"/>
        </w:rPr>
        <w:t>轴材质采用</w:t>
      </w:r>
      <w:r>
        <w:rPr>
          <w:rFonts w:hint="default" w:ascii="Times New Roman" w:hAnsi="Times New Roman" w:eastAsia="宋体" w:cs="Times New Roman"/>
          <w:kern w:val="0"/>
          <w:sz w:val="21"/>
          <w:szCs w:val="21"/>
          <w:lang w:val="en-US" w:eastAsia="zh-CN" w:bidi="ar-SA"/>
        </w:rPr>
        <w:t>Monel K500，壳体采用 9Cr1Mo，橡胶件采用 HSN，花键套采用 1Cr18Ni9Ti 或 2Cr13，连接螺栓、丝堵、注油阀采用 Monel K500。</w:t>
      </w:r>
      <w:r>
        <w:rPr>
          <w:rFonts w:hint="eastAsia" w:ascii="Times New Roman" w:hAnsi="Times New Roman" w:eastAsia="宋体" w:cs="Times New Roman"/>
          <w:kern w:val="0"/>
          <w:sz w:val="21"/>
          <w:szCs w:val="21"/>
          <w:lang w:val="en-US" w:eastAsia="zh-CN" w:bidi="ar-SA"/>
        </w:rPr>
        <w:t>货文件应提供材质化学成分及机械性能检测报告，并注明炉号等可追溯性标识信息。</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保护器采用高承载止推轴承。</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潜油保护器外观完好，目测无变形、无锈蚀。运输帽螺栓必须齐全并旋紧。</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潜油保护器水平状态盘轴应滑快无阻滞，盘轴力矩不大于7.5N.m/节。</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潜油保护器上下连接头尺寸及轴头窜量应满足《机械采油分公司潜油电泵产品接口参数明细》（见附件一）文件要求。</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保护器轴材质蒙乃尔K-500，头座为416不锈钢材质,壳体为9Cr1Mo材质，送货文件应提供材质化学成分及机械性能检测报告，并注明炉号等可追溯性标识信息。</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整机连接全部采用内外六角螺钉，采用法兰形式连接。</w:t>
      </w:r>
    </w:p>
    <w:p>
      <w:pPr>
        <w:widowControl w:val="0"/>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p>
    <w:p>
      <w:pPr>
        <w:keepNext/>
        <w:keepLines/>
        <w:widowControl w:val="0"/>
        <w:numPr>
          <w:ilvl w:val="1"/>
          <w:numId w:val="25"/>
        </w:numPr>
        <w:spacing w:before="340" w:after="330" w:line="360" w:lineRule="auto"/>
        <w:ind w:left="420" w:leftChars="200" w:firstLine="43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（防砂）潜油保护器</w:t>
      </w:r>
    </w:p>
    <w:p>
      <w:pPr>
        <w:widowControl w:val="0"/>
        <w:spacing w:line="360" w:lineRule="auto"/>
        <w:ind w:left="104" w:firstLine="0" w:firstLine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w:t>
      </w:r>
      <w:r>
        <w:rPr>
          <w:rFonts w:hint="default" w:ascii="Times New Roman" w:hAnsi="Times New Roman" w:eastAsia="宋体" w:cs="Times New Roman"/>
          <w:kern w:val="0"/>
          <w:sz w:val="21"/>
          <w:szCs w:val="21"/>
          <w:lang w:val="en-US" w:eastAsia="zh-CN" w:bidi="ar-SA"/>
        </w:rPr>
        <w:t>具体规格型号见“二、需求一览表，行17-22项”</w:t>
      </w:r>
      <w:r>
        <w:rPr>
          <w:rFonts w:hint="default" w:ascii="Times New Roman" w:hAnsi="Times New Roman" w:eastAsia="宋体" w:cs="Times New Roman"/>
          <w:kern w:val="0"/>
          <w:sz w:val="24"/>
          <w:szCs w:val="24"/>
          <w:lang w:val="en-US" w:eastAsia="zh-CN" w:bidi="ar-SA"/>
        </w:rPr>
        <w:t>。</w:t>
      </w:r>
    </w:p>
    <w:p>
      <w:pPr>
        <w:widowControl w:val="0"/>
        <w:spacing w:line="360" w:lineRule="auto"/>
        <w:ind w:left="104"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4"/>
          <w:szCs w:val="24"/>
          <w:lang w:val="en-US" w:eastAsia="zh-CN" w:bidi="ar-SA"/>
        </w:rPr>
        <w:t>（2）</w:t>
      </w:r>
      <w:r>
        <w:rPr>
          <w:rFonts w:ascii="Times New Roman" w:hAnsi="Times New Roman" w:eastAsia="宋体" w:cs="Times New Roman"/>
          <w:kern w:val="0"/>
          <w:sz w:val="21"/>
          <w:szCs w:val="21"/>
          <w:lang w:val="en-US" w:eastAsia="zh-CN" w:bidi="ar-SA"/>
        </w:rPr>
        <w:t>保护器为 338</w:t>
      </w:r>
      <w:r>
        <w:rPr>
          <w:rFonts w:hint="default" w:ascii="Times New Roman" w:hAnsi="Times New Roman" w:eastAsia="宋体" w:cs="Times New Roman"/>
          <w:kern w:val="0"/>
          <w:sz w:val="21"/>
          <w:szCs w:val="21"/>
          <w:lang w:val="en-US" w:eastAsia="zh-CN" w:bidi="ar-SA"/>
        </w:rPr>
        <w:t>、4</w:t>
      </w:r>
      <w:r>
        <w:rPr>
          <w:rFonts w:ascii="Times New Roman" w:hAnsi="Times New Roman" w:eastAsia="宋体" w:cs="Times New Roman"/>
          <w:kern w:val="0"/>
          <w:sz w:val="21"/>
          <w:szCs w:val="21"/>
          <w:lang w:val="en-US" w:eastAsia="zh-CN" w:bidi="ar-SA"/>
        </w:rPr>
        <w:t>00</w:t>
      </w:r>
      <w:r>
        <w:rPr>
          <w:rFonts w:hint="default" w:ascii="Times New Roman" w:hAnsi="Times New Roman" w:eastAsia="宋体" w:cs="Times New Roman"/>
          <w:kern w:val="0"/>
          <w:sz w:val="21"/>
          <w:szCs w:val="21"/>
          <w:lang w:val="en-US" w:eastAsia="zh-CN" w:bidi="ar-SA"/>
        </w:rPr>
        <w:t>及</w:t>
      </w:r>
      <w:r>
        <w:rPr>
          <w:rFonts w:ascii="Times New Roman" w:hAnsi="Times New Roman" w:eastAsia="宋体" w:cs="Times New Roman"/>
          <w:kern w:val="0"/>
          <w:sz w:val="21"/>
          <w:szCs w:val="21"/>
          <w:lang w:val="en-US" w:eastAsia="zh-CN" w:bidi="ar-SA"/>
        </w:rPr>
        <w:t>540 系列</w:t>
      </w:r>
      <w:r>
        <w:rPr>
          <w:rFonts w:hint="default" w:ascii="Times New Roman" w:hAnsi="Times New Roman" w:eastAsia="宋体" w:cs="Times New Roman"/>
          <w:kern w:val="0"/>
          <w:sz w:val="21"/>
          <w:szCs w:val="21"/>
          <w:lang w:val="en-US" w:eastAsia="zh-CN" w:bidi="ar-SA"/>
        </w:rPr>
        <w:t>，型号分为 BPBSL单节和BPBSL+BPBSL串接。</w:t>
      </w:r>
    </w:p>
    <w:p>
      <w:pPr>
        <w:widowControl w:val="0"/>
        <w:numPr>
          <w:ilvl w:val="255"/>
          <w:numId w:val="0"/>
        </w:numPr>
        <w:spacing w:line="360" w:lineRule="auto"/>
        <w:ind w:left="104"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w:t>
      </w:r>
      <w:r>
        <w:rPr>
          <w:rFonts w:ascii="Times New Roman" w:hAnsi="Times New Roman" w:eastAsia="宋体" w:cs="Times New Roman"/>
          <w:kern w:val="0"/>
          <w:sz w:val="21"/>
          <w:szCs w:val="21"/>
          <w:lang w:val="en-US" w:eastAsia="zh-CN" w:bidi="ar-SA"/>
        </w:rPr>
        <w:t>适用井温为</w:t>
      </w:r>
      <w:r>
        <w:rPr>
          <w:rFonts w:hint="default" w:ascii="Times New Roman" w:hAnsi="Times New Roman" w:eastAsia="宋体" w:cs="Times New Roman"/>
          <w:kern w:val="0"/>
          <w:sz w:val="21"/>
          <w:szCs w:val="21"/>
          <w:lang w:val="en-US" w:eastAsia="zh-CN" w:bidi="ar-SA"/>
        </w:rPr>
        <w:t>：180℃，本体耐温等级204℃。</w:t>
      </w:r>
    </w:p>
    <w:p>
      <w:pPr>
        <w:widowControl w:val="0"/>
        <w:numPr>
          <w:ilvl w:val="255"/>
          <w:numId w:val="0"/>
        </w:numPr>
        <w:spacing w:line="360" w:lineRule="auto"/>
        <w:ind w:left="104"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w:t>
      </w:r>
      <w:r>
        <w:rPr>
          <w:rFonts w:ascii="Times New Roman" w:hAnsi="Times New Roman" w:eastAsia="宋体" w:cs="Times New Roman"/>
          <w:kern w:val="0"/>
          <w:sz w:val="21"/>
          <w:szCs w:val="21"/>
          <w:lang w:val="en-US" w:eastAsia="zh-CN" w:bidi="ar-SA"/>
        </w:rPr>
        <w:t>潜油防砂保护器上端采用工程技术甩砂环结构、设计有沉砂腔和泄砂孔</w:t>
      </w:r>
      <w:r>
        <w:rPr>
          <w:rFonts w:hint="default" w:ascii="Times New Roman" w:hAnsi="Times New Roman" w:eastAsia="宋体" w:cs="Times New Roman"/>
          <w:kern w:val="0"/>
          <w:sz w:val="21"/>
          <w:szCs w:val="21"/>
          <w:lang w:val="en-US" w:eastAsia="zh-CN" w:bidi="ar-SA"/>
        </w:rPr>
        <w:t>。</w:t>
      </w:r>
    </w:p>
    <w:p>
      <w:pPr>
        <w:widowControl w:val="0"/>
        <w:tabs>
          <w:tab w:val="left" w:pos="2020"/>
        </w:tabs>
        <w:spacing w:line="360" w:lineRule="auto"/>
        <w:ind w:left="104" w:right="187" w:rightChars="89"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w:t>
      </w:r>
      <w:r>
        <w:rPr>
          <w:rFonts w:ascii="Times New Roman" w:hAnsi="Times New Roman" w:eastAsia="宋体" w:cs="Times New Roman"/>
          <w:kern w:val="0"/>
          <w:sz w:val="21"/>
          <w:szCs w:val="21"/>
          <w:lang w:val="en-US" w:eastAsia="zh-CN" w:bidi="ar-SA"/>
        </w:rPr>
        <w:t>保护器采用高承载止推轴承</w:t>
      </w:r>
      <w:r>
        <w:rPr>
          <w:rFonts w:hint="default" w:ascii="Times New Roman" w:hAnsi="Times New Roman" w:eastAsia="宋体" w:cs="Times New Roman"/>
          <w:kern w:val="0"/>
          <w:sz w:val="21"/>
          <w:szCs w:val="21"/>
          <w:lang w:val="en-US" w:eastAsia="zh-CN" w:bidi="ar-SA"/>
        </w:rPr>
        <w:t>。为满足要求，</w:t>
      </w:r>
      <w:r>
        <w:rPr>
          <w:rFonts w:ascii="Times New Roman" w:hAnsi="Times New Roman" w:eastAsia="宋体" w:cs="Times New Roman"/>
          <w:kern w:val="0"/>
          <w:sz w:val="21"/>
          <w:szCs w:val="21"/>
          <w:lang w:val="en-US" w:eastAsia="zh-CN" w:bidi="ar-SA"/>
        </w:rPr>
        <w:t>338系列保护器轴向承载力≥</w:t>
      </w:r>
      <w:r>
        <w:rPr>
          <w:rFonts w:hint="default" w:ascii="Times New Roman" w:hAnsi="Times New Roman" w:eastAsia="宋体" w:cs="Times New Roman"/>
          <w:kern w:val="0"/>
          <w:sz w:val="21"/>
          <w:szCs w:val="21"/>
          <w:lang w:val="en-US" w:eastAsia="zh-CN" w:bidi="ar-SA"/>
        </w:rPr>
        <w:t>1</w:t>
      </w:r>
      <w:r>
        <w:rPr>
          <w:rFonts w:ascii="Times New Roman" w:hAnsi="Times New Roman" w:eastAsia="宋体" w:cs="Times New Roman"/>
          <w:kern w:val="0"/>
          <w:sz w:val="21"/>
          <w:szCs w:val="21"/>
          <w:lang w:val="en-US" w:eastAsia="zh-CN" w:bidi="ar-SA"/>
        </w:rPr>
        <w:t>.3吨；400系列保护器轴向承载力≥2.5吨.540系列保护器轴向承载力≥</w:t>
      </w:r>
      <w:r>
        <w:rPr>
          <w:rFonts w:hint="default" w:ascii="Times New Roman" w:hAnsi="Times New Roman" w:eastAsia="宋体" w:cs="Times New Roman"/>
          <w:kern w:val="0"/>
          <w:sz w:val="21"/>
          <w:szCs w:val="21"/>
          <w:lang w:val="en-US" w:eastAsia="zh-CN" w:bidi="ar-SA"/>
        </w:rPr>
        <w:t>5吨。串接保护器采用双节高承载止推轴承。</w:t>
      </w:r>
    </w:p>
    <w:p>
      <w:pPr>
        <w:widowControl w:val="0"/>
        <w:tabs>
          <w:tab w:val="left" w:pos="2020"/>
        </w:tabs>
        <w:spacing w:line="360" w:lineRule="auto"/>
        <w:ind w:left="104" w:right="187" w:rightChars="89"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（6）保护器在额定同步转速为3000rpm、100Hz具备稳定运行的能力，提供额定负载下转速3000rpm、100Hz下的出厂测试报告。</w:t>
      </w:r>
    </w:p>
    <w:p>
      <w:pPr>
        <w:widowControl w:val="0"/>
        <w:tabs>
          <w:tab w:val="left" w:pos="2020"/>
        </w:tabs>
        <w:spacing w:line="360" w:lineRule="auto"/>
        <w:ind w:left="104" w:right="187" w:rightChars="89"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（7）保护器密封圈及胶囊采用AFLAS，耐温不低于204℃，并提供AFLAS材质报告。</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（8）</w:t>
      </w:r>
      <w:r>
        <w:rPr>
          <w:rFonts w:ascii="Times New Roman" w:hAnsi="Times New Roman" w:eastAsia="宋体" w:cs="Times New Roman"/>
          <w:kern w:val="0"/>
          <w:sz w:val="21"/>
          <w:szCs w:val="21"/>
          <w:lang w:val="en-US" w:eastAsia="zh-CN" w:bidi="ar-SA"/>
        </w:rPr>
        <w:t>潜油保护器外观完好，目测无变形、无锈蚀。运输帽螺栓必须齐全并旋紧</w:t>
      </w:r>
      <w:r>
        <w:rPr>
          <w:rFonts w:hint="default" w:ascii="Times New Roman" w:hAnsi="Times New Roman" w:eastAsia="宋体" w:cs="Times New Roman"/>
          <w:kern w:val="0"/>
          <w:sz w:val="21"/>
          <w:szCs w:val="21"/>
          <w:lang w:val="en-US" w:eastAsia="zh-CN" w:bidi="ar-SA"/>
        </w:rPr>
        <w:t>。</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w:t>
      </w:r>
      <w:r>
        <w:rPr>
          <w:rFonts w:ascii="Times New Roman" w:hAnsi="Times New Roman" w:eastAsia="宋体" w:cs="Times New Roman"/>
          <w:kern w:val="0"/>
          <w:sz w:val="21"/>
          <w:szCs w:val="21"/>
          <w:lang w:val="en-US" w:eastAsia="zh-CN" w:bidi="ar-SA"/>
        </w:rPr>
        <w:t>潜油保护器水平状态盘轴应滑快无阻滞，盘轴力矩不大于7.5N.m/节</w:t>
      </w:r>
      <w:r>
        <w:rPr>
          <w:rFonts w:hint="default" w:ascii="Times New Roman" w:hAnsi="Times New Roman" w:eastAsia="宋体" w:cs="Times New Roman"/>
          <w:kern w:val="0"/>
          <w:sz w:val="21"/>
          <w:szCs w:val="21"/>
          <w:lang w:val="en-US" w:eastAsia="zh-CN" w:bidi="ar-SA"/>
        </w:rPr>
        <w:t>。</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w:t>
      </w:r>
      <w:r>
        <w:rPr>
          <w:rFonts w:hint="default" w:ascii="Segoe UI Symbol" w:hAnsi="Segoe UI Symbol" w:eastAsia="宋体" w:cs="Segoe UI Symbol"/>
          <w:kern w:val="0"/>
          <w:sz w:val="21"/>
          <w:szCs w:val="21"/>
          <w:lang w:val="en-US" w:eastAsia="zh-CN" w:bidi="ar-SA"/>
        </w:rPr>
        <w:t>★</w:t>
      </w:r>
      <w:r>
        <w:rPr>
          <w:rFonts w:ascii="Times New Roman" w:hAnsi="Times New Roman" w:eastAsia="宋体" w:cs="Times New Roman"/>
          <w:kern w:val="0"/>
          <w:sz w:val="21"/>
          <w:szCs w:val="21"/>
          <w:lang w:val="en-US" w:eastAsia="zh-CN" w:bidi="ar-SA"/>
        </w:rPr>
        <w:t>潜油保护器上下连接头尺寸及轴头窜量应满足《机械采油分公司潜油电泵产品接口参数明细》</w:t>
      </w:r>
      <w:r>
        <w:rPr>
          <w:rFonts w:hint="default" w:ascii="Times New Roman" w:hAnsi="Times New Roman" w:eastAsia="宋体" w:cs="Times New Roman"/>
          <w:kern w:val="0"/>
          <w:sz w:val="21"/>
          <w:szCs w:val="21"/>
          <w:lang w:val="en-US" w:eastAsia="zh-CN" w:bidi="ar-SA"/>
        </w:rPr>
        <w:t>（见附件一）</w:t>
      </w:r>
      <w:r>
        <w:rPr>
          <w:rFonts w:ascii="Times New Roman" w:hAnsi="Times New Roman" w:eastAsia="宋体" w:cs="Times New Roman"/>
          <w:kern w:val="0"/>
          <w:sz w:val="21"/>
          <w:szCs w:val="21"/>
          <w:lang w:val="en-US" w:eastAsia="zh-CN" w:bidi="ar-SA"/>
        </w:rPr>
        <w:t>文件要求</w:t>
      </w:r>
      <w:r>
        <w:rPr>
          <w:rFonts w:hint="default" w:ascii="Times New Roman" w:hAnsi="Times New Roman" w:eastAsia="宋体" w:cs="Times New Roman"/>
          <w:kern w:val="0"/>
          <w:sz w:val="21"/>
          <w:szCs w:val="21"/>
          <w:lang w:val="en-US" w:eastAsia="zh-CN" w:bidi="ar-SA"/>
        </w:rPr>
        <w:t>。</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（11）</w:t>
      </w:r>
      <w:r>
        <w:rPr>
          <w:rFonts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w:t>
      </w:r>
      <w:r>
        <w:rPr>
          <w:rFonts w:hint="default" w:ascii="Times New Roman" w:hAnsi="Times New Roman" w:eastAsia="宋体" w:cs="Times New Roman"/>
          <w:kern w:val="0"/>
          <w:sz w:val="21"/>
          <w:szCs w:val="21"/>
          <w:lang w:val="en-US" w:eastAsia="zh-CN" w:bidi="ar-SA"/>
        </w:rPr>
        <w:t>制造厂名称、地址。</w:t>
      </w:r>
      <w:r>
        <w:rPr>
          <w:rFonts w:ascii="Times New Roman" w:hAnsi="Times New Roman" w:eastAsia="宋体" w:cs="Times New Roman"/>
          <w:kern w:val="0"/>
          <w:sz w:val="21"/>
          <w:szCs w:val="21"/>
          <w:lang w:val="en-US" w:eastAsia="zh-CN" w:bidi="ar-SA"/>
        </w:rPr>
        <w:t>非常规产品（防腐、防砂等）应进行标识</w:t>
      </w:r>
      <w:r>
        <w:rPr>
          <w:rFonts w:hint="default" w:ascii="Times New Roman" w:hAnsi="Times New Roman" w:eastAsia="宋体" w:cs="Times New Roman"/>
          <w:kern w:val="0"/>
          <w:sz w:val="21"/>
          <w:szCs w:val="21"/>
          <w:lang w:val="en-US" w:eastAsia="zh-CN" w:bidi="ar-SA"/>
        </w:rPr>
        <w:t>。</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（12）</w:t>
      </w:r>
      <w:r>
        <w:rPr>
          <w:rFonts w:ascii="Times New Roman" w:hAnsi="Times New Roman" w:eastAsia="宋体" w:cs="Times New Roman"/>
          <w:kern w:val="0"/>
          <w:sz w:val="21"/>
          <w:szCs w:val="21"/>
          <w:lang w:val="en-US" w:eastAsia="zh-CN" w:bidi="ar-SA"/>
        </w:rPr>
        <w:t>保护器轴材质蒙乃尔K-500，头座为45号钢材质,壳体为45号钢材质，</w:t>
      </w:r>
      <w:r>
        <w:rPr>
          <w:rFonts w:hint="default" w:ascii="Times New Roman" w:hAnsi="Times New Roman" w:eastAsia="宋体" w:cs="Times New Roman"/>
          <w:kern w:val="0"/>
          <w:sz w:val="21"/>
          <w:szCs w:val="21"/>
          <w:lang w:val="en-US" w:eastAsia="zh-CN" w:bidi="ar-SA"/>
        </w:rPr>
        <w:t>送货</w:t>
      </w:r>
      <w:r>
        <w:rPr>
          <w:rFonts w:ascii="Times New Roman" w:hAnsi="Times New Roman" w:eastAsia="宋体" w:cs="Times New Roman"/>
          <w:kern w:val="0"/>
          <w:sz w:val="21"/>
          <w:szCs w:val="21"/>
          <w:lang w:val="en-US" w:eastAsia="zh-CN" w:bidi="ar-SA"/>
        </w:rPr>
        <w:t>文件应提供材质化学成分及机械性能检测报告，并注明炉号等可追溯性标识信息</w:t>
      </w:r>
      <w:r>
        <w:rPr>
          <w:rFonts w:hint="default" w:ascii="Times New Roman" w:hAnsi="Times New Roman" w:eastAsia="宋体" w:cs="Times New Roman"/>
          <w:kern w:val="0"/>
          <w:sz w:val="21"/>
          <w:szCs w:val="21"/>
          <w:lang w:val="en-US" w:eastAsia="zh-CN" w:bidi="ar-SA"/>
        </w:rPr>
        <w:t>。</w:t>
      </w:r>
    </w:p>
    <w:p>
      <w:pPr>
        <w:widowControl w:val="0"/>
        <w:ind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（13）</w:t>
      </w:r>
      <w:r>
        <w:rPr>
          <w:rFonts w:ascii="Times New Roman" w:hAnsi="Times New Roman" w:eastAsia="宋体" w:cs="Times New Roman"/>
          <w:kern w:val="0"/>
          <w:sz w:val="21"/>
          <w:szCs w:val="21"/>
          <w:lang w:val="en-US" w:eastAsia="zh-CN" w:bidi="ar-SA"/>
        </w:rPr>
        <w:t>整机连接全部采用内外六角螺钉，采用法兰形式连接</w:t>
      </w:r>
      <w:r>
        <w:rPr>
          <w:rFonts w:hint="default" w:ascii="Times New Roman" w:hAnsi="Times New Roman" w:eastAsia="宋体" w:cs="Times New Roman"/>
          <w:kern w:val="0"/>
          <w:sz w:val="21"/>
          <w:szCs w:val="21"/>
          <w:lang w:val="en-US" w:eastAsia="zh-CN" w:bidi="ar-SA"/>
        </w:rPr>
        <w:t>。</w:t>
      </w:r>
    </w:p>
    <w:p>
      <w:pPr>
        <w:ind w:left="-445" w:leftChars="-212" w:right="-55" w:rightChars="-26" w:firstLineChars="100"/>
        <w:jc w:val="left"/>
        <w:rPr>
          <w:rFonts w:hint="eastAsia" w:ascii="Times New Roman" w:hAnsi="Times New Roman" w:eastAsia="宋体" w:cs="Times New Roman"/>
          <w:kern w:val="0"/>
          <w:sz w:val="22"/>
          <w:lang w:eastAsia="en-US"/>
        </w:rPr>
      </w:pPr>
    </w:p>
    <w:p>
      <w:pPr>
        <w:keepNext/>
        <w:keepLines/>
        <w:widowControl w:val="0"/>
        <w:numPr>
          <w:ilvl w:val="1"/>
          <w:numId w:val="25"/>
        </w:numPr>
        <w:spacing w:before="340" w:after="330" w:line="360" w:lineRule="auto"/>
        <w:ind w:left="420" w:leftChars="200" w:firstLine="0" w:firstLineChars="0"/>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（Inconel 718高强度轴）潜油保护器</w:t>
      </w:r>
    </w:p>
    <w:p>
      <w:pPr>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（1）具体规格型号见“二、需求一览表，行17-22项”。</w:t>
      </w:r>
    </w:p>
    <w:p>
      <w:pPr>
        <w:spacing w:line="36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（2）轴材质为Inconel 718高强度轴，花键套材质为Monel K500材质。</w:t>
      </w:r>
    </w:p>
    <w:p>
      <w:pPr>
        <w:spacing w:line="360" w:lineRule="auto"/>
        <w:jc w:val="left"/>
        <w:rPr>
          <w:rFonts w:hint="default" w:ascii="Times New Roman" w:hAnsi="Times New Roman" w:eastAsia="宋体" w:cs="Times New Roman"/>
          <w:kern w:val="0"/>
          <w:sz w:val="21"/>
          <w:szCs w:val="21"/>
          <w:lang w:eastAsia="zh-CN"/>
        </w:rPr>
      </w:pPr>
      <w:bookmarkStart w:id="436" w:name="_Toc24637"/>
      <w:r>
        <w:rPr>
          <w:rFonts w:hint="default" w:ascii="Times New Roman" w:hAnsi="Times New Roman" w:eastAsia="宋体" w:cs="Times New Roman"/>
          <w:kern w:val="0"/>
          <w:sz w:val="21"/>
          <w:szCs w:val="21"/>
          <w:lang w:eastAsia="zh-CN"/>
        </w:rPr>
        <w:t>（3）除保护器轴材质以外，其他技术要求参照“</w:t>
      </w:r>
      <w:r>
        <w:rPr>
          <w:rFonts w:hint="default" w:ascii="宋体" w:hAnsi="宋体" w:eastAsia="宋体" w:cs="黑体"/>
          <w:b/>
          <w:bCs/>
          <w:kern w:val="0"/>
          <w:sz w:val="21"/>
          <w:szCs w:val="21"/>
          <w:lang w:eastAsia="zh-CN"/>
        </w:rPr>
        <w:t>5.</w:t>
      </w:r>
      <w:r>
        <w:rPr>
          <w:rFonts w:hint="default" w:ascii="宋体" w:hAnsi="宋体" w:eastAsia="宋体" w:cs="黑体"/>
          <w:b/>
          <w:bCs/>
          <w:kern w:val="0"/>
          <w:sz w:val="21"/>
          <w:szCs w:val="21"/>
          <w:highlight w:val="none"/>
          <w:lang w:eastAsia="zh-CN"/>
        </w:rPr>
        <w:t>4 常速</w:t>
      </w:r>
      <w:r>
        <w:rPr>
          <w:rFonts w:hint="default" w:ascii="宋体" w:hAnsi="宋体" w:eastAsia="宋体" w:cs="黑体"/>
          <w:b/>
          <w:bCs/>
          <w:kern w:val="0"/>
          <w:sz w:val="21"/>
          <w:szCs w:val="21"/>
          <w:lang w:eastAsia="zh-CN"/>
        </w:rPr>
        <w:t>潜油保护器</w:t>
      </w:r>
      <w:r>
        <w:rPr>
          <w:rFonts w:hint="default" w:ascii="Times New Roman" w:hAnsi="Times New Roman" w:eastAsia="宋体" w:cs="Times New Roman"/>
          <w:b/>
          <w:bCs/>
          <w:kern w:val="0"/>
          <w:sz w:val="21"/>
          <w:szCs w:val="21"/>
          <w:lang w:eastAsia="zh-CN"/>
        </w:rPr>
        <w:t>”</w:t>
      </w:r>
      <w:r>
        <w:rPr>
          <w:rFonts w:hint="default" w:ascii="Times New Roman" w:hAnsi="Times New Roman" w:eastAsia="宋体" w:cs="Times New Roman"/>
          <w:kern w:val="0"/>
          <w:sz w:val="21"/>
          <w:szCs w:val="21"/>
          <w:lang w:eastAsia="zh-CN"/>
        </w:rPr>
        <w:t>技术要求。</w:t>
      </w:r>
      <w:bookmarkEnd w:id="436"/>
    </w:p>
    <w:p>
      <w:pPr>
        <w:autoSpaceDE w:val="0"/>
        <w:autoSpaceDN w:val="0"/>
        <w:adjustRightInd w:val="0"/>
        <w:ind w:firstLine="210" w:firstLineChars="1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K-500材质应满足</w:t>
      </w:r>
    </w:p>
    <w:p>
      <w:pPr>
        <w:jc w:val="both"/>
        <w:rPr>
          <w:rFonts w:hint="default" w:ascii="Times New Roman" w:hAnsi="Times New Roman" w:eastAsia="宋体" w:cs="Times New Roman"/>
          <w:vanish/>
          <w:color w:val="000000"/>
          <w:kern w:val="2"/>
          <w:sz w:val="18"/>
          <w:szCs w:val="18"/>
          <w:lang w:eastAsia="zh-CN"/>
        </w:rPr>
      </w:pPr>
    </w:p>
    <w:p>
      <w:pPr>
        <w:widowControl w:val="0"/>
        <w:tabs>
          <w:tab w:val="center" w:pos="4153"/>
          <w:tab w:val="right" w:pos="8306"/>
        </w:tabs>
        <w:snapToGrid w:val="0"/>
        <w:jc w:val="left"/>
        <w:rPr>
          <w:rFonts w:ascii="Times New Roman" w:hAnsi="Times New Roman" w:eastAsia="宋体" w:cs="Times New Roman"/>
          <w:kern w:val="0"/>
          <w:sz w:val="15"/>
          <w:szCs w:val="15"/>
          <w:lang w:val="en-US" w:eastAsia="zh-CN" w:bidi="ar-SA"/>
        </w:rPr>
      </w:pPr>
      <w:r>
        <w:rPr>
          <w:rFonts w:ascii="Times New Roman" w:hAnsi="Times New Roman" w:eastAsia="宋体" w:cs="Times New Roman"/>
          <w:kern w:val="0"/>
          <w:sz w:val="15"/>
          <w:szCs w:val="15"/>
          <w:lang w:val="en-US" w:eastAsia="en-US" w:bidi="ar-SA"/>
        </w:rPr>
        <w:drawing>
          <wp:inline distT="0" distB="0" distL="114300" distR="114300">
            <wp:extent cx="5428615" cy="1766570"/>
            <wp:effectExtent l="0" t="0" r="635"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a:stretch>
                      <a:fillRect/>
                    </a:stretch>
                  </pic:blipFill>
                  <pic:spPr>
                    <a:xfrm>
                      <a:off x="0" y="0"/>
                      <a:ext cx="5428615" cy="1766570"/>
                    </a:xfrm>
                    <a:prstGeom prst="rect">
                      <a:avLst/>
                    </a:prstGeom>
                    <a:noFill/>
                    <a:ln>
                      <a:noFill/>
                    </a:ln>
                  </pic:spPr>
                </pic:pic>
              </a:graphicData>
            </a:graphic>
          </wp:inline>
        </w:drawing>
      </w:r>
    </w:p>
    <w:p>
      <w:pPr>
        <w:autoSpaceDE w:val="0"/>
        <w:autoSpaceDN w:val="0"/>
        <w:adjustRightInd w:val="0"/>
        <w:jc w:val="both"/>
        <w:rPr>
          <w:rFonts w:hint="default" w:ascii="Times New Roman" w:hAnsi="Times New Roman" w:eastAsia="宋体" w:cs="Times New Roman"/>
          <w:kern w:val="0"/>
          <w:sz w:val="21"/>
          <w:szCs w:val="21"/>
          <w:lang w:eastAsia="zh-CN"/>
        </w:rPr>
      </w:pPr>
    </w:p>
    <w:p>
      <w:pPr>
        <w:autoSpaceDE w:val="0"/>
        <w:autoSpaceDN w:val="0"/>
        <w:adjustRightInd w:val="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Inconel 718材质应满足</w:t>
      </w:r>
    </w:p>
    <w:p>
      <w:pPr>
        <w:autoSpaceDE w:val="0"/>
        <w:autoSpaceDN w:val="0"/>
        <w:adjustRightInd w:val="0"/>
        <w:jc w:val="both"/>
        <w:rPr>
          <w:rFonts w:hint="default" w:ascii="Times New Roman" w:hAnsi="Times New Roman" w:eastAsia="宋体" w:cs="Times New Roman"/>
          <w:kern w:val="0"/>
          <w:sz w:val="21"/>
          <w:szCs w:val="21"/>
          <w:lang w:eastAsia="zh-CN"/>
        </w:rPr>
      </w:pPr>
      <w:r>
        <w:rPr>
          <w:rFonts w:ascii="Times New Roman" w:hAnsi="Times New Roman" w:eastAsia="宋体" w:cs="Times New Roman"/>
          <w:kern w:val="0"/>
          <w:sz w:val="22"/>
          <w:lang w:eastAsia="en-US"/>
        </w:rPr>
        <w:drawing>
          <wp:inline distT="0" distB="0" distL="114300" distR="114300">
            <wp:extent cx="6040755" cy="1783080"/>
            <wp:effectExtent l="0" t="0" r="1714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3"/>
                    <a:stretch>
                      <a:fillRect/>
                    </a:stretch>
                  </pic:blipFill>
                  <pic:spPr>
                    <a:xfrm>
                      <a:off x="0" y="0"/>
                      <a:ext cx="6040755" cy="1783080"/>
                    </a:xfrm>
                    <a:prstGeom prst="rect">
                      <a:avLst/>
                    </a:prstGeom>
                    <a:noFill/>
                    <a:ln>
                      <a:noFill/>
                    </a:ln>
                  </pic:spPr>
                </pic:pic>
              </a:graphicData>
            </a:graphic>
          </wp:inline>
        </w:drawing>
      </w:r>
    </w:p>
    <w:p>
      <w:pPr>
        <w:keepNext/>
        <w:keepLines/>
        <w:widowControl w:val="0"/>
        <w:numPr>
          <w:ilvl w:val="1"/>
          <w:numId w:val="25"/>
        </w:numPr>
        <w:spacing w:before="340" w:after="330" w:line="360" w:lineRule="auto"/>
        <w:ind w:left="10" w:firstLine="430"/>
        <w:jc w:val="both"/>
        <w:outlineLvl w:val="1"/>
        <w:rPr>
          <w:rFonts w:hint="eastAsia" w:ascii="宋体" w:hAnsi="宋体" w:eastAsia="宋体" w:cs="宋体"/>
          <w:b/>
          <w:bCs/>
          <w:spacing w:val="2"/>
          <w:kern w:val="44"/>
          <w:sz w:val="21"/>
          <w:szCs w:val="21"/>
          <w:lang w:val="en-US" w:eastAsia="zh-CN" w:bidi="ar-SA"/>
        </w:rPr>
      </w:pPr>
      <w:r>
        <w:rPr>
          <w:rFonts w:hint="eastAsia" w:ascii="宋体" w:hAnsi="宋体" w:eastAsia="宋体" w:cs="宋体"/>
          <w:b/>
          <w:bCs/>
          <w:spacing w:val="2"/>
          <w:kern w:val="44"/>
          <w:sz w:val="21"/>
          <w:szCs w:val="21"/>
          <w:lang w:val="en-US" w:eastAsia="zh-CN" w:bidi="ar-SA"/>
        </w:rPr>
        <w:t>永磁常速电机转子与定子片</w:t>
      </w:r>
    </w:p>
    <w:tbl>
      <w:tblPr>
        <w:tblStyle w:val="10"/>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13"/>
        <w:gridCol w:w="1596"/>
        <w:gridCol w:w="3423"/>
        <w:gridCol w:w="709"/>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60" w:lineRule="auto"/>
              <w:jc w:val="both"/>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序号</w:t>
            </w:r>
          </w:p>
        </w:tc>
        <w:tc>
          <w:tcPr>
            <w:tcW w:w="1213"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物料编码</w:t>
            </w:r>
          </w:p>
        </w:tc>
        <w:tc>
          <w:tcPr>
            <w:tcW w:w="1596"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物资名称</w:t>
            </w:r>
          </w:p>
        </w:tc>
        <w:tc>
          <w:tcPr>
            <w:tcW w:w="3423"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规格型号</w:t>
            </w:r>
          </w:p>
        </w:tc>
        <w:tc>
          <w:tcPr>
            <w:tcW w:w="709"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单位</w:t>
            </w:r>
          </w:p>
        </w:tc>
        <w:tc>
          <w:tcPr>
            <w:tcW w:w="686"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75"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1</w:t>
            </w:r>
          </w:p>
        </w:tc>
        <w:tc>
          <w:tcPr>
            <w:tcW w:w="1213"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84463586</w:t>
            </w:r>
          </w:p>
        </w:tc>
        <w:tc>
          <w:tcPr>
            <w:tcW w:w="1596" w:type="dxa"/>
            <w:vAlign w:val="center"/>
          </w:tcPr>
          <w:p>
            <w:pPr>
              <w:spacing w:line="360" w:lineRule="auto"/>
              <w:jc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rPr>
              <w:t>永磁转子总成</w:t>
            </w:r>
          </w:p>
        </w:tc>
        <w:tc>
          <w:tcPr>
            <w:tcW w:w="3423"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BMH450\中海油能源发展股份有限公司工程技术分公司</w:t>
            </w:r>
          </w:p>
        </w:tc>
        <w:tc>
          <w:tcPr>
            <w:tcW w:w="709"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en-US"/>
              </w:rPr>
            </w:pPr>
            <w:r>
              <w:rPr>
                <w:rFonts w:hint="eastAsia" w:ascii="宋体" w:hAnsi="宋体" w:eastAsia="宋体" w:cs="宋体"/>
                <w:i w:val="0"/>
                <w:iCs w:val="0"/>
                <w:color w:val="000000"/>
                <w:kern w:val="0"/>
                <w:sz w:val="18"/>
                <w:szCs w:val="18"/>
                <w:u w:val="none"/>
                <w:lang w:val="en-US" w:eastAsia="zh-CN" w:bidi="ar"/>
              </w:rPr>
              <w:t>节</w:t>
            </w:r>
          </w:p>
        </w:tc>
        <w:tc>
          <w:tcPr>
            <w:tcW w:w="686" w:type="dxa"/>
          </w:tcPr>
          <w:p>
            <w:pPr>
              <w:spacing w:line="360" w:lineRule="auto"/>
              <w:jc w:val="center"/>
              <w:rPr>
                <w:rFonts w:hint="default" w:ascii="Times New Roman" w:hAnsi="Times New Roman" w:eastAsia="宋体" w:cs="Times New Roman"/>
                <w:kern w:val="0"/>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75"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2</w:t>
            </w:r>
          </w:p>
        </w:tc>
        <w:tc>
          <w:tcPr>
            <w:tcW w:w="1213"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84463587</w:t>
            </w:r>
          </w:p>
        </w:tc>
        <w:tc>
          <w:tcPr>
            <w:tcW w:w="1596" w:type="dxa"/>
            <w:vAlign w:val="center"/>
          </w:tcPr>
          <w:p>
            <w:pPr>
              <w:spacing w:line="360" w:lineRule="auto"/>
              <w:jc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rPr>
              <w:t>永磁定子片</w:t>
            </w:r>
          </w:p>
        </w:tc>
        <w:tc>
          <w:tcPr>
            <w:tcW w:w="3423"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BMH450\中海油能源发展股份有限公司工程技术分公司</w:t>
            </w:r>
          </w:p>
        </w:tc>
        <w:tc>
          <w:tcPr>
            <w:tcW w:w="709"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en-US"/>
              </w:rPr>
            </w:pPr>
            <w:r>
              <w:rPr>
                <w:rFonts w:hint="eastAsia" w:ascii="宋体" w:hAnsi="宋体" w:eastAsia="宋体" w:cs="宋体"/>
                <w:i w:val="0"/>
                <w:iCs w:val="0"/>
                <w:color w:val="000000"/>
                <w:kern w:val="0"/>
                <w:sz w:val="18"/>
                <w:szCs w:val="18"/>
                <w:u w:val="none"/>
                <w:lang w:val="en-US" w:eastAsia="zh-CN" w:bidi="ar"/>
              </w:rPr>
              <w:t>片</w:t>
            </w:r>
          </w:p>
        </w:tc>
        <w:tc>
          <w:tcPr>
            <w:tcW w:w="686" w:type="dxa"/>
          </w:tcPr>
          <w:p>
            <w:pPr>
              <w:spacing w:line="360" w:lineRule="auto"/>
              <w:jc w:val="center"/>
              <w:rPr>
                <w:rFonts w:hint="default" w:ascii="Times New Roman" w:hAnsi="Times New Roman" w:eastAsia="宋体" w:cs="Times New Roman"/>
                <w:kern w:val="0"/>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75"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3</w:t>
            </w:r>
          </w:p>
        </w:tc>
        <w:tc>
          <w:tcPr>
            <w:tcW w:w="1213" w:type="dxa"/>
            <w:vAlign w:val="center"/>
          </w:tcPr>
          <w:p>
            <w:pPr>
              <w:widowControl/>
              <w:jc w:val="center"/>
              <w:textAlignment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bidi="ar"/>
              </w:rPr>
              <w:t>84465015</w:t>
            </w:r>
          </w:p>
        </w:tc>
        <w:tc>
          <w:tcPr>
            <w:tcW w:w="1596"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永磁转子总成</w:t>
            </w:r>
          </w:p>
        </w:tc>
        <w:tc>
          <w:tcPr>
            <w:tcW w:w="3423"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BMH562\中海油能源发展股份有限公司工程技术分公司</w:t>
            </w:r>
          </w:p>
        </w:tc>
        <w:tc>
          <w:tcPr>
            <w:tcW w:w="709"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节</w:t>
            </w:r>
          </w:p>
        </w:tc>
        <w:tc>
          <w:tcPr>
            <w:tcW w:w="686" w:type="dxa"/>
          </w:tcPr>
          <w:p>
            <w:pPr>
              <w:spacing w:line="360" w:lineRule="auto"/>
              <w:jc w:val="center"/>
              <w:rPr>
                <w:rFonts w:hint="default" w:ascii="Times New Roman" w:hAnsi="Times New Roman" w:eastAsia="宋体" w:cs="Times New Roman"/>
                <w:kern w:val="0"/>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75"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4</w:t>
            </w:r>
          </w:p>
        </w:tc>
        <w:tc>
          <w:tcPr>
            <w:tcW w:w="1213" w:type="dxa"/>
            <w:vAlign w:val="center"/>
          </w:tcPr>
          <w:p>
            <w:pPr>
              <w:widowControl/>
              <w:jc w:val="center"/>
              <w:textAlignment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bidi="ar"/>
              </w:rPr>
              <w:t>84465016</w:t>
            </w:r>
          </w:p>
        </w:tc>
        <w:tc>
          <w:tcPr>
            <w:tcW w:w="1596"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永磁定子片</w:t>
            </w:r>
          </w:p>
        </w:tc>
        <w:tc>
          <w:tcPr>
            <w:tcW w:w="3423"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BMH562\中海油能源发展股份有限公司工程技术分公司</w:t>
            </w:r>
          </w:p>
        </w:tc>
        <w:tc>
          <w:tcPr>
            <w:tcW w:w="709"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片</w:t>
            </w:r>
          </w:p>
        </w:tc>
        <w:tc>
          <w:tcPr>
            <w:tcW w:w="686" w:type="dxa"/>
          </w:tcPr>
          <w:p>
            <w:pPr>
              <w:spacing w:line="360" w:lineRule="auto"/>
              <w:jc w:val="center"/>
              <w:rPr>
                <w:rFonts w:hint="default" w:ascii="Times New Roman" w:hAnsi="Times New Roman" w:eastAsia="宋体" w:cs="Times New Roman"/>
                <w:kern w:val="0"/>
                <w:sz w:val="22"/>
                <w:lang w:eastAsia="zh-CN"/>
              </w:rPr>
            </w:pPr>
          </w:p>
        </w:tc>
      </w:tr>
    </w:tbl>
    <w:p>
      <w:pPr>
        <w:numPr>
          <w:ilvl w:val="0"/>
          <w:numId w:val="28"/>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450系列永磁常速电机转子-四极技术规范</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转子总成外径：50.63</w:t>
      </w:r>
      <w:r>
        <w:rPr>
          <w:rFonts w:hint="default" w:ascii="Times New Roman" w:hAnsi="Times New Roman" w:eastAsia="宋体" w:cs="Times New Roman"/>
          <w:kern w:val="0"/>
          <w:sz w:val="21"/>
          <w:szCs w:val="21"/>
          <w:lang w:val="en-US" w:eastAsia="zh-CN" w:bidi="ar-SA"/>
          <w:eastAsianLayout w:id="27" w:combine="1"/>
        </w:rPr>
        <w:t xml:space="preserve"> +0.02 -0.03</w:t>
      </w:r>
      <w:r>
        <w:rPr>
          <w:rFonts w:hint="default" w:ascii="Times New Roman" w:hAnsi="Times New Roman" w:eastAsia="宋体" w:cs="Times New Roman"/>
          <w:kern w:val="0"/>
          <w:sz w:val="21"/>
          <w:szCs w:val="21"/>
          <w:lang w:val="en-US" w:eastAsia="zh-CN" w:bidi="ar-SA"/>
        </w:rPr>
        <w:t>mm</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转子总成内径：25.00 </w:t>
      </w:r>
      <w:r>
        <w:rPr>
          <w:rFonts w:hint="default" w:ascii="Times New Roman" w:hAnsi="Times New Roman" w:eastAsia="宋体" w:cs="Times New Roman"/>
          <w:kern w:val="0"/>
          <w:sz w:val="21"/>
          <w:szCs w:val="21"/>
          <w:lang w:val="en-US" w:eastAsia="zh-CN" w:bidi="ar-SA"/>
          <w:eastAsianLayout w:id="28" w:combine="1"/>
        </w:rPr>
        <w:t>+0.07 +0.03</w:t>
      </w:r>
      <w:r>
        <w:rPr>
          <w:rFonts w:hint="default" w:ascii="Times New Roman" w:hAnsi="Times New Roman" w:eastAsia="宋体" w:cs="Times New Roman"/>
          <w:kern w:val="0"/>
          <w:sz w:val="21"/>
          <w:szCs w:val="21"/>
          <w:lang w:val="en-US" w:eastAsia="zh-CN" w:bidi="ar-SA"/>
        </w:rPr>
        <w:t>mm</w:t>
      </w:r>
    </w:p>
    <w:p>
      <w:pPr>
        <w:widowControl w:val="0"/>
        <w:numPr>
          <w:ilvl w:val="0"/>
          <w:numId w:val="29"/>
        </w:numPr>
        <w:spacing w:line="360" w:lineRule="auto"/>
        <w:ind w:left="0" w:firstLine="420" w:firstLineChars="200"/>
        <w:jc w:val="left"/>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转子总长：346 </w:t>
      </w:r>
      <w:r>
        <w:rPr>
          <w:rFonts w:hint="default" w:ascii="Times New Roman" w:hAnsi="Times New Roman" w:eastAsia="宋体" w:cs="Times New Roman"/>
          <w:kern w:val="0"/>
          <w:sz w:val="21"/>
          <w:szCs w:val="21"/>
          <w:lang w:val="en-US" w:eastAsia="zh-CN" w:bidi="ar-SA"/>
          <w:eastAsianLayout w:id="29" w:combine="1"/>
        </w:rPr>
        <w:t>+0.05 0</w:t>
      </w:r>
      <w:r>
        <w:rPr>
          <w:rFonts w:hint="default" w:ascii="Times New Roman" w:hAnsi="Times New Roman" w:eastAsia="宋体" w:cs="Times New Roman"/>
          <w:kern w:val="0"/>
          <w:sz w:val="21"/>
          <w:szCs w:val="21"/>
          <w:lang w:val="en-US" w:eastAsia="zh-CN" w:bidi="ar-SA"/>
        </w:rPr>
        <w:t>mm</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转子铁芯要求采用自叠铆工艺冲压叠铆完成，硅钢片材质为50W470；</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加工成型的转子铁芯要求垂直度0.08mm，内外径同轴度0.05mm；</w:t>
      </w:r>
    </w:p>
    <w:p>
      <w:pPr>
        <w:widowControl w:val="0"/>
        <w:numPr>
          <w:ilvl w:val="0"/>
          <w:numId w:val="29"/>
        </w:numPr>
        <w:spacing w:line="360" w:lineRule="auto"/>
        <w:ind w:left="0" w:firstLine="400" w:firstLineChars="20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color w:val="0D0D0D"/>
          <w:kern w:val="0"/>
          <w:sz w:val="20"/>
          <w:szCs w:val="20"/>
          <w:lang w:val="en-US" w:eastAsia="zh-CN" w:bidi="ar"/>
        </w:rPr>
        <w:t>★</w:t>
      </w:r>
      <w:r>
        <w:rPr>
          <w:rFonts w:hint="default" w:ascii="Times New Roman" w:hAnsi="Times New Roman" w:eastAsia="宋体" w:cs="Times New Roman"/>
          <w:kern w:val="0"/>
          <w:sz w:val="21"/>
          <w:szCs w:val="21"/>
          <w:lang w:val="en-US" w:eastAsia="zh-CN" w:bidi="ar-SA"/>
        </w:rPr>
        <w:t>磁钢要求：采用4级内嵌式设计，磁钢等级为N40EH，要求有防腐镀层，镀层方式为NiCuNi，交货态为预充磁，充磁后剩磁要求在12.5k-12.8k高斯；</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永磁常速电机转子送货时随物资配套装配所需数量的转子轴承。</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质量及可追溯要求：转子总成采用序列号管理，且在转子表面有激光打标的序列号，禁止采用机械打标方式。转子铁芯及磁钢要求有批次号管理，且可在需要时进行追溯至生产日期及员工姓名；</w:t>
      </w:r>
    </w:p>
    <w:p>
      <w:pPr>
        <w:numPr>
          <w:ilvl w:val="0"/>
          <w:numId w:val="28"/>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450永磁常速电机定子片技术规范</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按照加工图纸尺寸及公差要求对产品的外径、内径、角度、长度、倒角尺寸、粗糙度等进行100%全检，确保所有产品加工尺寸都在图纸尺寸范围内，图纸见附件四。</w:t>
      </w:r>
    </w:p>
    <w:p>
      <w:pPr>
        <w:numPr>
          <w:ilvl w:val="0"/>
          <w:numId w:val="28"/>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562系列永磁常速电机转子-四极技术规范</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转子总成外径：68.9+0.05mm</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转子总成内径：35.02 </w:t>
      </w:r>
      <w:r>
        <w:rPr>
          <w:rFonts w:hint="default" w:ascii="Times New Roman" w:hAnsi="Times New Roman" w:eastAsia="宋体" w:cs="Times New Roman"/>
          <w:kern w:val="0"/>
          <w:sz w:val="21"/>
          <w:szCs w:val="21"/>
          <w:lang w:val="en-US" w:eastAsia="zh-CN" w:bidi="ar-SA"/>
          <w:eastAsianLayout w:id="30" w:combine="1"/>
        </w:rPr>
        <w:t>+0.05 0</w:t>
      </w:r>
      <w:r>
        <w:rPr>
          <w:rFonts w:hint="default" w:ascii="Times New Roman" w:hAnsi="Times New Roman" w:eastAsia="宋体" w:cs="Times New Roman"/>
          <w:kern w:val="0"/>
          <w:sz w:val="21"/>
          <w:szCs w:val="21"/>
          <w:lang w:val="en-US" w:eastAsia="zh-CN" w:bidi="ar-SA"/>
        </w:rPr>
        <w:t>mm</w:t>
      </w:r>
    </w:p>
    <w:p>
      <w:pPr>
        <w:widowControl w:val="0"/>
        <w:numPr>
          <w:ilvl w:val="0"/>
          <w:numId w:val="30"/>
        </w:numPr>
        <w:spacing w:line="360" w:lineRule="auto"/>
        <w:ind w:left="785" w:hanging="360" w:firstLineChars="0"/>
        <w:jc w:val="left"/>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转子总长：400 +0.15mm</w:t>
      </w:r>
    </w:p>
    <w:p>
      <w:pPr>
        <w:widowControl w:val="0"/>
        <w:numPr>
          <w:ilvl w:val="0"/>
          <w:numId w:val="30"/>
        </w:numPr>
        <w:spacing w:line="360" w:lineRule="auto"/>
        <w:ind w:left="785" w:hanging="36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转子铁芯要求采用自叠铆工艺冲压叠铆完成，硅钢片材质为50W470；</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加工成型的转子铁芯要求垂直度0.08mm，内外径同轴度0.05mm；</w:t>
      </w:r>
    </w:p>
    <w:p>
      <w:pPr>
        <w:widowControl w:val="0"/>
        <w:numPr>
          <w:ilvl w:val="0"/>
          <w:numId w:val="30"/>
        </w:numPr>
        <w:spacing w:line="360" w:lineRule="auto"/>
        <w:ind w:left="0" w:firstLine="400" w:firstLineChars="20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color w:val="0D0D0D"/>
          <w:kern w:val="0"/>
          <w:sz w:val="20"/>
          <w:szCs w:val="20"/>
          <w:lang w:val="en-US" w:eastAsia="zh-CN" w:bidi="ar"/>
        </w:rPr>
        <w:t>★</w:t>
      </w:r>
      <w:r>
        <w:rPr>
          <w:rFonts w:hint="default" w:ascii="Times New Roman" w:hAnsi="Times New Roman" w:eastAsia="宋体" w:cs="Times New Roman"/>
          <w:kern w:val="0"/>
          <w:sz w:val="21"/>
          <w:szCs w:val="21"/>
          <w:lang w:val="en-US" w:eastAsia="zh-CN" w:bidi="ar-SA"/>
        </w:rPr>
        <w:t>磁钢要求：采用4级内嵌式设计，磁钢等级为N40EH，要求有防腐镀层，镀层方式为NiCuNi，交货态为预充磁，充磁后剩磁要求在12.5k-12.8k高斯；</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永磁常速电机转子送货时随物资配套装配所需数量的转子轴承。</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质量及可追溯要求：转子总成采用序列号管理，且在转子表面有激光打标的序列号，禁止采用机械打标方式。转子铁芯及磁钢要求有批次号管理，且可在需要时进行追溯至生产日期及员工姓名；</w:t>
      </w:r>
    </w:p>
    <w:p>
      <w:pPr>
        <w:numPr>
          <w:ilvl w:val="0"/>
          <w:numId w:val="28"/>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562永磁常速电机定子片技术规范</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按照加工图纸尺寸及公差要求对产品的外径、内径、角度、长度、倒角尺寸、粗糙度等进行100%全检，确保所有产品加工尺寸都在图纸尺寸范围内，图纸见附件四。</w:t>
      </w:r>
    </w:p>
    <w:p>
      <w:pPr>
        <w:keepNext/>
        <w:keepLines/>
        <w:widowControl w:val="0"/>
        <w:numPr>
          <w:ilvl w:val="1"/>
          <w:numId w:val="25"/>
        </w:numPr>
        <w:spacing w:before="340" w:after="330" w:line="360" w:lineRule="auto"/>
        <w:ind w:left="10" w:firstLine="430"/>
        <w:jc w:val="both"/>
        <w:outlineLvl w:val="0"/>
        <w:rPr>
          <w:rFonts w:hint="eastAsia" w:ascii="宋体" w:hAnsi="宋体" w:eastAsia="宋体" w:cs="宋体"/>
          <w:b/>
          <w:bCs/>
          <w:spacing w:val="2"/>
          <w:kern w:val="44"/>
          <w:sz w:val="21"/>
          <w:szCs w:val="21"/>
          <w:lang w:val="en-US" w:eastAsia="zh-CN" w:bidi="ar-SA"/>
        </w:rPr>
      </w:pPr>
      <w:r>
        <w:rPr>
          <w:rFonts w:hint="eastAsia" w:ascii="宋体" w:hAnsi="宋体" w:eastAsia="宋体" w:cs="宋体"/>
          <w:b/>
          <w:bCs/>
          <w:spacing w:val="2"/>
          <w:kern w:val="44"/>
          <w:sz w:val="21"/>
          <w:szCs w:val="21"/>
          <w:lang w:val="en-US" w:eastAsia="zh-CN" w:bidi="ar-SA"/>
        </w:rPr>
        <w:t>外表面处理要求</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电机、保护器表面处理工艺应满足《JXCY-ZZ-02-014潜油电泵机组外表面喷漆作业工艺标准》，详情见附件四。</w:t>
      </w:r>
    </w:p>
    <w:p>
      <w:pPr>
        <w:pageBreakBefore w:val="0"/>
        <w:widowControl w:val="0"/>
        <w:tabs>
          <w:tab w:val="center" w:pos="4153"/>
          <w:tab w:val="right" w:pos="8306"/>
        </w:tabs>
        <w:kinsoku/>
        <w:wordWrap/>
        <w:overflowPunct/>
        <w:topLinePunct w:val="0"/>
        <w:bidi w:val="0"/>
        <w:snapToGrid w:val="0"/>
        <w:spacing w:line="360" w:lineRule="auto"/>
        <w:jc w:val="left"/>
        <w:textAlignment w:val="auto"/>
        <w:rPr>
          <w:rFonts w:hint="eastAsia" w:ascii="宋体" w:hAnsi="宋体" w:eastAsia="宋体" w:cs="宋体"/>
          <w:color w:val="auto"/>
          <w:kern w:val="0"/>
          <w:sz w:val="21"/>
          <w:szCs w:val="21"/>
          <w:highlight w:val="none"/>
          <w:lang w:val="en-US" w:eastAsia="en-US" w:bidi="ar-SA"/>
        </w:rPr>
      </w:pPr>
    </w:p>
    <w:p>
      <w:pPr>
        <w:keepNext/>
        <w:keepLines/>
        <w:pageBreakBefore w:val="0"/>
        <w:widowControl w:val="0"/>
        <w:kinsoku/>
        <w:wordWrap/>
        <w:overflowPunct/>
        <w:topLinePunct w:val="0"/>
        <w:bidi w:val="0"/>
        <w:spacing w:before="0" w:after="0" w:line="360" w:lineRule="auto"/>
        <w:ind w:left="0" w:firstLine="422" w:firstLineChars="200"/>
        <w:jc w:val="left"/>
        <w:textAlignment w:val="auto"/>
        <w:outlineLvl w:val="0"/>
        <w:rPr>
          <w:rFonts w:hint="eastAsia" w:ascii="宋体" w:hAnsi="宋体" w:eastAsia="宋体" w:cs="宋体"/>
          <w:b/>
          <w:bCs/>
          <w:color w:val="auto"/>
          <w:kern w:val="44"/>
          <w:sz w:val="21"/>
          <w:szCs w:val="21"/>
          <w:highlight w:val="none"/>
          <w:lang w:val="en-US" w:eastAsia="zh-CN" w:bidi="ar-SA"/>
        </w:rPr>
      </w:pPr>
      <w:bookmarkStart w:id="437" w:name="_Toc12456"/>
      <w:bookmarkStart w:id="438" w:name="_Toc8655"/>
      <w:bookmarkStart w:id="439" w:name="_Toc6610"/>
      <w:bookmarkStart w:id="440" w:name="_Toc14495"/>
      <w:bookmarkStart w:id="441" w:name="_Toc20142"/>
      <w:r>
        <w:rPr>
          <w:rFonts w:hint="eastAsia" w:ascii="宋体" w:hAnsi="宋体" w:eastAsia="宋体" w:cs="宋体"/>
          <w:b/>
          <w:bCs/>
          <w:color w:val="auto"/>
          <w:kern w:val="44"/>
          <w:sz w:val="21"/>
          <w:szCs w:val="21"/>
          <w:highlight w:val="none"/>
          <w:lang w:val="en-US" w:eastAsia="zh-CN" w:bidi="ar-SA"/>
        </w:rPr>
        <w:t>六、检测和试验</w:t>
      </w:r>
      <w:bookmarkEnd w:id="437"/>
      <w:bookmarkEnd w:id="438"/>
      <w:bookmarkEnd w:id="439"/>
      <w:bookmarkEnd w:id="440"/>
      <w:bookmarkEnd w:id="441"/>
    </w:p>
    <w:p>
      <w:pPr>
        <w:keepNext w:val="0"/>
        <w:keepLines w:val="0"/>
        <w:pageBreakBefore w:val="0"/>
        <w:widowControl w:val="0"/>
        <w:numPr>
          <w:ilvl w:val="2"/>
          <w:numId w:val="31"/>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为满足海上平台目前的地面设备应用兼容性要求，投标方在各标段投标时根据所在标段技术要求分别满足潜油永磁电机各标段所需HAILOONG LIFT品牌的OTS400系列变频器型号匹配使用。</w:t>
      </w:r>
    </w:p>
    <w:p>
      <w:pPr>
        <w:keepNext w:val="0"/>
        <w:keepLines w:val="0"/>
        <w:pageBreakBefore w:val="0"/>
        <w:widowControl w:val="0"/>
        <w:numPr>
          <w:ilvl w:val="2"/>
          <w:numId w:val="31"/>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电机出厂检验报告试验方法应符合GBT 22669-2008《 三相永磁同步电动机试验方法》技术要求。</w:t>
      </w:r>
    </w:p>
    <w:p>
      <w:pPr>
        <w:keepNext w:val="0"/>
        <w:keepLines w:val="0"/>
        <w:pageBreakBefore w:val="0"/>
        <w:widowControl w:val="0"/>
        <w:numPr>
          <w:ilvl w:val="2"/>
          <w:numId w:val="31"/>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color w:val="auto"/>
          <w:kern w:val="0"/>
          <w:sz w:val="21"/>
          <w:szCs w:val="21"/>
          <w:highlight w:val="none"/>
          <w:lang w:val="en-US" w:eastAsia="zh-CN"/>
        </w:rPr>
        <w:t>投标人在投标时参照附件七：《永磁电机与感应电机效率、功率因数对比表》提供不少于5种功率下不同规格的永磁电机效率和功率因数对比数据并付相应的试验曲线图与感应电机进行对比。</w:t>
      </w:r>
    </w:p>
    <w:p>
      <w:pPr>
        <w:keepNext w:val="0"/>
        <w:keepLines w:val="0"/>
        <w:pageBreakBefore w:val="0"/>
        <w:widowControl w:val="0"/>
        <w:numPr>
          <w:ilvl w:val="2"/>
          <w:numId w:val="31"/>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kern w:val="0"/>
          <w:sz w:val="21"/>
          <w:szCs w:val="21"/>
          <w:highlight w:val="none"/>
          <w:lang w:eastAsia="zh-CN"/>
        </w:rPr>
        <w:t>永磁电机根据所在标段技术要求要能适用于中压变频器，低压变频器（高-低-高应用方式）的V/F控制，且保证在不增加电器元件和不调节变频器的控制程序的情况下与变频器及变频变压器进行直接连接使用。投标方的潜油永磁电机可稳定工作于上述变频器的V/F控制模式下，电机在空载到额定负载范围内，整个调速范围内不得出现异常振动现象（三轴振动量均不得超过 1.0g）</w:t>
      </w:r>
      <w:r>
        <w:rPr>
          <w:rFonts w:hint="default" w:ascii="Times New Roman" w:hAnsi="Times New Roman" w:eastAsia="宋体" w:cs="Times New Roman"/>
          <w:color w:val="auto"/>
          <w:kern w:val="0"/>
          <w:sz w:val="21"/>
          <w:szCs w:val="21"/>
          <w:highlight w:val="none"/>
          <w:lang w:val="en-US" w:eastAsia="zh-CN"/>
        </w:rPr>
        <w:t>。</w:t>
      </w:r>
    </w:p>
    <w:p>
      <w:pPr>
        <w:keepNext w:val="0"/>
        <w:keepLines w:val="0"/>
        <w:pageBreakBefore w:val="0"/>
        <w:widowControl w:val="0"/>
        <w:numPr>
          <w:ilvl w:val="2"/>
          <w:numId w:val="31"/>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bookmarkStart w:id="442" w:name="_Toc6428"/>
      <w:bookmarkStart w:id="443" w:name="_Toc5248"/>
      <w:bookmarkStart w:id="444" w:name="_Toc16986"/>
      <w:bookmarkStart w:id="445" w:name="_Toc7746"/>
      <w:bookmarkStart w:id="446" w:name="_Toc17098"/>
      <w:r>
        <w:rPr>
          <w:rFonts w:hint="eastAsia" w:ascii="Times New Roman" w:hAnsi="Times New Roman" w:eastAsia="宋体" w:cs="Times New Roman"/>
          <w:kern w:val="0"/>
          <w:sz w:val="21"/>
          <w:szCs w:val="21"/>
          <w:highlight w:val="yellow"/>
          <w:lang w:val="en-US" w:eastAsia="zh-CN"/>
        </w:rPr>
        <w:t>由第三方实验机构（CCS、ABS、BV、DNV）中的任意一家、招标人机采公司以及投标人在招标人现场共同见证投标方所提供的电机和HAILOONG LIFT品牌的OTS400变频器变频器匹配性试验。</w:t>
      </w:r>
      <w:r>
        <w:rPr>
          <w:rFonts w:hint="eastAsia" w:ascii="Times New Roman" w:hAnsi="Times New Roman" w:eastAsia="宋体" w:cs="Times New Roman"/>
          <w:kern w:val="0"/>
          <w:sz w:val="21"/>
          <w:szCs w:val="21"/>
          <w:lang w:val="en-US" w:eastAsia="zh-CN"/>
        </w:rPr>
        <w:t>试验要求：</w:t>
      </w:r>
      <w:bookmarkStart w:id="573" w:name="_GoBack"/>
      <w:bookmarkEnd w:id="573"/>
    </w:p>
    <w:p>
      <w:pPr>
        <w:numPr>
          <w:ilvl w:val="0"/>
          <w:numId w:val="32"/>
        </w:numPr>
        <w:autoSpaceDE w:val="0"/>
        <w:autoSpaceDN w:val="0"/>
        <w:adjustRightInd w:val="0"/>
        <w:spacing w:line="360" w:lineRule="auto"/>
        <w:ind w:leftChars="0"/>
        <w:jc w:val="both"/>
        <w:rPr>
          <w:rFonts w:hint="eastAsia"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lang w:eastAsia="zh-CN"/>
        </w:rPr>
        <w:t>测试电机的型号要求如下：</w:t>
      </w:r>
      <w:r>
        <w:rPr>
          <w:rFonts w:hint="eastAsia" w:ascii="Times New Roman" w:hAnsi="Times New Roman" w:eastAsia="宋体" w:cs="Times New Roman"/>
          <w:kern w:val="0"/>
          <w:sz w:val="21"/>
          <w:szCs w:val="21"/>
          <w:highlight w:val="none"/>
          <w:lang w:val="en-US" w:eastAsia="zh-CN"/>
        </w:rPr>
        <w:t>投标方</w:t>
      </w:r>
      <w:r>
        <w:rPr>
          <w:rFonts w:hint="default" w:ascii="Times New Roman" w:hAnsi="Times New Roman" w:eastAsia="宋体" w:cs="Times New Roman"/>
          <w:kern w:val="0"/>
          <w:sz w:val="21"/>
          <w:szCs w:val="21"/>
          <w:highlight w:val="none"/>
          <w:lang w:eastAsia="zh-CN"/>
        </w:rPr>
        <w:t>提供</w:t>
      </w:r>
      <w:r>
        <w:rPr>
          <w:rFonts w:hint="eastAsia" w:ascii="Times New Roman" w:hAnsi="Times New Roman" w:eastAsia="宋体" w:cs="Times New Roman"/>
          <w:kern w:val="0"/>
          <w:sz w:val="21"/>
          <w:szCs w:val="21"/>
          <w:highlight w:val="none"/>
          <w:lang w:val="en-US" w:eastAsia="zh-CN"/>
        </w:rPr>
        <w:t>4</w:t>
      </w:r>
      <w:r>
        <w:rPr>
          <w:rFonts w:hint="default" w:ascii="Times New Roman" w:hAnsi="Times New Roman" w:eastAsia="宋体" w:cs="Times New Roman"/>
          <w:kern w:val="0"/>
          <w:sz w:val="21"/>
          <w:szCs w:val="21"/>
          <w:highlight w:val="none"/>
          <w:lang w:eastAsia="zh-CN"/>
        </w:rPr>
        <w:t>50系列电机</w:t>
      </w:r>
      <w:r>
        <w:rPr>
          <w:rFonts w:hint="eastAsia"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lang w:eastAsia="zh-CN"/>
        </w:rPr>
        <w:t>电机运行额定转速3000RPM，</w:t>
      </w:r>
      <w:r>
        <w:rPr>
          <w:rFonts w:hint="eastAsia" w:ascii="Times New Roman" w:hAnsi="Times New Roman" w:eastAsia="宋体" w:cs="Times New Roman"/>
          <w:kern w:val="0"/>
          <w:sz w:val="21"/>
          <w:szCs w:val="21"/>
          <w:lang w:val="en-US" w:eastAsia="zh-CN"/>
        </w:rPr>
        <w:t>测试</w:t>
      </w:r>
      <w:r>
        <w:rPr>
          <w:rFonts w:hint="default" w:ascii="Times New Roman" w:hAnsi="Times New Roman" w:eastAsia="宋体" w:cs="Times New Roman"/>
          <w:kern w:val="0"/>
          <w:sz w:val="21"/>
          <w:szCs w:val="21"/>
          <w:lang w:eastAsia="zh-CN"/>
        </w:rPr>
        <w:t>在3000RPM@100Hz下可以</w:t>
      </w:r>
      <w:r>
        <w:rPr>
          <w:rFonts w:hint="default" w:ascii="Times New Roman" w:hAnsi="Times New Roman" w:eastAsia="宋体" w:cs="Times New Roman"/>
          <w:kern w:val="0"/>
          <w:sz w:val="21"/>
          <w:szCs w:val="21"/>
          <w:highlight w:val="none"/>
          <w:lang w:eastAsia="zh-CN"/>
        </w:rPr>
        <w:t>稳定运行</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并提供</w:t>
      </w:r>
      <w:r>
        <w:rPr>
          <w:rFonts w:hint="default" w:ascii="Times New Roman" w:hAnsi="Times New Roman" w:eastAsia="宋体" w:cs="Times New Roman"/>
          <w:kern w:val="0"/>
          <w:sz w:val="21"/>
          <w:szCs w:val="21"/>
          <w:highlight w:val="none"/>
          <w:lang w:eastAsia="zh-CN"/>
        </w:rPr>
        <w:t>经CCS、ABS、BV、DNV第三方实验机构中的任意一家认证的测试报告</w:t>
      </w:r>
      <w:r>
        <w:rPr>
          <w:rFonts w:hint="eastAsia" w:ascii="Times New Roman" w:hAnsi="Times New Roman" w:eastAsia="宋体" w:cs="Times New Roman"/>
          <w:kern w:val="0"/>
          <w:sz w:val="21"/>
          <w:szCs w:val="21"/>
          <w:highlight w:val="none"/>
          <w:lang w:eastAsia="zh-CN"/>
        </w:rPr>
        <w:t>。</w:t>
      </w:r>
    </w:p>
    <w:p>
      <w:pPr>
        <w:keepNext w:val="0"/>
        <w:keepLines w:val="0"/>
        <w:pageBreakBefore w:val="0"/>
        <w:widowControl w:val="0"/>
        <w:numPr>
          <w:ilvl w:val="0"/>
          <w:numId w:val="32"/>
        </w:numPr>
        <w:tabs>
          <w:tab w:val="center" w:pos="4153"/>
          <w:tab w:val="right" w:pos="8306"/>
        </w:tabs>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投标方在</w:t>
      </w:r>
      <w:r>
        <w:rPr>
          <w:rFonts w:hint="eastAsia" w:ascii="Times New Roman" w:hAnsi="Times New Roman" w:eastAsia="宋体" w:cs="Times New Roman"/>
          <w:kern w:val="2"/>
          <w:sz w:val="21"/>
          <w:szCs w:val="21"/>
          <w:highlight w:val="none"/>
          <w:lang w:val="en-US" w:eastAsia="zh-CN" w:bidi="ar-SA"/>
        </w:rPr>
        <w:t>测试期间需</w:t>
      </w:r>
      <w:r>
        <w:rPr>
          <w:rFonts w:hint="default" w:ascii="Times New Roman" w:hAnsi="Times New Roman" w:eastAsia="宋体" w:cs="Times New Roman"/>
          <w:kern w:val="2"/>
          <w:sz w:val="21"/>
          <w:szCs w:val="21"/>
          <w:highlight w:val="none"/>
          <w:lang w:val="en-US" w:eastAsia="zh-CN" w:bidi="ar-SA"/>
        </w:rPr>
        <w:t>提供变频器压频比控制设置参数表，</w:t>
      </w:r>
      <w:r>
        <w:rPr>
          <w:rFonts w:hint="eastAsia" w:ascii="Times New Roman" w:hAnsi="Times New Roman" w:eastAsia="宋体" w:cs="Times New Roman"/>
          <w:kern w:val="2"/>
          <w:sz w:val="21"/>
          <w:szCs w:val="21"/>
          <w:highlight w:val="none"/>
          <w:lang w:val="en-US" w:eastAsia="zh-CN" w:bidi="ar-SA"/>
        </w:rPr>
        <w:t>由</w:t>
      </w:r>
      <w:r>
        <w:rPr>
          <w:rFonts w:hint="default" w:ascii="Times New Roman" w:hAnsi="Times New Roman" w:eastAsia="宋体" w:cs="Times New Roman"/>
          <w:kern w:val="0"/>
          <w:sz w:val="21"/>
          <w:szCs w:val="21"/>
          <w:highlight w:val="none"/>
          <w:lang w:val="en-US" w:eastAsia="zh-CN" w:bidi="ar-SA"/>
        </w:rPr>
        <w:t>CCS、ABS、BV、DNV第三方实验机构中的任意一家</w:t>
      </w:r>
      <w:r>
        <w:rPr>
          <w:rFonts w:hint="eastAsia" w:ascii="Times New Roman" w:hAnsi="Times New Roman" w:eastAsia="宋体" w:cs="Times New Roman"/>
          <w:kern w:val="2"/>
          <w:sz w:val="21"/>
          <w:szCs w:val="21"/>
          <w:highlight w:val="none"/>
          <w:lang w:val="en-US" w:eastAsia="zh-CN" w:bidi="ar-SA"/>
        </w:rPr>
        <w:t>在测试期间</w:t>
      </w:r>
      <w:r>
        <w:rPr>
          <w:rFonts w:hint="default" w:ascii="Times New Roman" w:hAnsi="Times New Roman" w:eastAsia="宋体" w:cs="Times New Roman"/>
          <w:kern w:val="2"/>
          <w:sz w:val="21"/>
          <w:szCs w:val="21"/>
          <w:highlight w:val="none"/>
          <w:lang w:val="en-US" w:eastAsia="zh-CN" w:bidi="ar-SA"/>
        </w:rPr>
        <w:t>根据投标方提供的压频比参数设置表进行试验验证复核</w:t>
      </w:r>
      <w:r>
        <w:rPr>
          <w:rFonts w:hint="eastAsia" w:ascii="Times New Roman" w:hAnsi="Times New Roman" w:eastAsia="宋体" w:cs="Times New Roman"/>
          <w:kern w:val="2"/>
          <w:sz w:val="21"/>
          <w:szCs w:val="21"/>
          <w:highlight w:val="none"/>
          <w:lang w:val="en-US" w:eastAsia="zh-CN" w:bidi="ar-SA"/>
        </w:rPr>
        <w:t>：</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①</w:t>
      </w:r>
      <w:r>
        <w:rPr>
          <w:rFonts w:hint="default" w:ascii="Times New Roman" w:hAnsi="Times New Roman" w:eastAsia="宋体" w:cs="Times New Roman"/>
          <w:kern w:val="0"/>
          <w:sz w:val="21"/>
          <w:szCs w:val="21"/>
          <w:highlight w:val="none"/>
          <w:lang w:eastAsia="zh-CN"/>
        </w:rPr>
        <w:t>投标方</w:t>
      </w:r>
      <w:r>
        <w:rPr>
          <w:rFonts w:hint="eastAsia" w:ascii="Times New Roman" w:hAnsi="Times New Roman" w:eastAsia="宋体" w:cs="Times New Roman"/>
          <w:kern w:val="0"/>
          <w:sz w:val="21"/>
          <w:szCs w:val="21"/>
          <w:highlight w:val="none"/>
          <w:lang w:val="en-US" w:eastAsia="zh-CN"/>
        </w:rPr>
        <w:t>的</w:t>
      </w:r>
      <w:r>
        <w:rPr>
          <w:rFonts w:hint="default" w:ascii="Times New Roman" w:hAnsi="Times New Roman" w:eastAsia="宋体" w:cs="Times New Roman"/>
          <w:kern w:val="0"/>
          <w:sz w:val="21"/>
          <w:szCs w:val="21"/>
          <w:highlight w:val="none"/>
          <w:lang w:eastAsia="zh-CN"/>
        </w:rPr>
        <w:t>电机按照该设置参数表，能够顺畅空载启动和运行，启动及运行过程中振动值在各轴向低于1g（测试匹配HAILOONG DS1系列泵工况进行数据监视），三相电流不平衡度不高于3%；</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②</w:t>
      </w:r>
      <w:r>
        <w:rPr>
          <w:rFonts w:hint="default" w:ascii="Times New Roman" w:hAnsi="Times New Roman" w:eastAsia="宋体" w:cs="Times New Roman"/>
          <w:kern w:val="0"/>
          <w:sz w:val="21"/>
          <w:szCs w:val="21"/>
          <w:highlight w:val="none"/>
          <w:lang w:eastAsia="zh-CN"/>
        </w:rPr>
        <w:t>在任意负载及负载变化工况下，可用相同的变频器设置正常启动和运行，加减速时间及V/F曲线无需根据负载情况调整修改。</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③</w:t>
      </w:r>
      <w:r>
        <w:rPr>
          <w:rFonts w:hint="default" w:ascii="Times New Roman" w:hAnsi="Times New Roman" w:eastAsia="宋体" w:cs="Times New Roman"/>
          <w:kern w:val="0"/>
          <w:sz w:val="21"/>
          <w:szCs w:val="21"/>
          <w:highlight w:val="none"/>
          <w:lang w:eastAsia="zh-CN"/>
        </w:rPr>
        <w:t>见证测试项目及评价表如下：（按照各标段要求进行测试）</w:t>
      </w:r>
    </w:p>
    <w:p>
      <w:pPr>
        <w:widowControl w:val="0"/>
        <w:tabs>
          <w:tab w:val="center" w:pos="4153"/>
          <w:tab w:val="right" w:pos="8306"/>
        </w:tabs>
        <w:snapToGrid w:val="0"/>
        <w:jc w:val="left"/>
        <w:rPr>
          <w:rFonts w:ascii="Times New Roman" w:hAnsi="Times New Roman" w:eastAsia="宋体" w:cs="Times New Roman"/>
          <w:kern w:val="0"/>
          <w:sz w:val="18"/>
          <w:szCs w:val="18"/>
          <w:highlight w:val="none"/>
          <w:lang w:val="en-US" w:eastAsia="zh-CN" w:bidi="ar-SA"/>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636"/>
        <w:gridCol w:w="696"/>
        <w:gridCol w:w="421"/>
        <w:gridCol w:w="1627"/>
        <w:gridCol w:w="1731"/>
        <w:gridCol w:w="758"/>
        <w:gridCol w:w="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见证测试项目</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判定依据</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实测数据</w:t>
            </w:r>
          </w:p>
        </w:tc>
        <w:tc>
          <w:tcPr>
            <w:tcW w:w="0" w:type="auto"/>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备注</w:t>
            </w:r>
          </w:p>
        </w:tc>
        <w:tc>
          <w:tcPr>
            <w:tcW w:w="0" w:type="auto"/>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见证测试项目</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判定依据</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实测数据</w:t>
            </w:r>
          </w:p>
        </w:tc>
        <w:tc>
          <w:tcPr>
            <w:tcW w:w="0" w:type="auto"/>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直流电阻不平衡度</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≤3%</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V/F设置</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0~100Hz</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50~100/Hz电压设置值≤2点线性V/F计算值±10%</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冷态绝缘电阻（6.1.2.2）</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≥1000MΩ</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满负载50</w:t>
            </w:r>
            <w:r>
              <w:rPr>
                <w:rFonts w:hint="default" w:ascii="Times New Roman" w:hAnsi="Times New Roman" w:eastAsia="宋体" w:cs="Times New Roman"/>
                <w:kern w:val="0"/>
                <w:sz w:val="20"/>
                <w:szCs w:val="20"/>
                <w:highlight w:val="none"/>
                <w:lang w:val="en-US" w:eastAsia="zh-CN" w:bidi="ar-SA"/>
              </w:rPr>
              <w:t xml:space="preserve"> </w:t>
            </w:r>
            <w:r>
              <w:rPr>
                <w:rFonts w:ascii="Times New Roman" w:hAnsi="Times New Roman" w:eastAsia="宋体" w:cs="Times New Roman"/>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 xml:space="preserve"> </w:t>
            </w:r>
            <w:r>
              <w:rPr>
                <w:rFonts w:ascii="Times New Roman" w:hAnsi="Times New Roman" w:eastAsia="宋体" w:cs="Times New Roman"/>
                <w:kern w:val="0"/>
                <w:sz w:val="20"/>
                <w:szCs w:val="20"/>
                <w:highlight w:val="none"/>
                <w:lang w:val="en-US" w:eastAsia="zh-CN" w:bidi="ar-SA"/>
              </w:rPr>
              <w:t>100Hz运行（泵负载法或测功法）至少包含：50/60/70/80/90/</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100Hz测试点</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工作电流</w:t>
            </w:r>
            <w:r>
              <w:rPr>
                <w:rFonts w:ascii="Cambria Math" w:hAnsi="Cambria Math" w:eastAsia="宋体" w:cs="Cambria Math"/>
                <w:kern w:val="0"/>
                <w:sz w:val="20"/>
                <w:szCs w:val="20"/>
                <w:highlight w:val="none"/>
                <w:lang w:val="en-US" w:eastAsia="zh-CN" w:bidi="ar-SA"/>
              </w:rPr>
              <w:t>≯</w:t>
            </w:r>
            <w:r>
              <w:rPr>
                <w:rFonts w:ascii="Times New Roman" w:hAnsi="Times New Roman" w:eastAsia="宋体" w:cs="Times New Roman"/>
                <w:kern w:val="0"/>
                <w:sz w:val="20"/>
                <w:szCs w:val="20"/>
                <w:highlight w:val="none"/>
                <w:lang w:val="en-US" w:eastAsia="zh-CN" w:bidi="ar-SA"/>
              </w:rPr>
              <w:t>额定电流</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工作电压</w:t>
            </w:r>
            <w:r>
              <w:rPr>
                <w:rFonts w:ascii="Cambria Math" w:hAnsi="Cambria Math" w:eastAsia="宋体" w:cs="Cambria Math"/>
                <w:kern w:val="0"/>
                <w:sz w:val="20"/>
                <w:szCs w:val="20"/>
                <w:highlight w:val="none"/>
                <w:lang w:val="en-US" w:eastAsia="zh-CN" w:bidi="ar-SA"/>
              </w:rPr>
              <w:t>≯</w:t>
            </w:r>
            <w:r>
              <w:rPr>
                <w:rFonts w:ascii="Times New Roman" w:hAnsi="Times New Roman" w:eastAsia="宋体" w:cs="Times New Roman"/>
                <w:kern w:val="0"/>
                <w:sz w:val="20"/>
                <w:szCs w:val="20"/>
                <w:highlight w:val="none"/>
                <w:lang w:val="en-US" w:eastAsia="zh-CN" w:bidi="ar-SA"/>
              </w:rPr>
              <w:t>额定电压</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功率因数＞0.87（350系列）/0.9（450系列）/0.95（562系列）</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电机效率＞85%（350系列）/88%（450系列）/94%（562系列）</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型式空载试验测量（6.1.2.3.2.2）</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 xml:space="preserve">当三相电压平衡时，电机三相空载电流中任一相与三相平均值的偏差的绝对值不应大于三相平均值的10% </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满负载50~100Hz扫频（泵负载法或测功法）</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三轴振动≤1g</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工作电流</w:t>
            </w:r>
            <w:r>
              <w:rPr>
                <w:rFonts w:hint="default" w:ascii="Cambria Math" w:hAnsi="Cambria Math" w:eastAsia="宋体" w:cs="Cambria Math"/>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额定电流</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工作电压</w:t>
            </w:r>
            <w:r>
              <w:rPr>
                <w:rFonts w:hint="default" w:ascii="Cambria Math" w:hAnsi="Cambria Math" w:eastAsia="宋体" w:cs="Cambria Math"/>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额定电压</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超速试验（6.1.2.5）</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无永久性变形和妨碍电机正常运行的其他缺陷</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50 Hz、60 Hz、70 Hz、80 Hz、90 Hz、100 Hz，50~100%负载突变（泵负载法或测功法）</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三轴振动≤1g</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工作电流</w:t>
            </w:r>
            <w:r>
              <w:rPr>
                <w:rFonts w:hint="default" w:ascii="Cambria Math" w:hAnsi="Cambria Math" w:eastAsia="宋体" w:cs="Cambria Math"/>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额定电流</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电机空载振动测试（30~</w:t>
            </w:r>
            <w:r>
              <w:rPr>
                <w:rFonts w:hint="default" w:ascii="Times New Roman" w:hAnsi="Times New Roman" w:eastAsia="宋体" w:cs="Times New Roman"/>
                <w:kern w:val="0"/>
                <w:sz w:val="20"/>
                <w:szCs w:val="20"/>
                <w:highlight w:val="none"/>
                <w:lang w:val="en-US" w:eastAsia="zh-CN" w:bidi="ar-SA"/>
              </w:rPr>
              <w:t xml:space="preserve"> </w:t>
            </w:r>
            <w:r>
              <w:rPr>
                <w:rFonts w:ascii="Times New Roman" w:hAnsi="Times New Roman" w:eastAsia="宋体" w:cs="Times New Roman"/>
                <w:kern w:val="0"/>
                <w:sz w:val="20"/>
                <w:szCs w:val="20"/>
                <w:highlight w:val="none"/>
                <w:lang w:val="en-US" w:eastAsia="zh-CN" w:bidi="ar-SA"/>
              </w:rPr>
              <w:t>100Hz）</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三轴振动≤1g</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1.2倍过负载测试（</w:t>
            </w:r>
            <w:r>
              <w:rPr>
                <w:rFonts w:hint="default" w:ascii="Times New Roman" w:hAnsi="Times New Roman" w:eastAsia="宋体" w:cs="Times New Roman"/>
                <w:kern w:val="0"/>
                <w:sz w:val="20"/>
                <w:szCs w:val="20"/>
                <w:highlight w:val="none"/>
                <w:lang w:val="en-US" w:eastAsia="zh-CN" w:bidi="ar-SA"/>
              </w:rPr>
              <w:t>30~100H在，至少包含</w:t>
            </w:r>
            <w:r>
              <w:rPr>
                <w:rFonts w:ascii="Times New Roman" w:hAnsi="Times New Roman" w:eastAsia="宋体" w:cs="Times New Roman"/>
                <w:kern w:val="0"/>
                <w:sz w:val="20"/>
                <w:szCs w:val="20"/>
                <w:highlight w:val="none"/>
                <w:lang w:val="en-US" w:eastAsia="zh-CN" w:bidi="ar-SA"/>
              </w:rPr>
              <w:t>50 Hz、60 Hz、70 Hz、80 Hz、90 Hz、100 Hz</w:t>
            </w:r>
            <w:r>
              <w:rPr>
                <w:rFonts w:hint="default" w:ascii="Times New Roman" w:hAnsi="Times New Roman" w:eastAsia="宋体" w:cs="Times New Roman"/>
                <w:kern w:val="0"/>
                <w:sz w:val="20"/>
                <w:szCs w:val="20"/>
                <w:highlight w:val="none"/>
                <w:lang w:val="en-US" w:eastAsia="zh-CN" w:bidi="ar-SA"/>
              </w:rPr>
              <w:t>测试点</w:t>
            </w:r>
            <w:r>
              <w:rPr>
                <w:rFonts w:ascii="Times New Roman" w:hAnsi="Times New Roman" w:eastAsia="宋体" w:cs="Times New Roman"/>
                <w:kern w:val="0"/>
                <w:sz w:val="20"/>
                <w:szCs w:val="20"/>
                <w:highlight w:val="none"/>
                <w:lang w:val="en-US" w:eastAsia="zh-CN" w:bidi="ar-SA"/>
              </w:rPr>
              <w:t>）</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三轴振动≤1g</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工作电流</w:t>
            </w:r>
            <w:r>
              <w:rPr>
                <w:rFonts w:hint="default" w:ascii="Cambria Math" w:hAnsi="Cambria Math" w:eastAsia="宋体" w:cs="Cambria Math"/>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1.5倍额定电流</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温升测试——泵负载法</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（6.1.2.7）</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≤30K</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bl>
    <w:p>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360" w:lineRule="auto"/>
        <w:ind w:leftChars="0"/>
        <w:jc w:val="left"/>
        <w:textAlignment w:val="auto"/>
        <w:rPr>
          <w:rFonts w:hint="default"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numPr>
          <w:ilvl w:val="0"/>
          <w:numId w:val="0"/>
        </w:numPr>
        <w:autoSpaceDE w:val="0"/>
        <w:autoSpaceDN w:val="0"/>
        <w:adjustRightInd w:val="0"/>
        <w:spacing w:line="360" w:lineRule="auto"/>
        <w:ind w:leftChars="0"/>
        <w:jc w:val="both"/>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3）</w:t>
      </w:r>
      <w:r>
        <w:rPr>
          <w:rFonts w:hint="default" w:ascii="Times New Roman" w:hAnsi="Times New Roman" w:eastAsia="宋体" w:cs="Times New Roman"/>
          <w:kern w:val="0"/>
          <w:sz w:val="21"/>
          <w:szCs w:val="21"/>
          <w:highlight w:val="none"/>
          <w:lang w:eastAsia="zh-CN"/>
        </w:rPr>
        <w:t>试验方法应符合GB/T 16750-2015《潜油电泵机组》第6章 试验方法和检验规则要求。</w:t>
      </w:r>
      <w:r>
        <w:rPr>
          <w:rFonts w:hint="eastAsia" w:ascii="Times New Roman" w:hAnsi="Times New Roman" w:eastAsia="宋体" w:cs="Times New Roman"/>
          <w:kern w:val="0"/>
          <w:sz w:val="21"/>
          <w:szCs w:val="21"/>
          <w:highlight w:val="none"/>
          <w:lang w:val="en-US" w:eastAsia="zh-CN"/>
        </w:rPr>
        <w:t>其中</w:t>
      </w:r>
      <w:r>
        <w:rPr>
          <w:rFonts w:hint="default" w:ascii="Times New Roman" w:hAnsi="Times New Roman" w:cs="Times New Roman" w:eastAsiaTheme="minorEastAsia"/>
          <w:kern w:val="0"/>
          <w:sz w:val="20"/>
          <w:szCs w:val="20"/>
          <w:highlight w:val="none"/>
          <w:lang w:eastAsia="zh-CN"/>
        </w:rPr>
        <w:t>型式空载试验测量</w:t>
      </w:r>
      <w:r>
        <w:rPr>
          <w:rFonts w:hint="eastAsia" w:ascii="Times New Roman" w:hAnsi="Times New Roman" w:cs="Times New Roman" w:eastAsiaTheme="minorEastAsia"/>
          <w:kern w:val="0"/>
          <w:sz w:val="20"/>
          <w:szCs w:val="20"/>
          <w:highlight w:val="none"/>
          <w:lang w:val="en-US" w:eastAsia="zh-CN"/>
        </w:rPr>
        <w:t>方法应满足</w:t>
      </w:r>
      <w:r>
        <w:rPr>
          <w:rFonts w:hint="default" w:ascii="Times New Roman" w:hAnsi="Times New Roman" w:eastAsia="宋体" w:cs="Times New Roman"/>
          <w:kern w:val="0"/>
          <w:sz w:val="21"/>
          <w:szCs w:val="21"/>
          <w:highlight w:val="none"/>
          <w:lang w:eastAsia="zh-CN"/>
        </w:rPr>
        <w:t>GB/T 16750-2015《潜油电泵机组》第6章 试验方法和检验规则要求</w:t>
      </w:r>
      <w:r>
        <w:rPr>
          <w:rFonts w:hint="eastAsia" w:ascii="Times New Roman" w:hAnsi="Times New Roman" w:eastAsia="宋体" w:cs="Times New Roman"/>
          <w:kern w:val="0"/>
          <w:sz w:val="21"/>
          <w:szCs w:val="21"/>
          <w:highlight w:val="none"/>
          <w:lang w:val="en-US" w:eastAsia="zh-CN"/>
        </w:rPr>
        <w:t xml:space="preserve"> 6.1 试验方法  6.1.2 电机 6.1.2.3 空载试验  6.1.2.3.2  测量方法  6.1.2.3.2.2 </w:t>
      </w:r>
      <w:r>
        <w:rPr>
          <w:rFonts w:hint="default" w:ascii="Times New Roman" w:hAnsi="Times New Roman" w:cs="Times New Roman" w:eastAsiaTheme="minorEastAsia"/>
          <w:kern w:val="0"/>
          <w:sz w:val="20"/>
          <w:szCs w:val="20"/>
          <w:highlight w:val="none"/>
          <w:lang w:eastAsia="zh-CN"/>
        </w:rPr>
        <w:t>型式空载试验测量</w:t>
      </w:r>
      <w:r>
        <w:rPr>
          <w:rFonts w:hint="eastAsia" w:ascii="Times New Roman" w:hAnsi="Times New Roman" w:cs="Times New Roman" w:eastAsiaTheme="minorEastAsia"/>
          <w:kern w:val="0"/>
          <w:sz w:val="20"/>
          <w:szCs w:val="20"/>
          <w:highlight w:val="none"/>
          <w:lang w:val="en-US" w:eastAsia="zh-CN"/>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p>
    <w:p>
      <w:pPr>
        <w:numPr>
          <w:ilvl w:val="0"/>
          <w:numId w:val="0"/>
        </w:numPr>
        <w:autoSpaceDE w:val="0"/>
        <w:autoSpaceDN w:val="0"/>
        <w:adjustRightInd w:val="0"/>
        <w:spacing w:line="360" w:lineRule="auto"/>
        <w:jc w:val="both"/>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4）招标方提供测试场地，</w:t>
      </w:r>
      <w:r>
        <w:rPr>
          <w:rFonts w:hint="eastAsia" w:ascii="宋体" w:hAnsi="宋体" w:eastAsia="宋体" w:cs="宋体"/>
          <w:kern w:val="0"/>
          <w:sz w:val="21"/>
          <w:szCs w:val="21"/>
          <w:highlight w:val="yellow"/>
          <w:lang w:val="en-US" w:eastAsia="zh-CN"/>
        </w:rPr>
        <w:t>投标人、招标人</w:t>
      </w:r>
      <w:r>
        <w:rPr>
          <w:rFonts w:hint="eastAsia" w:ascii="宋体" w:hAnsi="宋体" w:eastAsia="宋体" w:cs="宋体"/>
          <w:kern w:val="0"/>
          <w:sz w:val="21"/>
          <w:szCs w:val="21"/>
          <w:highlight w:val="none"/>
          <w:lang w:val="en-US" w:eastAsia="zh-CN"/>
        </w:rPr>
        <w:t>机采公司以及第三方实验机构（CCS、ABS、BV、DNV）中的任意一家在机械采油公司东沽试验车间共同见证测试试验</w:t>
      </w:r>
      <w:r>
        <w:rPr>
          <w:rFonts w:hint="eastAsia" w:ascii="Times New Roman" w:hAnsi="Times New Roman" w:eastAsia="宋体" w:cs="Times New Roman"/>
          <w:kern w:val="0"/>
          <w:sz w:val="21"/>
          <w:szCs w:val="21"/>
          <w:highlight w:val="none"/>
          <w:lang w:val="en-US" w:eastAsia="zh-CN"/>
        </w:rPr>
        <w:t>，同时招标方提供</w:t>
      </w:r>
      <w:r>
        <w:rPr>
          <w:rFonts w:hint="default" w:ascii="Times New Roman" w:hAnsi="Times New Roman" w:eastAsia="宋体" w:cs="Times New Roman"/>
          <w:kern w:val="0"/>
          <w:sz w:val="21"/>
          <w:szCs w:val="21"/>
          <w:highlight w:val="none"/>
          <w:lang w:val="en-US" w:eastAsia="zh-CN"/>
        </w:rPr>
        <w:t>HAILOONG LIFT品牌的</w:t>
      </w:r>
      <w:r>
        <w:rPr>
          <w:rFonts w:hint="eastAsia" w:ascii="Times New Roman" w:hAnsi="Times New Roman" w:eastAsia="宋体" w:cs="Times New Roman"/>
          <w:kern w:val="0"/>
          <w:sz w:val="21"/>
          <w:szCs w:val="21"/>
          <w:highlight w:val="none"/>
          <w:lang w:val="en-US" w:eastAsia="zh-CN"/>
        </w:rPr>
        <w:t>OTS400</w:t>
      </w:r>
      <w:r>
        <w:rPr>
          <w:rFonts w:hint="default" w:ascii="Times New Roman" w:hAnsi="Times New Roman" w:eastAsia="宋体" w:cs="Times New Roman"/>
          <w:kern w:val="0"/>
          <w:sz w:val="21"/>
          <w:szCs w:val="21"/>
          <w:highlight w:val="none"/>
          <w:lang w:val="en-US" w:eastAsia="zh-CN"/>
        </w:rPr>
        <w:t>变频器</w:t>
      </w:r>
      <w:r>
        <w:rPr>
          <w:rFonts w:hint="eastAsia" w:ascii="Times New Roman" w:hAnsi="Times New Roman" w:eastAsia="宋体" w:cs="Times New Roman"/>
          <w:kern w:val="0"/>
          <w:sz w:val="21"/>
          <w:szCs w:val="21"/>
          <w:highlight w:val="none"/>
          <w:lang w:val="en-US" w:eastAsia="zh-CN"/>
        </w:rPr>
        <w:t>和</w:t>
      </w:r>
      <w:r>
        <w:rPr>
          <w:rFonts w:hint="default" w:ascii="Times New Roman" w:hAnsi="Times New Roman" w:eastAsia="宋体" w:cs="Times New Roman"/>
          <w:kern w:val="0"/>
          <w:sz w:val="21"/>
          <w:szCs w:val="21"/>
          <w:highlight w:val="none"/>
          <w:lang w:val="en-US" w:eastAsia="zh-CN"/>
        </w:rPr>
        <w:t>HAILOONG DS1系列泵工况</w:t>
      </w:r>
      <w:r>
        <w:rPr>
          <w:rFonts w:hint="eastAsia" w:ascii="Times New Roman" w:hAnsi="Times New Roman" w:eastAsia="宋体" w:cs="Times New Roman"/>
          <w:kern w:val="0"/>
          <w:sz w:val="21"/>
          <w:szCs w:val="21"/>
          <w:highlight w:val="none"/>
          <w:lang w:val="en-US" w:eastAsia="zh-CN"/>
        </w:rPr>
        <w:t>，投标方提供电机并送往机械采油东沽试验车间。</w:t>
      </w:r>
    </w:p>
    <w:p>
      <w:pPr>
        <w:numPr>
          <w:ilvl w:val="0"/>
          <w:numId w:val="0"/>
        </w:numPr>
        <w:autoSpaceDE w:val="0"/>
        <w:autoSpaceDN w:val="0"/>
        <w:adjustRightInd w:val="0"/>
        <w:spacing w:line="360" w:lineRule="auto"/>
        <w:ind w:leftChars="0"/>
        <w:jc w:val="both"/>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5）</w:t>
      </w:r>
      <w:r>
        <w:rPr>
          <w:rFonts w:hint="default" w:ascii="Times New Roman" w:hAnsi="Times New Roman" w:eastAsia="宋体" w:cs="Times New Roman"/>
          <w:kern w:val="0"/>
          <w:sz w:val="21"/>
          <w:szCs w:val="21"/>
          <w:highlight w:val="none"/>
          <w:lang w:eastAsia="zh-CN"/>
        </w:rPr>
        <w:t>第三方机构测试期间发生的所有见证费用由投标方负责</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测试期间运输电机等测试物资发生的往返运费由</w:t>
      </w:r>
      <w:r>
        <w:rPr>
          <w:rFonts w:hint="default" w:ascii="Times New Roman" w:hAnsi="Times New Roman" w:eastAsia="宋体" w:cs="Times New Roman"/>
          <w:kern w:val="0"/>
          <w:sz w:val="21"/>
          <w:szCs w:val="21"/>
          <w:highlight w:val="none"/>
          <w:lang w:eastAsia="zh-CN"/>
        </w:rPr>
        <w:t>投标方负责</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测试期间如出现因投标方的电机试验导致现场招标方和投标方的物资和设备损坏的情况，招标方的物资和设备损坏所产生的费用由投标方负责，投标方的物资和设备损坏所产生的费用由投标方自行承担</w:t>
      </w:r>
      <w:r>
        <w:rPr>
          <w:rFonts w:hint="eastAsia" w:ascii="Times New Roman" w:hAnsi="Times New Roman" w:eastAsia="宋体" w:cs="Times New Roman"/>
          <w:kern w:val="0"/>
          <w:sz w:val="21"/>
          <w:szCs w:val="21"/>
          <w:highlight w:val="none"/>
          <w:lang w:eastAsia="zh-CN"/>
        </w:rPr>
        <w:t>。</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jc w:val="left"/>
        <w:textAlignment w:val="auto"/>
        <w:rPr>
          <w:rFonts w:hint="eastAsia" w:ascii="Calibri" w:hAnsi="Calibri" w:eastAsia="宋体" w:cs="Times New Roman"/>
          <w:kern w:val="0"/>
          <w:sz w:val="18"/>
          <w:szCs w:val="18"/>
          <w:lang w:val="en-US" w:eastAsia="zh-CN" w:bidi="ar-SA"/>
        </w:rPr>
      </w:pPr>
      <w:r>
        <w:rPr>
          <w:rFonts w:hint="eastAsia" w:ascii="Times New Roman" w:hAnsi="Times New Roman" w:eastAsia="宋体" w:cs="Times New Roman"/>
          <w:kern w:val="2"/>
          <w:sz w:val="21"/>
          <w:szCs w:val="21"/>
          <w:highlight w:val="none"/>
          <w:lang w:val="en-US" w:eastAsia="zh-CN" w:bidi="ar-SA"/>
        </w:rPr>
        <w:t>6）投标方的电机和</w:t>
      </w:r>
      <w:r>
        <w:rPr>
          <w:rFonts w:hint="default" w:ascii="Times New Roman" w:hAnsi="Times New Roman" w:eastAsia="宋体" w:cs="Times New Roman"/>
          <w:kern w:val="2"/>
          <w:sz w:val="21"/>
          <w:szCs w:val="21"/>
          <w:highlight w:val="none"/>
          <w:lang w:val="en-US" w:eastAsia="zh-CN" w:bidi="ar-SA"/>
        </w:rPr>
        <w:t>HAILOONG LIFT品牌的</w:t>
      </w:r>
      <w:r>
        <w:rPr>
          <w:rFonts w:hint="eastAsia" w:ascii="Times New Roman" w:hAnsi="Times New Roman" w:eastAsia="宋体" w:cs="Times New Roman"/>
          <w:kern w:val="2"/>
          <w:sz w:val="21"/>
          <w:szCs w:val="21"/>
          <w:highlight w:val="none"/>
          <w:lang w:val="en-US" w:eastAsia="zh-CN" w:bidi="ar-SA"/>
        </w:rPr>
        <w:t>OTS400</w:t>
      </w:r>
      <w:r>
        <w:rPr>
          <w:rFonts w:hint="default" w:ascii="Times New Roman" w:hAnsi="Times New Roman" w:eastAsia="宋体" w:cs="Times New Roman"/>
          <w:kern w:val="2"/>
          <w:sz w:val="21"/>
          <w:szCs w:val="21"/>
          <w:highlight w:val="none"/>
          <w:lang w:val="en-US" w:eastAsia="zh-CN" w:bidi="ar-SA"/>
        </w:rPr>
        <w:t>变频器</w:t>
      </w:r>
      <w:r>
        <w:rPr>
          <w:rFonts w:hint="eastAsia" w:ascii="Times New Roman" w:hAnsi="Times New Roman" w:eastAsia="宋体" w:cs="Times New Roman"/>
          <w:kern w:val="2"/>
          <w:sz w:val="21"/>
          <w:szCs w:val="21"/>
          <w:highlight w:val="none"/>
          <w:lang w:val="en-US" w:eastAsia="zh-CN" w:bidi="ar-SA"/>
        </w:rPr>
        <w:t>匹配性试验成功，该投标方被判定为资格预审合格。如投标方的电机和</w:t>
      </w:r>
      <w:r>
        <w:rPr>
          <w:rFonts w:hint="default" w:ascii="Times New Roman" w:hAnsi="Times New Roman" w:eastAsia="宋体" w:cs="Times New Roman"/>
          <w:kern w:val="2"/>
          <w:sz w:val="21"/>
          <w:szCs w:val="21"/>
          <w:highlight w:val="none"/>
          <w:lang w:val="en-US" w:eastAsia="zh-CN" w:bidi="ar-SA"/>
        </w:rPr>
        <w:t>HAILOONG LIFT品牌的</w:t>
      </w:r>
      <w:r>
        <w:rPr>
          <w:rFonts w:hint="eastAsia" w:ascii="Times New Roman" w:hAnsi="Times New Roman" w:eastAsia="宋体" w:cs="Times New Roman"/>
          <w:kern w:val="2"/>
          <w:sz w:val="21"/>
          <w:szCs w:val="21"/>
          <w:highlight w:val="none"/>
          <w:lang w:val="en-US" w:eastAsia="zh-CN" w:bidi="ar-SA"/>
        </w:rPr>
        <w:t>OTS400</w:t>
      </w:r>
      <w:r>
        <w:rPr>
          <w:rFonts w:hint="default" w:ascii="Times New Roman" w:hAnsi="Times New Roman" w:eastAsia="宋体" w:cs="Times New Roman"/>
          <w:kern w:val="2"/>
          <w:sz w:val="21"/>
          <w:szCs w:val="21"/>
          <w:highlight w:val="none"/>
          <w:lang w:val="en-US" w:eastAsia="zh-CN" w:bidi="ar-SA"/>
        </w:rPr>
        <w:t>变频器</w:t>
      </w:r>
      <w:r>
        <w:rPr>
          <w:rFonts w:hint="eastAsia" w:ascii="Times New Roman" w:hAnsi="Times New Roman" w:eastAsia="宋体" w:cs="Times New Roman"/>
          <w:kern w:val="2"/>
          <w:sz w:val="21"/>
          <w:szCs w:val="21"/>
          <w:highlight w:val="none"/>
          <w:lang w:val="en-US" w:eastAsia="zh-CN" w:bidi="ar-SA"/>
        </w:rPr>
        <w:t>匹配性试验失败，则投标方被</w:t>
      </w:r>
      <w:r>
        <w:rPr>
          <w:rFonts w:hint="eastAsia" w:ascii="Times New Roman" w:hAnsi="Times New Roman" w:eastAsia="宋体" w:cs="Times New Roman"/>
          <w:kern w:val="2"/>
          <w:sz w:val="21"/>
          <w:szCs w:val="21"/>
          <w:lang w:val="en-US" w:eastAsia="zh-CN" w:bidi="ar-SA"/>
        </w:rPr>
        <w:t>判定为资格预审不合格。</w:t>
      </w:r>
    </w:p>
    <w:p>
      <w:pPr>
        <w:numPr>
          <w:ilvl w:val="2"/>
          <w:numId w:val="31"/>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参与投标的生产商需有自己的生产设备，投标时需提供与投标公司名称一致的生产设备采购合同或发票和照片。生产设备至少包括电机定子叠压机、定子调直设备、定子嵌线台架、真空浸漆装置、永磁电机总装台。</w:t>
      </w:r>
      <w:r>
        <w:rPr>
          <w:rFonts w:hint="default" w:ascii="Times New Roman" w:hAnsi="Times New Roman" w:eastAsia="宋体" w:cs="Times New Roman"/>
          <w:kern w:val="0"/>
          <w:sz w:val="21"/>
          <w:szCs w:val="21"/>
          <w:highlight w:val="yellow"/>
          <w:lang w:eastAsia="zh-CN"/>
        </w:rPr>
        <w:t>（如合同/发票上的设备/物资名称能与本项要求的名称不一致，但是能实现相应的主要功能，即视为具备该设备，符合要求）</w:t>
      </w:r>
      <w:r>
        <w:rPr>
          <w:rFonts w:hint="default" w:ascii="Times New Roman" w:hAnsi="Times New Roman" w:eastAsia="宋体" w:cs="Times New Roman"/>
          <w:kern w:val="0"/>
          <w:sz w:val="21"/>
          <w:szCs w:val="21"/>
          <w:lang w:eastAsia="zh-CN"/>
        </w:rPr>
        <w:t>。</w:t>
      </w:r>
    </w:p>
    <w:p>
      <w:pPr>
        <w:numPr>
          <w:ilvl w:val="2"/>
          <w:numId w:val="31"/>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参与投标的生产商需有自己的检验设备,投标时需提供与投标公司名称一致的检验设备采购合同或发票和照片，合同中检验设备的数量应满足本招标书要求的最低产能。检验设备至少包括高压电火花机、磁矩检测仪（剩磁检测设备）、磁通计、光学影像尺寸测量仪、示波器、功率分析仪、扭矩分析仪、电机试验测试系统及在线监测系统。</w:t>
      </w:r>
      <w:r>
        <w:rPr>
          <w:rFonts w:hint="eastAsia" w:ascii="Times New Roman" w:hAnsi="Times New Roman" w:eastAsia="宋体" w:cs="Times New Roman"/>
          <w:kern w:val="0"/>
          <w:sz w:val="21"/>
          <w:szCs w:val="21"/>
          <w:highlight w:val="yellow"/>
          <w:lang w:val="en-US" w:eastAsia="zh-CN"/>
        </w:rPr>
        <w:t>（如合同/发票上的设备/物资名称能与本项要求的名称不一致，但是能实现相应的主要功能，即视为具备该设备，符合要求）。</w:t>
      </w:r>
    </w:p>
    <w:p>
      <w:pPr>
        <w:numPr>
          <w:ilvl w:val="2"/>
          <w:numId w:val="31"/>
        </w:numPr>
        <w:autoSpaceDE w:val="0"/>
        <w:autoSpaceDN w:val="0"/>
        <w:adjustRightInd w:val="0"/>
        <w:spacing w:line="360" w:lineRule="auto"/>
        <w:ind w:left="567" w:hanging="567"/>
        <w:jc w:val="both"/>
        <w:rPr>
          <w:rFonts w:ascii="Times New Roman" w:hAnsi="Times New Roman" w:eastAsia="宋体" w:cs="Times New Roman"/>
          <w:kern w:val="0"/>
          <w:sz w:val="22"/>
          <w:lang w:eastAsia="zh-CN"/>
        </w:rPr>
      </w:pPr>
      <w:r>
        <w:rPr>
          <w:rFonts w:hint="default" w:ascii="Times New Roman" w:hAnsi="Times New Roman" w:eastAsia="宋体" w:cs="Times New Roman"/>
          <w:kern w:val="0"/>
          <w:sz w:val="21"/>
          <w:szCs w:val="21"/>
          <w:lang w:eastAsia="zh-CN"/>
        </w:rPr>
        <w:t>零件尺寸的检验</w:t>
      </w:r>
    </w:p>
    <w:p>
      <w:pPr>
        <w:widowControl w:val="0"/>
        <w:numPr>
          <w:ilvl w:val="0"/>
          <w:numId w:val="33"/>
        </w:numPr>
        <w:spacing w:before="120" w:after="120" w:line="360" w:lineRule="auto"/>
        <w:ind w:left="720" w:hanging="360" w:firstLineChars="0"/>
        <w:jc w:val="both"/>
        <w:outlineLvl w:val="0"/>
        <w:rPr>
          <w:rFonts w:hint="eastAsia" w:ascii="Times New Roman" w:hAnsi="Times New Roman" w:eastAsia="宋体" w:cs="Times New Roman"/>
          <w:kern w:val="0"/>
          <w:sz w:val="21"/>
          <w:szCs w:val="21"/>
          <w:lang w:val="en-US" w:eastAsia="zh-CN" w:bidi="ar-SA"/>
        </w:rPr>
      </w:pPr>
      <w:bookmarkStart w:id="447" w:name="_Toc11183"/>
      <w:bookmarkStart w:id="448" w:name="_Toc25597"/>
      <w:bookmarkStart w:id="449" w:name="_Toc27054"/>
      <w:bookmarkStart w:id="450" w:name="_Toc29974"/>
      <w:bookmarkStart w:id="451" w:name="_Toc15732"/>
      <w:r>
        <w:rPr>
          <w:rFonts w:hint="eastAsia" w:ascii="Times New Roman" w:hAnsi="Times New Roman" w:eastAsia="宋体" w:cs="Times New Roman"/>
          <w:kern w:val="0"/>
          <w:sz w:val="21"/>
          <w:szCs w:val="21"/>
          <w:lang w:val="en-US" w:eastAsia="zh-CN" w:bidi="ar-SA"/>
        </w:rPr>
        <w:t>按照加工图纸尺寸及公差要求对产品的外径、内径、角度、长度、倒角尺寸、粗糙度等进行100%全检，确保所有产品加工尺寸都在图纸尺寸范围内。</w:t>
      </w:r>
      <w:bookmarkEnd w:id="447"/>
      <w:bookmarkEnd w:id="448"/>
      <w:bookmarkEnd w:id="449"/>
      <w:bookmarkEnd w:id="450"/>
    </w:p>
    <w:p>
      <w:pPr>
        <w:widowControl w:val="0"/>
        <w:numPr>
          <w:ilvl w:val="0"/>
          <w:numId w:val="33"/>
        </w:numPr>
        <w:spacing w:before="120" w:after="120" w:line="360" w:lineRule="auto"/>
        <w:ind w:left="720" w:hanging="360" w:firstLineChars="0"/>
        <w:jc w:val="both"/>
        <w:outlineLvl w:val="0"/>
        <w:rPr>
          <w:rFonts w:hint="eastAsia" w:ascii="Times New Roman" w:hAnsi="Times New Roman" w:eastAsia="宋体" w:cs="Times New Roman"/>
          <w:kern w:val="0"/>
          <w:sz w:val="21"/>
          <w:szCs w:val="21"/>
          <w:lang w:val="en-US" w:eastAsia="zh-CN" w:bidi="ar-SA"/>
        </w:rPr>
      </w:pPr>
      <w:bookmarkStart w:id="452" w:name="_Toc26989"/>
      <w:bookmarkStart w:id="453" w:name="_Toc26957"/>
      <w:bookmarkStart w:id="454" w:name="_Toc2425"/>
      <w:bookmarkStart w:id="455" w:name="_Toc22233"/>
      <w:r>
        <w:rPr>
          <w:rFonts w:hint="eastAsia" w:ascii="Segoe UI Symbol" w:hAnsi="Segoe UI Symbol" w:eastAsia="宋体" w:cs="Segoe UI Symbol"/>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潜油永磁电机转子要求动平衡测试，动平衡质量级别不低于G6.3（6.3mm/s），卖方在投标时出具450和562系列潜油永磁电机转子的动平衡测试报告。</w:t>
      </w:r>
      <w:bookmarkEnd w:id="452"/>
      <w:bookmarkEnd w:id="453"/>
      <w:bookmarkEnd w:id="454"/>
      <w:bookmarkEnd w:id="455"/>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456" w:name="_Toc31854"/>
      <w:bookmarkStart w:id="457" w:name="_Toc160"/>
      <w:bookmarkStart w:id="458" w:name="_Toc31565"/>
      <w:bookmarkStart w:id="459" w:name="_Toc24706"/>
      <w:r>
        <w:rPr>
          <w:rFonts w:hint="default" w:ascii="Times New Roman" w:hAnsi="Times New Roman" w:eastAsia="宋体" w:cs="Times New Roman"/>
          <w:b/>
          <w:bCs/>
          <w:kern w:val="44"/>
          <w:sz w:val="21"/>
          <w:szCs w:val="21"/>
          <w:lang w:val="en-US" w:eastAsia="zh-CN" w:bidi="ar-SA"/>
        </w:rPr>
        <w:t>七、标识、包装、运输和存储</w:t>
      </w:r>
      <w:bookmarkEnd w:id="451"/>
      <w:bookmarkEnd w:id="456"/>
      <w:bookmarkEnd w:id="457"/>
      <w:bookmarkEnd w:id="458"/>
      <w:bookmarkEnd w:id="459"/>
    </w:p>
    <w:p>
      <w:pPr>
        <w:numPr>
          <w:ilvl w:val="1"/>
          <w:numId w:val="34"/>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460" w:name="_Toc27689"/>
      <w:bookmarkStart w:id="461" w:name="_Toc27461"/>
      <w:bookmarkStart w:id="462" w:name="_Toc19780"/>
      <w:bookmarkStart w:id="463" w:name="_Toc3303"/>
      <w:bookmarkStart w:id="464" w:name="_Toc3272"/>
      <w:r>
        <w:rPr>
          <w:rFonts w:hint="default" w:ascii="Times New Roman" w:hAnsi="Times New Roman" w:eastAsia="宋体" w:cs="Times New Roman"/>
          <w:b/>
          <w:kern w:val="0"/>
          <w:sz w:val="21"/>
          <w:szCs w:val="21"/>
          <w:lang w:eastAsia="zh-CN"/>
        </w:rPr>
        <w:t>送货</w:t>
      </w:r>
      <w:r>
        <w:rPr>
          <w:rFonts w:hint="default" w:ascii="Times New Roman" w:hAnsi="Times New Roman" w:eastAsia="宋体" w:cs="Times New Roman"/>
          <w:b/>
          <w:kern w:val="0"/>
          <w:sz w:val="21"/>
          <w:szCs w:val="21"/>
          <w:lang w:eastAsia="en-US"/>
        </w:rPr>
        <w:t>配备物品</w:t>
      </w:r>
      <w:bookmarkEnd w:id="460"/>
      <w:bookmarkEnd w:id="461"/>
      <w:bookmarkEnd w:id="462"/>
      <w:bookmarkEnd w:id="463"/>
      <w:bookmarkEnd w:id="464"/>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包装箱内除放置供货合同要求的电机，还应有一次下井件（数量参考供货要求）、相关纸质文件。纸质文件至少应包括不限于：产品发货清单、产品试验报告、一次下井附件清单等。</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450系列永磁常速电机转子包装要求：成型转子要求采用木质转运箱交货，转子之间要求间距至少15cm，且在转运箱上清晰标识强磁危险，因应环保考量，木质转运箱可以在供应商与采购商之间循环使用。</w:t>
      </w:r>
    </w:p>
    <w:p>
      <w:p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450系列永磁常速电机定子片包装要求：金属配件全部采用油纸进行封装，收发验收后可全面恢复。定子冲片采用密封箱进行封闭防护，能够起到防潮、防灰作用。</w:t>
      </w:r>
    </w:p>
    <w:p>
      <w:pPr>
        <w:widowControl w:val="0"/>
        <w:tabs>
          <w:tab w:val="center" w:pos="4153"/>
          <w:tab w:val="right" w:pos="8306"/>
        </w:tabs>
        <w:snapToGrid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p>
    <w:p>
      <w:pPr>
        <w:numPr>
          <w:ilvl w:val="1"/>
          <w:numId w:val="34"/>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465" w:name="_Toc26127"/>
      <w:bookmarkStart w:id="466" w:name="_Toc16780"/>
      <w:bookmarkStart w:id="467" w:name="_Toc24355"/>
      <w:bookmarkStart w:id="468" w:name="_Toc10330"/>
      <w:bookmarkStart w:id="469" w:name="_Toc21425"/>
      <w:r>
        <w:rPr>
          <w:rFonts w:hint="default" w:ascii="Times New Roman" w:hAnsi="Times New Roman" w:eastAsia="宋体" w:cs="Times New Roman"/>
          <w:b/>
          <w:kern w:val="0"/>
          <w:sz w:val="21"/>
          <w:szCs w:val="21"/>
          <w:lang w:eastAsia="en-US"/>
        </w:rPr>
        <w:t>包装箱体标识要求：</w:t>
      </w:r>
      <w:bookmarkEnd w:id="465"/>
      <w:bookmarkEnd w:id="466"/>
      <w:bookmarkEnd w:id="467"/>
      <w:bookmarkEnd w:id="468"/>
      <w:bookmarkEnd w:id="469"/>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验合格后，在发货前，应分别置于钢集束包装箱内。</w:t>
      </w:r>
    </w:p>
    <w:p>
      <w:pPr>
        <w:adjustRightInd/>
        <w:snapToGrid/>
        <w:spacing w:line="240" w:lineRule="auto"/>
        <w:ind w:firstLine="0" w:firstLineChars="0"/>
        <w:jc w:val="left"/>
        <w:outlineLvl w:val="9"/>
        <w:rPr>
          <w:rFonts w:hint="default" w:ascii="Times New Roman" w:hAnsi="Times New Roman" w:eastAsia="宋体" w:cs="Times New Roman"/>
          <w:kern w:val="0"/>
          <w:sz w:val="22"/>
          <w:lang w:eastAsia="zh-CN"/>
        </w:rPr>
      </w:pPr>
      <w:bookmarkStart w:id="470" w:name="_Toc21732"/>
      <w:bookmarkStart w:id="471" w:name="_Toc10363"/>
      <w:bookmarkStart w:id="472" w:name="_Toc15341"/>
      <w:bookmarkStart w:id="473" w:name="_Toc25480"/>
      <w:bookmarkStart w:id="474" w:name="_Toc23254"/>
      <w:r>
        <w:rPr>
          <w:rFonts w:hint="default" w:ascii="Times New Roman" w:hAnsi="Times New Roman" w:eastAsia="宋体" w:cs="Times New Roman"/>
          <w:kern w:val="0"/>
          <w:sz w:val="22"/>
          <w:lang w:eastAsia="zh-CN"/>
        </w:rPr>
        <w:t>电机和保护器铭牌尺寸要求如下：</w:t>
      </w:r>
      <w:bookmarkEnd w:id="470"/>
      <w:bookmarkEnd w:id="471"/>
      <w:bookmarkEnd w:id="472"/>
      <w:bookmarkEnd w:id="473"/>
      <w:bookmarkEnd w:id="474"/>
    </w:p>
    <w:p>
      <w:pPr>
        <w:autoSpaceDE w:val="0"/>
        <w:autoSpaceDN w:val="0"/>
        <w:adjustRightInd w:val="0"/>
        <w:snapToGrid w:val="0"/>
        <w:spacing w:line="360" w:lineRule="auto"/>
        <w:jc w:val="center"/>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电机铭牌尺寸</w:t>
      </w:r>
    </w:p>
    <w:p>
      <w:pPr>
        <w:autoSpaceDE w:val="0"/>
        <w:autoSpaceDN w:val="0"/>
        <w:adjustRightInd w:val="0"/>
        <w:snapToGri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lang w:eastAsia="en-US"/>
        </w:rPr>
        <w:drawing>
          <wp:inline distT="0" distB="0" distL="114300" distR="114300">
            <wp:extent cx="4224655" cy="2826385"/>
            <wp:effectExtent l="0" t="0" r="4445"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4224655" cy="2826385"/>
                    </a:xfrm>
                    <a:prstGeom prst="rect">
                      <a:avLst/>
                    </a:prstGeom>
                    <a:noFill/>
                    <a:ln>
                      <a:noFill/>
                    </a:ln>
                  </pic:spPr>
                </pic:pic>
              </a:graphicData>
            </a:graphic>
          </wp:inline>
        </w:drawing>
      </w:r>
    </w:p>
    <w:p>
      <w:pPr>
        <w:autoSpaceDE w:val="0"/>
        <w:autoSpaceDN w:val="0"/>
        <w:adjustRightInd w:val="0"/>
        <w:snapToGrid w:val="0"/>
        <w:spacing w:line="360" w:lineRule="auto"/>
        <w:ind w:left="542" w:leftChars="258" w:firstLine="3000" w:firstLineChars="1500"/>
        <w:jc w:val="both"/>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保护器铭牌尺寸</w:t>
      </w:r>
    </w:p>
    <w:p>
      <w:pPr>
        <w:adjustRightInd w:val="0"/>
        <w:snapToGrid w:val="0"/>
        <w:spacing w:line="360" w:lineRule="auto"/>
        <w:ind w:left="425"/>
        <w:jc w:val="center"/>
        <w:rPr>
          <w:rFonts w:hint="default" w:ascii="Times New Roman" w:hAnsi="Times New Roman" w:eastAsia="宋体" w:cs="Times New Roman"/>
          <w:b/>
          <w:kern w:val="0"/>
          <w:sz w:val="22"/>
          <w:lang w:eastAsia="en-US"/>
        </w:rPr>
      </w:pPr>
      <w:r>
        <w:rPr>
          <w:rFonts w:hint="default" w:ascii="Times New Roman" w:hAnsi="Times New Roman" w:eastAsia="宋体" w:cs="Times New Roman"/>
          <w:kern w:val="0"/>
          <w:sz w:val="22"/>
          <w:lang w:eastAsia="en-US"/>
        </w:rPr>
        <w:drawing>
          <wp:inline distT="0" distB="0" distL="114300" distR="114300">
            <wp:extent cx="4226560" cy="2560955"/>
            <wp:effectExtent l="0" t="0" r="254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stretch>
                      <a:fillRect/>
                    </a:stretch>
                  </pic:blipFill>
                  <pic:spPr>
                    <a:xfrm>
                      <a:off x="0" y="0"/>
                      <a:ext cx="4226560" cy="2560955"/>
                    </a:xfrm>
                    <a:prstGeom prst="rect">
                      <a:avLst/>
                    </a:prstGeom>
                    <a:noFill/>
                    <a:ln>
                      <a:noFill/>
                    </a:ln>
                  </pic:spPr>
                </pic:pic>
              </a:graphicData>
            </a:graphic>
          </wp:inline>
        </w:drawing>
      </w:r>
    </w:p>
    <w:p>
      <w:pPr>
        <w:numPr>
          <w:ilvl w:val="1"/>
          <w:numId w:val="34"/>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475" w:name="_Toc31041"/>
      <w:bookmarkStart w:id="476" w:name="_Toc24904"/>
      <w:bookmarkStart w:id="477" w:name="_Toc2040"/>
      <w:bookmarkStart w:id="478" w:name="_Toc18588"/>
      <w:bookmarkStart w:id="479" w:name="_Toc32725"/>
      <w:r>
        <w:rPr>
          <w:rFonts w:hint="default" w:ascii="Times New Roman" w:hAnsi="Times New Roman" w:eastAsia="宋体" w:cs="Times New Roman"/>
          <w:b/>
          <w:kern w:val="0"/>
          <w:sz w:val="21"/>
          <w:szCs w:val="21"/>
          <w:lang w:eastAsia="zh-CN"/>
        </w:rPr>
        <w:t>送货</w:t>
      </w:r>
      <w:r>
        <w:rPr>
          <w:rFonts w:hint="default" w:ascii="Times New Roman" w:hAnsi="Times New Roman" w:eastAsia="宋体" w:cs="Times New Roman"/>
          <w:b/>
          <w:kern w:val="0"/>
          <w:sz w:val="21"/>
          <w:szCs w:val="21"/>
          <w:lang w:eastAsia="en-US"/>
        </w:rPr>
        <w:t>配备物品</w:t>
      </w:r>
      <w:bookmarkEnd w:id="475"/>
      <w:bookmarkEnd w:id="476"/>
      <w:bookmarkEnd w:id="477"/>
      <w:bookmarkEnd w:id="478"/>
      <w:bookmarkEnd w:id="479"/>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包装箱内除放置供货合同要求的电机，还应有一次下井件（数量参考供货要求）、相关纸质文件。纸质文件至少应包括不限于：产品发货清单、产品试验报告、一次下井附件清单等。</w:t>
      </w:r>
    </w:p>
    <w:p>
      <w:pPr>
        <w:numPr>
          <w:ilvl w:val="1"/>
          <w:numId w:val="34"/>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r>
        <w:rPr>
          <w:rFonts w:hint="default" w:ascii="Times New Roman" w:hAnsi="Times New Roman" w:eastAsia="宋体" w:cs="Times New Roman"/>
          <w:b/>
          <w:kern w:val="0"/>
          <w:sz w:val="21"/>
          <w:szCs w:val="21"/>
          <w:lang w:eastAsia="en-US"/>
        </w:rPr>
        <w:t>包装箱体</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对于潜油电泵机组各部件，包括不限于潜油电机（简称电机）、潜油电机保护器（简称保护器）、油气分离器（简称分离器）、潜油电泵（简称泵）等产品的包装防护按照以下要求进行：</w:t>
      </w:r>
    </w:p>
    <w:p>
      <w:pPr>
        <w:widowControl w:val="0"/>
        <w:numPr>
          <w:ilvl w:val="0"/>
          <w:numId w:val="35"/>
        </w:numPr>
        <w:spacing w:line="360" w:lineRule="auto"/>
        <w:ind w:left="780" w:hanging="360" w:firstLineChars="0"/>
        <w:jc w:val="left"/>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设计要求</w:t>
      </w:r>
    </w:p>
    <w:p>
      <w:pPr>
        <w:widowControl w:val="0"/>
        <w:numPr>
          <w:ilvl w:val="0"/>
          <w:numId w:val="36"/>
        </w:numPr>
        <w:spacing w:line="360" w:lineRule="auto"/>
        <w:ind w:hanging="36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750mm机组收纳箱（图纸见附件三）</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收纳箱长度为10.14m，内径为10m,宽度为750mm，高度为200mm。</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收纳箱四周材质为腰高200mm工字型槽钢，收纳箱下方为高度120mm支撑腿，共计5个，材质为槽钢，厚3mm，底盖配齐全，并进行焊接处理，两地板焊接连接点处进行加强防护。同时底部四角要留有排水孔，详见附件。</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收纳箱上盖配齐全，材质为3mm冷轧钢板，螺栓孔为内螺纹，同时四角配齐紧固M10*20螺栓.螺栓材质为304不锈钢，箱盖板纵向两侧分别配有</w:t>
      </w:r>
      <w:r>
        <w:rPr>
          <w:rFonts w:hint="eastAsia" w:ascii="Cambria Math" w:hAnsi="Cambria Math" w:eastAsia="宋体" w:cs="Cambria Math"/>
          <w:spacing w:val="-2"/>
          <w:kern w:val="0"/>
          <w:sz w:val="21"/>
          <w:szCs w:val="21"/>
          <w:lang w:val="en-US" w:eastAsia="zh-CN" w:bidi="ar-SA"/>
        </w:rPr>
        <w:t>∮</w:t>
      </w:r>
      <w:r>
        <w:rPr>
          <w:rFonts w:hint="eastAsia" w:ascii="Times New Roman" w:hAnsi="Times New Roman" w:eastAsia="宋体" w:cs="Times New Roman"/>
          <w:spacing w:val="-2"/>
          <w:kern w:val="0"/>
          <w:sz w:val="21"/>
          <w:szCs w:val="21"/>
          <w:lang w:val="en-US" w:eastAsia="zh-CN" w:bidi="ar-SA"/>
        </w:rPr>
        <w:t>8±0.5mm提手，材质为Q250B钢材。收纳箱上盖要求与箱体等宽，每块长度不超过1.2m。收纳箱两头分别带有透明亚克力材质的铭牌盒，具体结构尺寸见附件。</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收纳箱内部及上盖里面涂漆要求防锈漆，涂漆均匀无金属裸露，颜色见收纳箱颜色标准示意图。</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收纳箱外部及上盖表面涂漆要求喷砂除锈，底漆使用环氧富锌漆喷涂2遍，面漆使用防锈漆喷涂2遍，涂漆均匀无金属裸露，颜色见收纳箱颜色标准示意图，且收纳箱为收纳箱头部其中一端涂红色，长度为200mm。</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纳箱墨头要求颜色与收纳箱外体颜色明显区分，尺寸80×80mm，且要求防水。</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收纳箱墨头内容包含：海龙LOGO。</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收纳箱两侧还要有吊点、方向、防震、防水标识。</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收纳箱为焊接结构，强度要求整体载荷大于3500kg。             </w:t>
      </w:r>
    </w:p>
    <w:p>
      <w:pPr>
        <w:widowControl w:val="0"/>
        <w:numPr>
          <w:ilvl w:val="0"/>
          <w:numId w:val="36"/>
        </w:numPr>
        <w:spacing w:line="360" w:lineRule="auto"/>
        <w:ind w:hanging="360" w:firstLineChars="0"/>
        <w:jc w:val="left"/>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950mm加长机组收纳箱（图纸见附件三）</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收纳箱长度为10.14m，内径为10m，宽度为950mm，高度为200mm。</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收纳箱四周材质为腰高200mm工字型槽钢，收纳箱下方为高度120mm支撑腿，共计5个，材质为槽钢，厚3mm，底盖配齐全，并进行焊接处理，两地板焊接连接点处进行加强防护。同时底部四角要留有排水孔，详见附件。</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收纳箱上盖配齐全，材质为3mm冷轧钢板，螺栓孔为内螺纹，同时四角配齐紧固M10*20螺栓.螺栓材质为304不锈钢，箱盖板纵向两侧分别配有</w:t>
      </w:r>
      <w:r>
        <w:rPr>
          <w:rFonts w:hint="eastAsia" w:ascii="Cambria Math" w:hAnsi="Cambria Math" w:eastAsia="宋体" w:cs="Cambria Math"/>
          <w:spacing w:val="-2"/>
          <w:kern w:val="0"/>
          <w:sz w:val="21"/>
          <w:szCs w:val="21"/>
          <w:lang w:val="en-US" w:eastAsia="zh-CN" w:bidi="ar-SA"/>
        </w:rPr>
        <w:t>∮</w:t>
      </w:r>
      <w:r>
        <w:rPr>
          <w:rFonts w:hint="eastAsia" w:ascii="Times New Roman" w:hAnsi="Times New Roman" w:eastAsia="宋体" w:cs="Times New Roman"/>
          <w:spacing w:val="-2"/>
          <w:kern w:val="0"/>
          <w:sz w:val="21"/>
          <w:szCs w:val="21"/>
          <w:lang w:val="en-US" w:eastAsia="zh-CN" w:bidi="ar-SA"/>
        </w:rPr>
        <w:t>8±0.5mm提手，材质为Q250B钢材。收纳箱上盖要求与箱体等宽，每块长度不超过1.2m。收纳箱两头分别带有透明亚克力材质的铭牌盒，具体结构尺寸见附件。</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收纳箱内部及上盖里面涂漆要求防锈漆，涂漆均匀无金属裸露，颜色见收纳箱颜色标准示意图。</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收纳箱外部及上盖表面涂漆要求喷砂除锈，底漆使用环氧富锌漆喷涂2遍，面漆使用防锈漆喷涂2遍，涂漆均匀无金属裸露，颜色见收纳箱颜色标准示意图，且收纳箱为收纳箱头部其中一端涂红色，长度为200mm。</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收纳箱墨头要求颜色与收纳箱外体颜色明显区分，尺寸80×80mm，且要求防水。</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收纳箱墨头内容包含：海龙LOGO。</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收纳箱两侧还要有吊点、方向、防震、防水标识。</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收纳箱为焊接结构，强度要求整体载荷大于4500kg。</w:t>
      </w:r>
    </w:p>
    <w:p>
      <w:pPr>
        <w:widowControl w:val="0"/>
        <w:numPr>
          <w:ilvl w:val="0"/>
          <w:numId w:val="36"/>
        </w:numPr>
        <w:spacing w:line="360" w:lineRule="auto"/>
        <w:ind w:left="1140" w:hanging="360" w:firstLineChars="0"/>
        <w:jc w:val="left"/>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机组收纳箱颜色标准如下：</w:t>
      </w:r>
    </w:p>
    <w:p>
      <w:pPr>
        <w:widowControl/>
        <w:numPr>
          <w:ilvl w:val="0"/>
          <w:numId w:val="39"/>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机组收纳箱颜色标准如下表所示，本机组箱的颜色标准采用</w:t>
      </w:r>
      <w:r>
        <w:rPr>
          <w:rFonts w:hint="eastAsia" w:ascii="Times New Roman" w:hAnsi="Times New Roman" w:eastAsia="宋体" w:cs="Times New Roman"/>
          <w:spacing w:val="-2"/>
          <w:kern w:val="0"/>
          <w:sz w:val="21"/>
          <w:szCs w:val="21"/>
          <w:lang w:val="en-US" w:eastAsia="zh-CN" w:bidi="ar"/>
        </w:rPr>
        <w:t>色彩CMYK四色值  来表达，其中C代表蓝色、M代表红色、Y代表黄色、K代表黑色。</w:t>
      </w:r>
    </w:p>
    <w:tbl>
      <w:tblPr>
        <w:tblStyle w:val="9"/>
        <w:tblW w:w="51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2"/>
        <w:gridCol w:w="4113"/>
        <w:gridCol w:w="953"/>
        <w:gridCol w:w="2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项目</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颜色</w:t>
            </w:r>
          </w:p>
        </w:tc>
        <w:tc>
          <w:tcPr>
            <w:tcW w:w="1158"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机组箱外、提手、短上盖、长上盖主体</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海油蓝</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C:100 M:40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机组箱内</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洋红色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M:100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机组箱头部（长度275mm）和长盖右侧（长度275mm）</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海龙红</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M:100 Y:100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长盖正面标识背景色、箱体侧面标识背景色</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白色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警示标志、标识中的黑色字体</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黑色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M:0 Y:0 K:100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bl>
    <w:p>
      <w:pPr>
        <w:autoSpaceDE w:val="0"/>
        <w:autoSpaceDN w:val="0"/>
        <w:adjustRightInd w:val="0"/>
        <w:snapToGrid w:val="0"/>
        <w:ind w:left="359" w:leftChars="171" w:firstLine="400" w:firstLineChars="200"/>
        <w:jc w:val="left"/>
        <w:rPr>
          <w:rFonts w:hint="default" w:ascii="Times New Roman" w:hAnsi="Times New Roman" w:eastAsia="宋体" w:cs="Times New Roman"/>
          <w:kern w:val="0"/>
          <w:sz w:val="20"/>
          <w:szCs w:val="20"/>
          <w:lang w:eastAsia="en-US"/>
        </w:rPr>
      </w:pPr>
    </w:p>
    <w:p>
      <w:pPr>
        <w:widowControl w:val="0"/>
        <w:numPr>
          <w:ilvl w:val="0"/>
          <w:numId w:val="39"/>
        </w:numPr>
        <w:adjustRightInd w:val="0"/>
        <w:snapToGrid w:val="0"/>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长上盖的正面标识形式如下，颜色按照上述表格颜色执行。</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drawing>
          <wp:inline distT="0" distB="0" distL="114300" distR="114300">
            <wp:extent cx="1974850" cy="1298575"/>
            <wp:effectExtent l="0" t="0" r="6350" b="15875"/>
            <wp:docPr id="10" name="图片 3" descr="C:\Users\think\AppData\Local\Temp\16412896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think\AppData\Local\Temp\1641289697(1).png"/>
                    <pic:cNvPicPr>
                      <a:picLocks noChangeAspect="1"/>
                    </pic:cNvPicPr>
                  </pic:nvPicPr>
                  <pic:blipFill>
                    <a:blip r:embed="rId26">
                      <a:clrChange>
                        <a:clrFrom>
                          <a:srgbClr val="C9C9C9"/>
                        </a:clrFrom>
                        <a:clrTo>
                          <a:srgbClr val="C9C9C9">
                            <a:alpha val="0"/>
                          </a:srgbClr>
                        </a:clrTo>
                      </a:clrChange>
                    </a:blip>
                    <a:stretch>
                      <a:fillRect/>
                    </a:stretch>
                  </pic:blipFill>
                  <pic:spPr>
                    <a:xfrm>
                      <a:off x="0" y="0"/>
                      <a:ext cx="1974850" cy="1298575"/>
                    </a:xfrm>
                    <a:prstGeom prst="rect">
                      <a:avLst/>
                    </a:prstGeom>
                    <a:noFill/>
                    <a:ln>
                      <a:noFill/>
                    </a:ln>
                  </pic:spPr>
                </pic:pic>
              </a:graphicData>
            </a:graphic>
          </wp:inline>
        </w:drawing>
      </w:r>
    </w:p>
    <w:p>
      <w:pPr>
        <w:widowControl w:val="0"/>
        <w:numPr>
          <w:ilvl w:val="0"/>
          <w:numId w:val="39"/>
        </w:numPr>
        <w:adjustRightInd w:val="0"/>
        <w:snapToGrid w:val="0"/>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机组箱主体侧面标识样式如下，发展字体为微软雅黑，字体高度32mm，颜色按照上述表格颜色执行。</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 xml:space="preserve">  </w:t>
      </w:r>
      <w:r>
        <w:rPr>
          <w:rFonts w:hint="default" w:ascii="Times New Roman" w:hAnsi="Times New Roman" w:eastAsia="宋体" w:cs="Times New Roman"/>
          <w:kern w:val="0"/>
          <w:sz w:val="20"/>
          <w:szCs w:val="20"/>
          <w:lang w:eastAsia="en-US"/>
        </w:rPr>
        <w:drawing>
          <wp:inline distT="0" distB="0" distL="114300" distR="114300">
            <wp:extent cx="3562985" cy="732790"/>
            <wp:effectExtent l="0" t="0" r="18415" b="10160"/>
            <wp:docPr id="11" name="图片 4" descr="C:\Users\think\AppData\Local\Temp\1641289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think\AppData\Local\Temp\1641289638(1).png"/>
                    <pic:cNvPicPr>
                      <a:picLocks noChangeAspect="1"/>
                    </pic:cNvPicPr>
                  </pic:nvPicPr>
                  <pic:blipFill>
                    <a:blip r:embed="rId27">
                      <a:clrChange>
                        <a:clrFrom>
                          <a:srgbClr val="C9C9C9"/>
                        </a:clrFrom>
                        <a:clrTo>
                          <a:srgbClr val="C9C9C9">
                            <a:alpha val="0"/>
                          </a:srgbClr>
                        </a:clrTo>
                      </a:clrChange>
                    </a:blip>
                    <a:stretch>
                      <a:fillRect/>
                    </a:stretch>
                  </pic:blipFill>
                  <pic:spPr>
                    <a:xfrm>
                      <a:off x="0" y="0"/>
                      <a:ext cx="3562985" cy="732790"/>
                    </a:xfrm>
                    <a:prstGeom prst="rect">
                      <a:avLst/>
                    </a:prstGeom>
                    <a:noFill/>
                    <a:ln>
                      <a:noFill/>
                    </a:ln>
                  </pic:spPr>
                </pic:pic>
              </a:graphicData>
            </a:graphic>
          </wp:inline>
        </w:drawing>
      </w:r>
    </w:p>
    <w:p>
      <w:pPr>
        <w:jc w:val="left"/>
        <w:rPr>
          <w:rFonts w:hint="default" w:ascii="Times New Roman" w:hAnsi="Times New Roman" w:eastAsia="宋体" w:cs="Times New Roman"/>
          <w:kern w:val="0"/>
          <w:sz w:val="20"/>
          <w:szCs w:val="20"/>
          <w:lang w:eastAsia="en-US"/>
        </w:rPr>
      </w:pPr>
    </w:p>
    <w:p>
      <w:pPr>
        <w:widowControl w:val="0"/>
        <w:numPr>
          <w:ilvl w:val="0"/>
          <w:numId w:val="39"/>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总成效果图：</w:t>
      </w:r>
    </w:p>
    <w:p>
      <w:pPr>
        <w:spacing w:line="360" w:lineRule="auto"/>
        <w:ind w:firstLine="420" w:firstLineChars="200"/>
        <w:jc w:val="left"/>
        <w:rPr>
          <w:rFonts w:hint="default" w:ascii="Times New Roman" w:hAnsi="Times New Roman" w:eastAsia="宋体" w:cs="Times New Roman"/>
          <w:kern w:val="0"/>
          <w:sz w:val="21"/>
          <w:szCs w:val="21"/>
          <w:lang w:eastAsia="en-US"/>
        </w:rPr>
      </w:pPr>
    </w:p>
    <w:p>
      <w:pPr>
        <w:spacing w:line="360" w:lineRule="auto"/>
        <w:ind w:firstLine="420" w:firstLineChars="200"/>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 xml:space="preserve">           </w:t>
      </w:r>
      <w:r>
        <w:rPr>
          <w:rFonts w:hint="default" w:ascii="Times New Roman" w:hAnsi="Times New Roman" w:eastAsia="宋体" w:cs="Times New Roman"/>
          <w:kern w:val="0"/>
          <w:sz w:val="21"/>
          <w:szCs w:val="21"/>
          <w:lang w:eastAsia="en-US"/>
        </w:rPr>
        <w:drawing>
          <wp:inline distT="0" distB="0" distL="114300" distR="114300">
            <wp:extent cx="4748530" cy="1214755"/>
            <wp:effectExtent l="0" t="0" r="13970" b="44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8"/>
                    <a:srcRect l="2461" t="8517" r="1297" b="7951"/>
                    <a:stretch>
                      <a:fillRect/>
                    </a:stretch>
                  </pic:blipFill>
                  <pic:spPr>
                    <a:xfrm>
                      <a:off x="0" y="0"/>
                      <a:ext cx="4748530" cy="1214755"/>
                    </a:xfrm>
                    <a:prstGeom prst="rect">
                      <a:avLst/>
                    </a:prstGeom>
                    <a:noFill/>
                    <a:ln>
                      <a:noFill/>
                    </a:ln>
                  </pic:spPr>
                </pic:pic>
              </a:graphicData>
            </a:graphic>
          </wp:inline>
        </w:drawing>
      </w:r>
    </w:p>
    <w:p>
      <w:pPr>
        <w:widowControl w:val="0"/>
        <w:numPr>
          <w:ilvl w:val="0"/>
          <w:numId w:val="35"/>
        </w:numPr>
        <w:spacing w:line="360" w:lineRule="auto"/>
        <w:ind w:left="780" w:hanging="360" w:firstLineChars="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加工要严格按照图纸要求，图纸见</w:t>
      </w:r>
      <w:r>
        <w:rPr>
          <w:rFonts w:hint="eastAsia" w:ascii="Times New Roman" w:hAnsi="Times New Roman" w:eastAsia="宋体" w:cs="Times New Roman"/>
          <w:kern w:val="0"/>
          <w:sz w:val="21"/>
          <w:szCs w:val="21"/>
          <w:highlight w:val="none"/>
          <w:lang w:val="en-US" w:eastAsia="zh-CN" w:bidi="ar-SA"/>
        </w:rPr>
        <w:t>附件三</w:t>
      </w:r>
      <w:r>
        <w:rPr>
          <w:rFonts w:hint="eastAsia" w:ascii="Times New Roman" w:hAnsi="Times New Roman" w:eastAsia="宋体" w:cs="Times New Roman"/>
          <w:kern w:val="0"/>
          <w:sz w:val="21"/>
          <w:szCs w:val="21"/>
          <w:lang w:val="en-US" w:eastAsia="zh-CN" w:bidi="ar-SA"/>
        </w:rPr>
        <w:t>。</w:t>
      </w:r>
    </w:p>
    <w:p>
      <w:pPr>
        <w:widowControl w:val="0"/>
        <w:numPr>
          <w:ilvl w:val="0"/>
          <w:numId w:val="35"/>
        </w:numPr>
        <w:autoSpaceDE w:val="0"/>
        <w:autoSpaceDN w:val="0"/>
        <w:adjustRightInd w:val="0"/>
        <w:snapToGrid w:val="0"/>
        <w:spacing w:line="360" w:lineRule="auto"/>
        <w:ind w:left="780" w:hanging="360" w:firstLineChars="0"/>
        <w:jc w:val="left"/>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潜油电机、保护器、泵、分离器检验合格后，在发货前，应分别置于钢集束包装箱内。</w:t>
      </w:r>
    </w:p>
    <w:p>
      <w:pPr>
        <w:widowControl w:val="0"/>
        <w:numPr>
          <w:ilvl w:val="0"/>
          <w:numId w:val="35"/>
        </w:numPr>
        <w:adjustRightInd w:val="0"/>
        <w:snapToGrid w:val="0"/>
        <w:spacing w:line="360" w:lineRule="auto"/>
        <w:ind w:left="780" w:hanging="360" w:firstLineChars="0"/>
        <w:jc w:val="left"/>
        <w:outlineLvl w:val="0"/>
        <w:rPr>
          <w:rFonts w:hint="eastAsia" w:ascii="Times New Roman" w:hAnsi="Times New Roman" w:eastAsia="宋体" w:cs="Times New Roman"/>
          <w:kern w:val="0"/>
          <w:sz w:val="21"/>
          <w:szCs w:val="21"/>
          <w:lang w:val="en-US" w:eastAsia="zh-CN" w:bidi="ar-SA"/>
        </w:rPr>
      </w:pPr>
      <w:bookmarkStart w:id="480" w:name="_Toc20926"/>
      <w:bookmarkStart w:id="481" w:name="_Toc4142"/>
      <w:bookmarkStart w:id="482" w:name="_Toc593"/>
      <w:bookmarkStart w:id="483" w:name="_Toc25755"/>
      <w:bookmarkStart w:id="484" w:name="_Toc9940"/>
      <w:r>
        <w:rPr>
          <w:rFonts w:hint="eastAsia" w:ascii="Times New Roman" w:hAnsi="Times New Roman" w:eastAsia="宋体" w:cs="Times New Roman"/>
          <w:kern w:val="0"/>
          <w:sz w:val="21"/>
          <w:szCs w:val="21"/>
          <w:lang w:val="en-US" w:eastAsia="zh-CN" w:bidi="ar-SA"/>
        </w:rPr>
        <w:t>送货配备物品</w:t>
      </w:r>
      <w:bookmarkEnd w:id="480"/>
      <w:bookmarkEnd w:id="481"/>
      <w:bookmarkEnd w:id="482"/>
      <w:bookmarkEnd w:id="483"/>
      <w:bookmarkEnd w:id="484"/>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包装箱内除放置供货合同要求的电泵机组外，还应有一次下井件（数量参考供货要求）、相关纸质文件。纸质文件至少应包括不限于：产品发货清单、产品试验报告、一次下井附件清单等。</w:t>
      </w:r>
    </w:p>
    <w:p>
      <w:pPr>
        <w:widowControl w:val="0"/>
        <w:numPr>
          <w:ilvl w:val="0"/>
          <w:numId w:val="35"/>
        </w:numPr>
        <w:adjustRightInd w:val="0"/>
        <w:snapToGrid w:val="0"/>
        <w:spacing w:line="360" w:lineRule="auto"/>
        <w:ind w:left="780" w:hanging="360" w:firstLineChars="0"/>
        <w:jc w:val="left"/>
        <w:outlineLvl w:val="0"/>
        <w:rPr>
          <w:rFonts w:hint="eastAsia" w:ascii="Times New Roman" w:hAnsi="Times New Roman" w:eastAsia="宋体" w:cs="Times New Roman"/>
          <w:kern w:val="0"/>
          <w:sz w:val="21"/>
          <w:szCs w:val="21"/>
          <w:lang w:val="en-US" w:eastAsia="zh-CN" w:bidi="ar-SA"/>
        </w:rPr>
      </w:pPr>
      <w:bookmarkStart w:id="485" w:name="_Toc22886"/>
      <w:bookmarkStart w:id="486" w:name="_Toc525"/>
      <w:bookmarkStart w:id="487" w:name="_Toc24727"/>
      <w:bookmarkStart w:id="488" w:name="_Toc29955"/>
      <w:bookmarkStart w:id="489" w:name="_Toc23944"/>
      <w:r>
        <w:rPr>
          <w:rFonts w:hint="eastAsia" w:ascii="Times New Roman" w:hAnsi="Times New Roman" w:eastAsia="宋体" w:cs="Times New Roman"/>
          <w:kern w:val="0"/>
          <w:sz w:val="21"/>
          <w:szCs w:val="21"/>
          <w:lang w:val="en-US" w:eastAsia="zh-CN" w:bidi="ar-SA"/>
        </w:rPr>
        <w:t>包装箱体标识要求：</w:t>
      </w:r>
      <w:bookmarkEnd w:id="485"/>
      <w:bookmarkEnd w:id="486"/>
      <w:bookmarkEnd w:id="487"/>
      <w:bookmarkEnd w:id="488"/>
      <w:bookmarkEnd w:id="489"/>
    </w:p>
    <w:p>
      <w:pPr>
        <w:numPr>
          <w:ilvl w:val="0"/>
          <w:numId w:val="40"/>
        </w:numPr>
        <w:adjustRightInd w:val="0"/>
        <w:snapToGrid w:val="0"/>
        <w:spacing w:line="360" w:lineRule="auto"/>
        <w:ind w:left="0" w:firstLine="420" w:firstLineChars="200"/>
        <w:jc w:val="left"/>
        <w:outlineLvl w:val="0"/>
        <w:rPr>
          <w:rFonts w:hint="default" w:ascii="Times New Roman" w:hAnsi="Times New Roman" w:eastAsia="宋体" w:cs="Times New Roman"/>
          <w:kern w:val="0"/>
          <w:sz w:val="21"/>
          <w:szCs w:val="21"/>
          <w:lang w:eastAsia="zh-CN"/>
        </w:rPr>
      </w:pPr>
      <w:bookmarkStart w:id="490" w:name="_Toc15428"/>
      <w:bookmarkStart w:id="491" w:name="_Toc22060"/>
      <w:bookmarkStart w:id="492" w:name="_Toc25187"/>
      <w:bookmarkStart w:id="493" w:name="_Toc12213"/>
      <w:bookmarkStart w:id="494" w:name="_Toc21554"/>
      <w:r>
        <w:rPr>
          <w:rFonts w:hint="default" w:ascii="Times New Roman" w:hAnsi="Times New Roman" w:eastAsia="宋体" w:cs="Times New Roman"/>
          <w:kern w:val="0"/>
          <w:sz w:val="21"/>
          <w:szCs w:val="21"/>
          <w:lang w:eastAsia="zh-CN"/>
        </w:rPr>
        <w:t>产品包装箱外表面明显位置，作如下标志：</w:t>
      </w:r>
      <w:bookmarkEnd w:id="490"/>
      <w:bookmarkEnd w:id="491"/>
      <w:bookmarkEnd w:id="492"/>
      <w:bookmarkEnd w:id="493"/>
      <w:bookmarkEnd w:id="494"/>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机组编号、潜油电机型号、重量、电压、电流、保护器型号、分离器型号、处理器型号、泵型号、排量、扬程。</w:t>
      </w:r>
      <w:r>
        <w:rPr>
          <w:rFonts w:hint="default" w:ascii="Times New Roman" w:hAnsi="Times New Roman" w:eastAsia="宋体" w:cs="Times New Roman"/>
          <w:kern w:val="0"/>
          <w:sz w:val="21"/>
          <w:szCs w:val="21"/>
          <w:lang w:eastAsia="en-US"/>
        </w:rPr>
        <w:t>（具体见附件1）</w:t>
      </w:r>
    </w:p>
    <w:p>
      <w:pPr>
        <w:numPr>
          <w:ilvl w:val="0"/>
          <w:numId w:val="40"/>
        </w:numPr>
        <w:adjustRightInd w:val="0"/>
        <w:snapToGrid w:val="0"/>
        <w:spacing w:line="360" w:lineRule="auto"/>
        <w:ind w:left="0" w:firstLine="420" w:firstLineChars="200"/>
        <w:jc w:val="left"/>
        <w:outlineLvl w:val="0"/>
        <w:rPr>
          <w:rFonts w:hint="default" w:ascii="Times New Roman" w:hAnsi="Times New Roman" w:eastAsia="宋体" w:cs="Times New Roman"/>
          <w:kern w:val="0"/>
          <w:sz w:val="21"/>
          <w:szCs w:val="21"/>
          <w:lang w:eastAsia="zh-CN"/>
        </w:rPr>
      </w:pPr>
      <w:bookmarkStart w:id="495" w:name="_Toc651"/>
      <w:bookmarkStart w:id="496" w:name="_Toc16909"/>
      <w:bookmarkStart w:id="497" w:name="_Toc20022"/>
      <w:bookmarkStart w:id="498" w:name="_Toc12938"/>
      <w:bookmarkStart w:id="499" w:name="_Toc10948"/>
      <w:r>
        <w:rPr>
          <w:rFonts w:hint="default" w:ascii="Times New Roman" w:hAnsi="Times New Roman" w:eastAsia="宋体" w:cs="Times New Roman"/>
          <w:kern w:val="0"/>
          <w:sz w:val="21"/>
          <w:szCs w:val="21"/>
          <w:lang w:eastAsia="zh-CN"/>
        </w:rPr>
        <w:t>防锈处理：潜油电机、保护器、泵、处理器、分离器（吸入口）表面应喷涂防锈漆或其做其他防锈处理。</w:t>
      </w:r>
      <w:bookmarkEnd w:id="495"/>
      <w:bookmarkEnd w:id="496"/>
      <w:bookmarkEnd w:id="497"/>
      <w:bookmarkEnd w:id="498"/>
      <w:bookmarkEnd w:id="499"/>
    </w:p>
    <w:p>
      <w:pPr>
        <w:widowControl w:val="0"/>
        <w:numPr>
          <w:ilvl w:val="0"/>
          <w:numId w:val="35"/>
        </w:numPr>
        <w:adjustRightInd w:val="0"/>
        <w:snapToGrid w:val="0"/>
        <w:spacing w:line="360" w:lineRule="auto"/>
        <w:ind w:left="780" w:hanging="360" w:firstLineChars="0"/>
        <w:jc w:val="left"/>
        <w:outlineLvl w:val="0"/>
        <w:rPr>
          <w:rFonts w:hint="eastAsia" w:ascii="Times New Roman" w:hAnsi="Times New Roman" w:eastAsia="宋体" w:cs="Times New Roman"/>
          <w:kern w:val="0"/>
          <w:sz w:val="21"/>
          <w:szCs w:val="21"/>
          <w:lang w:val="en-US" w:eastAsia="zh-CN" w:bidi="ar-SA"/>
        </w:rPr>
      </w:pPr>
      <w:bookmarkStart w:id="500" w:name="_Toc28662"/>
      <w:bookmarkStart w:id="501" w:name="_Toc682"/>
      <w:bookmarkStart w:id="502" w:name="_Toc11739"/>
      <w:bookmarkStart w:id="503" w:name="_Toc20849"/>
      <w:bookmarkStart w:id="504" w:name="_Toc5958"/>
      <w:r>
        <w:rPr>
          <w:rFonts w:hint="eastAsia" w:ascii="Times New Roman" w:hAnsi="Times New Roman" w:eastAsia="宋体" w:cs="Times New Roman"/>
          <w:kern w:val="0"/>
          <w:sz w:val="21"/>
          <w:szCs w:val="21"/>
          <w:lang w:val="en-US" w:eastAsia="zh-CN" w:bidi="ar-SA"/>
        </w:rPr>
        <w:t>包装箱尺寸</w:t>
      </w:r>
      <w:bookmarkEnd w:id="500"/>
      <w:bookmarkEnd w:id="501"/>
      <w:bookmarkEnd w:id="502"/>
      <w:bookmarkEnd w:id="503"/>
      <w:bookmarkEnd w:id="504"/>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以机组部件的形式运输，具体尺寸图纸请见附件三。</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以成套机组的形式运输，其钢集束包装箱尺寸可根据机组尺寸制定。</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505" w:name="_Toc24100"/>
      <w:bookmarkStart w:id="506" w:name="_Toc11948"/>
      <w:bookmarkStart w:id="507" w:name="_Toc13753"/>
      <w:bookmarkStart w:id="508" w:name="_Toc29115"/>
      <w:bookmarkStart w:id="509" w:name="_Toc27104"/>
      <w:r>
        <w:rPr>
          <w:rFonts w:hint="default" w:ascii="Times New Roman" w:hAnsi="Times New Roman" w:eastAsia="宋体" w:cs="Times New Roman"/>
          <w:b/>
          <w:bCs/>
          <w:kern w:val="44"/>
          <w:sz w:val="21"/>
          <w:szCs w:val="21"/>
          <w:lang w:val="en-US" w:eastAsia="zh-CN" w:bidi="ar-SA"/>
        </w:rPr>
        <w:t>八、技术文件</w:t>
      </w:r>
      <w:bookmarkEnd w:id="505"/>
      <w:bookmarkEnd w:id="506"/>
      <w:bookmarkEnd w:id="507"/>
      <w:bookmarkEnd w:id="508"/>
      <w:bookmarkEnd w:id="509"/>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卖方在投标书中，应根据买方的要求相应的介质，并对其进行详细的说明。凡是与应满足的技术参数及功能不相符的地方，都应在投标书中给予说明，若没有说明，则被视为完全符合买方要求。</w:t>
      </w:r>
    </w:p>
    <w:p>
      <w:pPr>
        <w:spacing w:line="360" w:lineRule="auto"/>
        <w:ind w:firstLine="420" w:firstLineChars="200"/>
        <w:jc w:val="left"/>
        <w:rPr>
          <w:rFonts w:hint="default" w:ascii="Times New Roman" w:hAnsi="Times New Roman" w:eastAsia="宋体" w:cs="Times New Roman"/>
          <w:i/>
          <w:kern w:val="0"/>
          <w:sz w:val="21"/>
          <w:szCs w:val="21"/>
          <w:lang w:eastAsia="zh-CN"/>
        </w:rPr>
      </w:pPr>
      <w:r>
        <w:rPr>
          <w:rFonts w:hint="default" w:ascii="Times New Roman" w:hAnsi="Times New Roman" w:eastAsia="宋体" w:cs="Times New Roman"/>
          <w:kern w:val="0"/>
          <w:sz w:val="21"/>
          <w:szCs w:val="21"/>
          <w:lang w:eastAsia="zh-CN"/>
        </w:rPr>
        <w:t>卖方投标书的技术部分至少应包括以下几部分内容：</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第一部分：概述</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叙述卖方提供产品的特点、交货的详细说明等，同时，描述质量控制情况。</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第二部分：供货范围</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卖方应根据本投标须知“供货范围”的要求，列出一份详细的供货清单，包括名称、数量、技术参数、生产卖方及其他附件等的描述。 </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第三部分：技术资料</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至少包含但不限于以下内容：</w:t>
      </w:r>
    </w:p>
    <w:p>
      <w:pPr>
        <w:numPr>
          <w:ilvl w:val="3"/>
          <w:numId w:val="41"/>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提供所购置产品的公司的资质。</w:t>
      </w:r>
    </w:p>
    <w:p>
      <w:pPr>
        <w:numPr>
          <w:ilvl w:val="3"/>
          <w:numId w:val="41"/>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投标人需提供ISO系列质量体系认证证书和环境体系认证证书、相关业绩。</w:t>
      </w:r>
    </w:p>
    <w:p>
      <w:pPr>
        <w:numPr>
          <w:ilvl w:val="3"/>
          <w:numId w:val="41"/>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设备测试报告或性能测试文件。</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第四部分：详细技术方案</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详细阐述针对该项目的详细设计方案说明，方案应包括：设计理论依据、具体实施方案及计划、参考标准等；</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第五部分：异议及建议</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详细列出所有与买方的文件及标准（或参数）不一致的地方；</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第六部分：项目进度计划</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提供项目整体的实施计划，格式自定。</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第七部分：安装及维护</w:t>
      </w:r>
    </w:p>
    <w:p>
      <w:pPr>
        <w:widowControl w:val="0"/>
        <w:spacing w:line="360" w:lineRule="auto"/>
        <w:ind w:firstLine="420" w:firstLineChars="200"/>
        <w:jc w:val="left"/>
        <w:rPr>
          <w:rFonts w:hint="default" w:ascii="Times New Roman" w:hAnsi="Times New Roman" w:eastAsia="宋体" w:cs="Times New Roman"/>
          <w:b/>
          <w:kern w:val="0"/>
          <w:sz w:val="21"/>
          <w:szCs w:val="21"/>
          <w:lang w:val="en-US" w:eastAsia="zh-CN" w:bidi="ar-SA"/>
        </w:rPr>
      </w:pPr>
      <w:r>
        <w:rPr>
          <w:rFonts w:hint="default" w:ascii="Times New Roman" w:hAnsi="Times New Roman" w:eastAsia="宋体" w:cs="Times New Roman"/>
          <w:kern w:val="0"/>
          <w:sz w:val="21"/>
          <w:szCs w:val="21"/>
          <w:lang w:val="en-US" w:eastAsia="zh-CN" w:bidi="ar-SA"/>
        </w:rPr>
        <w:t>提供项目实施涉及到的安装、施工及日后维护方案、计划等；</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510" w:name="_Toc17290"/>
      <w:bookmarkStart w:id="511" w:name="_Toc11138"/>
      <w:bookmarkStart w:id="512" w:name="_Toc6608"/>
      <w:bookmarkStart w:id="513" w:name="_Toc28577"/>
      <w:bookmarkStart w:id="514" w:name="_Toc27750"/>
      <w:r>
        <w:rPr>
          <w:rFonts w:hint="default" w:ascii="Times New Roman" w:hAnsi="Times New Roman" w:eastAsia="宋体" w:cs="Times New Roman"/>
          <w:b/>
          <w:bCs/>
          <w:kern w:val="44"/>
          <w:sz w:val="21"/>
          <w:szCs w:val="21"/>
          <w:lang w:val="en-US" w:eastAsia="zh-CN" w:bidi="ar-SA"/>
        </w:rPr>
        <w:t>九、工作进度、监造和现场验收</w:t>
      </w:r>
      <w:bookmarkEnd w:id="510"/>
      <w:bookmarkEnd w:id="511"/>
      <w:bookmarkEnd w:id="512"/>
      <w:bookmarkEnd w:id="513"/>
      <w:bookmarkEnd w:id="514"/>
    </w:p>
    <w:p>
      <w:pPr>
        <w:widowControl w:val="0"/>
        <w:numPr>
          <w:ilvl w:val="1"/>
          <w:numId w:val="4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原材料需满足所有技术要求、技术合同、澄清纪要（或邮件）、随货资料要求。</w:t>
      </w:r>
    </w:p>
    <w:p>
      <w:pPr>
        <w:widowControl w:val="0"/>
        <w:numPr>
          <w:ilvl w:val="1"/>
          <w:numId w:val="4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详见附件1 《原材料随货资料清单》</w:t>
      </w:r>
    </w:p>
    <w:p>
      <w:pPr>
        <w:widowControl w:val="0"/>
        <w:numPr>
          <w:ilvl w:val="1"/>
          <w:numId w:val="4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乙方在合同签订后，根据甲方要求在指定地点进行寄存备货。</w:t>
      </w:r>
    </w:p>
    <w:p>
      <w:pPr>
        <w:widowControl w:val="0"/>
        <w:numPr>
          <w:ilvl w:val="0"/>
          <w:numId w:val="43"/>
        </w:numPr>
        <w:spacing w:line="360" w:lineRule="auto"/>
        <w:ind w:left="845" w:hanging="425" w:firstLineChars="0"/>
        <w:jc w:val="left"/>
        <w:rPr>
          <w:rFonts w:ascii="Times New Roman" w:hAnsi="Times New Roman" w:eastAsia="宋体" w:cs="Times New Roman"/>
          <w:kern w:val="0"/>
          <w:sz w:val="20"/>
          <w:szCs w:val="20"/>
          <w:lang w:val="en-US" w:eastAsia="zh-CN" w:bidi="ar-SA"/>
        </w:rPr>
      </w:pPr>
      <w:r>
        <w:rPr>
          <w:rFonts w:hint="default" w:ascii="Times New Roman" w:hAnsi="Times New Roman" w:eastAsia="宋体" w:cs="Times New Roman"/>
          <w:kern w:val="0"/>
          <w:sz w:val="20"/>
          <w:szCs w:val="20"/>
          <w:lang w:val="en-US" w:eastAsia="zh-CN" w:bidi="ar-SA"/>
        </w:rPr>
        <w:t>寄存备货物资根据甲方邮件通知后一周内交付指定地点。货物运输应采用符合国家要求的运输方式，途中安全由卖方负责。</w:t>
      </w:r>
    </w:p>
    <w:p>
      <w:pPr>
        <w:widowControl w:val="0"/>
        <w:numPr>
          <w:ilvl w:val="0"/>
          <w:numId w:val="43"/>
        </w:numPr>
        <w:spacing w:line="360" w:lineRule="auto"/>
        <w:ind w:left="845" w:hanging="425" w:firstLineChars="0"/>
        <w:jc w:val="left"/>
        <w:rPr>
          <w:rFonts w:ascii="Times New Roman" w:hAnsi="Times New Roman" w:eastAsia="宋体" w:cs="Times New Roman"/>
          <w:kern w:val="0"/>
          <w:sz w:val="20"/>
          <w:szCs w:val="20"/>
          <w:lang w:val="en-US" w:eastAsia="zh-CN" w:bidi="ar-SA"/>
        </w:rPr>
      </w:pPr>
      <w:r>
        <w:rPr>
          <w:rFonts w:hint="default" w:ascii="Times New Roman" w:hAnsi="Times New Roman" w:eastAsia="宋体" w:cs="Times New Roman"/>
          <w:kern w:val="0"/>
          <w:sz w:val="20"/>
          <w:szCs w:val="20"/>
          <w:lang w:val="en-US" w:eastAsia="zh-CN" w:bidi="ar-SA"/>
        </w:rPr>
        <w:t>寄存物资需按送货要求进行防护，如因包装原因发生损坏，乙方应负全部责任。寄售货物交付后，货物的所有权仍归属卖方，货物运输过程中及货物在买方库房寄存期间的保险由卖方承担</w:t>
      </w:r>
    </w:p>
    <w:p>
      <w:pPr>
        <w:widowControl w:val="0"/>
        <w:numPr>
          <w:ilvl w:val="0"/>
          <w:numId w:val="43"/>
        </w:numPr>
        <w:spacing w:line="360" w:lineRule="auto"/>
        <w:ind w:left="845" w:hanging="425" w:firstLineChars="0"/>
        <w:jc w:val="left"/>
        <w:rPr>
          <w:rFonts w:ascii="Times New Roman" w:hAnsi="Times New Roman" w:eastAsia="宋体" w:cs="Times New Roman"/>
          <w:kern w:val="0"/>
          <w:sz w:val="20"/>
          <w:szCs w:val="20"/>
          <w:lang w:val="en-US" w:eastAsia="zh-CN" w:bidi="ar-SA"/>
        </w:rPr>
      </w:pPr>
      <w:r>
        <w:rPr>
          <w:rFonts w:hint="default" w:ascii="Times New Roman" w:hAnsi="Times New Roman" w:eastAsia="宋体" w:cs="Times New Roman"/>
          <w:kern w:val="0"/>
          <w:sz w:val="20"/>
          <w:szCs w:val="20"/>
          <w:lang w:val="en-US" w:eastAsia="zh-CN" w:bidi="ar-SA"/>
        </w:rPr>
        <w:t>寄存备货物资根据实际现场需求情况，下订单使用后进行执行分批结算。</w:t>
      </w:r>
    </w:p>
    <w:p>
      <w:pPr>
        <w:widowControl w:val="0"/>
        <w:numPr>
          <w:ilvl w:val="0"/>
          <w:numId w:val="43"/>
        </w:numPr>
        <w:spacing w:line="360" w:lineRule="auto"/>
        <w:ind w:left="845" w:hanging="425" w:firstLineChars="0"/>
        <w:jc w:val="left"/>
        <w:rPr>
          <w:rFonts w:ascii="Times New Roman" w:hAnsi="Times New Roman" w:eastAsia="宋体" w:cs="Times New Roman"/>
          <w:b/>
          <w:bCs/>
          <w:kern w:val="0"/>
          <w:sz w:val="22"/>
          <w:szCs w:val="22"/>
          <w:lang w:val="en-US" w:eastAsia="zh-CN" w:bidi="ar-SA"/>
        </w:rPr>
      </w:pPr>
      <w:r>
        <w:rPr>
          <w:rFonts w:hint="default" w:ascii="Times New Roman" w:hAnsi="Times New Roman" w:eastAsia="宋体" w:cs="Times New Roman"/>
          <w:kern w:val="0"/>
          <w:sz w:val="20"/>
          <w:szCs w:val="20"/>
          <w:lang w:val="en-US" w:eastAsia="zh-CN" w:bidi="ar-SA"/>
        </w:rPr>
        <w:t>本协议到期或终止后，买方有权要求将剩余寄售货物退回卖方，退货产生的所有费用由卖方承担。</w:t>
      </w:r>
    </w:p>
    <w:p>
      <w:pPr>
        <w:widowControl w:val="0"/>
        <w:spacing w:line="360" w:lineRule="auto"/>
        <w:ind w:firstLine="422" w:firstLineChars="200"/>
        <w:jc w:val="left"/>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9.4 注：</w:t>
      </w:r>
    </w:p>
    <w:p>
      <w:pPr>
        <w:widowControl w:val="0"/>
        <w:tabs>
          <w:tab w:val="left" w:pos="1134"/>
        </w:tabs>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9.4.1 清单中未包含的原材料参照相近物资原则随货提交资料。</w:t>
      </w:r>
    </w:p>
    <w:p>
      <w:pPr>
        <w:widowControl w:val="0"/>
        <w:tabs>
          <w:tab w:val="left" w:pos="1134"/>
        </w:tabs>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9.4.2 发货资料满足但不限于附表中要求。</w:t>
      </w:r>
    </w:p>
    <w:p>
      <w:pPr>
        <w:widowControl w:val="0"/>
        <w:tabs>
          <w:tab w:val="left" w:pos="1134"/>
        </w:tabs>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9.4.3 发货时，随设备提供与产品一致的唯一序列编码清单。</w:t>
      </w:r>
    </w:p>
    <w:p>
      <w:pPr>
        <w:widowControl w:val="0"/>
        <w:tabs>
          <w:tab w:val="left" w:pos="1134"/>
        </w:tabs>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9.4.4 如有特殊资料要求，请加以说明。</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515" w:name="_Toc21514"/>
      <w:bookmarkStart w:id="516" w:name="_Toc18068"/>
      <w:bookmarkStart w:id="517" w:name="_Toc17509"/>
      <w:bookmarkStart w:id="518" w:name="_Toc21603"/>
      <w:bookmarkStart w:id="519" w:name="_Toc6642"/>
      <w:r>
        <w:rPr>
          <w:rFonts w:hint="default" w:ascii="Times New Roman" w:hAnsi="Times New Roman" w:eastAsia="宋体" w:cs="Times New Roman"/>
          <w:b/>
          <w:bCs/>
          <w:kern w:val="44"/>
          <w:sz w:val="21"/>
          <w:szCs w:val="21"/>
          <w:lang w:val="en-US" w:eastAsia="zh-CN" w:bidi="ar-SA"/>
        </w:rPr>
        <w:t>十、技术服务与售后服务</w:t>
      </w:r>
      <w:bookmarkEnd w:id="515"/>
      <w:bookmarkEnd w:id="516"/>
      <w:bookmarkEnd w:id="517"/>
      <w:bookmarkEnd w:id="518"/>
      <w:bookmarkEnd w:id="519"/>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货物符合本合同（包括不限于技术附件）规定的技术、质量、设计、标准、规格、材料、计算、参数、数据等要求，性能稳定、可靠，达到承诺的性能保证值，不存在任何缺陷；</w:t>
      </w:r>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货物是崭新、从未使用过的货物，其材质不存在任何缺陷。</w:t>
      </w:r>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如卖方违反前述保证，质保期内，买方有权要求卖方无偿、及时更换，如经更换仍无法消除该等缺陷，买方有权要求退货。卖方应赔偿买方因货物存在前述缺陷遭受的直接损失。</w:t>
      </w:r>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供货范围内的所有货品的质量应满足技术要求中所列标准的要求。</w:t>
      </w:r>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所有货品须提供检验报告。</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520" w:name="_Toc21472"/>
      <w:bookmarkStart w:id="521" w:name="_Toc30775"/>
      <w:bookmarkStart w:id="522" w:name="_Toc9848"/>
      <w:bookmarkStart w:id="523" w:name="_Toc6949"/>
      <w:bookmarkStart w:id="524" w:name="_Toc10208"/>
      <w:r>
        <w:rPr>
          <w:rFonts w:hint="default" w:ascii="Times New Roman" w:hAnsi="Times New Roman" w:eastAsia="宋体" w:cs="Times New Roman"/>
          <w:b/>
          <w:bCs/>
          <w:kern w:val="44"/>
          <w:sz w:val="21"/>
          <w:szCs w:val="21"/>
          <w:lang w:val="en-US" w:eastAsia="zh-CN" w:bidi="ar-SA"/>
        </w:rPr>
        <w:t>十一、质量保证</w:t>
      </w:r>
      <w:bookmarkEnd w:id="520"/>
      <w:bookmarkEnd w:id="521"/>
      <w:bookmarkEnd w:id="522"/>
      <w:bookmarkEnd w:id="523"/>
      <w:bookmarkEnd w:id="524"/>
    </w:p>
    <w:p>
      <w:pPr>
        <w:numPr>
          <w:ilvl w:val="1"/>
          <w:numId w:val="45"/>
        </w:numPr>
        <w:autoSpaceDE w:val="0"/>
        <w:autoSpaceDN w:val="0"/>
        <w:adjustRightInd w:val="0"/>
        <w:spacing w:line="360" w:lineRule="auto"/>
        <w:ind w:left="240" w:firstLine="42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质保期要求：下井后1300天，或检验合格入库后1600天，以先到为准。</w:t>
      </w:r>
    </w:p>
    <w:p>
      <w:pPr>
        <w:numPr>
          <w:ilvl w:val="1"/>
          <w:numId w:val="45"/>
        </w:numPr>
        <w:autoSpaceDE w:val="0"/>
        <w:autoSpaceDN w:val="0"/>
        <w:adjustRightInd w:val="0"/>
        <w:spacing w:line="360" w:lineRule="auto"/>
        <w:ind w:right="-21" w:rightChars="-1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4"/>
          <w:szCs w:val="24"/>
          <w:lang w:eastAsia="zh-CN"/>
        </w:rPr>
        <w:t>赔偿条款：</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（1）由于产品质量原因，导致产品下井后正常运转小于100天，卖方需赔偿买方2倍相同规格潜油电泵机组等额的人民币；</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（2）由于产品质量原因，导致产品下井后正常运转大于100天（含）小于500天，卖方需赔偿买方1.5倍相同规格潜油电泵机组等额的人民币；</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（3）由于产品质量原因，导致产品下井后正常运转大于500天（含）小于1300天，卖方需赔偿买方1倍相同规格潜油电泵机组等额的人民币；</w:t>
      </w:r>
    </w:p>
    <w:p>
      <w:pPr>
        <w:numPr>
          <w:ilvl w:val="1"/>
          <w:numId w:val="45"/>
        </w:numPr>
        <w:autoSpaceDE w:val="0"/>
        <w:autoSpaceDN w:val="0"/>
        <w:adjustRightInd w:val="0"/>
        <w:spacing w:line="360" w:lineRule="auto"/>
        <w:ind w:left="680" w:right="-21" w:rightChars="-10" w:firstLine="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卖方需具备30天交付20台潜油永磁电机的生产能力，（投标时卖方提供30天交付30台潜油永磁电机生产能力的证明材料，证明材料包含但不限于生产计划、生产工时计算、产能计算书等相关文件）。且卖方接到买方通知后（以邮件或联络函的形式），需在7天内按照买方要求将潜油电机交付到买方指定库房。</w:t>
      </w:r>
    </w:p>
    <w:p>
      <w:pPr>
        <w:numPr>
          <w:ilvl w:val="1"/>
          <w:numId w:val="45"/>
        </w:numPr>
        <w:autoSpaceDE w:val="0"/>
        <w:autoSpaceDN w:val="0"/>
        <w:adjustRightInd w:val="0"/>
        <w:spacing w:line="360" w:lineRule="auto"/>
        <w:ind w:left="240" w:firstLine="420"/>
        <w:jc w:val="left"/>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乙方在合同签订后，需备年度合同总金额10%的物资。具体备货物资规格型号</w:t>
      </w:r>
      <w:r>
        <w:rPr>
          <w:rFonts w:hint="eastAsia"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lang w:eastAsia="zh-CN"/>
        </w:rPr>
        <w:t>在合同签订后，甲方将以邮件或联络函的形式通知乙方。具体交货期以买方订单为准。</w:t>
      </w:r>
    </w:p>
    <w:p>
      <w:pPr>
        <w:numPr>
          <w:ilvl w:val="1"/>
          <w:numId w:val="45"/>
        </w:numPr>
        <w:autoSpaceDE w:val="0"/>
        <w:autoSpaceDN w:val="0"/>
        <w:adjustRightInd w:val="0"/>
        <w:spacing w:line="360" w:lineRule="auto"/>
        <w:ind w:left="240" w:firstLine="42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乙方首次订单提供的产品在买方场地进行试验时，如果出现电机与变频器型号不匹配的情况或者电机在空载到额定负载范围内出现异常振动现象等适配性问题，乙方有两个月产品整改期限，如果整改后产品在买方场地再次进行试验时，仍出现电机与变频器型号不匹配的情况或者电机在空载到额定负载范围内出现异常振动现象等适配性问题，买方有权终止合同，保留处罚卖方履约异常的权利，同时卖方应赔偿买方全额履约保证金。</w:t>
      </w:r>
    </w:p>
    <w:p>
      <w:pPr>
        <w:numPr>
          <w:ilvl w:val="1"/>
          <w:numId w:val="45"/>
        </w:numPr>
        <w:autoSpaceDE w:val="0"/>
        <w:autoSpaceDN w:val="0"/>
        <w:adjustRightInd w:val="0"/>
        <w:spacing w:line="360" w:lineRule="auto"/>
        <w:ind w:left="240" w:firstLine="42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乙方自合同生效后连续两次或一年内三次无法承接（不可抗力除外）订单，将视为供应商不能履约，此品类协议终止</w:t>
      </w:r>
      <w:r>
        <w:rPr>
          <w:rFonts w:hint="default" w:ascii="Times New Roman" w:hAnsi="Times New Roman" w:eastAsia="宋体" w:cs="Times New Roman"/>
          <w:kern w:val="0"/>
          <w:sz w:val="21"/>
          <w:szCs w:val="21"/>
          <w:lang w:eastAsia="zh-CN"/>
        </w:rPr>
        <w:t>。</w:t>
      </w:r>
    </w:p>
    <w:p>
      <w:pPr>
        <w:widowControl/>
        <w:spacing w:line="360" w:lineRule="auto"/>
        <w:ind w:firstLine="482"/>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11.7 </w:t>
      </w: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其他特殊要求：合同签订前需签订招标方认可的银行开具的履约保函（保额</w:t>
      </w:r>
      <w:r>
        <w:rPr>
          <w:rFonts w:hint="eastAsia" w:ascii="Times New Roman" w:hAnsi="Times New Roman" w:eastAsia="宋体" w:cs="Times New Roman"/>
          <w:kern w:val="0"/>
          <w:sz w:val="21"/>
          <w:szCs w:val="21"/>
          <w:highlight w:val="yellow"/>
          <w:lang w:val="en-US" w:eastAsia="zh-CN"/>
        </w:rPr>
        <w:t>20</w:t>
      </w:r>
      <w:r>
        <w:rPr>
          <w:rFonts w:hint="default" w:ascii="Times New Roman" w:hAnsi="Times New Roman" w:eastAsia="宋体" w:cs="Times New Roman"/>
          <w:kern w:val="0"/>
          <w:sz w:val="21"/>
          <w:szCs w:val="21"/>
          <w:highlight w:val="yellow"/>
          <w:lang w:eastAsia="zh-CN"/>
        </w:rPr>
        <w:t>万元</w:t>
      </w:r>
      <w:r>
        <w:rPr>
          <w:rFonts w:hint="default" w:ascii="Times New Roman" w:hAnsi="Times New Roman" w:eastAsia="宋体" w:cs="Times New Roman"/>
          <w:kern w:val="0"/>
          <w:sz w:val="21"/>
          <w:szCs w:val="21"/>
          <w:lang w:eastAsia="zh-CN"/>
        </w:rPr>
        <w:t>）或向招标方监管账户打入履约保证金（</w:t>
      </w:r>
      <w:r>
        <w:rPr>
          <w:rFonts w:hint="eastAsia" w:ascii="Times New Roman" w:hAnsi="Times New Roman" w:eastAsia="宋体" w:cs="Times New Roman"/>
          <w:kern w:val="0"/>
          <w:sz w:val="21"/>
          <w:szCs w:val="21"/>
          <w:highlight w:val="yellow"/>
          <w:lang w:val="en-US" w:eastAsia="zh-CN"/>
        </w:rPr>
        <w:t>20</w:t>
      </w:r>
      <w:r>
        <w:rPr>
          <w:rFonts w:hint="default" w:ascii="Times New Roman" w:hAnsi="Times New Roman" w:eastAsia="宋体" w:cs="Times New Roman"/>
          <w:kern w:val="0"/>
          <w:sz w:val="21"/>
          <w:szCs w:val="21"/>
          <w:highlight w:val="yellow"/>
          <w:lang w:eastAsia="zh-CN"/>
        </w:rPr>
        <w:t>万元</w:t>
      </w:r>
      <w:r>
        <w:rPr>
          <w:rFonts w:hint="default" w:ascii="Times New Roman" w:hAnsi="Times New Roman" w:eastAsia="宋体" w:cs="Times New Roman"/>
          <w:kern w:val="0"/>
          <w:sz w:val="21"/>
          <w:szCs w:val="21"/>
          <w:lang w:eastAsia="zh-CN"/>
        </w:rPr>
        <w:t>）。</w:t>
      </w:r>
    </w:p>
    <w:p>
      <w:pPr>
        <w:widowControl/>
        <w:spacing w:line="360" w:lineRule="auto"/>
        <w:ind w:firstLine="482"/>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招标方认可银行名录：</w:t>
      </w:r>
    </w:p>
    <w:p>
      <w:pPr>
        <w:widowControl w:val="0"/>
        <w:tabs>
          <w:tab w:val="center" w:pos="4153"/>
          <w:tab w:val="right" w:pos="8306"/>
        </w:tabs>
        <w:snapToGrid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6家国有大型银行：中国银行、中国农业银行、中国建设银行、中国工商银行、中国邮政储蓄银行、交通银行。</w:t>
      </w:r>
    </w:p>
    <w:p>
      <w:pPr>
        <w:widowControl w:val="0"/>
        <w:tabs>
          <w:tab w:val="center" w:pos="4153"/>
          <w:tab w:val="right" w:pos="8306"/>
        </w:tabs>
        <w:snapToGrid w:val="0"/>
        <w:spacing w:line="360" w:lineRule="auto"/>
        <w:ind w:firstLine="420" w:firstLineChars="200"/>
        <w:jc w:val="left"/>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9家上市股份制商业银行：招商银行、浦发银行、中信银行、中国光大银行、华夏银行、中国民生银行、平安银行、兴业银行、浙商银行。</w:t>
      </w:r>
    </w:p>
    <w:p>
      <w:pPr>
        <w:keepNext/>
        <w:keepLines/>
        <w:pageBreakBefore w:val="0"/>
        <w:widowControl w:val="0"/>
        <w:numPr>
          <w:ilvl w:val="0"/>
          <w:numId w:val="46"/>
        </w:numPr>
        <w:kinsoku/>
        <w:wordWrap/>
        <w:overflowPunct/>
        <w:topLinePunct w:val="0"/>
        <w:bidi w:val="0"/>
        <w:spacing w:before="0" w:after="0" w:line="360" w:lineRule="auto"/>
        <w:ind w:left="0" w:leftChars="0" w:right="0" w:rightChars="0" w:firstLine="422" w:firstLineChars="200"/>
        <w:jc w:val="left"/>
        <w:textAlignment w:val="auto"/>
        <w:outlineLvl w:val="0"/>
        <w:rPr>
          <w:rFonts w:hint="eastAsia" w:ascii="宋体" w:hAnsi="宋体" w:eastAsia="宋体" w:cs="宋体"/>
          <w:b/>
          <w:bCs/>
          <w:color w:val="auto"/>
          <w:kern w:val="44"/>
          <w:sz w:val="21"/>
          <w:szCs w:val="21"/>
          <w:highlight w:val="none"/>
          <w:lang w:val="en-US" w:eastAsia="zh-CN" w:bidi="ar-SA"/>
        </w:rPr>
      </w:pPr>
      <w:r>
        <w:rPr>
          <w:rFonts w:hint="eastAsia" w:ascii="宋体" w:hAnsi="宋体" w:eastAsia="宋体" w:cs="宋体"/>
          <w:b/>
          <w:bCs/>
          <w:color w:val="auto"/>
          <w:kern w:val="44"/>
          <w:sz w:val="21"/>
          <w:szCs w:val="21"/>
          <w:highlight w:val="none"/>
          <w:lang w:val="en-US" w:eastAsia="zh-CN" w:bidi="ar-SA"/>
        </w:rPr>
        <w:t>其它要求</w:t>
      </w:r>
      <w:bookmarkEnd w:id="442"/>
      <w:bookmarkEnd w:id="443"/>
      <w:bookmarkEnd w:id="444"/>
      <w:bookmarkEnd w:id="445"/>
      <w:bookmarkEnd w:id="446"/>
    </w:p>
    <w:p>
      <w:pPr>
        <w:pageBreakBefore w:val="0"/>
        <w:widowControl w:val="0"/>
        <w:numPr>
          <w:ilvl w:val="1"/>
          <w:numId w:val="47"/>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交货地点：天津市塘沽区东沽渤海石油新村机械采油分公司东沽库房</w:t>
      </w:r>
    </w:p>
    <w:p>
      <w:pPr>
        <w:pageBreakBefore w:val="0"/>
        <w:widowControl w:val="0"/>
        <w:numPr>
          <w:ilvl w:val="1"/>
          <w:numId w:val="47"/>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收货人：</w:t>
      </w:r>
      <w:r>
        <w:rPr>
          <w:rFonts w:hint="eastAsia" w:ascii="宋体" w:hAnsi="宋体" w:eastAsia="宋体" w:cs="宋体"/>
          <w:color w:val="auto"/>
          <w:kern w:val="0"/>
          <w:sz w:val="21"/>
          <w:szCs w:val="21"/>
          <w:highlight w:val="none"/>
          <w:u w:val="single"/>
          <w:lang w:eastAsia="zh-CN"/>
        </w:rPr>
        <w:t>杨静</w:t>
      </w:r>
      <w:r>
        <w:rPr>
          <w:rFonts w:hint="eastAsia" w:ascii="宋体" w:hAnsi="宋体" w:eastAsia="宋体" w:cs="宋体"/>
          <w:color w:val="auto"/>
          <w:kern w:val="0"/>
          <w:sz w:val="21"/>
          <w:szCs w:val="21"/>
          <w:highlight w:val="none"/>
          <w:lang w:eastAsia="zh-CN"/>
        </w:rPr>
        <w:t>，联系方式：022-66917109</w:t>
      </w:r>
    </w:p>
    <w:p>
      <w:pPr>
        <w:pageBreakBefore w:val="0"/>
        <w:widowControl w:val="0"/>
        <w:numPr>
          <w:ilvl w:val="1"/>
          <w:numId w:val="47"/>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1"/>
          <w:szCs w:val="21"/>
          <w:highlight w:val="none"/>
          <w:lang w:eastAsia="zh-CN"/>
        </w:rPr>
        <w:t>交货期：卖方</w:t>
      </w:r>
      <w:r>
        <w:rPr>
          <w:rFonts w:hint="eastAsia" w:ascii="宋体" w:hAnsi="宋体" w:eastAsia="宋体" w:cs="宋体"/>
          <w:color w:val="auto"/>
          <w:kern w:val="0"/>
          <w:sz w:val="21"/>
          <w:szCs w:val="21"/>
          <w:highlight w:val="none"/>
          <w:lang w:val="en-US" w:eastAsia="zh-CN"/>
        </w:rPr>
        <w:t>更具订单日期</w:t>
      </w:r>
      <w:r>
        <w:rPr>
          <w:rFonts w:hint="eastAsia" w:ascii="宋体" w:hAnsi="宋体" w:eastAsia="宋体" w:cs="宋体"/>
          <w:color w:val="auto"/>
          <w:kern w:val="0"/>
          <w:sz w:val="21"/>
          <w:szCs w:val="21"/>
          <w:highlight w:val="none"/>
          <w:lang w:eastAsia="zh-CN"/>
        </w:rPr>
        <w:t>完成备货，具体交货期以</w:t>
      </w:r>
      <w:r>
        <w:rPr>
          <w:rFonts w:hint="eastAsia" w:ascii="宋体" w:hAnsi="宋体" w:eastAsia="宋体" w:cs="宋体"/>
          <w:color w:val="auto"/>
          <w:kern w:val="0"/>
          <w:sz w:val="21"/>
          <w:szCs w:val="21"/>
          <w:highlight w:val="none"/>
          <w:lang w:val="en-US" w:eastAsia="zh-CN"/>
        </w:rPr>
        <w:t>买方</w:t>
      </w:r>
      <w:r>
        <w:rPr>
          <w:rFonts w:hint="eastAsia" w:ascii="宋体" w:hAnsi="宋体" w:eastAsia="宋体" w:cs="宋体"/>
          <w:color w:val="auto"/>
          <w:kern w:val="0"/>
          <w:sz w:val="21"/>
          <w:szCs w:val="21"/>
          <w:highlight w:val="none"/>
          <w:lang w:eastAsia="zh-CN"/>
        </w:rPr>
        <w:t>书面通知为准。</w:t>
      </w:r>
    </w:p>
    <w:p>
      <w:pPr>
        <w:pageBreakBefore w:val="0"/>
        <w:widowControl w:val="0"/>
        <w:numPr>
          <w:ilvl w:val="1"/>
          <w:numId w:val="47"/>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eastAsia" w:ascii="Calibri" w:hAnsi="Calibri" w:eastAsia="宋体" w:cs="Times New Roman"/>
          <w:color w:val="auto"/>
          <w:kern w:val="0"/>
          <w:sz w:val="22"/>
          <w:highlight w:val="none"/>
          <w:lang w:eastAsia="zh-CN"/>
        </w:rPr>
      </w:pPr>
      <w:r>
        <w:rPr>
          <w:rFonts w:hint="eastAsia" w:ascii="宋体" w:hAnsi="宋体" w:eastAsia="宋体" w:cs="宋体"/>
          <w:color w:val="auto"/>
          <w:kern w:val="0"/>
          <w:sz w:val="21"/>
          <w:szCs w:val="21"/>
          <w:highlight w:val="none"/>
          <w:lang w:eastAsia="zh-CN"/>
        </w:rPr>
        <w:t>因规格变化的价格变化表</w:t>
      </w:r>
    </w:p>
    <w:tbl>
      <w:tblPr>
        <w:tblStyle w:val="9"/>
        <w:tblW w:w="9650" w:type="dxa"/>
        <w:jc w:val="center"/>
        <w:tblLayout w:type="autofit"/>
        <w:tblCellMar>
          <w:top w:w="0" w:type="dxa"/>
          <w:left w:w="108" w:type="dxa"/>
          <w:bottom w:w="0" w:type="dxa"/>
          <w:right w:w="108" w:type="dxa"/>
        </w:tblCellMar>
      </w:tblPr>
      <w:tblGrid>
        <w:gridCol w:w="717"/>
        <w:gridCol w:w="1220"/>
        <w:gridCol w:w="5200"/>
        <w:gridCol w:w="802"/>
        <w:gridCol w:w="992"/>
        <w:gridCol w:w="719"/>
      </w:tblGrid>
      <w:tr>
        <w:tblPrEx>
          <w:tblCellMar>
            <w:top w:w="0" w:type="dxa"/>
            <w:left w:w="108" w:type="dxa"/>
            <w:bottom w:w="0" w:type="dxa"/>
            <w:right w:w="108" w:type="dxa"/>
          </w:tblCellMar>
        </w:tblPrEx>
        <w:trPr>
          <w:trHeight w:val="480" w:hRule="atLeast"/>
          <w:jc w:val="center"/>
        </w:trPr>
        <w:tc>
          <w:tcPr>
            <w:tcW w:w="717" w:type="dxa"/>
            <w:tcBorders>
              <w:top w:val="single" w:color="auto" w:sz="4" w:space="0"/>
              <w:left w:val="single" w:color="auto" w:sz="4" w:space="0"/>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名称</w:t>
            </w:r>
          </w:p>
        </w:tc>
        <w:tc>
          <w:tcPr>
            <w:tcW w:w="1220"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类别</w:t>
            </w:r>
          </w:p>
        </w:tc>
        <w:tc>
          <w:tcPr>
            <w:tcW w:w="5200"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说明</w:t>
            </w:r>
          </w:p>
        </w:tc>
        <w:tc>
          <w:tcPr>
            <w:tcW w:w="802"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费率</w:t>
            </w:r>
          </w:p>
        </w:tc>
        <w:tc>
          <w:tcPr>
            <w:tcW w:w="992"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单位</w:t>
            </w:r>
          </w:p>
        </w:tc>
        <w:tc>
          <w:tcPr>
            <w:tcW w:w="719"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备注</w:t>
            </w:r>
          </w:p>
        </w:tc>
      </w:tr>
      <w:tr>
        <w:tblPrEx>
          <w:tblCellMar>
            <w:top w:w="0" w:type="dxa"/>
            <w:left w:w="108" w:type="dxa"/>
            <w:bottom w:w="0" w:type="dxa"/>
            <w:right w:w="108" w:type="dxa"/>
          </w:tblCellMar>
        </w:tblPrEx>
        <w:trPr>
          <w:trHeight w:val="480" w:hRule="atLeast"/>
          <w:jc w:val="center"/>
        </w:trPr>
        <w:tc>
          <w:tcPr>
            <w:tcW w:w="717" w:type="dxa"/>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1220" w:type="dxa"/>
            <w:vMerge w:val="restart"/>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r>
              <w:rPr>
                <w:rFonts w:hint="default" w:ascii="Times New Roman" w:hAnsi="Times New Roman" w:eastAsia="宋体" w:cs="Times New Roman"/>
                <w:color w:val="auto"/>
                <w:kern w:val="0"/>
                <w:sz w:val="20"/>
                <w:szCs w:val="20"/>
                <w:highlight w:val="none"/>
                <w:lang w:eastAsia="zh-CN"/>
              </w:rPr>
              <w:t>电机</w:t>
            </w: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350系列潜油电机（100Hz），功率每增减1HP，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750</w:t>
            </w:r>
          </w:p>
        </w:tc>
        <w:tc>
          <w:tcPr>
            <w:tcW w:w="992" w:type="dxa"/>
            <w:tcBorders>
              <w:top w:val="nil"/>
              <w:left w:val="nil"/>
              <w:bottom w:val="single" w:color="auto" w:sz="4" w:space="0"/>
              <w:right w:val="single" w:color="auto" w:sz="4" w:space="0"/>
            </w:tcBorders>
            <w:shd w:val="clear" w:color="000000" w:fill="FFFFFF"/>
            <w:noWrap/>
            <w:vAlign w:val="center"/>
          </w:tcPr>
          <w:p>
            <w:pPr>
              <w:ind w:firstLine="200" w:firstLineChars="100"/>
              <w:jc w:val="left"/>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r>
      <w:tr>
        <w:tblPrEx>
          <w:tblCellMar>
            <w:top w:w="0" w:type="dxa"/>
            <w:left w:w="108" w:type="dxa"/>
            <w:bottom w:w="0" w:type="dxa"/>
            <w:right w:w="108" w:type="dxa"/>
          </w:tblCellMar>
        </w:tblPrEx>
        <w:trPr>
          <w:trHeight w:val="480" w:hRule="atLeast"/>
          <w:jc w:val="center"/>
        </w:trPr>
        <w:tc>
          <w:tcPr>
            <w:tcW w:w="717" w:type="dxa"/>
            <w:vMerge w:val="restart"/>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r>
              <w:rPr>
                <w:rFonts w:hint="default" w:ascii="Times New Roman" w:hAnsi="Times New Roman" w:eastAsia="宋体" w:cs="Times New Roman"/>
                <w:color w:val="auto"/>
                <w:kern w:val="0"/>
                <w:sz w:val="20"/>
                <w:szCs w:val="20"/>
                <w:highlight w:val="none"/>
                <w:lang w:eastAsia="en-US"/>
              </w:rPr>
              <w:t>1</w:t>
            </w: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450系列潜油电机（100Hz），功率每增减1HP，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600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r>
      <w:tr>
        <w:tblPrEx>
          <w:tblCellMar>
            <w:top w:w="0" w:type="dxa"/>
            <w:left w:w="108" w:type="dxa"/>
            <w:bottom w:w="0" w:type="dxa"/>
            <w:right w:w="108" w:type="dxa"/>
          </w:tblCellMar>
        </w:tblPrEx>
        <w:trPr>
          <w:trHeight w:val="480" w:hRule="atLeast"/>
          <w:jc w:val="center"/>
        </w:trPr>
        <w:tc>
          <w:tcPr>
            <w:tcW w:w="717" w:type="dxa"/>
            <w:vMerge w:val="continue"/>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450系列潜油电机（40Hz），功率每增减1HP，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val="en-US" w:eastAsia="zh-CN"/>
              </w:rPr>
              <w:t>5</w:t>
            </w:r>
            <w:r>
              <w:rPr>
                <w:rFonts w:hint="default" w:ascii="Times New Roman" w:hAnsi="Times New Roman" w:eastAsia="宋体" w:cs="Times New Roman"/>
                <w:color w:val="auto"/>
                <w:kern w:val="0"/>
                <w:sz w:val="20"/>
                <w:szCs w:val="20"/>
                <w:highlight w:val="none"/>
                <w:lang w:eastAsia="zh-CN"/>
              </w:rPr>
              <w:t>000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562系列潜油电机（100Hz），功率每增减1HP，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480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562系列潜油电机(40Hz），功率每增减1HP，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val="en-US" w:eastAsia="zh-CN"/>
              </w:rPr>
              <w:t>4</w:t>
            </w:r>
            <w:r>
              <w:rPr>
                <w:rFonts w:hint="default" w:ascii="Times New Roman" w:hAnsi="Times New Roman" w:eastAsia="宋体" w:cs="Times New Roman"/>
                <w:color w:val="auto"/>
                <w:kern w:val="0"/>
                <w:sz w:val="20"/>
                <w:szCs w:val="20"/>
                <w:highlight w:val="none"/>
                <w:lang w:eastAsia="zh-CN"/>
              </w:rPr>
              <w:t>000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en-US"/>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潜油电机，采用防腐材质（-C），每台电机价格为普通不防腐同等规格型号电机价格的</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eastAsia="zh-CN"/>
              </w:rPr>
              <w:t>1.</w:t>
            </w:r>
            <w:r>
              <w:rPr>
                <w:rFonts w:hint="default" w:ascii="Times New Roman" w:hAnsi="Times New Roman" w:eastAsia="宋体" w:cs="Times New Roman"/>
                <w:color w:val="auto"/>
                <w:kern w:val="0"/>
                <w:sz w:val="20"/>
                <w:szCs w:val="20"/>
                <w:highlight w:val="none"/>
                <w:lang w:val="en-US" w:eastAsia="zh-CN"/>
              </w:rPr>
              <w:t>2</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倍</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restart"/>
            <w:tcBorders>
              <w:top w:val="single" w:color="auto" w:sz="4" w:space="0"/>
              <w:left w:val="single" w:color="auto" w:sz="4" w:space="0"/>
              <w:right w:val="single" w:color="auto" w:sz="4" w:space="0"/>
            </w:tcBorders>
            <w:shd w:val="clear" w:color="000000" w:fill="FFFFFF"/>
            <w:noWrap w:val="0"/>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2</w:t>
            </w:r>
          </w:p>
        </w:tc>
        <w:tc>
          <w:tcPr>
            <w:tcW w:w="1220" w:type="dxa"/>
            <w:vMerge w:val="restart"/>
            <w:tcBorders>
              <w:top w:val="single" w:color="auto" w:sz="4" w:space="0"/>
              <w:left w:val="single" w:color="auto" w:sz="4" w:space="0"/>
              <w:right w:val="single" w:color="auto" w:sz="4" w:space="0"/>
            </w:tcBorders>
            <w:shd w:val="clear" w:color="000000" w:fill="FFFFFF"/>
            <w:noWrap w:val="0"/>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潜油引接电缆</w:t>
            </w: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350系列潜油引接电缆AWG6</w:t>
            </w:r>
            <w:r>
              <w:rPr>
                <w:rFonts w:hint="default" w:ascii="Times New Roman" w:hAnsi="Times New Roman" w:eastAsia="宋体" w:cs="Times New Roman"/>
                <w:color w:val="auto"/>
                <w:kern w:val="0"/>
                <w:sz w:val="20"/>
                <w:szCs w:val="20"/>
                <w:highlight w:val="none"/>
                <w:vertAlign w:val="superscript"/>
                <w:lang w:eastAsia="zh-CN"/>
              </w:rPr>
              <w:t>#</w:t>
            </w:r>
            <w:r>
              <w:rPr>
                <w:rFonts w:hint="default" w:ascii="Times New Roman" w:hAnsi="Times New Roman" w:eastAsia="宋体" w:cs="Times New Roman"/>
                <w:color w:val="auto"/>
                <w:kern w:val="0"/>
                <w:sz w:val="20"/>
                <w:szCs w:val="20"/>
                <w:highlight w:val="none"/>
                <w:lang w:eastAsia="zh-CN"/>
              </w:rPr>
              <w:t>(3×13mm</w:t>
            </w:r>
            <w:r>
              <w:rPr>
                <w:rFonts w:hint="default" w:ascii="Times New Roman" w:hAnsi="Times New Roman" w:eastAsia="宋体" w:cs="Times New Roman"/>
                <w:color w:val="auto"/>
                <w:kern w:val="0"/>
                <w:sz w:val="20"/>
                <w:szCs w:val="20"/>
                <w:highlight w:val="none"/>
                <w:vertAlign w:val="superscript"/>
                <w:lang w:eastAsia="zh-CN"/>
              </w:rPr>
              <w:t>2</w:t>
            </w:r>
            <w:r>
              <w:rPr>
                <w:rFonts w:hint="default" w:ascii="Times New Roman" w:hAnsi="Times New Roman" w:eastAsia="宋体" w:cs="Times New Roman"/>
                <w:color w:val="auto"/>
                <w:kern w:val="0"/>
                <w:sz w:val="20"/>
                <w:szCs w:val="20"/>
                <w:highlight w:val="none"/>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100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450系列潜油引接电缆AWG6</w:t>
            </w:r>
            <w:r>
              <w:rPr>
                <w:rFonts w:hint="default" w:ascii="Times New Roman" w:hAnsi="Times New Roman" w:eastAsia="宋体" w:cs="Times New Roman"/>
                <w:color w:val="auto"/>
                <w:kern w:val="0"/>
                <w:sz w:val="20"/>
                <w:szCs w:val="20"/>
                <w:highlight w:val="none"/>
                <w:vertAlign w:val="superscript"/>
                <w:lang w:eastAsia="zh-CN"/>
              </w:rPr>
              <w:t>#</w:t>
            </w:r>
            <w:r>
              <w:rPr>
                <w:rFonts w:hint="default" w:ascii="Times New Roman" w:hAnsi="Times New Roman" w:eastAsia="宋体" w:cs="Times New Roman"/>
                <w:color w:val="auto"/>
                <w:kern w:val="0"/>
                <w:sz w:val="20"/>
                <w:szCs w:val="20"/>
                <w:highlight w:val="none"/>
                <w:lang w:eastAsia="zh-CN"/>
              </w:rPr>
              <w:t>(3×13mm</w:t>
            </w:r>
            <w:r>
              <w:rPr>
                <w:rFonts w:hint="default" w:ascii="Times New Roman" w:hAnsi="Times New Roman" w:eastAsia="宋体" w:cs="Times New Roman"/>
                <w:color w:val="auto"/>
                <w:kern w:val="0"/>
                <w:sz w:val="20"/>
                <w:szCs w:val="20"/>
                <w:highlight w:val="none"/>
                <w:vertAlign w:val="superscript"/>
                <w:lang w:eastAsia="zh-CN"/>
              </w:rPr>
              <w:t>2</w:t>
            </w:r>
            <w:r>
              <w:rPr>
                <w:rFonts w:hint="default" w:ascii="Times New Roman" w:hAnsi="Times New Roman" w:eastAsia="宋体" w:cs="Times New Roman"/>
                <w:color w:val="auto"/>
                <w:kern w:val="0"/>
                <w:sz w:val="20"/>
                <w:szCs w:val="20"/>
                <w:highlight w:val="none"/>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100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en-US"/>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562系列潜油引接电缆AWG4</w:t>
            </w:r>
            <w:r>
              <w:rPr>
                <w:rFonts w:hint="default" w:ascii="Times New Roman" w:hAnsi="Times New Roman" w:eastAsia="宋体" w:cs="Times New Roman"/>
                <w:color w:val="auto"/>
                <w:kern w:val="0"/>
                <w:sz w:val="20"/>
                <w:szCs w:val="20"/>
                <w:highlight w:val="none"/>
                <w:vertAlign w:val="superscript"/>
                <w:lang w:eastAsia="zh-CN"/>
              </w:rPr>
              <w:t>#</w:t>
            </w:r>
            <w:r>
              <w:rPr>
                <w:rFonts w:hint="default" w:ascii="Times New Roman" w:hAnsi="Times New Roman" w:eastAsia="宋体" w:cs="Times New Roman"/>
                <w:color w:val="auto"/>
                <w:kern w:val="0"/>
                <w:sz w:val="20"/>
                <w:szCs w:val="20"/>
                <w:highlight w:val="none"/>
                <w:lang w:eastAsia="zh-CN"/>
              </w:rPr>
              <w:t>(3×20mm</w:t>
            </w:r>
            <w:r>
              <w:rPr>
                <w:rFonts w:hint="default" w:ascii="Times New Roman" w:hAnsi="Times New Roman" w:eastAsia="宋体" w:cs="Times New Roman"/>
                <w:color w:val="auto"/>
                <w:kern w:val="0"/>
                <w:sz w:val="20"/>
                <w:szCs w:val="20"/>
                <w:highlight w:val="none"/>
                <w:vertAlign w:val="superscript"/>
                <w:lang w:eastAsia="zh-CN"/>
              </w:rPr>
              <w:t>2</w:t>
            </w:r>
            <w:r>
              <w:rPr>
                <w:rFonts w:hint="default" w:ascii="Times New Roman" w:hAnsi="Times New Roman" w:eastAsia="宋体" w:cs="Times New Roman"/>
                <w:color w:val="auto"/>
                <w:kern w:val="0"/>
                <w:sz w:val="20"/>
                <w:szCs w:val="20"/>
                <w:highlight w:val="none"/>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200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潜油引接电缆，采用防腐材质（-C），每条潜油引接电缆价格为普通不防腐同等规格型号潜油引接电缆价格的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1.1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restart"/>
            <w:tcBorders>
              <w:top w:val="single" w:color="auto" w:sz="4" w:space="0"/>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3</w:t>
            </w:r>
          </w:p>
        </w:tc>
        <w:tc>
          <w:tcPr>
            <w:tcW w:w="1220" w:type="dxa"/>
            <w:vMerge w:val="restart"/>
            <w:tcBorders>
              <w:top w:val="single" w:color="auto" w:sz="4" w:space="0"/>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000000"/>
                <w:kern w:val="0"/>
                <w:sz w:val="20"/>
                <w:szCs w:val="20"/>
                <w:highlight w:val="none"/>
                <w:lang w:eastAsia="zh-CN"/>
              </w:rPr>
              <w:t>潜油保护器</w:t>
            </w: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000000"/>
                <w:kern w:val="0"/>
                <w:sz w:val="20"/>
                <w:szCs w:val="20"/>
                <w:highlight w:val="none"/>
                <w:lang w:eastAsia="zh-CN"/>
              </w:rPr>
              <w:t>潜油保护器采用高强轴（Inconel 718材质），每台潜油保护器价格为普通Monel K500轴同等规格型号潜油保护器价格的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000000"/>
                <w:kern w:val="0"/>
                <w:sz w:val="20"/>
                <w:szCs w:val="20"/>
                <w:highlight w:val="none"/>
                <w:lang w:eastAsia="zh-CN"/>
              </w:rPr>
              <w:t>1.</w:t>
            </w:r>
            <w:r>
              <w:rPr>
                <w:rFonts w:hint="default" w:ascii="Times New Roman" w:hAnsi="Times New Roman" w:eastAsia="宋体" w:cs="Times New Roman"/>
                <w:color w:val="000000"/>
                <w:kern w:val="0"/>
                <w:sz w:val="20"/>
                <w:szCs w:val="20"/>
                <w:highlight w:val="none"/>
                <w:lang w:val="en-US" w:eastAsia="zh-CN"/>
              </w:rPr>
              <w:t>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eastAsia="宋体" w:cs="Times New Roman"/>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000000"/>
                <w:kern w:val="0"/>
                <w:sz w:val="20"/>
                <w:szCs w:val="20"/>
                <w:highlight w:val="none"/>
                <w:lang w:eastAsia="zh-CN"/>
              </w:rPr>
              <w:t>潜油保护器采用防腐材质（-C），每台潜油保护器价格为普通不防腐同等规格型号潜油保护器价格的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000000"/>
                <w:kern w:val="0"/>
                <w:sz w:val="20"/>
                <w:szCs w:val="20"/>
                <w:highlight w:val="none"/>
                <w:lang w:eastAsia="zh-CN"/>
              </w:rPr>
              <w:t>1.</w:t>
            </w:r>
            <w:r>
              <w:rPr>
                <w:rFonts w:hint="default" w:ascii="Times New Roman" w:hAnsi="Times New Roman" w:eastAsia="宋体" w:cs="Times New Roman"/>
                <w:color w:val="000000"/>
                <w:kern w:val="0"/>
                <w:sz w:val="20"/>
                <w:szCs w:val="20"/>
                <w:highlight w:val="none"/>
                <w:lang w:val="en-US" w:eastAsia="zh-CN"/>
              </w:rPr>
              <w:t>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eastAsia="宋体" w:cs="Times New Roman"/>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000000"/>
                <w:kern w:val="0"/>
                <w:sz w:val="20"/>
                <w:szCs w:val="20"/>
                <w:highlight w:val="none"/>
                <w:lang w:eastAsia="zh-CN"/>
              </w:rPr>
              <w:t>潜油保护器采用防砂材质和结构（-D），每台潜油保护器价格为普通不防砂同等规格型号潜油保护器价格的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000000"/>
                <w:kern w:val="0"/>
                <w:sz w:val="20"/>
                <w:szCs w:val="20"/>
                <w:highlight w:val="none"/>
                <w:lang w:eastAsia="zh-CN"/>
              </w:rPr>
              <w:t>1.</w:t>
            </w:r>
            <w:r>
              <w:rPr>
                <w:rFonts w:hint="default" w:ascii="Times New Roman" w:hAnsi="Times New Roman" w:eastAsia="宋体" w:cs="Times New Roman"/>
                <w:color w:val="000000"/>
                <w:kern w:val="0"/>
                <w:sz w:val="20"/>
                <w:szCs w:val="20"/>
                <w:highlight w:val="none"/>
                <w:lang w:val="en-US" w:eastAsia="zh-CN"/>
              </w:rPr>
              <w:t>05</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eastAsia="宋体" w:cs="Times New Roman"/>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000000"/>
                <w:kern w:val="0"/>
                <w:sz w:val="20"/>
                <w:szCs w:val="20"/>
                <w:highlight w:val="none"/>
                <w:lang w:eastAsia="zh-CN"/>
              </w:rPr>
              <w:t>潜油保护器同时采用防腐材质、防砂材质和结构（-D）、高强轴（Inconel 718材质），每台潜油保护器价格为普通不防腐、不防砂、普通Monel K500轴同等规格型号潜油保护器价格的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000000"/>
                <w:kern w:val="0"/>
                <w:sz w:val="20"/>
                <w:szCs w:val="20"/>
                <w:highlight w:val="none"/>
                <w:lang w:eastAsia="zh-CN"/>
              </w:rPr>
              <w:t>1.</w:t>
            </w:r>
            <w:r>
              <w:rPr>
                <w:rFonts w:hint="default" w:ascii="Times New Roman" w:hAnsi="Times New Roman" w:eastAsia="宋体" w:cs="Times New Roman"/>
                <w:color w:val="000000"/>
                <w:kern w:val="0"/>
                <w:sz w:val="20"/>
                <w:szCs w:val="20"/>
                <w:highlight w:val="none"/>
                <w:lang w:val="en-US" w:eastAsia="zh-CN"/>
              </w:rPr>
              <w:t>25</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eastAsia="宋体" w:cs="Times New Roman"/>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b/>
                <w:color w:val="auto"/>
                <w:kern w:val="0"/>
                <w:sz w:val="20"/>
                <w:szCs w:val="20"/>
                <w:highlight w:val="none"/>
                <w:lang w:eastAsia="en-US"/>
              </w:rPr>
            </w:pPr>
            <w:r>
              <w:rPr>
                <w:rFonts w:hint="default" w:ascii="Times New Roman" w:hAnsi="Times New Roman" w:eastAsia="宋体" w:cs="Times New Roman"/>
                <w:b/>
                <w:color w:val="auto"/>
                <w:kern w:val="0"/>
                <w:sz w:val="20"/>
                <w:szCs w:val="20"/>
                <w:highlight w:val="none"/>
                <w:lang w:eastAsia="en-US"/>
              </w:rPr>
              <w:t>说明</w:t>
            </w:r>
          </w:p>
        </w:tc>
        <w:tc>
          <w:tcPr>
            <w:tcW w:w="8933"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1、以招标清单中电机型号为基准型号；</w:t>
            </w:r>
          </w:p>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2、若电机或引接电缆或保护器的规格发生变化，以变化后的型号供货，并以基准价±变化单价为最终价格；</w:t>
            </w:r>
          </w:p>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3、实际使用电机功率以报价中相近的功率作为计算依据；</w:t>
            </w:r>
          </w:p>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4、若出现上下相邻功率加减计算后不一致的情况，以价格低的为准。</w:t>
            </w:r>
          </w:p>
        </w:tc>
      </w:tr>
    </w:tbl>
    <w:p>
      <w:pPr>
        <w:autoSpaceDE w:val="0"/>
        <w:autoSpaceDN w:val="0"/>
        <w:adjustRightInd w:val="0"/>
        <w:snapToGrid w:val="0"/>
        <w:spacing w:line="360" w:lineRule="auto"/>
        <w:ind w:left="720" w:right="-21" w:rightChars="-10"/>
        <w:jc w:val="left"/>
        <w:rPr>
          <w:rFonts w:ascii="宋体" w:hAnsi="宋体" w:eastAsia="宋体" w:cs="黑体"/>
          <w:color w:val="auto"/>
          <w:kern w:val="0"/>
          <w:sz w:val="24"/>
          <w:szCs w:val="24"/>
          <w:highlight w:val="none"/>
          <w:lang w:eastAsia="zh-CN"/>
        </w:rPr>
      </w:pPr>
    </w:p>
    <w:p>
      <w:pPr>
        <w:autoSpaceDE w:val="0"/>
        <w:autoSpaceDN w:val="0"/>
        <w:adjustRightInd w:val="0"/>
        <w:snapToGrid w:val="0"/>
        <w:spacing w:line="360" w:lineRule="auto"/>
        <w:ind w:right="-21" w:rightChars="-10"/>
        <w:jc w:val="left"/>
        <w:rPr>
          <w:rFonts w:ascii="宋体" w:hAnsi="宋体" w:eastAsia="宋体" w:cs="黑体"/>
          <w:color w:val="auto"/>
          <w:kern w:val="0"/>
          <w:sz w:val="24"/>
          <w:szCs w:val="24"/>
          <w:highlight w:val="none"/>
          <w:lang w:eastAsia="zh-CN"/>
        </w:rPr>
      </w:pPr>
    </w:p>
    <w:p>
      <w:pPr>
        <w:autoSpaceDE w:val="0"/>
        <w:autoSpaceDN w:val="0"/>
        <w:adjustRightInd w:val="0"/>
        <w:snapToGrid w:val="0"/>
        <w:spacing w:line="360" w:lineRule="auto"/>
        <w:ind w:right="-21" w:rightChars="-10"/>
        <w:rPr>
          <w:rFonts w:ascii="宋体" w:hAnsi="宋体" w:cs="黑体"/>
          <w:color w:val="auto"/>
          <w:sz w:val="24"/>
          <w:szCs w:val="24"/>
          <w:highlight w:val="none"/>
          <w:lang w:eastAsia="zh-CN"/>
        </w:rPr>
        <w:sectPr>
          <w:footerReference r:id="rId11" w:type="first"/>
          <w:footerReference r:id="rId10" w:type="default"/>
          <w:pgSz w:w="11906" w:h="16838"/>
          <w:pgMar w:top="1440" w:right="1558" w:bottom="1440" w:left="1797" w:header="851" w:footer="992" w:gutter="0"/>
          <w:pgBorders>
            <w:top w:val="none" w:sz="0" w:space="0"/>
            <w:left w:val="none" w:sz="0" w:space="0"/>
            <w:bottom w:val="none" w:sz="0" w:space="0"/>
            <w:right w:val="none" w:sz="0" w:space="0"/>
          </w:pgBorders>
          <w:pgNumType w:start="1"/>
          <w:cols w:space="425" w:num="1"/>
          <w:titlePg/>
          <w:docGrid w:type="lines" w:linePitch="312" w:charSpace="0"/>
        </w:sectPr>
      </w:pPr>
    </w:p>
    <w:tbl>
      <w:tblPr>
        <w:tblStyle w:val="9"/>
        <w:tblW w:w="13026" w:type="dxa"/>
        <w:tblInd w:w="469" w:type="dxa"/>
        <w:tblLayout w:type="autofit"/>
        <w:tblCellMar>
          <w:top w:w="0" w:type="dxa"/>
          <w:left w:w="108" w:type="dxa"/>
          <w:bottom w:w="0" w:type="dxa"/>
          <w:right w:w="108" w:type="dxa"/>
        </w:tblCellMar>
      </w:tblPr>
      <w:tblGrid>
        <w:gridCol w:w="457"/>
        <w:gridCol w:w="457"/>
        <w:gridCol w:w="457"/>
        <w:gridCol w:w="746"/>
        <w:gridCol w:w="2064"/>
        <w:gridCol w:w="978"/>
        <w:gridCol w:w="1712"/>
        <w:gridCol w:w="653"/>
        <w:gridCol w:w="653"/>
        <w:gridCol w:w="815"/>
        <w:gridCol w:w="491"/>
        <w:gridCol w:w="653"/>
        <w:gridCol w:w="653"/>
        <w:gridCol w:w="653"/>
        <w:gridCol w:w="653"/>
        <w:gridCol w:w="978"/>
      </w:tblGrid>
      <w:tr>
        <w:tblPrEx>
          <w:tblCellMar>
            <w:top w:w="0" w:type="dxa"/>
            <w:left w:w="108" w:type="dxa"/>
            <w:bottom w:w="0" w:type="dxa"/>
            <w:right w:w="108" w:type="dxa"/>
          </w:tblCellMar>
        </w:tblPrEx>
        <w:trPr>
          <w:trHeight w:val="243" w:hRule="atLeast"/>
        </w:trPr>
        <w:tc>
          <w:tcPr>
            <w:tcW w:w="4134" w:type="dxa"/>
            <w:gridSpan w:val="5"/>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32"/>
                <w:szCs w:val="32"/>
                <w:highlight w:val="none"/>
                <w:lang w:eastAsia="en-US"/>
              </w:rPr>
            </w:pPr>
            <w:r>
              <w:rPr>
                <w:rFonts w:hint="eastAsia" w:ascii="宋体" w:hAnsi="宋体" w:eastAsia="宋体" w:cs="宋体"/>
                <w:b/>
                <w:bCs/>
                <w:color w:val="auto"/>
                <w:kern w:val="0"/>
                <w:sz w:val="32"/>
                <w:szCs w:val="32"/>
                <w:highlight w:val="none"/>
                <w:lang w:eastAsia="en-US"/>
              </w:rPr>
              <w:t>原材料发货资料清单</w:t>
            </w:r>
          </w:p>
        </w:tc>
        <w:tc>
          <w:tcPr>
            <w:tcW w:w="978"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1712"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815"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491"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c>
          <w:tcPr>
            <w:tcW w:w="978" w:type="dxa"/>
            <w:tcBorders>
              <w:top w:val="nil"/>
              <w:left w:val="nil"/>
              <w:bottom w:val="single" w:color="auto" w:sz="4" w:space="0"/>
              <w:right w:val="nil"/>
            </w:tcBorders>
            <w:shd w:val="clear" w:color="auto" w:fill="auto"/>
            <w:noWrap/>
            <w:vAlign w:val="center"/>
          </w:tcPr>
          <w:p>
            <w:pPr>
              <w:widowControl/>
              <w:jc w:val="center"/>
              <w:rPr>
                <w:rFonts w:ascii="宋体" w:hAnsi="宋体" w:eastAsia="宋体" w:cs="宋体"/>
                <w:b/>
                <w:bCs/>
                <w:color w:val="auto"/>
                <w:kern w:val="0"/>
                <w:sz w:val="40"/>
                <w:szCs w:val="40"/>
                <w:highlight w:val="none"/>
                <w:lang w:eastAsia="en-US"/>
              </w:rPr>
            </w:pPr>
          </w:p>
        </w:tc>
      </w:tr>
      <w:tr>
        <w:tblPrEx>
          <w:tblCellMar>
            <w:top w:w="0" w:type="dxa"/>
            <w:left w:w="108" w:type="dxa"/>
            <w:bottom w:w="0" w:type="dxa"/>
            <w:right w:w="108" w:type="dxa"/>
          </w:tblCellMar>
        </w:tblPrEx>
        <w:trPr>
          <w:trHeight w:val="486" w:hRule="atLeast"/>
        </w:trPr>
        <w:tc>
          <w:tcPr>
            <w:tcW w:w="46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类别1</w:t>
            </w:r>
          </w:p>
        </w:tc>
        <w:tc>
          <w:tcPr>
            <w:tcW w:w="466"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类别2</w:t>
            </w:r>
          </w:p>
        </w:tc>
        <w:tc>
          <w:tcPr>
            <w:tcW w:w="466"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类别3</w:t>
            </w:r>
          </w:p>
        </w:tc>
        <w:tc>
          <w:tcPr>
            <w:tcW w:w="67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序号</w:t>
            </w:r>
          </w:p>
        </w:tc>
        <w:tc>
          <w:tcPr>
            <w:tcW w:w="206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物资名称</w:t>
            </w:r>
          </w:p>
        </w:tc>
        <w:tc>
          <w:tcPr>
            <w:tcW w:w="97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送货单</w:t>
            </w:r>
          </w:p>
        </w:tc>
        <w:tc>
          <w:tcPr>
            <w:tcW w:w="171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技术要求(合同、澄清纪要)</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合格证</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说明书</w:t>
            </w:r>
          </w:p>
        </w:tc>
        <w:tc>
          <w:tcPr>
            <w:tcW w:w="81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出厂检验报告</w:t>
            </w:r>
          </w:p>
        </w:tc>
        <w:tc>
          <w:tcPr>
            <w:tcW w:w="491"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图纸</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防爆 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船检 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标定证书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材质证明</w:t>
            </w:r>
          </w:p>
        </w:tc>
        <w:tc>
          <w:tcPr>
            <w:tcW w:w="97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4"/>
                <w:highlight w:val="none"/>
                <w:lang w:eastAsia="en-US"/>
              </w:rPr>
            </w:pPr>
            <w:r>
              <w:rPr>
                <w:rFonts w:hint="default" w:ascii="Times New Roman" w:hAnsi="Times New Roman" w:eastAsia="宋体" w:cs="Times New Roman"/>
                <w:color w:val="auto"/>
                <w:kern w:val="0"/>
                <w:sz w:val="24"/>
                <w:highlight w:val="none"/>
                <w:lang w:eastAsia="en-US"/>
              </w:rPr>
              <w:t>备注</w:t>
            </w:r>
          </w:p>
        </w:tc>
      </w:tr>
      <w:tr>
        <w:tblPrEx>
          <w:tblCellMar>
            <w:top w:w="0" w:type="dxa"/>
            <w:left w:w="108" w:type="dxa"/>
            <w:bottom w:w="0" w:type="dxa"/>
            <w:right w:w="108" w:type="dxa"/>
          </w:tblCellMar>
        </w:tblPrEx>
        <w:trPr>
          <w:trHeight w:val="729" w:hRule="atLeast"/>
        </w:trPr>
        <w:tc>
          <w:tcPr>
            <w:tcW w:w="466"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原材料</w:t>
            </w:r>
          </w:p>
        </w:tc>
        <w:tc>
          <w:tcPr>
            <w:tcW w:w="466" w:type="dxa"/>
            <w:vMerge w:val="restart"/>
            <w:tcBorders>
              <w:top w:val="single" w:color="auto" w:sz="4" w:space="0"/>
              <w:left w:val="single" w:color="auto" w:sz="4" w:space="0"/>
              <w:right w:val="single" w:color="auto" w:sz="4" w:space="0"/>
            </w:tcBorders>
            <w:shd w:val="clear" w:color="auto" w:fill="auto"/>
            <w:vAlign w:val="center"/>
          </w:tcPr>
          <w:p>
            <w:pPr>
              <w:jc w:val="left"/>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潜油</w:t>
            </w:r>
            <w:r>
              <w:rPr>
                <w:rFonts w:hint="default" w:ascii="Times New Roman" w:hAnsi="Times New Roman" w:eastAsia="宋体" w:cs="Times New Roman"/>
                <w:color w:val="auto"/>
                <w:kern w:val="0"/>
                <w:sz w:val="22"/>
                <w:highlight w:val="none"/>
                <w:lang w:eastAsia="zh-CN"/>
              </w:rPr>
              <w:t>永磁同步</w:t>
            </w:r>
            <w:r>
              <w:rPr>
                <w:rFonts w:hint="default" w:ascii="Times New Roman" w:hAnsi="Times New Roman" w:eastAsia="宋体" w:cs="Times New Roman"/>
                <w:color w:val="auto"/>
                <w:kern w:val="0"/>
                <w:sz w:val="22"/>
                <w:highlight w:val="none"/>
                <w:lang w:eastAsia="en-US"/>
              </w:rPr>
              <w:t>电机</w:t>
            </w:r>
          </w:p>
        </w:tc>
        <w:tc>
          <w:tcPr>
            <w:tcW w:w="466"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A类</w:t>
            </w: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0"/>
              </w:numPr>
              <w:ind w:leftChars="0" w:firstLine="440" w:firstLineChars="200"/>
              <w:jc w:val="center"/>
              <w:rPr>
                <w:rFonts w:hint="eastAsia" w:ascii="Times New Roman" w:hAnsi="Times New Roman" w:eastAsia="宋体" w:cs="Times New Roman"/>
                <w:color w:val="auto"/>
                <w:kern w:val="0"/>
                <w:sz w:val="22"/>
                <w:szCs w:val="22"/>
                <w:highlight w:val="none"/>
                <w:lang w:val="en-US" w:eastAsia="zh-CN" w:bidi="ar-SA"/>
              </w:rPr>
            </w:pPr>
            <w:r>
              <w:rPr>
                <w:rFonts w:hint="eastAsia" w:ascii="Times New Roman" w:hAnsi="Times New Roman" w:eastAsia="宋体" w:cs="Times New Roman"/>
                <w:color w:val="auto"/>
                <w:kern w:val="0"/>
                <w:sz w:val="22"/>
                <w:szCs w:val="22"/>
                <w:highlight w:val="none"/>
                <w:lang w:val="en-US" w:eastAsia="zh-CN" w:bidi="ar-SA"/>
              </w:rPr>
              <w:t>1</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zh-CN"/>
              </w:rPr>
              <w:t>潜油电机</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r>
      <w:tr>
        <w:tblPrEx>
          <w:tblCellMar>
            <w:top w:w="0" w:type="dxa"/>
            <w:left w:w="108" w:type="dxa"/>
            <w:bottom w:w="0" w:type="dxa"/>
            <w:right w:w="108" w:type="dxa"/>
          </w:tblCellMar>
        </w:tblPrEx>
        <w:trPr>
          <w:trHeight w:val="692"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0"/>
              </w:numPr>
              <w:ind w:leftChars="0" w:firstLine="440" w:firstLineChars="200"/>
              <w:jc w:val="center"/>
              <w:rPr>
                <w:rFonts w:hint="eastAsia" w:ascii="Times New Roman" w:hAnsi="Times New Roman" w:eastAsia="宋体" w:cs="Times New Roman"/>
                <w:color w:val="auto"/>
                <w:kern w:val="0"/>
                <w:sz w:val="22"/>
                <w:szCs w:val="22"/>
                <w:highlight w:val="none"/>
                <w:lang w:val="en-US" w:eastAsia="zh-CN" w:bidi="ar-SA"/>
              </w:rPr>
            </w:pPr>
            <w:r>
              <w:rPr>
                <w:rFonts w:hint="eastAsia" w:ascii="Times New Roman" w:hAnsi="Times New Roman" w:eastAsia="宋体" w:cs="Times New Roman"/>
                <w:color w:val="auto"/>
                <w:kern w:val="0"/>
                <w:sz w:val="22"/>
                <w:szCs w:val="22"/>
                <w:highlight w:val="none"/>
                <w:lang w:val="en-US" w:eastAsia="zh-CN" w:bidi="ar-SA"/>
              </w:rPr>
              <w:t>2</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潜油引接电缆</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r>
      <w:tr>
        <w:tblPrEx>
          <w:tblCellMar>
            <w:top w:w="0" w:type="dxa"/>
            <w:left w:w="108" w:type="dxa"/>
            <w:bottom w:w="0" w:type="dxa"/>
            <w:right w:w="108" w:type="dxa"/>
          </w:tblCellMar>
        </w:tblPrEx>
        <w:trPr>
          <w:trHeight w:val="692"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0"/>
              </w:numPr>
              <w:ind w:leftChars="0" w:firstLine="440" w:firstLineChars="20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eastAsia="宋体" w:cs="Times New Roman"/>
                <w:color w:val="auto"/>
                <w:kern w:val="0"/>
                <w:sz w:val="22"/>
                <w:szCs w:val="22"/>
                <w:highlight w:val="none"/>
                <w:lang w:val="en-US" w:eastAsia="zh-CN" w:bidi="ar-SA"/>
              </w:rPr>
              <w:t>3</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潜油保护器</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eastAsia="宋体" w:cs="Times New Roman"/>
                <w:color w:val="auto"/>
                <w:kern w:val="0"/>
                <w:sz w:val="22"/>
                <w:highlight w:val="none"/>
                <w:lang w:eastAsia="zh-CN"/>
              </w:rPr>
              <w:t>4</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扭矩连接轴</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eastAsia="宋体" w:cs="Times New Roman"/>
                <w:color w:val="auto"/>
                <w:kern w:val="0"/>
                <w:sz w:val="22"/>
                <w:highlight w:val="none"/>
                <w:lang w:eastAsia="zh-CN"/>
              </w:rPr>
              <w:t>5</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eastAsia="宋体" w:cs="Times New Roman"/>
                <w:color w:val="auto"/>
                <w:kern w:val="0"/>
                <w:sz w:val="18"/>
                <w:szCs w:val="18"/>
                <w:highlight w:val="none"/>
                <w:lang w:eastAsia="zh-CN" w:bidi="ar"/>
              </w:rPr>
              <w:t>450系列永磁常速电机转子-四极</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eastAsia="宋体" w:cs="Times New Roman"/>
                <w:color w:val="auto"/>
                <w:kern w:val="0"/>
                <w:sz w:val="22"/>
                <w:highlight w:val="none"/>
                <w:lang w:eastAsia="zh-CN"/>
              </w:rPr>
              <w:t>6</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eastAsia="宋体" w:cs="Times New Roman"/>
                <w:color w:val="auto"/>
                <w:kern w:val="0"/>
                <w:sz w:val="18"/>
                <w:szCs w:val="18"/>
                <w:highlight w:val="none"/>
                <w:lang w:eastAsia="zh-CN" w:bidi="ar"/>
              </w:rPr>
              <w:t>450系列永磁常速电机定子片</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val="en-US" w:eastAsia="zh-CN"/>
              </w:rPr>
            </w:pPr>
            <w:r>
              <w:rPr>
                <w:rFonts w:hint="default" w:ascii="Times New Roman" w:hAnsi="Times New Roman" w:eastAsia="宋体" w:cs="Times New Roman"/>
                <w:color w:val="auto"/>
                <w:kern w:val="0"/>
                <w:sz w:val="22"/>
                <w:highlight w:val="none"/>
                <w:lang w:val="en-US" w:eastAsia="zh-CN"/>
              </w:rPr>
              <w:t>7</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eastAsia="zh-CN" w:bidi="ar"/>
              </w:rPr>
              <w:t>450系列永磁常速电机转子-四极</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val="en-US" w:eastAsia="zh-CN"/>
              </w:rPr>
            </w:pPr>
            <w:r>
              <w:rPr>
                <w:rFonts w:hint="default" w:ascii="Times New Roman" w:hAnsi="Times New Roman" w:eastAsia="宋体" w:cs="Times New Roman"/>
                <w:color w:val="auto"/>
                <w:kern w:val="0"/>
                <w:sz w:val="22"/>
                <w:highlight w:val="none"/>
                <w:lang w:val="en-US" w:eastAsia="zh-CN"/>
              </w:rPr>
              <w:t>8</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eastAsia="zh-CN" w:bidi="ar"/>
              </w:rPr>
              <w:t>450系列永磁常速电机定子片</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color w:val="auto"/>
                <w:kern w:val="0"/>
                <w:sz w:val="22"/>
                <w:highlight w:val="none"/>
                <w:lang w:eastAsia="en-US"/>
              </w:rPr>
            </w:pPr>
          </w:p>
        </w:tc>
      </w:tr>
    </w:tbl>
    <w:p>
      <w:pPr>
        <w:jc w:val="both"/>
        <w:rPr>
          <w:rFonts w:ascii="Calibri" w:hAnsi="Calibri" w:eastAsia="宋体" w:cs="Times New Roman"/>
          <w:color w:val="auto"/>
          <w:kern w:val="2"/>
          <w:sz w:val="21"/>
          <w:highlight w:val="none"/>
          <w:lang w:eastAsia="zh-CN"/>
        </w:rPr>
      </w:pPr>
    </w:p>
    <w:p>
      <w:pPr>
        <w:keepNext/>
        <w:keepLines/>
        <w:widowControl w:val="0"/>
        <w:spacing w:before="240" w:after="240" w:line="578" w:lineRule="auto"/>
        <w:jc w:val="both"/>
        <w:outlineLvl w:val="0"/>
        <w:rPr>
          <w:rFonts w:hint="eastAsia" w:ascii="宋体" w:hAnsi="宋体" w:eastAsia="黑体" w:cs="Times New Roman"/>
          <w:b/>
          <w:bCs/>
          <w:kern w:val="44"/>
          <w:sz w:val="32"/>
          <w:szCs w:val="32"/>
          <w:lang w:val="en-US" w:eastAsia="zh-CN" w:bidi="ar-SA"/>
        </w:rPr>
      </w:pPr>
      <w:r>
        <w:rPr>
          <w:rFonts w:hint="eastAsia" w:ascii="宋体" w:hAnsi="宋体" w:eastAsia="黑体" w:cs="Times New Roman"/>
          <w:b/>
          <w:bCs/>
          <w:kern w:val="44"/>
          <w:sz w:val="32"/>
          <w:szCs w:val="32"/>
          <w:lang w:val="en-US" w:eastAsia="zh-CN" w:bidi="ar-SA"/>
        </w:rPr>
        <w:t>附件一</w:t>
      </w:r>
      <w:r>
        <w:rPr>
          <w:rFonts w:hint="eastAsia" w:ascii="黑体" w:hAnsi="黑体" w:eastAsia="黑体" w:cs="Times New Roman"/>
          <w:b/>
          <w:bCs/>
          <w:kern w:val="44"/>
          <w:sz w:val="32"/>
          <w:szCs w:val="32"/>
          <w:lang w:val="en-US" w:eastAsia="zh-CN" w:bidi="ar-SA"/>
        </w:rPr>
        <w:t xml:space="preserve"> 接口尺寸</w:t>
      </w:r>
    </w:p>
    <w:p>
      <w:pPr>
        <w:spacing w:before="156" w:beforeLines="50"/>
        <w:jc w:val="center"/>
        <w:rPr>
          <w:rFonts w:hint="default" w:ascii="Times New Roman" w:hAnsi="Times New Roman" w:eastAsia="宋体" w:cs="Times New Roman"/>
          <w:kern w:val="0"/>
          <w:sz w:val="24"/>
          <w:lang w:eastAsia="en-US"/>
        </w:rPr>
      </w:pPr>
      <w:r>
        <w:rPr>
          <w:rFonts w:ascii="Times New Roman" w:hAnsi="Times New Roman" w:eastAsia="宋体" w:cs="Times New Roman"/>
          <w:b/>
          <w:bCs/>
          <w:kern w:val="0"/>
          <w:sz w:val="24"/>
          <w:lang w:eastAsia="en-US"/>
        </w:rPr>
        <w:t xml:space="preserve"> </w:t>
      </w:r>
      <w:r>
        <w:rPr>
          <w:rFonts w:hint="default" w:ascii="Times New Roman" w:hAnsi="Times New Roman" w:eastAsia="宋体" w:cs="Times New Roman"/>
          <w:b/>
          <w:bCs/>
          <w:kern w:val="0"/>
          <w:sz w:val="24"/>
          <w:lang w:eastAsia="en-US"/>
        </w:rPr>
        <w:t>保护器</w:t>
      </w:r>
      <w:r>
        <w:rPr>
          <w:rFonts w:ascii="Times New Roman" w:hAnsi="Times New Roman" w:eastAsia="宋体" w:cs="Times New Roman"/>
          <w:b/>
          <w:bCs/>
          <w:kern w:val="0"/>
          <w:sz w:val="24"/>
          <w:lang w:eastAsia="en-US"/>
        </w:rPr>
        <w:t>接口尺寸</w:t>
      </w:r>
    </w:p>
    <w:tbl>
      <w:tblPr>
        <w:tblStyle w:val="9"/>
        <w:tblW w:w="4405" w:type="pct"/>
        <w:jc w:val="center"/>
        <w:tblLayout w:type="fixed"/>
        <w:tblCellMar>
          <w:top w:w="0" w:type="dxa"/>
          <w:left w:w="108" w:type="dxa"/>
          <w:bottom w:w="0" w:type="dxa"/>
          <w:right w:w="108" w:type="dxa"/>
        </w:tblCellMar>
      </w:tblPr>
      <w:tblGrid>
        <w:gridCol w:w="869"/>
        <w:gridCol w:w="675"/>
        <w:gridCol w:w="1059"/>
        <w:gridCol w:w="961"/>
        <w:gridCol w:w="1194"/>
        <w:gridCol w:w="1014"/>
        <w:gridCol w:w="384"/>
        <w:gridCol w:w="862"/>
        <w:gridCol w:w="2113"/>
        <w:gridCol w:w="1246"/>
        <w:gridCol w:w="1441"/>
        <w:gridCol w:w="670"/>
      </w:tblGrid>
      <w:tr>
        <w:tblPrEx>
          <w:tblCellMar>
            <w:top w:w="0" w:type="dxa"/>
            <w:left w:w="108" w:type="dxa"/>
            <w:bottom w:w="0" w:type="dxa"/>
            <w:right w:w="108" w:type="dxa"/>
          </w:tblCellMar>
        </w:tblPrEx>
        <w:trPr>
          <w:trHeight w:val="283" w:hRule="atLeast"/>
          <w:tblHeader/>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系列</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位置</w:t>
            </w:r>
          </w:p>
        </w:tc>
        <w:tc>
          <w:tcPr>
            <w:tcW w:w="4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w:t>
            </w:r>
            <w:r>
              <w:rPr>
                <w:rFonts w:ascii="Times New Roman" w:hAnsi="Times New Roman" w:eastAsia="宋体" w:cs="Times New Roman"/>
                <w:kern w:val="0"/>
                <w:sz w:val="18"/>
                <w:szCs w:val="18"/>
                <w:lang w:eastAsia="en-US"/>
              </w:rPr>
              <w:t>1</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w:t>
            </w:r>
            <w:r>
              <w:rPr>
                <w:rFonts w:ascii="Times New Roman" w:hAnsi="Times New Roman" w:eastAsia="宋体" w:cs="Times New Roman"/>
                <w:kern w:val="0"/>
                <w:sz w:val="18"/>
                <w:szCs w:val="18"/>
                <w:lang w:eastAsia="en-US"/>
              </w:rPr>
              <w:t>2</w:t>
            </w:r>
          </w:p>
        </w:tc>
        <w:tc>
          <w:tcPr>
            <w:tcW w:w="4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n×D3</w:t>
            </w:r>
          </w:p>
        </w:tc>
        <w:tc>
          <w:tcPr>
            <w:tcW w:w="560"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L</w:t>
            </w:r>
          </w:p>
        </w:tc>
        <w:tc>
          <w:tcPr>
            <w:tcW w:w="3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轴窜量</w:t>
            </w:r>
          </w:p>
        </w:tc>
        <w:tc>
          <w:tcPr>
            <w:tcW w:w="84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轴花键</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D4×b</w:t>
            </w:r>
          </w:p>
        </w:tc>
        <w:tc>
          <w:tcPr>
            <w:tcW w:w="5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D×d</w:t>
            </w:r>
          </w:p>
        </w:tc>
        <w:tc>
          <w:tcPr>
            <w:tcW w:w="2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图例</w:t>
            </w:r>
          </w:p>
        </w:tc>
      </w:tr>
      <w:tr>
        <w:tblPrEx>
          <w:tblCellMar>
            <w:top w:w="0" w:type="dxa"/>
            <w:left w:w="108" w:type="dxa"/>
            <w:bottom w:w="0" w:type="dxa"/>
            <w:right w:w="108" w:type="dxa"/>
          </w:tblCellMar>
        </w:tblPrEx>
        <w:trPr>
          <w:trHeight w:val="283" w:hRule="atLeast"/>
          <w:tblHeader/>
          <w:jc w:val="center"/>
        </w:trPr>
        <w:tc>
          <w:tcPr>
            <w:tcW w:w="34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3</w:t>
            </w:r>
            <w:r>
              <w:rPr>
                <w:rFonts w:ascii="Times New Roman" w:hAnsi="Times New Roman" w:eastAsia="宋体" w:cs="Times New Roman"/>
                <w:kern w:val="0"/>
                <w:sz w:val="18"/>
                <w:szCs w:val="18"/>
                <w:lang w:eastAsia="en-US"/>
              </w:rPr>
              <w:t>87/400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上接头</w:t>
            </w:r>
          </w:p>
        </w:tc>
        <w:tc>
          <w:tcPr>
            <w:tcW w:w="4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77.77</w:t>
            </w:r>
            <w:r>
              <w:rPr>
                <w:rFonts w:hint="default" w:ascii="Times New Roman" w:hAnsi="Times New Roman" w:eastAsia="宋体" w:cs="Times New Roman"/>
                <w:kern w:val="0"/>
                <w:sz w:val="18"/>
                <w:szCs w:val="18"/>
                <w:lang w:eastAsia="en-US"/>
              </w:rPr>
              <w:t>±0.1</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62</w:t>
            </w:r>
            <w:r>
              <w:rPr>
                <w:rFonts w:ascii="Times New Roman" w:hAnsi="Times New Roman" w:eastAsia="宋体" w:cs="Times New Roman"/>
                <w:kern w:val="0"/>
                <w:sz w:val="18"/>
                <w:szCs w:val="18"/>
                <w:lang w:eastAsia="en-US"/>
                <w:eastAsianLayout w:id="31" w:combine="1"/>
              </w:rPr>
              <w:t>+0.027 0</w:t>
            </w:r>
          </w:p>
        </w:tc>
        <w:tc>
          <w:tcPr>
            <w:tcW w:w="4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3/8″-24UNF</w:t>
            </w:r>
          </w:p>
        </w:tc>
        <w:tc>
          <w:tcPr>
            <w:tcW w:w="40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-12.7</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1.19</w:t>
            </w:r>
          </w:p>
        </w:tc>
        <w:tc>
          <w:tcPr>
            <w:tcW w:w="154" w:type="pct"/>
            <w:vMerge w:val="restart"/>
            <w:tcBorders>
              <w:top w:val="single" w:color="auto" w:sz="4" w:space="0"/>
              <w:left w:val="nil"/>
              <w:right w:val="single" w:color="auto" w:sz="4" w:space="0"/>
            </w:tcBorders>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轴下推到底</w:t>
            </w: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0.8～1.6</w:t>
            </w:r>
          </w:p>
        </w:tc>
        <w:tc>
          <w:tcPr>
            <w:tcW w:w="84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7</w:t>
            </w:r>
            <w:r>
              <w:rPr>
                <w:rFonts w:ascii="Times New Roman" w:hAnsi="Times New Roman" w:eastAsia="宋体" w:cs="Times New Roman"/>
                <w:kern w:val="0"/>
                <w:sz w:val="18"/>
                <w:szCs w:val="18"/>
                <w:lang w:eastAsia="en-US"/>
              </w:rPr>
              <w:t>/8</w:t>
            </w:r>
            <w:r>
              <w:rPr>
                <w:rFonts w:hint="default" w:ascii="Times New Roman" w:hAnsi="Times New Roman" w:eastAsia="宋体" w:cs="Times New Roman"/>
                <w:kern w:val="0"/>
                <w:sz w:val="18"/>
                <w:szCs w:val="18"/>
                <w:lang w:eastAsia="en-US"/>
              </w:rPr>
              <w:t>″</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2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下接头</w:t>
            </w:r>
          </w:p>
        </w:tc>
        <w:tc>
          <w:tcPr>
            <w:tcW w:w="424"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93.65</w:t>
            </w:r>
            <w:r>
              <w:rPr>
                <w:rFonts w:hint="default" w:ascii="Times New Roman" w:hAnsi="Times New Roman" w:eastAsia="宋体" w:cs="Times New Roman"/>
                <w:kern w:val="0"/>
                <w:sz w:val="18"/>
                <w:szCs w:val="18"/>
                <w:lang w:eastAsia="en-US"/>
              </w:rPr>
              <w:t>±0.1</w:t>
            </w: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73.03</w:t>
            </w:r>
            <w:r>
              <w:rPr>
                <w:rFonts w:ascii="Times New Roman" w:hAnsi="Times New Roman" w:eastAsia="宋体" w:cs="Times New Roman"/>
                <w:kern w:val="0"/>
                <w:sz w:val="18"/>
                <w:szCs w:val="18"/>
                <w:lang w:eastAsia="en-US"/>
                <w:eastAsianLayout w:id="32" w:combine="1"/>
              </w:rPr>
              <w:t>-0.03 -0.056</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-28.5</w:t>
            </w:r>
            <w:r>
              <w:rPr>
                <w:rFonts w:ascii="Times New Roman" w:hAnsi="Times New Roman" w:eastAsia="宋体" w:cs="Times New Roman"/>
                <w:kern w:val="0"/>
                <w:sz w:val="18"/>
                <w:szCs w:val="18"/>
                <w:lang w:eastAsia="en-US"/>
                <w:eastAsianLayout w:id="33" w:combine="1"/>
              </w:rPr>
              <w:t>+0.87 -0.72</w:t>
            </w:r>
          </w:p>
        </w:tc>
        <w:tc>
          <w:tcPr>
            <w:tcW w:w="154"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84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轴花键：7/8</w:t>
            </w:r>
            <w:r>
              <w:rPr>
                <w:rFonts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zh-CN"/>
              </w:rPr>
              <w:t>，花键接头：</w:t>
            </w:r>
            <w:r>
              <w:rPr>
                <w:rFonts w:ascii="Times New Roman" w:hAnsi="Times New Roman" w:eastAsia="宋体" w:cs="Times New Roman"/>
                <w:kern w:val="0"/>
                <w:sz w:val="18"/>
                <w:szCs w:val="18"/>
                <w:lang w:eastAsia="zh-CN"/>
              </w:rPr>
              <w:t>1</w:t>
            </w:r>
            <w:r>
              <w:rPr>
                <w:rFonts w:hint="default" w:ascii="Times New Roman" w:hAnsi="Times New Roman" w:eastAsia="宋体" w:cs="Times New Roman"/>
                <w:kern w:val="0"/>
                <w:sz w:val="18"/>
                <w:szCs w:val="18"/>
                <w:lang w:eastAsia="zh-CN"/>
              </w:rPr>
              <w:t>-1/2</w:t>
            </w:r>
            <w:r>
              <w:rPr>
                <w:rFonts w:ascii="Times New Roman" w:hAnsi="Times New Roman" w:eastAsia="宋体" w:cs="Times New Roman"/>
                <w:kern w:val="0"/>
                <w:sz w:val="18"/>
                <w:szCs w:val="18"/>
                <w:lang w:eastAsia="zh-CN"/>
              </w:rPr>
              <w:t>″</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67</w:t>
            </w:r>
            <w:r>
              <w:rPr>
                <w:rFonts w:ascii="Times New Roman" w:hAnsi="Times New Roman" w:eastAsia="宋体" w:cs="Times New Roman"/>
                <w:kern w:val="0"/>
                <w:sz w:val="18"/>
                <w:szCs w:val="18"/>
                <w:lang w:eastAsia="en-US"/>
                <w:eastAsianLayout w:id="34" w:combine="1"/>
              </w:rPr>
              <w:t>+0.</w:t>
            </w:r>
            <w:r>
              <w:rPr>
                <w:rFonts w:hint="default" w:ascii="Times New Roman" w:hAnsi="Times New Roman" w:eastAsia="宋体" w:cs="Times New Roman"/>
                <w:kern w:val="0"/>
                <w:sz w:val="18"/>
                <w:szCs w:val="18"/>
                <w:lang w:eastAsia="en-US"/>
                <w:eastAsianLayout w:id="35" w:combine="1"/>
              </w:rPr>
              <w:t>39</w:t>
            </w:r>
            <w:r>
              <w:rPr>
                <w:rFonts w:ascii="Times New Roman" w:hAnsi="Times New Roman" w:eastAsia="宋体" w:cs="Times New Roman"/>
                <w:kern w:val="0"/>
                <w:sz w:val="18"/>
                <w:szCs w:val="18"/>
                <w:lang w:eastAsia="en-US"/>
                <w:eastAsianLayout w:id="36" w:combine="1"/>
              </w:rPr>
              <w:t xml:space="preserve"> +0.</w:t>
            </w:r>
            <w:r>
              <w:rPr>
                <w:rFonts w:hint="default" w:ascii="Times New Roman" w:hAnsi="Times New Roman" w:eastAsia="宋体" w:cs="Times New Roman"/>
                <w:kern w:val="0"/>
                <w:sz w:val="18"/>
                <w:szCs w:val="18"/>
                <w:lang w:eastAsia="en-US"/>
                <w:eastAsianLayout w:id="37" w:combine="1"/>
              </w:rPr>
              <w:t>28</w:t>
            </w:r>
            <w:r>
              <w:rPr>
                <w:rFonts w:hint="default" w:ascii="Times New Roman" w:hAnsi="Times New Roman" w:eastAsia="宋体" w:cs="Times New Roman"/>
                <w:kern w:val="0"/>
                <w:sz w:val="18"/>
                <w:szCs w:val="18"/>
                <w:lang w:eastAsia="en-US"/>
              </w:rPr>
              <w:t>×3.81±0</w:t>
            </w:r>
            <w:r>
              <w:rPr>
                <w:rFonts w:ascii="Times New Roman" w:hAnsi="Times New Roman" w:eastAsia="宋体" w:cs="Times New Roman"/>
                <w:kern w:val="0"/>
                <w:sz w:val="18"/>
                <w:szCs w:val="18"/>
                <w:lang w:eastAsia="en-US"/>
              </w:rPr>
              <w:t>.13</w:t>
            </w: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径封</w:t>
            </w:r>
            <w:r>
              <w:rPr>
                <w:rFonts w:ascii="Times New Roman" w:hAnsi="Times New Roman" w:eastAsia="宋体" w:cs="Times New Roman"/>
                <w:kern w:val="0"/>
                <w:sz w:val="18"/>
                <w:szCs w:val="18"/>
                <w:lang w:eastAsia="en-US"/>
              </w:rPr>
              <w:t>66</w:t>
            </w:r>
            <w:r>
              <w:rPr>
                <w:rFonts w:ascii="Times New Roman" w:hAnsi="Times New Roman" w:eastAsia="宋体" w:cs="Times New Roman"/>
                <w:kern w:val="0"/>
                <w:sz w:val="18"/>
                <w:szCs w:val="18"/>
                <w:lang w:eastAsia="en-US"/>
                <w:eastAsianLayout w:id="38" w:combine="1"/>
              </w:rPr>
              <w:t>+0.52 -0.015</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3.5</w:t>
            </w:r>
            <w:r>
              <w:rPr>
                <w:rFonts w:ascii="Times New Roman" w:hAnsi="Times New Roman" w:eastAsia="宋体" w:cs="Times New Roman"/>
                <w:kern w:val="0"/>
                <w:sz w:val="18"/>
                <w:szCs w:val="18"/>
                <w:lang w:eastAsia="en-US"/>
                <w:eastAsianLayout w:id="39" w:combine="1"/>
              </w:rPr>
              <w:t>+0.13 -0.07</w:t>
            </w: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83" w:hRule="atLeast"/>
          <w:jc w:val="center"/>
        </w:trPr>
        <w:tc>
          <w:tcPr>
            <w:tcW w:w="3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en-US"/>
              </w:rPr>
              <w:t>5</w:t>
            </w:r>
            <w:r>
              <w:rPr>
                <w:rFonts w:ascii="Times New Roman" w:hAnsi="Times New Roman" w:eastAsia="宋体" w:cs="Times New Roman"/>
                <w:kern w:val="0"/>
                <w:sz w:val="18"/>
                <w:szCs w:val="18"/>
                <w:lang w:eastAsia="en-US"/>
              </w:rPr>
              <w:t>13</w:t>
            </w:r>
            <w:r>
              <w:rPr>
                <w:rFonts w:hint="default" w:ascii="Times New Roman" w:hAnsi="Times New Roman" w:eastAsia="宋体" w:cs="Times New Roman"/>
                <w:kern w:val="0"/>
                <w:sz w:val="18"/>
                <w:szCs w:val="18"/>
                <w:lang w:eastAsia="zh-CN"/>
              </w:rPr>
              <w:t>/540</w:t>
            </w: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上接头</w:t>
            </w:r>
          </w:p>
        </w:tc>
        <w:tc>
          <w:tcPr>
            <w:tcW w:w="424"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112.7</w:t>
            </w:r>
            <w:r>
              <w:rPr>
                <w:rFonts w:hint="default" w:ascii="Times New Roman" w:hAnsi="Times New Roman" w:eastAsia="宋体" w:cs="Times New Roman"/>
                <w:kern w:val="0"/>
                <w:sz w:val="18"/>
                <w:szCs w:val="18"/>
                <w:lang w:eastAsia="en-US"/>
              </w:rPr>
              <w:t>±0.1</w:t>
            </w: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40" w:combine="1"/>
              </w:rPr>
              <w:t>+0.043  0</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-7.925</w:t>
            </w:r>
            <w:r>
              <w:rPr>
                <w:rFonts w:ascii="Times New Roman" w:hAnsi="Times New Roman" w:eastAsia="宋体" w:cs="Times New Roman"/>
                <w:kern w:val="0"/>
                <w:sz w:val="18"/>
                <w:szCs w:val="18"/>
                <w:lang w:eastAsia="en-US"/>
                <w:eastAsianLayout w:id="41" w:combine="1"/>
              </w:rPr>
              <w:t>+1.168 -1.575</w:t>
            </w:r>
          </w:p>
        </w:tc>
        <w:tc>
          <w:tcPr>
            <w:tcW w:w="154" w:type="pct"/>
            <w:vMerge w:val="continue"/>
            <w:tcBorders>
              <w:left w:val="nil"/>
              <w:right w:val="single" w:color="auto" w:sz="4" w:space="0"/>
            </w:tcBorders>
          </w:tcPr>
          <w:p>
            <w:pPr>
              <w:widowControl/>
              <w:spacing w:line="300" w:lineRule="exact"/>
              <w:jc w:val="center"/>
              <w:rPr>
                <w:rFonts w:hint="default" w:ascii="Times New Roman" w:hAnsi="Times New Roman" w:eastAsia="宋体" w:cs="Times New Roman"/>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0.8～1.6</w:t>
            </w:r>
          </w:p>
        </w:tc>
        <w:tc>
          <w:tcPr>
            <w:tcW w:w="846"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-3/16</w:t>
            </w:r>
            <w:r>
              <w:rPr>
                <w:rFonts w:ascii="Times New Roman" w:hAnsi="Times New Roman" w:eastAsia="宋体" w:cs="Times New Roman"/>
                <w:kern w:val="0"/>
                <w:sz w:val="18"/>
                <w:szCs w:val="18"/>
                <w:lang w:eastAsia="en-US"/>
              </w:rPr>
              <w:t>″</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下接头</w:t>
            </w:r>
          </w:p>
        </w:tc>
        <w:tc>
          <w:tcPr>
            <w:tcW w:w="424" w:type="pct"/>
            <w:vMerge w:val="continue"/>
            <w:tcBorders>
              <w:left w:val="nil"/>
              <w:bottom w:val="single" w:color="auto" w:sz="4" w:space="0"/>
              <w:right w:val="single" w:color="auto" w:sz="4" w:space="0"/>
            </w:tcBorders>
            <w:shd w:val="clear" w:color="auto" w:fill="auto"/>
            <w:noWrap/>
            <w:vAlign w:val="center"/>
          </w:tcPr>
          <w:p>
            <w:pPr>
              <w:widowControl/>
              <w:jc w:val="left"/>
              <w:rPr>
                <w:rFonts w:hint="default" w:ascii="Times New Roman" w:hAnsi="Times New Roman" w:eastAsia="宋体" w:cs="Times New Roman"/>
                <w:kern w:val="0"/>
                <w:sz w:val="18"/>
                <w:szCs w:val="18"/>
                <w:lang w:eastAsia="en-US"/>
              </w:rPr>
            </w:pP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42" w:combine="1"/>
              </w:rPr>
              <w:t>-0.075 -0.126</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-31.75</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0.79</w:t>
            </w:r>
          </w:p>
        </w:tc>
        <w:tc>
          <w:tcPr>
            <w:tcW w:w="154"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84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轴花键：</w:t>
            </w:r>
            <w:r>
              <w:rPr>
                <w:rFonts w:ascii="Times New Roman" w:hAnsi="Times New Roman" w:eastAsia="宋体" w:cs="Times New Roman"/>
                <w:kern w:val="0"/>
                <w:sz w:val="18"/>
                <w:szCs w:val="18"/>
                <w:lang w:eastAsia="zh-CN"/>
              </w:rPr>
              <w:t>1</w:t>
            </w:r>
            <w:r>
              <w:rPr>
                <w:rFonts w:hint="default" w:ascii="Times New Roman" w:hAnsi="Times New Roman" w:eastAsia="宋体" w:cs="Times New Roman"/>
                <w:kern w:val="0"/>
                <w:sz w:val="18"/>
                <w:szCs w:val="18"/>
                <w:lang w:eastAsia="zh-CN"/>
              </w:rPr>
              <w:t>-3/16</w:t>
            </w:r>
            <w:r>
              <w:rPr>
                <w:rFonts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zh-CN"/>
              </w:rPr>
              <w:t>，花键接头：</w:t>
            </w:r>
            <w:r>
              <w:rPr>
                <w:rFonts w:ascii="Times New Roman" w:hAnsi="Times New Roman" w:eastAsia="宋体" w:cs="Times New Roman"/>
                <w:kern w:val="0"/>
                <w:sz w:val="18"/>
                <w:szCs w:val="18"/>
                <w:lang w:eastAsia="zh-CN"/>
              </w:rPr>
              <w:t>2″</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86.436</w:t>
            </w:r>
            <w:r>
              <w:rPr>
                <w:rFonts w:hint="default" w:ascii="Times New Roman" w:hAnsi="Times New Roman" w:eastAsia="宋体" w:cs="Times New Roman"/>
                <w:kern w:val="0"/>
                <w:sz w:val="18"/>
                <w:szCs w:val="18"/>
                <w:lang w:eastAsia="en-US"/>
                <w:eastAsianLayout w:id="43" w:combine="1"/>
              </w:rPr>
              <w:t xml:space="preserve">    0 -0.102</w:t>
            </w:r>
            <w:r>
              <w:rPr>
                <w:rFonts w:hint="default" w:ascii="Times New Roman" w:hAnsi="Times New Roman" w:eastAsia="宋体" w:cs="Times New Roman"/>
                <w:kern w:val="0"/>
                <w:sz w:val="18"/>
                <w:szCs w:val="18"/>
                <w:lang w:eastAsia="en-US"/>
              </w:rPr>
              <w:t>×3.8</w:t>
            </w:r>
            <w:r>
              <w:rPr>
                <w:rFonts w:hint="default" w:ascii="Times New Roman" w:hAnsi="Times New Roman" w:eastAsia="宋体" w:cs="Times New Roman"/>
                <w:kern w:val="0"/>
                <w:sz w:val="18"/>
                <w:szCs w:val="18"/>
                <w:lang w:eastAsia="en-US"/>
                <w:eastAsianLayout w:id="44" w:combine="1"/>
              </w:rPr>
              <w:t>+0.1 0</w:t>
            </w: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径封85</w:t>
            </w:r>
            <w:r>
              <w:rPr>
                <w:rFonts w:hint="default" w:ascii="Times New Roman" w:hAnsi="Times New Roman" w:eastAsia="宋体" w:cs="Times New Roman"/>
                <w:kern w:val="0"/>
                <w:sz w:val="18"/>
                <w:szCs w:val="18"/>
                <w:lang w:eastAsia="en-US"/>
                <w:eastAsianLayout w:id="45" w:combine="1"/>
              </w:rPr>
              <w:t>+0.70 -0.06</w:t>
            </w:r>
            <w:r>
              <w:rPr>
                <w:rFonts w:hint="default" w:ascii="Times New Roman" w:hAnsi="Times New Roman" w:eastAsia="宋体" w:cs="Times New Roman"/>
                <w:kern w:val="0"/>
                <w:sz w:val="18"/>
                <w:szCs w:val="18"/>
                <w:lang w:eastAsia="en-US"/>
              </w:rPr>
              <w:t xml:space="preserve"> × 3.5</w:t>
            </w:r>
            <w:r>
              <w:rPr>
                <w:rFonts w:hint="default" w:ascii="Times New Roman" w:hAnsi="Times New Roman" w:eastAsia="宋体" w:cs="Times New Roman"/>
                <w:kern w:val="0"/>
                <w:sz w:val="18"/>
                <w:szCs w:val="18"/>
                <w:lang w:eastAsia="en-US"/>
                <w:eastAsianLayout w:id="46" w:combine="1"/>
              </w:rPr>
              <w:t>+0.132 -0.071</w:t>
            </w: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83" w:hRule="atLeast"/>
          <w:jc w:val="center"/>
        </w:trPr>
        <w:tc>
          <w:tcPr>
            <w:tcW w:w="34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675</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上接头</w:t>
            </w:r>
          </w:p>
        </w:tc>
        <w:tc>
          <w:tcPr>
            <w:tcW w:w="42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149.225</w:t>
            </w:r>
          </w:p>
        </w:tc>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120.701</w:t>
            </w:r>
            <w:r>
              <w:rPr>
                <w:rFonts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zh-CN"/>
              </w:rPr>
              <w:t>120.726</w:t>
            </w:r>
          </w:p>
        </w:tc>
        <w:tc>
          <w:tcPr>
            <w:tcW w:w="478"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12×1/2"-20UNF-2</w:t>
            </w:r>
          </w:p>
        </w:tc>
        <w:tc>
          <w:tcPr>
            <w:tcW w:w="4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-6.35</w:t>
            </w:r>
            <w:r>
              <w:rPr>
                <w:rFonts w:ascii="Times New Roman" w:hAnsi="Times New Roman" w:eastAsia="宋体" w:cs="Times New Roman"/>
                <w:kern w:val="0"/>
                <w:sz w:val="20"/>
                <w:szCs w:val="20"/>
                <w:lang w:eastAsia="zh-CN" w:bidi="ar"/>
              </w:rPr>
              <w:t>~</w:t>
            </w:r>
            <w:r>
              <w:rPr>
                <w:rFonts w:hint="default" w:ascii="Times New Roman" w:hAnsi="Times New Roman" w:eastAsia="宋体" w:cs="Times New Roman"/>
                <w:kern w:val="0"/>
                <w:sz w:val="20"/>
                <w:szCs w:val="20"/>
                <w:lang w:eastAsia="zh-CN" w:bidi="ar"/>
              </w:rPr>
              <w:t>-9.093</w:t>
            </w:r>
          </w:p>
        </w:tc>
        <w:tc>
          <w:tcPr>
            <w:tcW w:w="154"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0.8～1.6</w:t>
            </w:r>
          </w:p>
        </w:tc>
        <w:tc>
          <w:tcPr>
            <w:tcW w:w="846"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1.5"-6B</w:t>
            </w:r>
          </w:p>
        </w:tc>
        <w:tc>
          <w:tcPr>
            <w:tcW w:w="499"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128.885×2.7</w:t>
            </w:r>
          </w:p>
        </w:tc>
        <w:tc>
          <w:tcPr>
            <w:tcW w:w="577"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径封 113.89×3.53</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下接头</w:t>
            </w:r>
          </w:p>
        </w:tc>
        <w:tc>
          <w:tcPr>
            <w:tcW w:w="42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158.75</w:t>
            </w:r>
          </w:p>
        </w:tc>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123.698</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123.749</w:t>
            </w:r>
          </w:p>
        </w:tc>
        <w:tc>
          <w:tcPr>
            <w:tcW w:w="478"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11×Φ13.5</w:t>
            </w:r>
            <w:r>
              <w:rPr>
                <w:rFonts w:hint="default" w:ascii="Times New Roman" w:hAnsi="Times New Roman" w:eastAsia="宋体" w:cs="Times New Roman"/>
                <w:kern w:val="0"/>
                <w:sz w:val="18"/>
                <w:szCs w:val="18"/>
                <w:lang w:eastAsia="zh-CN" w:bidi="ar"/>
              </w:rPr>
              <w:br w:type="textWrapping"/>
            </w:r>
            <w:r>
              <w:rPr>
                <w:rFonts w:hint="default" w:ascii="Times New Roman" w:hAnsi="Times New Roman" w:eastAsia="宋体" w:cs="Times New Roman"/>
                <w:kern w:val="0"/>
                <w:sz w:val="18"/>
                <w:szCs w:val="18"/>
                <w:lang w:eastAsia="zh-CN" w:bidi="ar"/>
              </w:rPr>
              <w:t>11×1/2"-20UNF-2</w:t>
            </w:r>
          </w:p>
        </w:tc>
        <w:tc>
          <w:tcPr>
            <w:tcW w:w="4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30.96</w:t>
            </w:r>
            <w:r>
              <w:rPr>
                <w:rFonts w:ascii="Times New Roman" w:hAnsi="Times New Roman" w:eastAsia="宋体" w:cs="Times New Roman"/>
                <w:kern w:val="0"/>
                <w:sz w:val="20"/>
                <w:szCs w:val="20"/>
                <w:lang w:eastAsia="zh-CN" w:bidi="ar"/>
              </w:rPr>
              <w:t>~</w:t>
            </w:r>
            <w:r>
              <w:rPr>
                <w:rFonts w:hint="default" w:ascii="Times New Roman" w:hAnsi="Times New Roman" w:eastAsia="宋体" w:cs="Times New Roman"/>
                <w:kern w:val="0"/>
                <w:sz w:val="20"/>
                <w:szCs w:val="20"/>
                <w:lang w:eastAsia="zh-CN" w:bidi="ar"/>
              </w:rPr>
              <w:t>32.54</w:t>
            </w:r>
          </w:p>
        </w:tc>
        <w:tc>
          <w:tcPr>
            <w:tcW w:w="154" w:type="pct"/>
            <w:vMerge w:val="continue"/>
            <w:tcBorders>
              <w:left w:val="nil"/>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846"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bidi="ar"/>
              </w:rPr>
              <w:t>轴花键：1.5"-6B， 花键接头：无</w:t>
            </w:r>
          </w:p>
        </w:tc>
        <w:tc>
          <w:tcPr>
            <w:tcW w:w="499"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115.138×7.137</w:t>
            </w:r>
          </w:p>
        </w:tc>
        <w:tc>
          <w:tcPr>
            <w:tcW w:w="577"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径封 113.67*5.33</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bl>
    <w:p>
      <w:pPr>
        <w:spacing w:before="156" w:beforeLines="50"/>
        <w:jc w:val="center"/>
        <w:rPr>
          <w:rFonts w:hint="default" w:ascii="Times New Roman" w:hAnsi="Times New Roman" w:eastAsia="宋体" w:cs="Times New Roman"/>
          <w:kern w:val="0"/>
          <w:sz w:val="24"/>
          <w:lang w:eastAsia="en-US"/>
        </w:rPr>
      </w:pPr>
      <w:r>
        <w:rPr>
          <w:rFonts w:ascii="Times New Roman" w:hAnsi="Times New Roman" w:eastAsia="宋体" w:cs="Times New Roman"/>
          <w:b/>
          <w:bCs/>
          <w:kern w:val="0"/>
          <w:sz w:val="24"/>
          <w:lang w:eastAsia="en-US"/>
        </w:rPr>
        <w:t>电机接口尺寸</w:t>
      </w:r>
    </w:p>
    <w:tbl>
      <w:tblPr>
        <w:tblStyle w:val="9"/>
        <w:tblW w:w="4300" w:type="pct"/>
        <w:jc w:val="center"/>
        <w:tblLayout w:type="fixed"/>
        <w:tblCellMar>
          <w:top w:w="0" w:type="dxa"/>
          <w:left w:w="108" w:type="dxa"/>
          <w:bottom w:w="0" w:type="dxa"/>
          <w:right w:w="108" w:type="dxa"/>
        </w:tblCellMar>
      </w:tblPr>
      <w:tblGrid>
        <w:gridCol w:w="484"/>
        <w:gridCol w:w="1154"/>
        <w:gridCol w:w="803"/>
        <w:gridCol w:w="920"/>
        <w:gridCol w:w="1149"/>
        <w:gridCol w:w="959"/>
        <w:gridCol w:w="291"/>
        <w:gridCol w:w="867"/>
        <w:gridCol w:w="671"/>
        <w:gridCol w:w="1248"/>
        <w:gridCol w:w="1726"/>
        <w:gridCol w:w="1438"/>
        <w:gridCol w:w="481"/>
      </w:tblGrid>
      <w:tr>
        <w:tblPrEx>
          <w:tblCellMar>
            <w:top w:w="0" w:type="dxa"/>
            <w:left w:w="108" w:type="dxa"/>
            <w:bottom w:w="0" w:type="dxa"/>
            <w:right w:w="108" w:type="dxa"/>
          </w:tblCellMar>
        </w:tblPrEx>
        <w:trPr>
          <w:trHeight w:val="270" w:hRule="atLeast"/>
          <w:tblHeader/>
          <w:jc w:val="center"/>
        </w:trPr>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系列</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位置</w:t>
            </w:r>
          </w:p>
        </w:tc>
        <w:tc>
          <w:tcPr>
            <w:tcW w:w="32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w:t>
            </w:r>
            <w:r>
              <w:rPr>
                <w:rFonts w:ascii="Times New Roman" w:hAnsi="Times New Roman" w:eastAsia="宋体" w:cs="Times New Roman"/>
                <w:kern w:val="0"/>
                <w:sz w:val="18"/>
                <w:szCs w:val="18"/>
                <w:lang w:eastAsia="en-US"/>
              </w:rPr>
              <w:t>1</w:t>
            </w: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w:t>
            </w:r>
            <w:r>
              <w:rPr>
                <w:rFonts w:ascii="Times New Roman" w:hAnsi="Times New Roman" w:eastAsia="宋体" w:cs="Times New Roman"/>
                <w:kern w:val="0"/>
                <w:sz w:val="18"/>
                <w:szCs w:val="18"/>
                <w:lang w:eastAsia="en-US"/>
              </w:rPr>
              <w:t>2</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n×D3</w:t>
            </w:r>
          </w:p>
        </w:tc>
        <w:tc>
          <w:tcPr>
            <w:tcW w:w="512"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L</w:t>
            </w: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轴窜量</w:t>
            </w:r>
          </w:p>
        </w:tc>
        <w:tc>
          <w:tcPr>
            <w:tcW w:w="27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轴花键</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花键套</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D4×b</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D×d</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图例</w:t>
            </w:r>
          </w:p>
        </w:tc>
      </w:tr>
      <w:tr>
        <w:tblPrEx>
          <w:tblCellMar>
            <w:top w:w="0" w:type="dxa"/>
            <w:left w:w="108" w:type="dxa"/>
            <w:bottom w:w="0" w:type="dxa"/>
            <w:right w:w="108" w:type="dxa"/>
          </w:tblCellMar>
        </w:tblPrEx>
        <w:trPr>
          <w:trHeight w:val="270" w:hRule="atLeast"/>
          <w:jc w:val="center"/>
        </w:trPr>
        <w:tc>
          <w:tcPr>
            <w:tcW w:w="198" w:type="pct"/>
            <w:vMerge w:val="restart"/>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4</w:t>
            </w:r>
            <w:r>
              <w:rPr>
                <w:rFonts w:ascii="Times New Roman" w:hAnsi="Times New Roman" w:eastAsia="宋体" w:cs="Times New Roman"/>
                <w:kern w:val="0"/>
                <w:sz w:val="18"/>
                <w:szCs w:val="18"/>
                <w:lang w:eastAsia="en-US"/>
              </w:rPr>
              <w:t xml:space="preserve">56 </w:t>
            </w: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单节/上节上接头</w:t>
            </w:r>
          </w:p>
        </w:tc>
        <w:tc>
          <w:tcPr>
            <w:tcW w:w="329"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93.65</w:t>
            </w:r>
            <w:r>
              <w:rPr>
                <w:rFonts w:hint="default" w:ascii="Times New Roman" w:hAnsi="Times New Roman" w:eastAsia="宋体" w:cs="Times New Roman"/>
                <w:kern w:val="0"/>
                <w:sz w:val="18"/>
                <w:szCs w:val="18"/>
                <w:lang w:eastAsia="en-US"/>
              </w:rPr>
              <w:t>±0.1</w:t>
            </w: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73.03</w:t>
            </w:r>
            <w:r>
              <w:rPr>
                <w:rFonts w:ascii="Times New Roman" w:hAnsi="Times New Roman" w:eastAsia="宋体" w:cs="Times New Roman"/>
                <w:kern w:val="0"/>
                <w:sz w:val="18"/>
                <w:szCs w:val="18"/>
                <w:lang w:eastAsia="en-US"/>
                <w:eastAsianLayout w:id="47" w:combine="1"/>
              </w:rPr>
              <w:t>+0.05 +0</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+22.23</w:t>
            </w:r>
            <w:r>
              <w:rPr>
                <w:rFonts w:ascii="Times New Roman" w:hAnsi="Times New Roman" w:eastAsia="宋体" w:cs="Times New Roman"/>
                <w:kern w:val="0"/>
                <w:sz w:val="18"/>
                <w:szCs w:val="18"/>
                <w:lang w:eastAsia="en-US"/>
                <w:eastAsianLayout w:id="48" w:combine="1"/>
              </w:rPr>
              <w:t>+3.96 +0</w:t>
            </w:r>
          </w:p>
        </w:tc>
        <w:tc>
          <w:tcPr>
            <w:tcW w:w="119" w:type="pct"/>
            <w:vMerge w:val="restart"/>
            <w:tcBorders>
              <w:top w:val="single" w:color="auto" w:sz="4" w:space="0"/>
              <w:left w:val="nil"/>
              <w:right w:val="single" w:color="auto" w:sz="4" w:space="0"/>
            </w:tcBorders>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轴下推到底</w:t>
            </w: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1.59～4.76</w:t>
            </w:r>
          </w:p>
        </w:tc>
        <w:tc>
          <w:tcPr>
            <w:tcW w:w="275"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3/16</w:t>
            </w:r>
            <w:r>
              <w:rPr>
                <w:rFonts w:hint="default" w:ascii="Times New Roman" w:hAnsi="Times New Roman" w:eastAsia="宋体" w:cs="Times New Roman"/>
                <w:kern w:val="0"/>
                <w:sz w:val="18"/>
                <w:szCs w:val="18"/>
                <w:lang w:eastAsia="en-US"/>
              </w:rPr>
              <w:t>″</w:t>
            </w:r>
          </w:p>
        </w:tc>
        <w:tc>
          <w:tcPr>
            <w:tcW w:w="512"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1-1/2″×</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3/16</w:t>
            </w:r>
            <w:r>
              <w:rPr>
                <w:rFonts w:hint="default" w:ascii="Times New Roman" w:hAnsi="Times New Roman" w:eastAsia="宋体" w:cs="Times New Roman"/>
                <w:kern w:val="0"/>
                <w:sz w:val="18"/>
                <w:szCs w:val="18"/>
                <w:lang w:eastAsia="en-US"/>
              </w:rPr>
              <w:t>″</w:t>
            </w: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无</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无</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上节下接头*</w:t>
            </w:r>
          </w:p>
        </w:tc>
        <w:tc>
          <w:tcPr>
            <w:tcW w:w="329" w:type="pct"/>
            <w:vMerge w:val="continue"/>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73.03</w:t>
            </w:r>
            <w:r>
              <w:rPr>
                <w:rFonts w:ascii="Times New Roman" w:hAnsi="Times New Roman" w:eastAsia="宋体" w:cs="Times New Roman"/>
                <w:kern w:val="0"/>
                <w:sz w:val="18"/>
                <w:szCs w:val="18"/>
                <w:lang w:eastAsia="en-US"/>
                <w:eastAsianLayout w:id="49" w:combine="1"/>
              </w:rPr>
              <w:t>-0.056 -0.081</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93"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3</w:t>
            </w:r>
            <w:r>
              <w:rPr>
                <w:rFonts w:ascii="Times New Roman" w:hAnsi="Times New Roman" w:eastAsia="宋体" w:cs="Times New Roman"/>
                <w:kern w:val="0"/>
                <w:sz w:val="18"/>
                <w:szCs w:val="18"/>
                <w:lang w:eastAsia="en-US"/>
              </w:rPr>
              <w:t>.16</w:t>
            </w:r>
            <w:r>
              <w:rPr>
                <w:rFonts w:ascii="Times New Roman" w:hAnsi="Times New Roman" w:eastAsia="宋体" w:cs="Times New Roman"/>
                <w:kern w:val="0"/>
                <w:sz w:val="18"/>
                <w:szCs w:val="18"/>
                <w:lang w:eastAsia="en-US"/>
                <w:eastAsianLayout w:id="50" w:combine="1"/>
              </w:rPr>
              <w:t xml:space="preserve">  +0 -4.76</w:t>
            </w:r>
          </w:p>
        </w:tc>
        <w:tc>
          <w:tcPr>
            <w:tcW w:w="119" w:type="pct"/>
            <w:vMerge w:val="continue"/>
            <w:tcBorders>
              <w:left w:val="nil"/>
              <w:right w:val="single" w:color="auto" w:sz="4" w:space="0"/>
            </w:tcBorders>
            <w:vAlign w:val="center"/>
          </w:tcPr>
          <w:p>
            <w:pPr>
              <w:widowControl/>
              <w:spacing w:line="300" w:lineRule="exact"/>
              <w:jc w:val="center"/>
              <w:rPr>
                <w:rFonts w:hint="default" w:ascii="Times New Roman" w:hAnsi="Times New Roman" w:eastAsia="宋体" w:cs="Times New Roman"/>
                <w:kern w:val="0"/>
                <w:sz w:val="18"/>
                <w:szCs w:val="18"/>
                <w:lang w:eastAsia="en-US"/>
              </w:rPr>
            </w:pP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p>
        </w:tc>
        <w:tc>
          <w:tcPr>
            <w:tcW w:w="275" w:type="pct"/>
            <w:vMerge w:val="continue"/>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无</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无</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下节上接头*</w:t>
            </w:r>
          </w:p>
        </w:tc>
        <w:tc>
          <w:tcPr>
            <w:tcW w:w="329"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73.03</w:t>
            </w:r>
            <w:r>
              <w:rPr>
                <w:rFonts w:ascii="Times New Roman" w:hAnsi="Times New Roman" w:eastAsia="宋体" w:cs="Times New Roman"/>
                <w:kern w:val="0"/>
                <w:sz w:val="18"/>
                <w:szCs w:val="18"/>
                <w:lang w:eastAsia="en-US"/>
                <w:eastAsianLayout w:id="51" w:combine="1"/>
              </w:rPr>
              <w:t>+0.05 +0</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0.32</w:t>
            </w:r>
            <w:r>
              <w:rPr>
                <w:rFonts w:ascii="Times New Roman" w:hAnsi="Times New Roman" w:eastAsia="宋体" w:cs="Times New Roman"/>
                <w:kern w:val="0"/>
                <w:sz w:val="18"/>
                <w:szCs w:val="18"/>
                <w:lang w:eastAsia="en-US"/>
                <w:eastAsianLayout w:id="52" w:combine="1"/>
              </w:rPr>
              <w:t>+2.38 +0</w:t>
            </w:r>
          </w:p>
        </w:tc>
        <w:tc>
          <w:tcPr>
            <w:tcW w:w="119"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1.59～4.76</w:t>
            </w:r>
          </w:p>
        </w:tc>
        <w:tc>
          <w:tcPr>
            <w:tcW w:w="275"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3</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16</w:t>
            </w: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3</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16</w:t>
            </w:r>
            <w:r>
              <w:rPr>
                <w:rFonts w:hint="default" w:ascii="Times New Roman" w:hAnsi="Times New Roman" w:eastAsia="宋体" w:cs="Times New Roman"/>
                <w:kern w:val="0"/>
                <w:sz w:val="18"/>
                <w:szCs w:val="18"/>
                <w:lang w:eastAsia="en-US"/>
              </w:rPr>
              <w:t>″</w:t>
            </w: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8</w:t>
            </w:r>
            <w:r>
              <w:rPr>
                <w:rFonts w:ascii="Times New Roman" w:hAnsi="Times New Roman" w:eastAsia="宋体" w:cs="Times New Roman"/>
                <w:kern w:val="0"/>
                <w:sz w:val="18"/>
                <w:szCs w:val="18"/>
                <w:lang w:eastAsia="en-US"/>
              </w:rPr>
              <w:t>0.086</w:t>
            </w:r>
            <w:r>
              <w:rPr>
                <w:rFonts w:ascii="Times New Roman" w:hAnsi="Times New Roman" w:eastAsia="宋体" w:cs="Times New Roman"/>
                <w:kern w:val="0"/>
                <w:sz w:val="18"/>
                <w:szCs w:val="18"/>
                <w:lang w:eastAsia="en-US"/>
                <w:eastAsianLayout w:id="53" w:combine="1"/>
              </w:rPr>
              <w:t>+0.051 -0.051</w:t>
            </w:r>
            <w:r>
              <w:rPr>
                <w:rFonts w:ascii="Times New Roman" w:hAnsi="Times New Roman" w:eastAsia="宋体" w:cs="Times New Roman"/>
                <w:kern w:val="0"/>
                <w:sz w:val="18"/>
                <w:szCs w:val="18"/>
                <w:lang w:eastAsia="en-US"/>
              </w:rPr>
              <w:t>×2.03±0.13</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w:t>
            </w:r>
            <w:r>
              <w:rPr>
                <w:rFonts w:ascii="Times New Roman" w:hAnsi="Times New Roman" w:eastAsia="宋体" w:cs="Times New Roman"/>
                <w:kern w:val="0"/>
                <w:sz w:val="18"/>
                <w:szCs w:val="18"/>
                <w:lang w:eastAsia="en-US"/>
              </w:rPr>
              <w:t>72.6</w:t>
            </w:r>
            <w:r>
              <w:rPr>
                <w:rFonts w:ascii="Times New Roman" w:hAnsi="Times New Roman" w:eastAsia="宋体" w:cs="Times New Roman"/>
                <w:kern w:val="0"/>
                <w:sz w:val="18"/>
                <w:szCs w:val="18"/>
                <w:lang w:eastAsia="en-US"/>
                <w:eastAsianLayout w:id="54" w:combine="1"/>
              </w:rPr>
              <w:t>+0.4 -0.1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3.1</w:t>
            </w:r>
            <w:r>
              <w:rPr>
                <w:rFonts w:ascii="Times New Roman" w:hAnsi="Times New Roman" w:eastAsia="宋体" w:cs="Times New Roman"/>
                <w:kern w:val="0"/>
                <w:sz w:val="18"/>
                <w:szCs w:val="18"/>
                <w:lang w:eastAsia="en-US"/>
                <w:eastAsianLayout w:id="55" w:combine="1"/>
              </w:rPr>
              <w:t>+0.12 -0.10</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w:t>
            </w:r>
            <w:r>
              <w:rPr>
                <w:rFonts w:ascii="Times New Roman" w:hAnsi="Times New Roman" w:eastAsia="宋体" w:cs="Times New Roman"/>
                <w:kern w:val="0"/>
                <w:sz w:val="18"/>
                <w:szCs w:val="18"/>
                <w:lang w:eastAsia="en-US"/>
              </w:rPr>
              <w:t>40</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单节/上节上接头</w:t>
            </w:r>
          </w:p>
        </w:tc>
        <w:tc>
          <w:tcPr>
            <w:tcW w:w="329" w:type="pct"/>
            <w:vMerge w:val="restart"/>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112.7</w:t>
            </w:r>
            <w:r>
              <w:rPr>
                <w:rFonts w:hint="default" w:ascii="Times New Roman" w:hAnsi="Times New Roman" w:eastAsia="宋体" w:cs="Times New Roman"/>
                <w:kern w:val="0"/>
                <w:sz w:val="18"/>
                <w:szCs w:val="18"/>
                <w:lang w:eastAsia="en-US"/>
              </w:rPr>
              <w:t>±0.1</w:t>
            </w: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56" w:combine="1"/>
              </w:rPr>
              <w:t>+0.051 +0</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+25.4</w:t>
            </w:r>
            <w:r>
              <w:rPr>
                <w:rFonts w:ascii="Times New Roman" w:hAnsi="Times New Roman" w:eastAsia="宋体" w:cs="Times New Roman"/>
                <w:kern w:val="0"/>
                <w:sz w:val="18"/>
                <w:szCs w:val="18"/>
                <w:lang w:eastAsia="en-US"/>
                <w:eastAsianLayout w:id="57" w:combine="1"/>
              </w:rPr>
              <w:t>+2.38 -1.59</w:t>
            </w:r>
          </w:p>
        </w:tc>
        <w:tc>
          <w:tcPr>
            <w:tcW w:w="119"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restart"/>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98.806±0.051×2.03±0</w:t>
            </w:r>
            <w:r>
              <w:rPr>
                <w:rFonts w:ascii="Times New Roman" w:hAnsi="Times New Roman" w:eastAsia="宋体" w:cs="Times New Roman"/>
                <w:kern w:val="0"/>
                <w:sz w:val="18"/>
                <w:szCs w:val="18"/>
                <w:lang w:eastAsia="en-US"/>
              </w:rPr>
              <w:t>.13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角封89</w:t>
            </w:r>
            <w:r>
              <w:rPr>
                <w:rFonts w:hint="default" w:ascii="Times New Roman" w:hAnsi="Times New Roman" w:eastAsia="宋体" w:cs="Times New Roman"/>
                <w:kern w:val="0"/>
                <w:sz w:val="18"/>
                <w:szCs w:val="18"/>
                <w:lang w:eastAsia="en-US"/>
                <w:eastAsianLayout w:id="58" w:combine="1"/>
              </w:rPr>
              <w:t>-0.049 -0.811</w:t>
            </w:r>
            <w:r>
              <w:rPr>
                <w:rFonts w:hint="default" w:ascii="Times New Roman" w:hAnsi="Times New Roman" w:eastAsia="宋体" w:cs="Times New Roman"/>
                <w:kern w:val="0"/>
                <w:sz w:val="18"/>
                <w:szCs w:val="18"/>
                <w:lang w:eastAsia="en-US"/>
              </w:rPr>
              <w:t xml:space="preserve"> × 2.5</w:t>
            </w:r>
            <w:r>
              <w:rPr>
                <w:rFonts w:hint="default" w:ascii="Times New Roman" w:hAnsi="Times New Roman" w:eastAsia="宋体" w:cs="Times New Roman"/>
                <w:kern w:val="0"/>
                <w:sz w:val="18"/>
                <w:szCs w:val="18"/>
                <w:lang w:eastAsia="en-US"/>
                <w:eastAsianLayout w:id="59"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上节下接头*</w:t>
            </w:r>
          </w:p>
        </w:tc>
        <w:tc>
          <w:tcPr>
            <w:tcW w:w="329" w:type="pct"/>
            <w:vMerge w:val="continue"/>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60" w:combine="1"/>
              </w:rPr>
              <w:t>-0.051 -0.076</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7</w:t>
            </w:r>
            <w:r>
              <w:rPr>
                <w:rFonts w:ascii="Times New Roman" w:hAnsi="Times New Roman" w:eastAsia="宋体" w:cs="Times New Roman"/>
                <w:kern w:val="0"/>
                <w:sz w:val="18"/>
                <w:szCs w:val="18"/>
                <w:lang w:eastAsia="en-US"/>
              </w:rPr>
              <w:t>.938±3.18</w:t>
            </w:r>
          </w:p>
        </w:tc>
        <w:tc>
          <w:tcPr>
            <w:tcW w:w="119"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275" w:type="pct"/>
            <w:vMerge w:val="continue"/>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87.960</w:t>
            </w:r>
            <w:r>
              <w:rPr>
                <w:rFonts w:ascii="Times New Roman" w:hAnsi="Times New Roman" w:eastAsia="宋体" w:cs="Times New Roman"/>
                <w:kern w:val="0"/>
                <w:sz w:val="18"/>
                <w:szCs w:val="18"/>
                <w:lang w:eastAsia="en-US"/>
                <w:eastAsianLayout w:id="61" w:combine="1"/>
              </w:rPr>
              <w:t xml:space="preserve">    0 -0.102</w:t>
            </w:r>
            <w:r>
              <w:rPr>
                <w:rFonts w:hint="default" w:ascii="Times New Roman" w:hAnsi="Times New Roman" w:eastAsia="宋体" w:cs="Times New Roman"/>
                <w:kern w:val="0"/>
                <w:sz w:val="18"/>
                <w:szCs w:val="18"/>
                <w:lang w:eastAsia="en-US"/>
              </w:rPr>
              <w:t>×3</w:t>
            </w:r>
            <w:r>
              <w:rPr>
                <w:rFonts w:ascii="Times New Roman" w:hAnsi="Times New Roman" w:eastAsia="宋体" w:cs="Times New Roman"/>
                <w:kern w:val="0"/>
                <w:sz w:val="18"/>
                <w:szCs w:val="18"/>
                <w:lang w:eastAsia="en-US"/>
              </w:rPr>
              <w:t>.05±0.13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径封</w:t>
            </w:r>
            <w:r>
              <w:rPr>
                <w:rFonts w:ascii="Times New Roman" w:hAnsi="Times New Roman" w:eastAsia="宋体" w:cs="Times New Roman"/>
                <w:kern w:val="0"/>
                <w:sz w:val="18"/>
                <w:szCs w:val="18"/>
                <w:lang w:eastAsia="en-US"/>
              </w:rPr>
              <w:t>82</w:t>
            </w:r>
            <w:r>
              <w:rPr>
                <w:rFonts w:ascii="Times New Roman" w:hAnsi="Times New Roman" w:eastAsia="宋体" w:cs="Times New Roman"/>
                <w:kern w:val="0"/>
                <w:sz w:val="18"/>
                <w:szCs w:val="18"/>
                <w:lang w:eastAsia="en-US"/>
                <w:eastAsianLayout w:id="62" w:combine="1"/>
              </w:rPr>
              <w:t>+0.601 -0.161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2.5</w:t>
            </w:r>
            <w:r>
              <w:rPr>
                <w:rFonts w:ascii="Times New Roman" w:hAnsi="Times New Roman" w:eastAsia="宋体" w:cs="Times New Roman"/>
                <w:kern w:val="0"/>
                <w:sz w:val="18"/>
                <w:szCs w:val="18"/>
                <w:lang w:eastAsia="en-US"/>
                <w:eastAsianLayout w:id="63"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下节上接头*</w:t>
            </w:r>
          </w:p>
        </w:tc>
        <w:tc>
          <w:tcPr>
            <w:tcW w:w="329"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64" w:combine="1"/>
              </w:rPr>
              <w:t>+0.025  0</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0.638</w:t>
            </w:r>
            <w:r>
              <w:rPr>
                <w:rFonts w:ascii="Times New Roman" w:hAnsi="Times New Roman" w:eastAsia="宋体" w:cs="Times New Roman"/>
                <w:kern w:val="0"/>
                <w:sz w:val="18"/>
                <w:szCs w:val="18"/>
                <w:lang w:eastAsia="en-US"/>
                <w:eastAsianLayout w:id="65" w:combine="1"/>
              </w:rPr>
              <w:t>+1.588 -2.381</w:t>
            </w:r>
          </w:p>
        </w:tc>
        <w:tc>
          <w:tcPr>
            <w:tcW w:w="119" w:type="pct"/>
            <w:vMerge w:val="continue"/>
            <w:tcBorders>
              <w:left w:val="nil"/>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1-3/8″×</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98.806</w:t>
            </w:r>
            <w:r>
              <w:rPr>
                <w:rFonts w:ascii="Times New Roman" w:hAnsi="Times New Roman" w:eastAsia="宋体" w:cs="Times New Roman"/>
                <w:kern w:val="0"/>
                <w:sz w:val="18"/>
                <w:szCs w:val="18"/>
                <w:lang w:eastAsia="en-US"/>
                <w:eastAsianLayout w:id="66" w:combine="1"/>
              </w:rPr>
              <w:t>+0.051 -0.051</w:t>
            </w: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.03±0.13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w:t>
            </w:r>
            <w:r>
              <w:rPr>
                <w:rFonts w:ascii="Times New Roman" w:hAnsi="Times New Roman" w:eastAsia="宋体" w:cs="Times New Roman"/>
                <w:kern w:val="0"/>
                <w:sz w:val="18"/>
                <w:szCs w:val="18"/>
                <w:lang w:eastAsia="en-US"/>
              </w:rPr>
              <w:t>89</w:t>
            </w:r>
            <w:r>
              <w:rPr>
                <w:rFonts w:ascii="Times New Roman" w:hAnsi="Times New Roman" w:eastAsia="宋体" w:cs="Times New Roman"/>
                <w:kern w:val="0"/>
                <w:sz w:val="18"/>
                <w:szCs w:val="18"/>
                <w:lang w:eastAsia="en-US"/>
                <w:eastAsianLayout w:id="67" w:combine="1"/>
              </w:rPr>
              <w:t>-0.049 -0.811</w:t>
            </w:r>
            <w:r>
              <w:rPr>
                <w:rFonts w:ascii="Times New Roman" w:hAnsi="Times New Roman" w:eastAsia="宋体" w:cs="Times New Roman"/>
                <w:kern w:val="0"/>
                <w:sz w:val="18"/>
                <w:szCs w:val="18"/>
                <w:lang w:eastAsia="en-US"/>
              </w:rPr>
              <w:t>×2.5</w:t>
            </w:r>
            <w:r>
              <w:rPr>
                <w:rFonts w:ascii="Times New Roman" w:hAnsi="Times New Roman" w:eastAsia="宋体" w:cs="Times New Roman"/>
                <w:kern w:val="0"/>
                <w:sz w:val="18"/>
                <w:szCs w:val="18"/>
                <w:lang w:eastAsia="en-US"/>
                <w:eastAsianLayout w:id="68"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562</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单节/上节上接头</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112.7</w:t>
            </w:r>
            <w:r>
              <w:rPr>
                <w:rFonts w:hint="default" w:ascii="Times New Roman" w:hAnsi="Times New Roman" w:eastAsia="宋体" w:cs="Times New Roman"/>
                <w:kern w:val="0"/>
                <w:sz w:val="18"/>
                <w:szCs w:val="18"/>
                <w:lang w:eastAsia="en-US"/>
              </w:rPr>
              <w:t>±0.1</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69"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+25.4</w:t>
            </w:r>
            <w:r>
              <w:rPr>
                <w:rFonts w:ascii="Times New Roman" w:hAnsi="Times New Roman" w:eastAsia="宋体" w:cs="Times New Roman"/>
                <w:kern w:val="0"/>
                <w:sz w:val="18"/>
                <w:szCs w:val="18"/>
                <w:lang w:eastAsia="en-US"/>
                <w:eastAsianLayout w:id="70" w:combine="1"/>
              </w:rPr>
              <w:t>+2.38 -1.59</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1-3/8″</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98.806±0.051×2.03</w:t>
            </w:r>
            <w:r>
              <w:rPr>
                <w:rFonts w:ascii="Times New Roman" w:hAnsi="Times New Roman" w:eastAsia="宋体" w:cs="Times New Roman"/>
                <w:kern w:val="0"/>
                <w:sz w:val="18"/>
                <w:szCs w:val="18"/>
                <w:lang w:eastAsia="en-US"/>
              </w:rPr>
              <w:t>±0.13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角封89</w:t>
            </w:r>
            <w:r>
              <w:rPr>
                <w:rFonts w:hint="default" w:ascii="Times New Roman" w:hAnsi="Times New Roman" w:eastAsia="宋体" w:cs="Times New Roman"/>
                <w:kern w:val="0"/>
                <w:sz w:val="18"/>
                <w:szCs w:val="18"/>
                <w:lang w:eastAsia="en-US"/>
                <w:eastAsianLayout w:id="71" w:combine="1"/>
              </w:rPr>
              <w:t>-0.049 -0.811</w:t>
            </w:r>
            <w:r>
              <w:rPr>
                <w:rFonts w:hint="default" w:ascii="Times New Roman" w:hAnsi="Times New Roman" w:eastAsia="宋体" w:cs="Times New Roman"/>
                <w:kern w:val="0"/>
                <w:sz w:val="18"/>
                <w:szCs w:val="18"/>
                <w:lang w:eastAsia="en-US"/>
              </w:rPr>
              <w:t xml:space="preserve"> × 2.5</w:t>
            </w:r>
            <w:r>
              <w:rPr>
                <w:rFonts w:hint="default" w:ascii="Times New Roman" w:hAnsi="Times New Roman" w:eastAsia="宋体" w:cs="Times New Roman"/>
                <w:kern w:val="0"/>
                <w:sz w:val="18"/>
                <w:szCs w:val="18"/>
                <w:lang w:eastAsia="en-US"/>
                <w:eastAsianLayout w:id="72" w:combine="1"/>
              </w:rPr>
              <w:t>+0.192 +0.040</w:t>
            </w:r>
          </w:p>
        </w:tc>
        <w:tc>
          <w:tcPr>
            <w:tcW w:w="1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上节下接头*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73" w:combine="1"/>
              </w:rPr>
              <w:t>-0.051 -0.076</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7.938±3.18</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87.960</w:t>
            </w:r>
            <w:r>
              <w:rPr>
                <w:rFonts w:ascii="Times New Roman" w:hAnsi="Times New Roman" w:eastAsia="宋体" w:cs="Times New Roman"/>
                <w:kern w:val="0"/>
                <w:sz w:val="18"/>
                <w:szCs w:val="18"/>
                <w:lang w:eastAsia="en-US"/>
                <w:eastAsianLayout w:id="74" w:combine="1"/>
              </w:rPr>
              <w:t xml:space="preserve">    0 -0.102</w:t>
            </w:r>
            <w:r>
              <w:rPr>
                <w:rFonts w:hint="default" w:ascii="Times New Roman" w:hAnsi="Times New Roman" w:eastAsia="宋体" w:cs="Times New Roman"/>
                <w:kern w:val="0"/>
                <w:sz w:val="18"/>
                <w:szCs w:val="18"/>
                <w:lang w:eastAsia="en-US"/>
              </w:rPr>
              <w:t>×3</w:t>
            </w:r>
            <w:r>
              <w:rPr>
                <w:rFonts w:ascii="Times New Roman" w:hAnsi="Times New Roman" w:eastAsia="宋体" w:cs="Times New Roman"/>
                <w:kern w:val="0"/>
                <w:sz w:val="18"/>
                <w:szCs w:val="18"/>
                <w:lang w:eastAsia="en-US"/>
              </w:rPr>
              <w:t>.05±0.13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径封</w:t>
            </w:r>
            <w:r>
              <w:rPr>
                <w:rFonts w:ascii="Times New Roman" w:hAnsi="Times New Roman" w:eastAsia="宋体" w:cs="Times New Roman"/>
                <w:kern w:val="0"/>
                <w:sz w:val="18"/>
                <w:szCs w:val="18"/>
                <w:lang w:eastAsia="en-US"/>
              </w:rPr>
              <w:t>82</w:t>
            </w:r>
            <w:r>
              <w:rPr>
                <w:rFonts w:ascii="Times New Roman" w:hAnsi="Times New Roman" w:eastAsia="宋体" w:cs="Times New Roman"/>
                <w:kern w:val="0"/>
                <w:sz w:val="18"/>
                <w:szCs w:val="18"/>
                <w:lang w:eastAsia="en-US"/>
                <w:eastAsianLayout w:id="75" w:combine="1"/>
              </w:rPr>
              <w:t>+0.601 -0.161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2.5</w:t>
            </w:r>
            <w:r>
              <w:rPr>
                <w:rFonts w:ascii="Times New Roman" w:hAnsi="Times New Roman" w:eastAsia="宋体" w:cs="Times New Roman"/>
                <w:kern w:val="0"/>
                <w:sz w:val="18"/>
                <w:szCs w:val="18"/>
                <w:lang w:eastAsia="en-US"/>
                <w:eastAsianLayout w:id="76"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下节上接头*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hint="default" w:ascii="Times New Roman" w:hAnsi="Times New Roman" w:eastAsia="宋体" w:cs="Times New Roman"/>
                <w:kern w:val="0"/>
                <w:sz w:val="18"/>
                <w:szCs w:val="18"/>
                <w:lang w:eastAsia="en-US"/>
                <w:eastAsianLayout w:id="77" w:combine="1"/>
              </w:rPr>
              <w:t>+</w:t>
            </w:r>
            <w:r>
              <w:rPr>
                <w:rFonts w:ascii="Times New Roman" w:hAnsi="Times New Roman" w:eastAsia="宋体" w:cs="Times New Roman"/>
                <w:kern w:val="0"/>
                <w:sz w:val="18"/>
                <w:szCs w:val="18"/>
                <w:lang w:eastAsia="en-US"/>
                <w:eastAsianLayout w:id="78" w:combine="1"/>
              </w:rPr>
              <w:t>0.025 0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0.638</w:t>
            </w:r>
            <w:r>
              <w:rPr>
                <w:rFonts w:ascii="Times New Roman" w:hAnsi="Times New Roman" w:eastAsia="宋体" w:cs="Times New Roman"/>
                <w:kern w:val="0"/>
                <w:sz w:val="18"/>
                <w:szCs w:val="18"/>
                <w:lang w:eastAsia="en-US"/>
                <w:eastAsianLayout w:id="79" w:combine="1"/>
              </w:rPr>
              <w:t>+1.588 -2.381</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1-3/8″×</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98.806</w:t>
            </w:r>
            <w:r>
              <w:rPr>
                <w:rFonts w:ascii="Times New Roman" w:hAnsi="Times New Roman" w:eastAsia="宋体" w:cs="Times New Roman"/>
                <w:kern w:val="0"/>
                <w:sz w:val="18"/>
                <w:szCs w:val="18"/>
                <w:lang w:eastAsia="en-US"/>
                <w:eastAsianLayout w:id="80" w:combine="1"/>
              </w:rPr>
              <w:t>+0.051 -0.051</w:t>
            </w: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.03±0.13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w:t>
            </w:r>
            <w:r>
              <w:rPr>
                <w:rFonts w:ascii="Times New Roman" w:hAnsi="Times New Roman" w:eastAsia="宋体" w:cs="Times New Roman"/>
                <w:kern w:val="0"/>
                <w:sz w:val="18"/>
                <w:szCs w:val="18"/>
                <w:lang w:eastAsia="en-US"/>
              </w:rPr>
              <w:t>89</w:t>
            </w:r>
            <w:r>
              <w:rPr>
                <w:rFonts w:ascii="Times New Roman" w:hAnsi="Times New Roman" w:eastAsia="宋体" w:cs="Times New Roman"/>
                <w:kern w:val="0"/>
                <w:sz w:val="18"/>
                <w:szCs w:val="18"/>
                <w:lang w:eastAsia="en-US"/>
                <w:eastAsianLayout w:id="81" w:combine="1"/>
              </w:rPr>
              <w:t>-0.049 -0.811</w:t>
            </w:r>
            <w:r>
              <w:rPr>
                <w:rFonts w:ascii="Times New Roman" w:hAnsi="Times New Roman" w:eastAsia="宋体" w:cs="Times New Roman"/>
                <w:kern w:val="0"/>
                <w:sz w:val="18"/>
                <w:szCs w:val="18"/>
                <w:lang w:eastAsia="en-US"/>
              </w:rPr>
              <w:t>×2.5</w:t>
            </w:r>
            <w:r>
              <w:rPr>
                <w:rFonts w:ascii="Times New Roman" w:hAnsi="Times New Roman" w:eastAsia="宋体" w:cs="Times New Roman"/>
                <w:kern w:val="0"/>
                <w:sz w:val="18"/>
                <w:szCs w:val="18"/>
                <w:lang w:eastAsia="en-US"/>
                <w:eastAsianLayout w:id="82"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738</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en-US"/>
              </w:rPr>
              <w:t>单节/上节</w:t>
            </w:r>
            <w:r>
              <w:rPr>
                <w:rFonts w:hint="default" w:ascii="Times New Roman" w:hAnsi="Times New Roman" w:eastAsia="宋体" w:cs="Times New Roman"/>
                <w:kern w:val="0"/>
                <w:sz w:val="18"/>
                <w:szCs w:val="18"/>
                <w:lang w:eastAsia="zh-CN"/>
              </w:rPr>
              <w:t>上接头</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158.75</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vertAlign w:val="superscript"/>
                <w:lang w:eastAsia="zh-CN"/>
              </w:rPr>
            </w:pPr>
            <w:r>
              <w:rPr>
                <w:rFonts w:hint="default" w:ascii="Times New Roman" w:hAnsi="Times New Roman" w:eastAsia="宋体" w:cs="Times New Roman"/>
                <w:kern w:val="0"/>
                <w:sz w:val="18"/>
                <w:szCs w:val="18"/>
                <w:lang w:eastAsia="zh-CN"/>
              </w:rPr>
              <w:t>123.825</w:t>
            </w:r>
            <w:r>
              <w:rPr>
                <w:rFonts w:ascii="Times New Roman" w:hAnsi="Times New Roman" w:eastAsia="宋体" w:cs="Times New Roman"/>
                <w:kern w:val="0"/>
                <w:sz w:val="18"/>
                <w:szCs w:val="18"/>
                <w:lang w:eastAsia="en-US"/>
                <w:eastAsianLayout w:id="83"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hint="default"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en-US"/>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25.4±1.6</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en-US"/>
              </w:rPr>
              <w:t>1.6～7.1</w:t>
            </w:r>
          </w:p>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2"-31T</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2"-31T/1.5"-6B</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(132±0.051)</w:t>
            </w:r>
            <w:r>
              <w:rPr>
                <w:rFonts w:hint="default"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en-US"/>
              </w:rPr>
              <w:t>2.73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角封123.42×3.53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上节下接头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133.274</w:t>
            </w:r>
            <w:r>
              <w:rPr>
                <w:rFonts w:hint="default" w:ascii="Times New Roman" w:hAnsi="Times New Roman" w:eastAsia="宋体" w:cs="Times New Roman"/>
                <w:kern w:val="0"/>
                <w:sz w:val="18"/>
                <w:szCs w:val="18"/>
                <w:lang w:eastAsia="zh-CN"/>
                <w:eastAsianLayout w:id="84" w:combine="1"/>
              </w:rPr>
              <w:t>0 -0.025</w:t>
            </w:r>
          </w:p>
        </w:tc>
        <w:tc>
          <w:tcPr>
            <w:tcW w:w="471"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rPr>
                <w:rFonts w:hint="default"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11</w:t>
            </w:r>
            <w:r>
              <w:rPr>
                <w:rFonts w:hint="default" w:ascii="Times New Roman" w:hAnsi="Times New Roman" w:eastAsia="宋体" w:cs="Times New Roman"/>
                <w:kern w:val="0"/>
                <w:sz w:val="18"/>
                <w:szCs w:val="18"/>
                <w:lang w:eastAsia="zh-CN"/>
              </w:rPr>
              <w:t>×</w:t>
            </w:r>
            <w:r>
              <w:rPr>
                <w:rFonts w:ascii="Times New Roman" w:hAnsi="Times New Roman" w:eastAsia="宋体" w:cs="Times New Roman"/>
                <w:kern w:val="0"/>
                <w:sz w:val="18"/>
                <w:szCs w:val="18"/>
                <w:lang w:eastAsia="zh-CN"/>
              </w:rPr>
              <w:t>Φ14</w:t>
            </w:r>
          </w:p>
          <w:p>
            <w:pPr>
              <w:widowControl/>
              <w:jc w:val="left"/>
              <w:rPr>
                <w:rFonts w:hint="default"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11</w:t>
            </w:r>
            <w:r>
              <w:rPr>
                <w:rFonts w:hint="default" w:ascii="Times New Roman" w:hAnsi="Times New Roman" w:eastAsia="宋体" w:cs="Times New Roman"/>
                <w:kern w:val="0"/>
                <w:sz w:val="18"/>
                <w:szCs w:val="18"/>
                <w:lang w:eastAsia="zh-CN"/>
              </w:rPr>
              <w:t>×</w:t>
            </w:r>
            <w:r>
              <w:rPr>
                <w:rFonts w:ascii="Times New Roman" w:hAnsi="Times New Roman" w:eastAsia="宋体" w:cs="Times New Roman"/>
                <w:kern w:val="0"/>
                <w:sz w:val="18"/>
                <w:szCs w:val="18"/>
                <w:lang w:eastAsia="zh-CN"/>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7.938</w:t>
            </w:r>
            <w:r>
              <w:rPr>
                <w:rFonts w:hint="default" w:ascii="Times New Roman" w:hAnsi="Times New Roman" w:eastAsia="宋体" w:cs="Times New Roman"/>
                <w:kern w:val="0"/>
                <w:sz w:val="18"/>
                <w:szCs w:val="18"/>
                <w:lang w:eastAsia="zh-CN"/>
                <w:eastAsianLayout w:id="85" w:combine="1"/>
              </w:rPr>
              <w:t>+3.18 -1.5</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2"-31T/2"-31T</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127.71</w:t>
            </w:r>
            <w:r>
              <w:rPr>
                <w:rFonts w:hint="default" w:ascii="Times New Roman" w:hAnsi="Times New Roman" w:eastAsia="宋体" w:cs="Times New Roman"/>
                <w:kern w:val="0"/>
                <w:sz w:val="18"/>
                <w:szCs w:val="18"/>
                <w:lang w:eastAsia="zh-CN"/>
                <w:eastAsianLayout w:id="86" w:combine="1"/>
              </w:rPr>
              <w:t>0 -0.051</w:t>
            </w:r>
            <w:r>
              <w:rPr>
                <w:rFonts w:hint="default" w:ascii="Times New Roman" w:hAnsi="Times New Roman" w:eastAsia="宋体" w:cs="Times New Roman"/>
                <w:kern w:val="0"/>
                <w:sz w:val="18"/>
                <w:szCs w:val="18"/>
                <w:lang w:eastAsia="zh-CN"/>
              </w:rPr>
              <w:t>×4.75</w:t>
            </w:r>
            <w:r>
              <w:rPr>
                <w:rFonts w:hint="default" w:ascii="Times New Roman" w:hAnsi="Times New Roman" w:eastAsia="宋体" w:cs="Times New Roman"/>
                <w:kern w:val="0"/>
                <w:sz w:val="18"/>
                <w:szCs w:val="18"/>
                <w:lang w:eastAsia="zh-CN"/>
                <w:eastAsianLayout w:id="87" w:combine="1"/>
              </w:rPr>
              <w:t>+0.127 0</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径封126.59×3.53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图2</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下节上接头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133.35</w:t>
            </w:r>
            <w:r>
              <w:rPr>
                <w:rFonts w:ascii="Times New Roman" w:hAnsi="Times New Roman" w:eastAsia="宋体" w:cs="Times New Roman"/>
                <w:kern w:val="0"/>
                <w:sz w:val="18"/>
                <w:szCs w:val="18"/>
                <w:lang w:eastAsia="en-US"/>
                <w:eastAsianLayout w:id="88"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hint="default"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en-US"/>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-（20.638±1.6）</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2"-31T/2"-31T</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（142.2±0.051）×2.73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角封132.94×3.53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图1</w:t>
            </w:r>
          </w:p>
        </w:tc>
      </w:tr>
    </w:tbl>
    <w:p>
      <w:pPr>
        <w:spacing w:before="156" w:beforeLines="50"/>
        <w:jc w:val="center"/>
        <w:rPr>
          <w:rFonts w:ascii="Times New Roman" w:hAnsi="Times New Roman" w:eastAsia="宋体" w:cs="Times New Roman"/>
          <w:b w:val="0"/>
          <w:bCs w:val="0"/>
          <w:kern w:val="0"/>
          <w:sz w:val="24"/>
          <w:lang w:eastAsia="zh-CN"/>
        </w:rPr>
      </w:pPr>
      <w:r>
        <w:rPr>
          <w:rFonts w:ascii="Times New Roman" w:hAnsi="Times New Roman" w:eastAsia="宋体" w:cs="Times New Roman"/>
          <w:b w:val="0"/>
          <w:bCs w:val="0"/>
          <w:kern w:val="0"/>
          <w:sz w:val="24"/>
          <w:lang w:eastAsia="zh-CN"/>
        </w:rPr>
        <w:t>电机接泵工况接口尺寸</w:t>
      </w:r>
    </w:p>
    <w:tbl>
      <w:tblPr>
        <w:tblStyle w:val="9"/>
        <w:tblW w:w="0" w:type="auto"/>
        <w:jc w:val="center"/>
        <w:tblLayout w:type="autofit"/>
        <w:tblCellMar>
          <w:top w:w="0" w:type="dxa"/>
          <w:left w:w="108" w:type="dxa"/>
          <w:bottom w:w="0" w:type="dxa"/>
          <w:right w:w="108" w:type="dxa"/>
        </w:tblCellMar>
      </w:tblPr>
      <w:tblGrid>
        <w:gridCol w:w="1127"/>
        <w:gridCol w:w="756"/>
        <w:gridCol w:w="1381"/>
        <w:gridCol w:w="1125"/>
        <w:gridCol w:w="1403"/>
        <w:gridCol w:w="576"/>
      </w:tblGrid>
      <w:tr>
        <w:tblPrEx>
          <w:tblCellMar>
            <w:top w:w="0" w:type="dxa"/>
            <w:left w:w="108" w:type="dxa"/>
            <w:bottom w:w="0" w:type="dxa"/>
            <w:right w:w="108" w:type="dxa"/>
          </w:tblCellMar>
        </w:tblPrEx>
        <w:trPr>
          <w:trHeight w:val="444" w:hRule="atLeast"/>
          <w:tblHeader/>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系列</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位置</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螺纹孔心距D</w:t>
            </w:r>
            <w:r>
              <w:rPr>
                <w:rFonts w:ascii="Times New Roman" w:hAnsi="Times New Roman" w:eastAsia="宋体" w:cs="Times New Roman"/>
                <w:kern w:val="0"/>
                <w:sz w:val="18"/>
                <w:szCs w:val="18"/>
                <w:lang w:eastAsia="en-US"/>
              </w:rPr>
              <w:t>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止口D</w:t>
            </w:r>
            <w:r>
              <w:rPr>
                <w:rFonts w:ascii="Times New Roman" w:hAnsi="Times New Roman" w:eastAsia="宋体" w:cs="Times New Roman"/>
                <w:kern w:val="0"/>
                <w:sz w:val="18"/>
                <w:szCs w:val="18"/>
                <w:lang w:eastAsia="en-US"/>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螺纹孔n×D3</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图例</w:t>
            </w:r>
          </w:p>
        </w:tc>
      </w:tr>
      <w:tr>
        <w:tblPrEx>
          <w:tblCellMar>
            <w:top w:w="0" w:type="dxa"/>
            <w:left w:w="108" w:type="dxa"/>
            <w:bottom w:w="0" w:type="dxa"/>
            <w:right w:w="108" w:type="dxa"/>
          </w:tblCellMar>
        </w:tblPrEx>
        <w:trPr>
          <w:trHeight w:val="4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4</w:t>
            </w:r>
            <w:r>
              <w:rPr>
                <w:rFonts w:ascii="Times New Roman" w:hAnsi="Times New Roman" w:eastAsia="宋体" w:cs="Times New Roman"/>
                <w:kern w:val="0"/>
                <w:sz w:val="18"/>
                <w:szCs w:val="18"/>
                <w:lang w:eastAsia="en-US"/>
              </w:rPr>
              <w:t xml:space="preserve">56/540/562 </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下接头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96.84±</w:t>
            </w:r>
            <w:r>
              <w:rPr>
                <w:rFonts w:ascii="Times New Roman" w:hAnsi="Times New Roman" w:eastAsia="宋体" w:cs="Times New Roman"/>
                <w:kern w:val="0"/>
                <w:sz w:val="18"/>
                <w:szCs w:val="18"/>
                <w:lang w:eastAsia="en-US"/>
              </w:rPr>
              <w:t>0.1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79.43±0.025</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6×7/16″-20UNF</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图</w:t>
            </w:r>
            <w:r>
              <w:rPr>
                <w:rFonts w:hint="default" w:ascii="Times New Roman" w:hAnsi="Times New Roman" w:eastAsia="宋体" w:cs="Times New Roman"/>
                <w:kern w:val="0"/>
                <w:sz w:val="18"/>
                <w:szCs w:val="18"/>
                <w:lang w:eastAsia="en-US"/>
              </w:rPr>
              <w:t>1</w:t>
            </w:r>
          </w:p>
        </w:tc>
      </w:tr>
    </w:tbl>
    <w:p>
      <w:pPr>
        <w:spacing w:before="156" w:beforeLines="50"/>
        <w:jc w:val="center"/>
        <w:rPr>
          <w:rFonts w:ascii="Times New Roman" w:hAnsi="Times New Roman" w:eastAsia="宋体" w:cs="Times New Roman"/>
          <w:b w:val="0"/>
          <w:bCs w:val="0"/>
          <w:kern w:val="0"/>
          <w:sz w:val="24"/>
          <w:lang w:eastAsia="en-US"/>
        </w:rPr>
      </w:pPr>
      <w:r>
        <w:rPr>
          <w:rFonts w:hint="default" w:ascii="Times New Roman" w:hAnsi="Times New Roman" w:eastAsia="宋体" w:cs="Times New Roman"/>
          <w:b w:val="0"/>
          <w:bCs w:val="0"/>
          <w:kern w:val="0"/>
          <w:sz w:val="24"/>
          <w:lang w:eastAsia="en-US"/>
        </w:rPr>
        <w:t>花键副参数</w:t>
      </w:r>
    </w:p>
    <w:tbl>
      <w:tblPr>
        <w:tblStyle w:val="9"/>
        <w:tblW w:w="3080" w:type="pct"/>
        <w:jc w:val="center"/>
        <w:tblLayout w:type="autofit"/>
        <w:tblCellMar>
          <w:top w:w="0" w:type="dxa"/>
          <w:left w:w="108" w:type="dxa"/>
          <w:bottom w:w="0" w:type="dxa"/>
          <w:right w:w="108" w:type="dxa"/>
        </w:tblCellMar>
      </w:tblPr>
      <w:tblGrid>
        <w:gridCol w:w="1296"/>
        <w:gridCol w:w="576"/>
        <w:gridCol w:w="4719"/>
        <w:gridCol w:w="5274"/>
      </w:tblGrid>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花键基本尺寸</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齿数</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花键套（mm）</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轴花键（mm）</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11/16</w:t>
            </w:r>
            <w:r>
              <w:rPr>
                <w:rFonts w:ascii="Times New Roman" w:hAnsi="Times New Roman" w:eastAsia="宋体" w:cs="Times New Roman"/>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φ1</w:t>
            </w:r>
            <w:r>
              <w:rPr>
                <w:rFonts w:ascii="Times New Roman" w:hAnsi="Times New Roman" w:eastAsia="宋体" w:cs="Times New Roman"/>
                <w:kern w:val="0"/>
                <w:sz w:val="18"/>
                <w:szCs w:val="18"/>
                <w:lang w:eastAsia="en-US"/>
              </w:rPr>
              <w:t>7.526</w:t>
            </w:r>
            <w:r>
              <w:rPr>
                <w:rFonts w:ascii="Times New Roman" w:hAnsi="Times New Roman" w:eastAsia="宋体" w:cs="Times New Roman"/>
                <w:kern w:val="0"/>
                <w:sz w:val="18"/>
                <w:szCs w:val="18"/>
                <w:lang w:eastAsia="en-US"/>
                <w:eastAsianLayout w:id="89"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15.773 </w:t>
            </w:r>
            <w:r>
              <w:rPr>
                <w:rFonts w:ascii="Times New Roman" w:hAnsi="Times New Roman" w:eastAsia="宋体" w:cs="Times New Roman"/>
                <w:kern w:val="0"/>
                <w:sz w:val="18"/>
                <w:szCs w:val="18"/>
                <w:lang w:eastAsia="en-US"/>
                <w:eastAsianLayout w:id="90" w:combine="1"/>
              </w:rPr>
              <w:t>+0.051 0</w:t>
            </w:r>
            <w:r>
              <w:rPr>
                <w:rFonts w:ascii="Times New Roman" w:hAnsi="Times New Roman" w:eastAsia="宋体" w:cs="Times New Roman"/>
                <w:kern w:val="0"/>
                <w:sz w:val="18"/>
                <w:szCs w:val="18"/>
                <w:lang w:eastAsia="en-US"/>
              </w:rPr>
              <w:t>×4.420</w:t>
            </w:r>
            <w:r>
              <w:rPr>
                <w:rFonts w:ascii="Times New Roman" w:hAnsi="Times New Roman" w:eastAsia="宋体" w:cs="Times New Roman"/>
                <w:kern w:val="0"/>
                <w:sz w:val="18"/>
                <w:szCs w:val="18"/>
                <w:lang w:eastAsia="en-US"/>
                <w:eastAsianLayout w:id="91" w:combine="1"/>
              </w:rPr>
              <w:t xml:space="preserve">    0 -0.076</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φ1</w:t>
            </w:r>
            <w:r>
              <w:rPr>
                <w:rFonts w:ascii="Times New Roman" w:hAnsi="Times New Roman" w:eastAsia="宋体" w:cs="Times New Roman"/>
                <w:kern w:val="0"/>
                <w:sz w:val="18"/>
                <w:szCs w:val="18"/>
                <w:lang w:eastAsia="en-US"/>
              </w:rPr>
              <w:t>7.374</w:t>
            </w:r>
            <w:r>
              <w:rPr>
                <w:rFonts w:ascii="Times New Roman" w:hAnsi="Times New Roman" w:eastAsia="宋体" w:cs="Times New Roman"/>
                <w:kern w:val="0"/>
                <w:sz w:val="18"/>
                <w:szCs w:val="18"/>
                <w:lang w:eastAsia="en-US"/>
                <w:eastAsianLayout w:id="92"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15.674 </w:t>
            </w:r>
            <w:r>
              <w:rPr>
                <w:rFonts w:ascii="Times New Roman" w:hAnsi="Times New Roman" w:eastAsia="宋体" w:cs="Times New Roman"/>
                <w:kern w:val="0"/>
                <w:sz w:val="18"/>
                <w:szCs w:val="18"/>
                <w:lang w:eastAsia="en-US"/>
                <w:eastAsianLayout w:id="93" w:combine="1"/>
              </w:rPr>
              <w:t xml:space="preserve">    0 -0.127</w:t>
            </w:r>
            <w:r>
              <w:rPr>
                <w:rFonts w:ascii="Times New Roman" w:hAnsi="Times New Roman" w:eastAsia="宋体" w:cs="Times New Roman"/>
                <w:kern w:val="0"/>
                <w:sz w:val="18"/>
                <w:szCs w:val="18"/>
                <w:lang w:eastAsia="en-US"/>
              </w:rPr>
              <w:t>×4.216</w:t>
            </w:r>
            <w:r>
              <w:rPr>
                <w:rFonts w:ascii="Times New Roman" w:hAnsi="Times New Roman" w:eastAsia="宋体" w:cs="Times New Roman"/>
                <w:kern w:val="0"/>
                <w:sz w:val="18"/>
                <w:szCs w:val="18"/>
                <w:lang w:eastAsia="en-US"/>
                <w:eastAsianLayout w:id="94"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7/8</w:t>
            </w:r>
            <w:r>
              <w:rPr>
                <w:rFonts w:ascii="Times New Roman" w:hAnsi="Times New Roman" w:eastAsia="宋体" w:cs="Times New Roman"/>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22.301</w:t>
            </w:r>
            <w:r>
              <w:rPr>
                <w:rFonts w:ascii="Times New Roman" w:hAnsi="Times New Roman" w:eastAsia="宋体" w:cs="Times New Roman"/>
                <w:kern w:val="0"/>
                <w:sz w:val="18"/>
                <w:szCs w:val="18"/>
                <w:lang w:eastAsia="en-US"/>
                <w:eastAsianLayout w:id="95"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19.990 </w:t>
            </w:r>
            <w:r>
              <w:rPr>
                <w:rFonts w:ascii="Times New Roman" w:hAnsi="Times New Roman" w:eastAsia="宋体" w:cs="Times New Roman"/>
                <w:kern w:val="0"/>
                <w:sz w:val="18"/>
                <w:szCs w:val="18"/>
                <w:lang w:eastAsia="en-US"/>
                <w:eastAsianLayout w:id="96" w:combine="1"/>
              </w:rPr>
              <w:t>+0.051 0</w:t>
            </w:r>
            <w:r>
              <w:rPr>
                <w:rFonts w:ascii="Times New Roman" w:hAnsi="Times New Roman" w:eastAsia="宋体" w:cs="Times New Roman"/>
                <w:kern w:val="0"/>
                <w:sz w:val="18"/>
                <w:szCs w:val="18"/>
                <w:lang w:eastAsia="en-US"/>
              </w:rPr>
              <w:t>×5.613</w:t>
            </w:r>
            <w:r>
              <w:rPr>
                <w:rFonts w:ascii="Times New Roman" w:hAnsi="Times New Roman" w:eastAsia="宋体" w:cs="Times New Roman"/>
                <w:kern w:val="0"/>
                <w:sz w:val="18"/>
                <w:szCs w:val="18"/>
                <w:lang w:eastAsia="en-US"/>
                <w:eastAsianLayout w:id="97"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22.149</w:t>
            </w:r>
            <w:r>
              <w:rPr>
                <w:rFonts w:ascii="Times New Roman" w:hAnsi="Times New Roman" w:eastAsia="宋体" w:cs="Times New Roman"/>
                <w:kern w:val="0"/>
                <w:sz w:val="18"/>
                <w:szCs w:val="18"/>
                <w:lang w:eastAsia="en-US"/>
                <w:eastAsianLayout w:id="98"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19.837 </w:t>
            </w:r>
            <w:r>
              <w:rPr>
                <w:rFonts w:ascii="Times New Roman" w:hAnsi="Times New Roman" w:eastAsia="宋体" w:cs="Times New Roman"/>
                <w:kern w:val="0"/>
                <w:sz w:val="18"/>
                <w:szCs w:val="18"/>
                <w:lang w:eastAsia="en-US"/>
                <w:eastAsianLayout w:id="99" w:combine="1"/>
              </w:rPr>
              <w:t xml:space="preserve">    0 -0.127</w:t>
            </w:r>
            <w:r>
              <w:rPr>
                <w:rFonts w:ascii="Times New Roman" w:hAnsi="Times New Roman" w:eastAsia="宋体" w:cs="Times New Roman"/>
                <w:kern w:val="0"/>
                <w:sz w:val="18"/>
                <w:szCs w:val="18"/>
                <w:lang w:eastAsia="en-US"/>
              </w:rPr>
              <w:t>×5.410</w:t>
            </w:r>
            <w:r>
              <w:rPr>
                <w:rFonts w:ascii="Times New Roman" w:hAnsi="Times New Roman" w:eastAsia="宋体" w:cs="Times New Roman"/>
                <w:kern w:val="0"/>
                <w:sz w:val="18"/>
                <w:szCs w:val="18"/>
                <w:lang w:eastAsia="en-US"/>
                <w:eastAsianLayout w:id="100"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25.476</w:t>
            </w:r>
            <w:r>
              <w:rPr>
                <w:rFonts w:ascii="Times New Roman" w:hAnsi="Times New Roman" w:eastAsia="宋体" w:cs="Times New Roman"/>
                <w:kern w:val="0"/>
                <w:sz w:val="18"/>
                <w:szCs w:val="18"/>
                <w:lang w:eastAsia="en-US"/>
                <w:eastAsianLayout w:id="101"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21.463 </w:t>
            </w:r>
            <w:r>
              <w:rPr>
                <w:rFonts w:ascii="Times New Roman" w:hAnsi="Times New Roman" w:eastAsia="宋体" w:cs="Times New Roman"/>
                <w:kern w:val="0"/>
                <w:sz w:val="18"/>
                <w:szCs w:val="18"/>
                <w:lang w:eastAsia="en-US"/>
                <w:eastAsianLayout w:id="102" w:combine="1"/>
              </w:rPr>
              <w:t>+0.051 0</w:t>
            </w:r>
            <w:r>
              <w:rPr>
                <w:rFonts w:ascii="Times New Roman" w:hAnsi="Times New Roman" w:eastAsia="宋体" w:cs="Times New Roman"/>
                <w:kern w:val="0"/>
                <w:sz w:val="18"/>
                <w:szCs w:val="18"/>
                <w:lang w:eastAsia="en-US"/>
              </w:rPr>
              <w:t>×6.401</w:t>
            </w:r>
            <w:r>
              <w:rPr>
                <w:rFonts w:ascii="Times New Roman" w:hAnsi="Times New Roman" w:eastAsia="宋体" w:cs="Times New Roman"/>
                <w:kern w:val="0"/>
                <w:sz w:val="18"/>
                <w:szCs w:val="18"/>
                <w:lang w:eastAsia="en-US"/>
                <w:eastAsianLayout w:id="103"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25.273</w:t>
            </w:r>
            <w:r>
              <w:rPr>
                <w:rFonts w:ascii="Times New Roman" w:hAnsi="Times New Roman" w:eastAsia="宋体" w:cs="Times New Roman"/>
                <w:kern w:val="0"/>
                <w:sz w:val="18"/>
                <w:szCs w:val="18"/>
                <w:lang w:eastAsia="en-US"/>
                <w:eastAsianLayout w:id="104"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21.311 </w:t>
            </w:r>
            <w:r>
              <w:rPr>
                <w:rFonts w:ascii="Times New Roman" w:hAnsi="Times New Roman" w:eastAsia="宋体" w:cs="Times New Roman"/>
                <w:kern w:val="0"/>
                <w:sz w:val="18"/>
                <w:szCs w:val="18"/>
                <w:lang w:eastAsia="en-US"/>
                <w:eastAsianLayout w:id="105" w:combine="1"/>
              </w:rPr>
              <w:t xml:space="preserve">    0 -0.127</w:t>
            </w:r>
            <w:r>
              <w:rPr>
                <w:rFonts w:ascii="Times New Roman" w:hAnsi="Times New Roman" w:eastAsia="宋体" w:cs="Times New Roman"/>
                <w:kern w:val="0"/>
                <w:sz w:val="18"/>
                <w:szCs w:val="18"/>
                <w:lang w:eastAsia="en-US"/>
              </w:rPr>
              <w:t>×6.198</w:t>
            </w:r>
            <w:r>
              <w:rPr>
                <w:rFonts w:ascii="Times New Roman" w:hAnsi="Times New Roman" w:eastAsia="宋体" w:cs="Times New Roman"/>
                <w:kern w:val="0"/>
                <w:sz w:val="18"/>
                <w:szCs w:val="18"/>
                <w:lang w:eastAsia="en-US"/>
                <w:eastAsianLayout w:id="106"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1-3/16</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30.226</w:t>
            </w:r>
            <w:r>
              <w:rPr>
                <w:rFonts w:ascii="Times New Roman" w:hAnsi="Times New Roman" w:eastAsia="宋体" w:cs="Times New Roman"/>
                <w:kern w:val="0"/>
                <w:sz w:val="18"/>
                <w:szCs w:val="18"/>
                <w:lang w:eastAsia="en-US"/>
                <w:eastAsianLayout w:id="107"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25.502 </w:t>
            </w:r>
            <w:r>
              <w:rPr>
                <w:rFonts w:ascii="Times New Roman" w:hAnsi="Times New Roman" w:eastAsia="宋体" w:cs="Times New Roman"/>
                <w:kern w:val="0"/>
                <w:sz w:val="18"/>
                <w:szCs w:val="18"/>
                <w:lang w:eastAsia="en-US"/>
                <w:eastAsianLayout w:id="108" w:combine="1"/>
              </w:rPr>
              <w:t>+0.051 0</w:t>
            </w:r>
            <w:r>
              <w:rPr>
                <w:rFonts w:ascii="Times New Roman" w:hAnsi="Times New Roman" w:eastAsia="宋体" w:cs="Times New Roman"/>
                <w:kern w:val="0"/>
                <w:sz w:val="18"/>
                <w:szCs w:val="18"/>
                <w:lang w:eastAsia="en-US"/>
              </w:rPr>
              <w:t>×7.569</w:t>
            </w:r>
            <w:r>
              <w:rPr>
                <w:rFonts w:ascii="Times New Roman" w:hAnsi="Times New Roman" w:eastAsia="宋体" w:cs="Times New Roman"/>
                <w:kern w:val="0"/>
                <w:sz w:val="18"/>
                <w:szCs w:val="18"/>
                <w:lang w:eastAsia="en-US"/>
                <w:eastAsianLayout w:id="109"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29.997</w:t>
            </w:r>
            <w:r>
              <w:rPr>
                <w:rFonts w:ascii="Times New Roman" w:hAnsi="Times New Roman" w:eastAsia="宋体" w:cs="Times New Roman"/>
                <w:kern w:val="0"/>
                <w:sz w:val="18"/>
                <w:szCs w:val="18"/>
                <w:lang w:eastAsia="en-US"/>
                <w:eastAsianLayout w:id="110"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25.324 </w:t>
            </w:r>
            <w:r>
              <w:rPr>
                <w:rFonts w:ascii="Times New Roman" w:hAnsi="Times New Roman" w:eastAsia="宋体" w:cs="Times New Roman"/>
                <w:kern w:val="0"/>
                <w:sz w:val="18"/>
                <w:szCs w:val="18"/>
                <w:lang w:eastAsia="en-US"/>
                <w:eastAsianLayout w:id="111" w:combine="1"/>
              </w:rPr>
              <w:t xml:space="preserve">    0 -0.127</w:t>
            </w:r>
            <w:r>
              <w:rPr>
                <w:rFonts w:ascii="Times New Roman" w:hAnsi="Times New Roman" w:eastAsia="宋体" w:cs="Times New Roman"/>
                <w:kern w:val="0"/>
                <w:sz w:val="18"/>
                <w:szCs w:val="18"/>
                <w:lang w:eastAsia="en-US"/>
              </w:rPr>
              <w:t>×7.366</w:t>
            </w:r>
            <w:r>
              <w:rPr>
                <w:rFonts w:ascii="Times New Roman" w:hAnsi="Times New Roman" w:eastAsia="宋体" w:cs="Times New Roman"/>
                <w:kern w:val="0"/>
                <w:sz w:val="18"/>
                <w:szCs w:val="18"/>
                <w:lang w:eastAsia="en-US"/>
                <w:eastAsianLayout w:id="112" w:combine="1"/>
              </w:rPr>
              <w:t xml:space="preserve">    0 -0.127</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1-3/8</w:t>
            </w:r>
            <w:r>
              <w:rPr>
                <w:rFonts w:ascii="Times New Roman" w:hAnsi="Times New Roman" w:eastAsia="宋体" w:cs="Times New Roman"/>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35.001</w:t>
            </w:r>
            <w:r>
              <w:rPr>
                <w:rFonts w:ascii="Times New Roman" w:hAnsi="Times New Roman" w:eastAsia="宋体" w:cs="Times New Roman"/>
                <w:kern w:val="0"/>
                <w:sz w:val="18"/>
                <w:szCs w:val="18"/>
                <w:lang w:eastAsia="en-US"/>
                <w:eastAsianLayout w:id="113"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29.693 </w:t>
            </w:r>
            <w:r>
              <w:rPr>
                <w:rFonts w:ascii="Times New Roman" w:hAnsi="Times New Roman" w:eastAsia="宋体" w:cs="Times New Roman"/>
                <w:kern w:val="0"/>
                <w:sz w:val="18"/>
                <w:szCs w:val="18"/>
                <w:lang w:eastAsia="en-US"/>
                <w:eastAsianLayout w:id="114" w:combine="1"/>
              </w:rPr>
              <w:t>+0.051 0</w:t>
            </w:r>
            <w:r>
              <w:rPr>
                <w:rFonts w:ascii="Times New Roman" w:hAnsi="Times New Roman" w:eastAsia="宋体" w:cs="Times New Roman"/>
                <w:kern w:val="0"/>
                <w:sz w:val="18"/>
                <w:szCs w:val="18"/>
                <w:lang w:eastAsia="en-US"/>
              </w:rPr>
              <w:t>×8.788</w:t>
            </w:r>
            <w:r>
              <w:rPr>
                <w:rFonts w:ascii="Times New Roman" w:hAnsi="Times New Roman" w:eastAsia="宋体" w:cs="Times New Roman"/>
                <w:kern w:val="0"/>
                <w:sz w:val="18"/>
                <w:szCs w:val="18"/>
                <w:lang w:eastAsia="en-US"/>
                <w:eastAsianLayout w:id="115"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34.849</w:t>
            </w:r>
            <w:r>
              <w:rPr>
                <w:rFonts w:ascii="Times New Roman" w:hAnsi="Times New Roman" w:eastAsia="宋体" w:cs="Times New Roman"/>
                <w:kern w:val="0"/>
                <w:sz w:val="18"/>
                <w:szCs w:val="18"/>
                <w:lang w:eastAsia="en-US"/>
                <w:eastAsianLayout w:id="116"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29.515 </w:t>
            </w:r>
            <w:r>
              <w:rPr>
                <w:rFonts w:ascii="Times New Roman" w:hAnsi="Times New Roman" w:eastAsia="宋体" w:cs="Times New Roman"/>
                <w:kern w:val="0"/>
                <w:sz w:val="18"/>
                <w:szCs w:val="18"/>
                <w:lang w:eastAsia="en-US"/>
                <w:eastAsianLayout w:id="117" w:combine="1"/>
              </w:rPr>
              <w:t xml:space="preserve">    0 -0.127</w:t>
            </w:r>
            <w:r>
              <w:rPr>
                <w:rFonts w:ascii="Times New Roman" w:hAnsi="Times New Roman" w:eastAsia="宋体" w:cs="Times New Roman"/>
                <w:kern w:val="0"/>
                <w:sz w:val="18"/>
                <w:szCs w:val="18"/>
                <w:lang w:eastAsia="en-US"/>
              </w:rPr>
              <w:t>×8.585</w:t>
            </w:r>
            <w:r>
              <w:rPr>
                <w:rFonts w:ascii="Times New Roman" w:hAnsi="Times New Roman" w:eastAsia="宋体" w:cs="Times New Roman"/>
                <w:kern w:val="0"/>
                <w:sz w:val="18"/>
                <w:szCs w:val="18"/>
                <w:lang w:eastAsia="en-US"/>
                <w:eastAsianLayout w:id="118" w:combine="1"/>
              </w:rPr>
              <w:t xml:space="preserve">    0 -0.127</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-1/2”</w:t>
            </w:r>
          </w:p>
        </w:tc>
        <w:tc>
          <w:tcPr>
            <w:tcW w:w="41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38.176</w:t>
            </w:r>
            <w:r>
              <w:rPr>
                <w:rFonts w:ascii="Times New Roman" w:hAnsi="Times New Roman" w:eastAsia="宋体" w:cs="Times New Roman"/>
                <w:kern w:val="0"/>
                <w:sz w:val="18"/>
                <w:szCs w:val="18"/>
                <w:lang w:eastAsia="en-US"/>
                <w:eastAsianLayout w:id="119"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32.385 </w:t>
            </w:r>
            <w:r>
              <w:rPr>
                <w:rFonts w:ascii="Times New Roman" w:hAnsi="Times New Roman" w:eastAsia="宋体" w:cs="Times New Roman"/>
                <w:kern w:val="0"/>
                <w:sz w:val="18"/>
                <w:szCs w:val="18"/>
                <w:lang w:eastAsia="en-US"/>
                <w:eastAsianLayout w:id="120" w:combine="1"/>
              </w:rPr>
              <w:t>+0.051 0</w:t>
            </w:r>
            <w:r>
              <w:rPr>
                <w:rFonts w:ascii="Times New Roman" w:hAnsi="Times New Roman" w:eastAsia="宋体" w:cs="Times New Roman"/>
                <w:kern w:val="0"/>
                <w:sz w:val="18"/>
                <w:szCs w:val="18"/>
                <w:lang w:eastAsia="en-US"/>
              </w:rPr>
              <w:t>×9.576</w:t>
            </w:r>
            <w:r>
              <w:rPr>
                <w:rFonts w:ascii="Times New Roman" w:hAnsi="Times New Roman" w:eastAsia="宋体" w:cs="Times New Roman"/>
                <w:kern w:val="0"/>
                <w:sz w:val="18"/>
                <w:szCs w:val="18"/>
                <w:lang w:eastAsia="en-US"/>
                <w:eastAsianLayout w:id="121"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38.024</w:t>
            </w:r>
            <w:r>
              <w:rPr>
                <w:rFonts w:ascii="Times New Roman" w:hAnsi="Times New Roman" w:eastAsia="宋体" w:cs="Times New Roman"/>
                <w:kern w:val="0"/>
                <w:sz w:val="18"/>
                <w:szCs w:val="18"/>
                <w:lang w:eastAsia="en-US"/>
                <w:eastAsianLayout w:id="122"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32.207</w:t>
            </w:r>
            <w:r>
              <w:rPr>
                <w:rFonts w:ascii="Times New Roman" w:hAnsi="Times New Roman" w:eastAsia="宋体" w:cs="Times New Roman"/>
                <w:kern w:val="0"/>
                <w:sz w:val="18"/>
                <w:szCs w:val="18"/>
                <w:lang w:eastAsia="en-US"/>
                <w:eastAsianLayout w:id="123" w:combine="1"/>
              </w:rPr>
              <w:t xml:space="preserve">    0 -0.076</w:t>
            </w:r>
            <w:r>
              <w:rPr>
                <w:rFonts w:ascii="Times New Roman" w:hAnsi="Times New Roman" w:eastAsia="宋体" w:cs="Times New Roman"/>
                <w:kern w:val="0"/>
                <w:sz w:val="18"/>
                <w:szCs w:val="18"/>
                <w:lang w:eastAsia="en-US"/>
              </w:rPr>
              <w:t>×9.373</w:t>
            </w:r>
            <w:r>
              <w:rPr>
                <w:rFonts w:ascii="Times New Roman" w:hAnsi="Times New Roman" w:eastAsia="宋体" w:cs="Times New Roman"/>
                <w:kern w:val="0"/>
                <w:sz w:val="18"/>
                <w:szCs w:val="18"/>
                <w:lang w:eastAsia="en-US"/>
                <w:eastAsianLayout w:id="124" w:combine="1"/>
              </w:rPr>
              <w:t xml:space="preserve">    0 -0.076</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50.800</w:t>
            </w:r>
            <w:r>
              <w:rPr>
                <w:rFonts w:ascii="Times New Roman" w:hAnsi="Times New Roman" w:eastAsia="宋体" w:cs="Times New Roman"/>
                <w:kern w:val="0"/>
                <w:sz w:val="18"/>
                <w:szCs w:val="18"/>
                <w:lang w:eastAsia="en-US"/>
                <w:eastAsianLayout w:id="125"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41.046 </w:t>
            </w:r>
            <w:r>
              <w:rPr>
                <w:rFonts w:ascii="Times New Roman" w:hAnsi="Times New Roman" w:eastAsia="宋体" w:cs="Times New Roman"/>
                <w:kern w:val="0"/>
                <w:sz w:val="18"/>
                <w:szCs w:val="18"/>
                <w:lang w:eastAsia="en-US"/>
                <w:eastAsianLayout w:id="126" w:combine="1"/>
              </w:rPr>
              <w:t>+0.051 0</w:t>
            </w:r>
            <w:r>
              <w:rPr>
                <w:rFonts w:ascii="Times New Roman" w:hAnsi="Times New Roman" w:eastAsia="宋体" w:cs="Times New Roman"/>
                <w:kern w:val="0"/>
                <w:sz w:val="18"/>
                <w:szCs w:val="18"/>
                <w:lang w:eastAsia="en-US"/>
              </w:rPr>
              <w:t>×4.953</w:t>
            </w:r>
            <w:r>
              <w:rPr>
                <w:rFonts w:ascii="Times New Roman" w:hAnsi="Times New Roman" w:eastAsia="宋体" w:cs="Times New Roman"/>
                <w:kern w:val="0"/>
                <w:sz w:val="18"/>
                <w:szCs w:val="18"/>
                <w:lang w:eastAsia="en-US"/>
                <w:eastAsianLayout w:id="127" w:combine="1"/>
              </w:rPr>
              <w:t xml:space="preserve">    0 -0.076</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50.648</w:t>
            </w:r>
            <w:r>
              <w:rPr>
                <w:rFonts w:ascii="Times New Roman" w:hAnsi="Times New Roman" w:eastAsia="宋体" w:cs="Times New Roman"/>
                <w:kern w:val="0"/>
                <w:sz w:val="18"/>
                <w:szCs w:val="18"/>
                <w:lang w:eastAsia="en-US"/>
                <w:eastAsianLayout w:id="128"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41.021</w:t>
            </w:r>
            <w:r>
              <w:rPr>
                <w:rFonts w:ascii="Times New Roman" w:hAnsi="Times New Roman" w:eastAsia="宋体" w:cs="Times New Roman"/>
                <w:kern w:val="0"/>
                <w:sz w:val="18"/>
                <w:szCs w:val="18"/>
                <w:lang w:eastAsia="en-US"/>
                <w:eastAsianLayout w:id="129" w:combine="1"/>
              </w:rPr>
              <w:t>+0.025 0</w:t>
            </w:r>
            <w:r>
              <w:rPr>
                <w:rFonts w:ascii="Times New Roman" w:hAnsi="Times New Roman" w:eastAsia="宋体" w:cs="Times New Roman"/>
                <w:kern w:val="0"/>
                <w:sz w:val="18"/>
                <w:szCs w:val="18"/>
                <w:lang w:eastAsia="en-US"/>
              </w:rPr>
              <w:t>×4.826</w:t>
            </w:r>
            <w:r>
              <w:rPr>
                <w:rFonts w:ascii="Times New Roman" w:hAnsi="Times New Roman" w:eastAsia="宋体" w:cs="Times New Roman"/>
                <w:kern w:val="0"/>
                <w:sz w:val="18"/>
                <w:szCs w:val="18"/>
                <w:lang w:eastAsia="en-US"/>
                <w:eastAsianLayout w:id="130" w:combine="1"/>
              </w:rPr>
              <w:t xml:space="preserve">    0 -0.076</w:t>
            </w:r>
          </w:p>
        </w:tc>
      </w:tr>
    </w:tbl>
    <w:p>
      <w:pPr>
        <w:jc w:val="center"/>
        <w:rPr>
          <w:rFonts w:ascii="Times New Roman" w:hAnsi="Times New Roman" w:eastAsia="宋体" w:cs="Times New Roman"/>
          <w:b w:val="0"/>
          <w:bCs w:val="0"/>
          <w:kern w:val="0"/>
          <w:sz w:val="24"/>
          <w:lang w:eastAsia="en-US"/>
        </w:rPr>
      </w:pPr>
      <w:r>
        <w:rPr>
          <w:rFonts w:hint="default" w:ascii="Times New Roman" w:hAnsi="Times New Roman" w:eastAsia="宋体" w:cs="Times New Roman"/>
          <w:b w:val="0"/>
          <w:bCs w:val="0"/>
          <w:kern w:val="0"/>
          <w:sz w:val="24"/>
          <w:lang w:eastAsia="en-US"/>
        </w:rPr>
        <w:t>注油塞及注油阀参数</w:t>
      </w:r>
    </w:p>
    <w:tbl>
      <w:tblPr>
        <w:tblStyle w:val="9"/>
        <w:tblW w:w="2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21"/>
        <w:gridCol w:w="2113"/>
        <w:gridCol w:w="1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项目</w:t>
            </w:r>
          </w:p>
        </w:tc>
        <w:tc>
          <w:tcPr>
            <w:tcW w:w="180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注油塞（丝堵）参数</w:t>
            </w:r>
          </w:p>
        </w:tc>
        <w:tc>
          <w:tcPr>
            <w:tcW w:w="1641"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注油阀参数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电机</w:t>
            </w:r>
          </w:p>
        </w:tc>
        <w:tc>
          <w:tcPr>
            <w:tcW w:w="180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3/8</w:t>
            </w:r>
            <w:r>
              <w:rPr>
                <w:rFonts w:ascii="Times New Roman" w:hAnsi="Times New Roman" w:eastAsia="宋体" w:cs="Times New Roman"/>
                <w:bCs/>
                <w:kern w:val="0"/>
                <w:sz w:val="18"/>
                <w:szCs w:val="18"/>
                <w:lang w:eastAsia="en-US"/>
              </w:rPr>
              <w:t>＂</w:t>
            </w:r>
            <w:r>
              <w:rPr>
                <w:rFonts w:hint="default" w:ascii="Times New Roman" w:hAnsi="Times New Roman" w:eastAsia="宋体" w:cs="Times New Roman"/>
                <w:bCs/>
                <w:kern w:val="0"/>
                <w:sz w:val="18"/>
                <w:szCs w:val="18"/>
                <w:lang w:eastAsia="en-US"/>
              </w:rPr>
              <w:t>-24UNF</w:t>
            </w:r>
          </w:p>
        </w:tc>
        <w:tc>
          <w:tcPr>
            <w:tcW w:w="1641"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5/8</w:t>
            </w:r>
            <w:r>
              <w:rPr>
                <w:rFonts w:ascii="Times New Roman" w:hAnsi="Times New Roman" w:eastAsia="宋体" w:cs="Times New Roman"/>
                <w:bCs/>
                <w:kern w:val="0"/>
                <w:sz w:val="18"/>
                <w:szCs w:val="18"/>
                <w:lang w:eastAsia="en-US"/>
              </w:rPr>
              <w:t>＂</w:t>
            </w:r>
            <w:r>
              <w:rPr>
                <w:rFonts w:hint="default" w:ascii="Times New Roman" w:hAnsi="Times New Roman" w:eastAsia="宋体" w:cs="Times New Roman"/>
                <w:bCs/>
                <w:kern w:val="0"/>
                <w:sz w:val="18"/>
                <w:szCs w:val="18"/>
                <w:lang w:eastAsia="en-US"/>
              </w:rPr>
              <w:t>-18UNF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保护器</w:t>
            </w:r>
          </w:p>
        </w:tc>
        <w:tc>
          <w:tcPr>
            <w:tcW w:w="180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3/8</w:t>
            </w:r>
            <w:r>
              <w:rPr>
                <w:rFonts w:ascii="Times New Roman" w:hAnsi="Times New Roman" w:eastAsia="宋体" w:cs="Times New Roman"/>
                <w:bCs/>
                <w:kern w:val="0"/>
                <w:sz w:val="18"/>
                <w:szCs w:val="18"/>
                <w:lang w:eastAsia="en-US"/>
              </w:rPr>
              <w:t>＂</w:t>
            </w:r>
            <w:r>
              <w:rPr>
                <w:rFonts w:hint="default" w:ascii="Times New Roman" w:hAnsi="Times New Roman" w:eastAsia="宋体" w:cs="Times New Roman"/>
                <w:bCs/>
                <w:kern w:val="0"/>
                <w:sz w:val="18"/>
                <w:szCs w:val="18"/>
                <w:lang w:eastAsia="en-US"/>
              </w:rPr>
              <w:t>-24UNF</w:t>
            </w:r>
          </w:p>
        </w:tc>
        <w:tc>
          <w:tcPr>
            <w:tcW w:w="1641"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5/8</w:t>
            </w:r>
            <w:r>
              <w:rPr>
                <w:rFonts w:ascii="Times New Roman" w:hAnsi="Times New Roman" w:eastAsia="宋体" w:cs="Times New Roman"/>
                <w:bCs/>
                <w:kern w:val="0"/>
                <w:sz w:val="18"/>
                <w:szCs w:val="18"/>
                <w:lang w:eastAsia="en-US"/>
              </w:rPr>
              <w:t>＂</w:t>
            </w:r>
            <w:r>
              <w:rPr>
                <w:rFonts w:hint="default" w:ascii="Times New Roman" w:hAnsi="Times New Roman" w:eastAsia="宋体" w:cs="Times New Roman"/>
                <w:bCs/>
                <w:kern w:val="0"/>
                <w:sz w:val="18"/>
                <w:szCs w:val="18"/>
                <w:lang w:eastAsia="en-US"/>
              </w:rPr>
              <w:t>-18UNF</w:t>
            </w:r>
          </w:p>
        </w:tc>
      </w:tr>
    </w:tbl>
    <w:p>
      <w:pPr>
        <w:jc w:val="center"/>
        <w:rPr>
          <w:rFonts w:ascii="Times New Roman" w:hAnsi="Times New Roman" w:cs="Times New Roman"/>
          <w:kern w:val="2"/>
          <w:sz w:val="21"/>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keepNext/>
        <w:keepLines/>
        <w:widowControl w:val="0"/>
        <w:spacing w:before="240" w:after="240" w:line="578" w:lineRule="auto"/>
        <w:jc w:val="both"/>
        <w:outlineLvl w:val="0"/>
        <w:rPr>
          <w:rFonts w:ascii="Times New Roman" w:hAnsi="Times New Roman" w:eastAsia="黑体" w:cs="Times New Roman"/>
          <w:b/>
          <w:bCs/>
          <w:kern w:val="2"/>
          <w:sz w:val="32"/>
          <w:szCs w:val="32"/>
          <w:lang w:val="en-US" w:eastAsia="zh-CN" w:bidi="ar-SA"/>
        </w:rPr>
      </w:pPr>
      <w:r>
        <w:rPr>
          <w:rFonts w:hint="eastAsia" w:ascii="Times New Roman" w:hAnsi="Times New Roman" w:eastAsia="黑体" w:cs="Times New Roman"/>
          <w:b/>
          <w:bCs/>
          <w:kern w:val="2"/>
          <w:sz w:val="32"/>
          <w:szCs w:val="32"/>
          <w:lang w:val="en-US" w:eastAsia="zh-CN" w:bidi="ar-SA"/>
        </w:rPr>
        <w:t>附件二</w:t>
      </w:r>
    </w:p>
    <w:p>
      <w:pPr>
        <w:jc w:val="center"/>
        <w:rPr>
          <w:rFonts w:ascii="Times New Roman" w:hAnsi="Times New Roman" w:cs="Times New Roman"/>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kern w:val="2"/>
          <w:sz w:val="21"/>
          <w:lang w:eastAsia="zh-CN"/>
        </w:rPr>
        <w:drawing>
          <wp:inline distT="0" distB="0" distL="114300" distR="114300">
            <wp:extent cx="5241290" cy="3591560"/>
            <wp:effectExtent l="0" t="0" r="16510" b="889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29"/>
                    <a:stretch>
                      <a:fillRect/>
                    </a:stretch>
                  </pic:blipFill>
                  <pic:spPr>
                    <a:xfrm>
                      <a:off x="0" y="0"/>
                      <a:ext cx="5241290" cy="3591560"/>
                    </a:xfrm>
                    <a:prstGeom prst="rect">
                      <a:avLst/>
                    </a:prstGeom>
                  </pic:spPr>
                </pic:pic>
              </a:graphicData>
            </a:graphic>
          </wp:inline>
        </w:drawing>
      </w:r>
      <w:r>
        <w:rPr>
          <w:rFonts w:ascii="Times New Roman" w:hAnsi="Times New Roman" w:eastAsia="宋体" w:cs="Times New Roman"/>
          <w:kern w:val="2"/>
          <w:sz w:val="21"/>
          <w:lang w:eastAsia="zh-CN"/>
        </w:rPr>
        <w:drawing>
          <wp:inline distT="0" distB="0" distL="114300" distR="114300">
            <wp:extent cx="5344160" cy="3720465"/>
            <wp:effectExtent l="0" t="0" r="8890" b="1333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30"/>
                    <a:stretch>
                      <a:fillRect/>
                    </a:stretch>
                  </pic:blipFill>
                  <pic:spPr>
                    <a:xfrm>
                      <a:off x="0" y="0"/>
                      <a:ext cx="5344160" cy="3720465"/>
                    </a:xfrm>
                    <a:prstGeom prst="rect">
                      <a:avLst/>
                    </a:prstGeom>
                  </pic:spPr>
                </pic:pic>
              </a:graphicData>
            </a:graphic>
          </wp:inline>
        </w:drawing>
      </w:r>
    </w:p>
    <w:p>
      <w:pPr>
        <w:keepNext/>
        <w:keepLines/>
        <w:widowControl w:val="0"/>
        <w:spacing w:before="240" w:after="240" w:line="578" w:lineRule="auto"/>
        <w:jc w:val="both"/>
        <w:outlineLvl w:val="0"/>
        <w:rPr>
          <w:rFonts w:hint="eastAsia" w:ascii="微软雅黑" w:hAnsi="微软雅黑" w:eastAsia="黑体" w:cs="Times New Roman"/>
          <w:b/>
          <w:bCs/>
          <w:kern w:val="44"/>
          <w:sz w:val="32"/>
          <w:szCs w:val="32"/>
          <w:lang w:val="en-US" w:eastAsia="zh-CN" w:bidi="ar-SA"/>
        </w:rPr>
      </w:pPr>
      <w:bookmarkStart w:id="525" w:name="_Toc20821"/>
      <w:bookmarkStart w:id="526" w:name="_Toc31611"/>
      <w:bookmarkStart w:id="527" w:name="_Toc32145"/>
      <w:bookmarkStart w:id="528" w:name="_Toc6652"/>
      <w:bookmarkStart w:id="529" w:name="_Toc22271"/>
      <w:r>
        <w:rPr>
          <w:rFonts w:hint="eastAsia" w:ascii="宋体" w:hAnsi="宋体" w:eastAsia="黑体" w:cs="宋体"/>
          <w:b/>
          <w:bCs/>
          <w:kern w:val="44"/>
          <w:sz w:val="32"/>
          <w:szCs w:val="32"/>
          <w:lang w:val="en-US" w:eastAsia="en-US" w:bidi="ar-SA"/>
        </w:rPr>
        <w:t>附件</w:t>
      </w:r>
      <w:bookmarkEnd w:id="525"/>
      <w:r>
        <w:rPr>
          <w:rFonts w:hint="eastAsia" w:ascii="宋体" w:hAnsi="宋体" w:eastAsia="黑体" w:cs="宋体"/>
          <w:b/>
          <w:bCs/>
          <w:kern w:val="44"/>
          <w:sz w:val="32"/>
          <w:szCs w:val="32"/>
          <w:lang w:val="en-US" w:eastAsia="zh-CN" w:bidi="ar-SA"/>
        </w:rPr>
        <w:t>三</w:t>
      </w:r>
      <w:bookmarkEnd w:id="526"/>
      <w:bookmarkEnd w:id="527"/>
      <w:bookmarkEnd w:id="528"/>
      <w:bookmarkEnd w:id="529"/>
      <w:r>
        <w:rPr>
          <w:rFonts w:hint="eastAsia" w:ascii="宋体" w:hAnsi="宋体" w:eastAsia="黑体" w:cs="宋体"/>
          <w:b/>
          <w:bCs/>
          <w:kern w:val="44"/>
          <w:sz w:val="32"/>
          <w:szCs w:val="32"/>
          <w:lang w:val="en-US" w:eastAsia="zh-CN" w:bidi="ar-SA"/>
        </w:rPr>
        <w:t xml:space="preserve"> 机组包装箱图纸</w:t>
      </w:r>
    </w:p>
    <w:p>
      <w:pPr>
        <w:widowControl w:val="0"/>
        <w:spacing w:line="257" w:lineRule="auto"/>
        <w:ind w:right="122" w:firstLine="400" w:firstLineChars="200"/>
        <w:jc w:val="center"/>
        <w:rPr>
          <w:rFonts w:hint="default" w:ascii="Times New Roman" w:hAnsi="Times New Roman" w:eastAsia="微软雅黑" w:cs="Times New Roman"/>
          <w:b/>
          <w:kern w:val="0"/>
          <w:sz w:val="28"/>
          <w:szCs w:val="28"/>
          <w:lang w:val="en-US" w:eastAsia="zh-CN" w:bidi="ar-SA"/>
        </w:rPr>
      </w:pPr>
      <w:r>
        <w:rPr>
          <w:rFonts w:hint="default" w:ascii="Times New Roman" w:hAnsi="Times New Roman" w:eastAsia="宋体" w:cs="Times New Roman"/>
          <w:bCs/>
          <w:kern w:val="0"/>
          <w:sz w:val="20"/>
          <w:szCs w:val="20"/>
          <w:lang w:val="en-US" w:eastAsia="zh-CN" w:bidi="ar-SA"/>
        </w:rPr>
        <w:drawing>
          <wp:inline distT="0" distB="0" distL="114300" distR="114300">
            <wp:extent cx="5635625" cy="4135120"/>
            <wp:effectExtent l="0" t="0" r="3175" b="17780"/>
            <wp:docPr id="65" name="图片 65" descr="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主体"/>
                    <pic:cNvPicPr>
                      <a:picLocks noChangeAspect="1"/>
                    </pic:cNvPicPr>
                  </pic:nvPicPr>
                  <pic:blipFill>
                    <a:blip r:embed="rId31"/>
                    <a:stretch>
                      <a:fillRect/>
                    </a:stretch>
                  </pic:blipFill>
                  <pic:spPr>
                    <a:xfrm>
                      <a:off x="0" y="0"/>
                      <a:ext cx="5639325" cy="4138053"/>
                    </a:xfrm>
                    <a:prstGeom prst="rect">
                      <a:avLst/>
                    </a:prstGeom>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图一、750机组箱装配图</w:t>
      </w:r>
    </w:p>
    <w:p>
      <w:pPr>
        <w:widowControl w:val="0"/>
        <w:spacing w:line="257" w:lineRule="auto"/>
        <w:ind w:right="122" w:firstLine="0" w:firstLineChars="0"/>
        <w:jc w:val="left"/>
        <w:rPr>
          <w:rFonts w:hint="default" w:ascii="Times New Roman" w:hAnsi="Times New Roman" w:eastAsia="微软雅黑" w:cs="Times New Roman"/>
          <w:b/>
          <w:kern w:val="0"/>
          <w:sz w:val="28"/>
          <w:szCs w:val="2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
          <w:kern w:val="0"/>
          <w:sz w:val="28"/>
          <w:szCs w:val="28"/>
          <w:lang w:val="en-US" w:eastAsia="zh-CN" w:bidi="ar-SA"/>
        </w:rPr>
      </w:pPr>
      <w:r>
        <w:rPr>
          <w:rFonts w:ascii="Times New Roman" w:hAnsi="Times New Roman" w:eastAsia="微软雅黑" w:cs="Times New Roman"/>
          <w:b/>
          <w:kern w:val="0"/>
          <w:sz w:val="28"/>
          <w:szCs w:val="28"/>
          <w:lang w:val="en-US" w:eastAsia="zh-CN" w:bidi="ar-SA"/>
        </w:rPr>
        <w:drawing>
          <wp:inline distT="0" distB="0" distL="114300" distR="114300">
            <wp:extent cx="6046470" cy="4436745"/>
            <wp:effectExtent l="0" t="0" r="11430" b="1905"/>
            <wp:docPr id="70" name="图片 16"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descr="批注"/>
                    <pic:cNvPicPr>
                      <a:picLocks noChangeAspect="1"/>
                    </pic:cNvPicPr>
                  </pic:nvPicPr>
                  <pic:blipFill>
                    <a:blip r:embed="rId32"/>
                    <a:stretch>
                      <a:fillRect/>
                    </a:stretch>
                  </pic:blipFill>
                  <pic:spPr>
                    <a:xfrm>
                      <a:off x="0" y="0"/>
                      <a:ext cx="6046470" cy="443674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图二、750长上盖</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微软雅黑" w:cs="Times New Roman"/>
          <w:bCs/>
          <w:kern w:val="0"/>
          <w:sz w:val="18"/>
          <w:szCs w:val="18"/>
          <w:lang w:val="en-US" w:eastAsia="zh-CN" w:bidi="ar-SA"/>
        </w:rPr>
        <w:drawing>
          <wp:inline distT="0" distB="0" distL="114300" distR="114300">
            <wp:extent cx="5904865" cy="4356735"/>
            <wp:effectExtent l="0" t="0" r="635" b="5715"/>
            <wp:docPr id="61" name="图片 17" descr="短上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短上盖"/>
                    <pic:cNvPicPr>
                      <a:picLocks noChangeAspect="1"/>
                    </pic:cNvPicPr>
                  </pic:nvPicPr>
                  <pic:blipFill>
                    <a:blip r:embed="rId33"/>
                    <a:stretch>
                      <a:fillRect/>
                    </a:stretch>
                  </pic:blipFill>
                  <pic:spPr>
                    <a:xfrm>
                      <a:off x="0" y="0"/>
                      <a:ext cx="5904865" cy="4356735"/>
                    </a:xfrm>
                    <a:prstGeom prst="rect">
                      <a:avLst/>
                    </a:prstGeom>
                    <a:noFill/>
                    <a:ln>
                      <a:noFill/>
                    </a:ln>
                  </pic:spPr>
                </pic:pic>
              </a:graphicData>
            </a:graphic>
          </wp:inline>
        </w:drawing>
      </w:r>
    </w:p>
    <w:p>
      <w:pPr>
        <w:jc w:val="center"/>
        <w:rPr>
          <w:rFonts w:hint="default" w:ascii="Times New Roman" w:hAnsi="Times New Roman" w:eastAsia="微软雅黑" w:cs="Times New Roman"/>
          <w:bCs/>
          <w:kern w:val="0"/>
          <w:sz w:val="18"/>
          <w:szCs w:val="18"/>
          <w:lang w:eastAsia="zh-CN"/>
        </w:rPr>
      </w:pPr>
      <w:r>
        <w:rPr>
          <w:rFonts w:hint="default" w:ascii="Times New Roman" w:hAnsi="Times New Roman" w:eastAsia="微软雅黑" w:cs="Times New Roman"/>
          <w:bCs/>
          <w:kern w:val="0"/>
          <w:sz w:val="18"/>
          <w:szCs w:val="18"/>
          <w:lang w:eastAsia="zh-CN"/>
        </w:rPr>
        <w:drawing>
          <wp:inline distT="0" distB="0" distL="114300" distR="114300">
            <wp:extent cx="6398260" cy="4720590"/>
            <wp:effectExtent l="0" t="0" r="2540" b="3810"/>
            <wp:docPr id="13" name="图片 17" descr="短上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短上盖"/>
                    <pic:cNvPicPr>
                      <a:picLocks noChangeAspect="1"/>
                    </pic:cNvPicPr>
                  </pic:nvPicPr>
                  <pic:blipFill>
                    <a:blip r:embed="rId33"/>
                    <a:stretch>
                      <a:fillRect/>
                    </a:stretch>
                  </pic:blipFill>
                  <pic:spPr>
                    <a:xfrm>
                      <a:off x="0" y="0"/>
                      <a:ext cx="6398260" cy="472059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图三、750短上盖</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drawing>
          <wp:inline distT="0" distB="0" distL="114300" distR="114300">
            <wp:extent cx="4934585" cy="7755255"/>
            <wp:effectExtent l="0" t="0" r="18415" b="17145"/>
            <wp:docPr id="72" name="图片 18"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descr="批注"/>
                    <pic:cNvPicPr>
                      <a:picLocks noChangeAspect="1"/>
                    </pic:cNvPicPr>
                  </pic:nvPicPr>
                  <pic:blipFill>
                    <a:blip r:embed="rId34"/>
                    <a:stretch>
                      <a:fillRect/>
                    </a:stretch>
                  </pic:blipFill>
                  <pic:spPr>
                    <a:xfrm>
                      <a:off x="0" y="0"/>
                      <a:ext cx="4934585" cy="7755255"/>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微软雅黑" w:cs="Times New Roman"/>
          <w:bCs/>
          <w:kern w:val="0"/>
          <w:sz w:val="18"/>
          <w:szCs w:val="18"/>
          <w:lang w:val="en-US" w:eastAsia="zh-CN" w:bidi="ar-SA"/>
        </w:rPr>
        <w:t>图四、四联排橡胶支撑块</w:t>
      </w: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drawing>
          <wp:inline distT="0" distB="0" distL="114300" distR="114300">
            <wp:extent cx="5903595" cy="4331970"/>
            <wp:effectExtent l="0" t="0" r="1905" b="11430"/>
            <wp:docPr id="63" name="图片 19" descr="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descr="主体"/>
                    <pic:cNvPicPr>
                      <a:picLocks noChangeAspect="1"/>
                    </pic:cNvPicPr>
                  </pic:nvPicPr>
                  <pic:blipFill>
                    <a:blip r:embed="rId31"/>
                    <a:stretch>
                      <a:fillRect/>
                    </a:stretch>
                  </pic:blipFill>
                  <pic:spPr>
                    <a:xfrm>
                      <a:off x="0" y="0"/>
                      <a:ext cx="5903595" cy="433197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图五、750机组箱主体</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p>
    <w:p>
      <w:pPr>
        <w:widowControl w:val="0"/>
        <w:spacing w:line="257" w:lineRule="auto"/>
        <w:ind w:right="122" w:firstLine="0" w:firstLineChars="0"/>
        <w:jc w:val="both"/>
        <w:rPr>
          <w:rFonts w:hint="default" w:ascii="Times New Roman" w:hAnsi="Times New Roman" w:eastAsia="微软雅黑" w:cs="Times New Roman"/>
          <w:bCs/>
          <w:kern w:val="0"/>
          <w:sz w:val="18"/>
          <w:szCs w:val="1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6334125" cy="4689475"/>
            <wp:effectExtent l="0" t="0" r="9525" b="15875"/>
            <wp:docPr id="66" name="图片 20"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descr="批注"/>
                    <pic:cNvPicPr>
                      <a:picLocks noChangeAspect="1"/>
                    </pic:cNvPicPr>
                  </pic:nvPicPr>
                  <pic:blipFill>
                    <a:blip r:embed="rId35"/>
                    <a:stretch>
                      <a:fillRect/>
                    </a:stretch>
                  </pic:blipFill>
                  <pic:spPr>
                    <a:xfrm>
                      <a:off x="0" y="0"/>
                      <a:ext cx="6334125" cy="468947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图六、950机组箱装配图</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948680" cy="4366895"/>
            <wp:effectExtent l="0" t="0" r="13970" b="14605"/>
            <wp:docPr id="59"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descr="1"/>
                    <pic:cNvPicPr>
                      <a:picLocks noChangeAspect="1"/>
                    </pic:cNvPicPr>
                  </pic:nvPicPr>
                  <pic:blipFill>
                    <a:blip r:embed="rId36"/>
                    <a:stretch>
                      <a:fillRect/>
                    </a:stretch>
                  </pic:blipFill>
                  <pic:spPr>
                    <a:xfrm>
                      <a:off x="0" y="0"/>
                      <a:ext cx="5948680" cy="436689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图七、950短上盖</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6419215" cy="4709160"/>
            <wp:effectExtent l="0" t="0" r="635" b="15240"/>
            <wp:docPr id="31"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2"/>
                    <pic:cNvPicPr>
                      <a:picLocks noChangeAspect="1"/>
                    </pic:cNvPicPr>
                  </pic:nvPicPr>
                  <pic:blipFill>
                    <a:blip r:embed="rId37"/>
                    <a:stretch>
                      <a:fillRect/>
                    </a:stretch>
                  </pic:blipFill>
                  <pic:spPr>
                    <a:xfrm>
                      <a:off x="0" y="0"/>
                      <a:ext cx="6419215" cy="4709160"/>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微软雅黑" w:cs="Times New Roman"/>
          <w:bCs/>
          <w:kern w:val="0"/>
          <w:sz w:val="18"/>
          <w:szCs w:val="18"/>
          <w:lang w:val="en-US" w:eastAsia="zh-CN" w:bidi="ar-SA"/>
        </w:rPr>
        <w:t>图八、950长上盖</w:t>
      </w: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4214495" cy="6515735"/>
            <wp:effectExtent l="0" t="0" r="14605" b="18415"/>
            <wp:docPr id="38"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3"/>
                    <pic:cNvPicPr>
                      <a:picLocks noChangeAspect="1"/>
                    </pic:cNvPicPr>
                  </pic:nvPicPr>
                  <pic:blipFill>
                    <a:blip r:embed="rId38"/>
                    <a:stretch>
                      <a:fillRect/>
                    </a:stretch>
                  </pic:blipFill>
                  <pic:spPr>
                    <a:xfrm>
                      <a:off x="0" y="0"/>
                      <a:ext cx="4214495" cy="6515735"/>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微软雅黑" w:cs="Times New Roman"/>
          <w:bCs/>
          <w:kern w:val="0"/>
          <w:sz w:val="18"/>
          <w:szCs w:val="18"/>
          <w:lang w:val="en-US" w:eastAsia="zh-CN" w:bidi="ar-SA"/>
        </w:rPr>
        <w:t>图九、橡胶支撑</w:t>
      </w: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722620" cy="4243070"/>
            <wp:effectExtent l="0" t="0" r="11430" b="5080"/>
            <wp:docPr id="32"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4"/>
                    <pic:cNvPicPr>
                      <a:picLocks noChangeAspect="1"/>
                    </pic:cNvPicPr>
                  </pic:nvPicPr>
                  <pic:blipFill>
                    <a:blip r:embed="rId39"/>
                    <a:stretch>
                      <a:fillRect/>
                    </a:stretch>
                  </pic:blipFill>
                  <pic:spPr>
                    <a:xfrm>
                      <a:off x="0" y="0"/>
                      <a:ext cx="5722620" cy="424307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图十、950机组箱主体</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8246745" cy="5288915"/>
            <wp:effectExtent l="0" t="0" r="6985" b="1905"/>
            <wp:docPr id="40"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1"/>
                    <pic:cNvPicPr>
                      <a:picLocks noChangeAspect="1"/>
                    </pic:cNvPicPr>
                  </pic:nvPicPr>
                  <pic:blipFill>
                    <a:blip r:embed="rId40"/>
                    <a:stretch>
                      <a:fillRect/>
                    </a:stretch>
                  </pic:blipFill>
                  <pic:spPr>
                    <a:xfrm rot="5400000">
                      <a:off x="0" y="0"/>
                      <a:ext cx="8246745" cy="528891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图十一、铭牌长垫片</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110480" cy="7941310"/>
            <wp:effectExtent l="0" t="0" r="13970" b="2540"/>
            <wp:docPr id="41"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2"/>
                    <pic:cNvPicPr>
                      <a:picLocks noChangeAspect="1"/>
                    </pic:cNvPicPr>
                  </pic:nvPicPr>
                  <pic:blipFill>
                    <a:blip r:embed="rId41"/>
                    <a:stretch>
                      <a:fillRect/>
                    </a:stretch>
                  </pic:blipFill>
                  <pic:spPr>
                    <a:xfrm>
                      <a:off x="0" y="0"/>
                      <a:ext cx="5110480" cy="794131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图十二、铭牌总成</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026660" cy="7807325"/>
            <wp:effectExtent l="0" t="0" r="2540" b="3175"/>
            <wp:docPr id="34"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3"/>
                    <pic:cNvPicPr>
                      <a:picLocks noChangeAspect="1"/>
                    </pic:cNvPicPr>
                  </pic:nvPicPr>
                  <pic:blipFill>
                    <a:blip r:embed="rId42"/>
                    <a:stretch>
                      <a:fillRect/>
                    </a:stretch>
                  </pic:blipFill>
                  <pic:spPr>
                    <a:xfrm>
                      <a:off x="0" y="0"/>
                      <a:ext cx="5026660" cy="780732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图十三、机组箱底座</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4925695" cy="7759065"/>
            <wp:effectExtent l="0" t="0" r="8255" b="13335"/>
            <wp:docPr id="37"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4"/>
                    <pic:cNvPicPr>
                      <a:picLocks noChangeAspect="1"/>
                    </pic:cNvPicPr>
                  </pic:nvPicPr>
                  <pic:blipFill>
                    <a:blip r:embed="rId43"/>
                    <a:stretch>
                      <a:fillRect/>
                    </a:stretch>
                  </pic:blipFill>
                  <pic:spPr>
                    <a:xfrm>
                      <a:off x="0" y="0"/>
                      <a:ext cx="4925695" cy="775906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图十四、铭牌板</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4972685" cy="7863840"/>
            <wp:effectExtent l="0" t="0" r="18415" b="3810"/>
            <wp:docPr id="39"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5"/>
                    <pic:cNvPicPr>
                      <a:picLocks noChangeAspect="1"/>
                    </pic:cNvPicPr>
                  </pic:nvPicPr>
                  <pic:blipFill>
                    <a:blip r:embed="rId44"/>
                    <a:stretch>
                      <a:fillRect/>
                    </a:stretch>
                  </pic:blipFill>
                  <pic:spPr>
                    <a:xfrm>
                      <a:off x="0" y="0"/>
                      <a:ext cx="4972685" cy="786384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图十五、五连排橡胶支撑块</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177155" cy="8245475"/>
            <wp:effectExtent l="0" t="0" r="4445" b="3175"/>
            <wp:docPr id="33" name="图片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6"/>
                    <pic:cNvPicPr>
                      <a:picLocks noChangeAspect="1"/>
                    </pic:cNvPicPr>
                  </pic:nvPicPr>
                  <pic:blipFill>
                    <a:blip r:embed="rId45"/>
                    <a:stretch>
                      <a:fillRect/>
                    </a:stretch>
                  </pic:blipFill>
                  <pic:spPr>
                    <a:xfrm>
                      <a:off x="0" y="0"/>
                      <a:ext cx="5177155" cy="824547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图十六、提手焊接件</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4909185" cy="7767955"/>
            <wp:effectExtent l="0" t="0" r="5715" b="4445"/>
            <wp:docPr id="35" name="图片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7"/>
                    <pic:cNvPicPr>
                      <a:picLocks noChangeAspect="1"/>
                    </pic:cNvPicPr>
                  </pic:nvPicPr>
                  <pic:blipFill>
                    <a:blip r:embed="rId46"/>
                    <a:stretch>
                      <a:fillRect/>
                    </a:stretch>
                  </pic:blipFill>
                  <pic:spPr>
                    <a:xfrm>
                      <a:off x="0" y="0"/>
                      <a:ext cx="4909185" cy="776795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Microsoft YaHei UI" w:cs="Times New Roman"/>
          <w:kern w:val="0"/>
          <w:sz w:val="21"/>
          <w:szCs w:val="21"/>
          <w:lang w:val="en-US" w:eastAsia="zh-CN" w:bidi="ar-SA"/>
        </w:rPr>
      </w:pPr>
      <w:r>
        <w:rPr>
          <w:rFonts w:hint="default" w:ascii="Times New Roman" w:hAnsi="Times New Roman" w:eastAsia="微软雅黑" w:cs="Times New Roman"/>
          <w:bCs/>
          <w:kern w:val="0"/>
          <w:sz w:val="18"/>
          <w:szCs w:val="18"/>
          <w:lang w:val="en-US" w:eastAsia="zh-CN" w:bidi="ar-SA"/>
        </w:rPr>
        <w:t>图十七、提手</w:t>
      </w:r>
    </w:p>
    <w:p>
      <w:pPr>
        <w:jc w:val="left"/>
        <w:rPr>
          <w:rFonts w:ascii="Times New Roman" w:hAnsi="Times New Roman" w:eastAsia="宋体" w:cs="Times New Roman"/>
          <w:kern w:val="0"/>
          <w:sz w:val="22"/>
          <w:lang w:eastAsia="zh-CN"/>
        </w:rPr>
      </w:pPr>
    </w:p>
    <w:p>
      <w:pPr>
        <w:jc w:val="left"/>
        <w:rPr>
          <w:rFonts w:ascii="Times New Roman" w:hAnsi="Times New Roman" w:eastAsia="宋体" w:cs="Times New Roman"/>
          <w:kern w:val="0"/>
          <w:sz w:val="22"/>
          <w:lang w:eastAsia="zh-CN"/>
        </w:rPr>
      </w:pPr>
    </w:p>
    <w:p>
      <w:pPr>
        <w:tabs>
          <w:tab w:val="center" w:pos="4153"/>
          <w:tab w:val="right" w:pos="8306"/>
        </w:tabs>
        <w:rPr>
          <w:rFonts w:ascii="Times New Roman" w:hAnsi="Times New Roman" w:cs="Times New Roman"/>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keepLines/>
        <w:widowControl w:val="0"/>
        <w:spacing w:before="240" w:after="240" w:line="578" w:lineRule="auto"/>
        <w:jc w:val="both"/>
        <w:outlineLvl w:val="0"/>
        <w:rPr>
          <w:rFonts w:ascii="Times New Roman" w:hAnsi="Times New Roman" w:eastAsia="黑体" w:cs="Times New Roman"/>
          <w:b/>
          <w:bCs/>
          <w:kern w:val="44"/>
          <w:sz w:val="32"/>
          <w:szCs w:val="32"/>
          <w:lang w:val="en-US" w:eastAsia="zh-CN" w:bidi="ar-SA"/>
        </w:rPr>
      </w:pPr>
      <w:r>
        <w:rPr>
          <w:rFonts w:hint="eastAsia" w:ascii="Times New Roman" w:hAnsi="Times New Roman" w:eastAsia="黑体" w:cs="Times New Roman"/>
          <w:b/>
          <w:bCs/>
          <w:kern w:val="44"/>
          <w:sz w:val="32"/>
          <w:szCs w:val="32"/>
          <w:lang w:val="en-US" w:eastAsia="zh-CN" w:bidi="ar-SA"/>
        </w:rPr>
        <w:t>附件四 永磁常速电机定子片</w:t>
      </w:r>
    </w:p>
    <w:p>
      <w:pPr>
        <w:widowControl w:val="0"/>
        <w:tabs>
          <w:tab w:val="center" w:pos="4153"/>
          <w:tab w:val="right" w:pos="8306"/>
        </w:tabs>
        <w:snapToGrid w:val="0"/>
        <w:jc w:val="center"/>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7515225" cy="4307840"/>
            <wp:effectExtent l="0" t="0" r="9525" b="165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7"/>
                    <a:stretch>
                      <a:fillRect/>
                    </a:stretch>
                  </pic:blipFill>
                  <pic:spPr>
                    <a:xfrm>
                      <a:off x="0" y="0"/>
                      <a:ext cx="7521760" cy="4312125"/>
                    </a:xfrm>
                    <a:prstGeom prst="rect">
                      <a:avLst/>
                    </a:prstGeom>
                    <a:noFill/>
                    <a:ln>
                      <a:noFill/>
                    </a:ln>
                  </pic:spPr>
                </pic:pic>
              </a:graphicData>
            </a:graphic>
          </wp:inline>
        </w:drawing>
      </w:r>
    </w:p>
    <w:p>
      <w:pPr>
        <w:widowControl w:val="0"/>
        <w:tabs>
          <w:tab w:val="center" w:pos="4153"/>
          <w:tab w:val="right" w:pos="8306"/>
        </w:tabs>
        <w:snapToGrid w:val="0"/>
        <w:jc w:val="center"/>
        <w:rPr>
          <w:rFonts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bidi="ar-SA"/>
        </w:rPr>
        <w:t>450永磁定子片</w:t>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7567930" cy="4652010"/>
            <wp:effectExtent l="0" t="0" r="13970" b="152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48"/>
                    <a:stretch>
                      <a:fillRect/>
                    </a:stretch>
                  </pic:blipFill>
                  <pic:spPr>
                    <a:xfrm>
                      <a:off x="0" y="0"/>
                      <a:ext cx="7567930" cy="465201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center"/>
        <w:rPr>
          <w:rFonts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bidi="ar-SA"/>
        </w:rPr>
        <w:t>562永磁定子片</w:t>
      </w:r>
    </w:p>
    <w:p>
      <w:pPr>
        <w:tabs>
          <w:tab w:val="center" w:pos="4153"/>
          <w:tab w:val="right" w:pos="8306"/>
        </w:tabs>
        <w:rPr>
          <w:rFonts w:ascii="Times New Roman" w:hAnsi="Times New Roman" w:cs="Times New Roman"/>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p>
    <w:p>
      <w:pPr>
        <w:keepNext/>
        <w:keepLines/>
        <w:widowControl w:val="0"/>
        <w:spacing w:before="240" w:after="240" w:line="578" w:lineRule="auto"/>
        <w:jc w:val="both"/>
        <w:outlineLvl w:val="0"/>
        <w:rPr>
          <w:rFonts w:ascii="Times New Roman" w:hAnsi="Times New Roman" w:eastAsia="黑体" w:cs="Times New Roman"/>
          <w:b/>
          <w:bCs/>
          <w:kern w:val="44"/>
          <w:sz w:val="32"/>
          <w:szCs w:val="32"/>
          <w:lang w:val="en-US" w:eastAsia="zh-CN" w:bidi="ar-SA"/>
        </w:rPr>
      </w:pPr>
      <w:r>
        <w:rPr>
          <w:rFonts w:hint="eastAsia" w:ascii="Times New Roman" w:hAnsi="Times New Roman" w:eastAsia="黑体" w:cs="Times New Roman"/>
          <w:b/>
          <w:bCs/>
          <w:kern w:val="44"/>
          <w:sz w:val="32"/>
          <w:szCs w:val="32"/>
          <w:lang w:val="en-US" w:eastAsia="zh-CN" w:bidi="ar-SA"/>
        </w:rPr>
        <w:t>附件五：</w:t>
      </w:r>
      <w:r>
        <w:rPr>
          <w:rFonts w:ascii="Times New Roman" w:hAnsi="Times New Roman" w:eastAsia="黑体" w:cs="Times New Roman"/>
          <w:b/>
          <w:bCs/>
          <w:kern w:val="44"/>
          <w:sz w:val="32"/>
          <w:szCs w:val="32"/>
          <w:lang w:val="en-US" w:eastAsia="zh-CN" w:bidi="ar-SA"/>
        </w:rPr>
        <w:t>《JXCY-ZZ-02-014潜油电泵机组外表面喷漆作业工艺标准》</w:t>
      </w:r>
    </w:p>
    <w:p>
      <w:pPr>
        <w:widowControl w:val="0"/>
        <w:tabs>
          <w:tab w:val="center" w:pos="4153"/>
          <w:tab w:val="right" w:pos="8306"/>
        </w:tabs>
        <w:snapToGrid w:val="0"/>
        <w:jc w:val="left"/>
        <w:rPr>
          <w:rFonts w:ascii="Times New Roman" w:hAnsi="Times New Roman" w:eastAsia="宋体" w:cs="Times New Roman"/>
          <w:b/>
          <w:bCs/>
          <w:kern w:val="0"/>
          <w:sz w:val="32"/>
          <w:szCs w:val="32"/>
          <w:lang w:val="en-US" w:eastAsia="zh-CN" w:bidi="ar-SA"/>
        </w:rPr>
      </w:pPr>
      <w:r>
        <w:rPr>
          <w:rFonts w:ascii="Times New Roman" w:hAnsi="Times New Roman" w:eastAsia="宋体" w:cs="Times New Roman"/>
          <w:kern w:val="0"/>
          <w:sz w:val="18"/>
          <w:szCs w:val="18"/>
          <w:lang w:val="en-US" w:eastAsia="en-US" w:bidi="ar-SA"/>
        </w:rPr>
        <w:drawing>
          <wp:inline distT="0" distB="0" distL="114300" distR="114300">
            <wp:extent cx="5336540" cy="6118860"/>
            <wp:effectExtent l="0" t="0" r="16510" b="1524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49"/>
                    <a:stretch>
                      <a:fillRect/>
                    </a:stretch>
                  </pic:blipFill>
                  <pic:spPr>
                    <a:xfrm>
                      <a:off x="0" y="0"/>
                      <a:ext cx="5336540" cy="611886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b/>
          <w:bCs/>
          <w:kern w:val="0"/>
          <w:sz w:val="32"/>
          <w:szCs w:val="32"/>
          <w:lang w:val="en-US" w:eastAsia="zh-CN" w:bidi="ar-SA"/>
        </w:rPr>
      </w:pPr>
      <w:r>
        <w:rPr>
          <w:rFonts w:ascii="Times New Roman" w:hAnsi="Times New Roman" w:eastAsia="宋体" w:cs="Times New Roman"/>
          <w:kern w:val="0"/>
          <w:sz w:val="18"/>
          <w:szCs w:val="18"/>
          <w:lang w:val="en-US" w:eastAsia="en-US" w:bidi="ar-SA"/>
        </w:rPr>
        <w:drawing>
          <wp:inline distT="0" distB="0" distL="114300" distR="114300">
            <wp:extent cx="5125085" cy="8249920"/>
            <wp:effectExtent l="0" t="0" r="18415" b="1778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50"/>
                    <a:stretch>
                      <a:fillRect/>
                    </a:stretch>
                  </pic:blipFill>
                  <pic:spPr>
                    <a:xfrm>
                      <a:off x="0" y="0"/>
                      <a:ext cx="5125085" cy="824992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b/>
          <w:bCs/>
          <w:kern w:val="0"/>
          <w:sz w:val="32"/>
          <w:szCs w:val="32"/>
          <w:lang w:val="en-US" w:eastAsia="zh-CN" w:bidi="ar-SA"/>
        </w:rPr>
      </w:pPr>
      <w:r>
        <w:rPr>
          <w:rFonts w:ascii="Times New Roman" w:hAnsi="Times New Roman" w:eastAsia="宋体" w:cs="Times New Roman"/>
          <w:kern w:val="0"/>
          <w:sz w:val="18"/>
          <w:szCs w:val="18"/>
          <w:lang w:val="en-US" w:eastAsia="en-US" w:bidi="ar-SA"/>
        </w:rPr>
        <w:drawing>
          <wp:inline distT="0" distB="0" distL="114300" distR="114300">
            <wp:extent cx="5175250" cy="8437880"/>
            <wp:effectExtent l="0" t="0" r="6350" b="12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51"/>
                    <a:stretch>
                      <a:fillRect/>
                    </a:stretch>
                  </pic:blipFill>
                  <pic:spPr>
                    <a:xfrm>
                      <a:off x="0" y="0"/>
                      <a:ext cx="5175250" cy="8437880"/>
                    </a:xfrm>
                    <a:prstGeom prst="rect">
                      <a:avLst/>
                    </a:prstGeom>
                    <a:noFill/>
                    <a:ln>
                      <a:noFill/>
                    </a:ln>
                  </pic:spPr>
                </pic:pic>
              </a:graphicData>
            </a:graphic>
          </wp:inline>
        </w:drawing>
      </w:r>
    </w:p>
    <w:p>
      <w:pPr>
        <w:widowControl w:val="0"/>
        <w:tabs>
          <w:tab w:val="center" w:pos="4153"/>
          <w:tab w:val="right" w:pos="8306"/>
        </w:tabs>
        <w:snapToGrid w:val="0"/>
        <w:jc w:val="left"/>
        <w:rPr>
          <w:rFonts w:hint="default" w:ascii="Times New Roman" w:hAnsi="Times New Roman" w:eastAsia="宋体" w:cs="Times New Roman"/>
          <w:kern w:val="0"/>
          <w:sz w:val="24"/>
          <w:szCs w:val="24"/>
          <w:lang w:val="en-US" w:eastAsia="zh-CN" w:bidi="ar-SA"/>
        </w:rPr>
      </w:pPr>
    </w:p>
    <w:p>
      <w:pPr>
        <w:widowControl w:val="0"/>
        <w:tabs>
          <w:tab w:val="center" w:pos="4153"/>
          <w:tab w:val="right" w:pos="8306"/>
        </w:tabs>
        <w:snapToGrid w:val="0"/>
        <w:jc w:val="left"/>
        <w:rPr>
          <w:rFonts w:hint="default" w:ascii="Times New Roman" w:hAnsi="Times New Roman" w:eastAsia="宋体" w:cs="Times New Roman"/>
          <w:kern w:val="0"/>
          <w:sz w:val="24"/>
          <w:szCs w:val="24"/>
          <w:lang w:val="en-US" w:eastAsia="zh-CN" w:bidi="ar-SA"/>
        </w:rPr>
      </w:pPr>
    </w:p>
    <w:p>
      <w:pPr>
        <w:keepNext/>
        <w:keepLines/>
        <w:widowControl w:val="0"/>
        <w:spacing w:before="240" w:after="240" w:line="578" w:lineRule="auto"/>
        <w:jc w:val="both"/>
        <w:outlineLvl w:val="0"/>
        <w:rPr>
          <w:rFonts w:hint="eastAsia" w:ascii="宋体" w:hAnsi="宋体" w:eastAsia="黑体" w:cs="黑体"/>
          <w:b/>
          <w:bCs/>
          <w:kern w:val="44"/>
          <w:sz w:val="32"/>
          <w:szCs w:val="32"/>
          <w:lang w:val="en-US" w:eastAsia="zh-CN" w:bidi="ar-SA"/>
        </w:rPr>
      </w:pPr>
      <w:r>
        <w:rPr>
          <w:rFonts w:hint="eastAsia" w:ascii="宋体" w:hAnsi="宋体" w:eastAsia="黑体" w:cs="黑体"/>
          <w:b/>
          <w:bCs/>
          <w:kern w:val="44"/>
          <w:sz w:val="32"/>
          <w:szCs w:val="32"/>
          <w:lang w:val="en-US" w:eastAsia="zh-CN" w:bidi="ar-SA"/>
        </w:rPr>
        <w:t>附件六：泵工况对插接头。</w:t>
      </w:r>
    </w:p>
    <w:p>
      <w:pPr>
        <w:widowControl w:val="0"/>
        <w:tabs>
          <w:tab w:val="center" w:pos="4153"/>
          <w:tab w:val="right" w:pos="8306"/>
        </w:tabs>
        <w:snapToGrid w:val="0"/>
        <w:jc w:val="left"/>
        <w:rPr>
          <w:rFonts w:hint="default"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18"/>
          <w:szCs w:val="18"/>
          <w:lang w:val="en-US" w:eastAsia="en-US" w:bidi="ar-SA"/>
        </w:rPr>
        <w:drawing>
          <wp:inline distT="0" distB="0" distL="114300" distR="114300">
            <wp:extent cx="5272405" cy="6152515"/>
            <wp:effectExtent l="0" t="0" r="444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2"/>
                    <a:stretch>
                      <a:fillRect/>
                    </a:stretch>
                  </pic:blipFill>
                  <pic:spPr>
                    <a:xfrm>
                      <a:off x="0" y="0"/>
                      <a:ext cx="5272405" cy="6152515"/>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5273675" cy="7061835"/>
            <wp:effectExtent l="0" t="0" r="3175" b="571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53"/>
                    <a:stretch>
                      <a:fillRect/>
                    </a:stretch>
                  </pic:blipFill>
                  <pic:spPr>
                    <a:xfrm>
                      <a:off x="0" y="0"/>
                      <a:ext cx="5273675" cy="7061835"/>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5273040" cy="7106285"/>
            <wp:effectExtent l="0" t="0" r="3810" b="184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4"/>
                    <a:stretch>
                      <a:fillRect/>
                    </a:stretch>
                  </pic:blipFill>
                  <pic:spPr>
                    <a:xfrm>
                      <a:off x="0" y="0"/>
                      <a:ext cx="5273040" cy="7106285"/>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5270500" cy="6619240"/>
            <wp:effectExtent l="0" t="0" r="6350" b="1016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5"/>
                    <a:stretch>
                      <a:fillRect/>
                    </a:stretch>
                  </pic:blipFill>
                  <pic:spPr>
                    <a:xfrm>
                      <a:off x="0" y="0"/>
                      <a:ext cx="5270500" cy="661924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5273675" cy="6177915"/>
            <wp:effectExtent l="0" t="0" r="3175" b="133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56"/>
                    <a:stretch>
                      <a:fillRect/>
                    </a:stretch>
                  </pic:blipFill>
                  <pic:spPr>
                    <a:xfrm>
                      <a:off x="0" y="0"/>
                      <a:ext cx="5273675" cy="6177915"/>
                    </a:xfrm>
                    <a:prstGeom prst="rect">
                      <a:avLst/>
                    </a:prstGeom>
                    <a:noFill/>
                    <a:ln>
                      <a:noFill/>
                    </a:ln>
                  </pic:spPr>
                </pic:pic>
              </a:graphicData>
            </a:graphic>
          </wp:inline>
        </w:drawing>
      </w:r>
      <w:r>
        <w:rPr>
          <w:rFonts w:ascii="Times New Roman" w:hAnsi="Times New Roman" w:eastAsia="宋体" w:cs="Times New Roman"/>
          <w:kern w:val="0"/>
          <w:sz w:val="18"/>
          <w:szCs w:val="18"/>
          <w:lang w:val="en-US" w:eastAsia="en-US" w:bidi="ar-SA"/>
        </w:rPr>
        <w:drawing>
          <wp:inline distT="0" distB="0" distL="114300" distR="114300">
            <wp:extent cx="5273040" cy="6844665"/>
            <wp:effectExtent l="0" t="0" r="3810" b="133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57"/>
                    <a:stretch>
                      <a:fillRect/>
                    </a:stretch>
                  </pic:blipFill>
                  <pic:spPr>
                    <a:xfrm>
                      <a:off x="0" y="0"/>
                      <a:ext cx="5273040" cy="6844665"/>
                    </a:xfrm>
                    <a:prstGeom prst="rect">
                      <a:avLst/>
                    </a:prstGeom>
                    <a:noFill/>
                    <a:ln>
                      <a:noFill/>
                    </a:ln>
                  </pic:spPr>
                </pic:pic>
              </a:graphicData>
            </a:graphic>
          </wp:inline>
        </w:drawing>
      </w:r>
      <w:r>
        <w:rPr>
          <w:rFonts w:ascii="Times New Roman" w:hAnsi="Times New Roman" w:eastAsia="宋体" w:cs="Times New Roman"/>
          <w:kern w:val="0"/>
          <w:sz w:val="18"/>
          <w:szCs w:val="18"/>
          <w:lang w:val="en-US" w:eastAsia="en-US" w:bidi="ar-SA"/>
        </w:rPr>
        <w:drawing>
          <wp:inline distT="0" distB="0" distL="114300" distR="114300">
            <wp:extent cx="5269865" cy="6987540"/>
            <wp:effectExtent l="0" t="0" r="6985" b="381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58"/>
                    <a:stretch>
                      <a:fillRect/>
                    </a:stretch>
                  </pic:blipFill>
                  <pic:spPr>
                    <a:xfrm>
                      <a:off x="0" y="0"/>
                      <a:ext cx="5269865" cy="698754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keepNext/>
        <w:keepLines/>
        <w:widowControl w:val="0"/>
        <w:spacing w:before="240" w:after="240" w:line="578" w:lineRule="auto"/>
        <w:jc w:val="both"/>
        <w:outlineLvl w:val="0"/>
        <w:rPr>
          <w:rFonts w:hint="eastAsia" w:ascii="宋体" w:hAnsi="宋体" w:eastAsia="黑体" w:cs="宋体"/>
          <w:b/>
          <w:bCs/>
          <w:color w:val="0D0D0D"/>
          <w:kern w:val="44"/>
          <w:sz w:val="32"/>
          <w:szCs w:val="32"/>
          <w:lang w:val="en-US" w:eastAsia="zh-CN" w:bidi="ar-SA"/>
        </w:rPr>
      </w:pPr>
      <w:r>
        <w:rPr>
          <w:rFonts w:hint="eastAsia" w:ascii="宋体" w:hAnsi="宋体" w:eastAsia="黑体" w:cs="宋体"/>
          <w:b/>
          <w:bCs/>
          <w:color w:val="0D0D0D"/>
          <w:kern w:val="44"/>
          <w:sz w:val="32"/>
          <w:szCs w:val="32"/>
          <w:lang w:val="en-US" w:eastAsia="zh-CN" w:bidi="ar-SA"/>
        </w:rPr>
        <w:t>附件七：永磁电机与感应电机效率、功率因数对比表</w:t>
      </w:r>
    </w:p>
    <w:p>
      <w:pPr>
        <w:widowControl w:val="0"/>
        <w:tabs>
          <w:tab w:val="center" w:pos="4153"/>
          <w:tab w:val="right" w:pos="8306"/>
        </w:tabs>
        <w:snapToGrid w:val="0"/>
        <w:jc w:val="left"/>
        <w:rPr>
          <w:rFonts w:hint="default" w:ascii="Times New Roman" w:hAnsi="Times New Roman" w:eastAsia="宋体" w:cs="Times New Roman"/>
          <w:color w:val="0D0D0D"/>
          <w:kern w:val="0"/>
          <w:sz w:val="24"/>
          <w:szCs w:val="24"/>
          <w:lang w:val="en-US" w:eastAsia="zh-CN" w:bidi="ar-SA"/>
        </w:rPr>
      </w:pPr>
    </w:p>
    <w:tbl>
      <w:tblPr>
        <w:tblStyle w:val="9"/>
        <w:tblW w:w="8497" w:type="dxa"/>
        <w:tblInd w:w="93" w:type="dxa"/>
        <w:tblLayout w:type="autofit"/>
        <w:tblCellMar>
          <w:top w:w="0" w:type="dxa"/>
          <w:left w:w="108" w:type="dxa"/>
          <w:bottom w:w="0" w:type="dxa"/>
          <w:right w:w="108" w:type="dxa"/>
        </w:tblCellMar>
      </w:tblPr>
      <w:tblGrid>
        <w:gridCol w:w="1217"/>
        <w:gridCol w:w="1196"/>
        <w:gridCol w:w="1200"/>
        <w:gridCol w:w="1196"/>
        <w:gridCol w:w="1694"/>
        <w:gridCol w:w="1994"/>
      </w:tblGrid>
      <w:tr>
        <w:tblPrEx>
          <w:tblCellMar>
            <w:top w:w="0" w:type="dxa"/>
            <w:left w:w="108" w:type="dxa"/>
            <w:bottom w:w="0" w:type="dxa"/>
            <w:right w:w="108" w:type="dxa"/>
          </w:tblCellMar>
        </w:tblPrEx>
        <w:trPr>
          <w:trHeight w:val="404" w:hRule="atLeast"/>
        </w:trPr>
        <w:tc>
          <w:tcPr>
            <w:tcW w:w="12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000000"/>
                <w:kern w:val="0"/>
                <w:sz w:val="22"/>
                <w:lang w:eastAsia="en-US"/>
              </w:rPr>
            </w:pPr>
            <w:r>
              <w:rPr>
                <w:rFonts w:hint="default" w:ascii="Times New Roman" w:hAnsi="Times New Roman" w:eastAsia="仿宋" w:cs="Times New Roman"/>
                <w:color w:val="000000"/>
                <w:kern w:val="0"/>
                <w:sz w:val="22"/>
                <w:lang w:eastAsia="zh-CN" w:bidi="ar"/>
              </w:rPr>
              <w:t>种类</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000000"/>
                <w:kern w:val="0"/>
                <w:sz w:val="24"/>
                <w:szCs w:val="24"/>
                <w:lang w:eastAsia="en-US"/>
              </w:rPr>
            </w:pPr>
            <w:r>
              <w:rPr>
                <w:rFonts w:hint="default" w:ascii="Times New Roman" w:hAnsi="Times New Roman" w:eastAsia="仿宋" w:cs="Times New Roman"/>
                <w:color w:val="000000"/>
                <w:kern w:val="0"/>
                <w:sz w:val="24"/>
                <w:szCs w:val="24"/>
                <w:lang w:eastAsia="zh-CN" w:bidi="ar"/>
              </w:rPr>
              <w:t>系列</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功率</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负载率</w:t>
            </w:r>
            <w:r>
              <w:rPr>
                <w:rFonts w:hint="default" w:ascii="Times New Roman" w:hAnsi="Times New Roman" w:eastAsia="仿宋" w:cs="Times New Roman"/>
                <w:color w:val="auto"/>
                <w:kern w:val="0"/>
                <w:sz w:val="21"/>
                <w:szCs w:val="21"/>
                <w:lang w:eastAsia="zh-CN" w:bidi="ar"/>
              </w:rPr>
              <w:t>%</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 xml:space="preserve">效率 </w:t>
            </w:r>
            <w:r>
              <w:rPr>
                <w:rFonts w:hint="default" w:ascii="Times New Roman" w:hAnsi="Times New Roman" w:eastAsia="仿宋" w:cs="Times New Roman"/>
                <w:color w:val="auto"/>
                <w:kern w:val="0"/>
                <w:sz w:val="21"/>
                <w:szCs w:val="21"/>
                <w:lang w:eastAsia="zh-CN" w:bidi="ar"/>
              </w:rPr>
              <w:t>Eff.</w:t>
            </w:r>
          </w:p>
        </w:tc>
        <w:tc>
          <w:tcPr>
            <w:tcW w:w="1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i/>
                <w:iCs/>
                <w:color w:val="auto"/>
                <w:kern w:val="0"/>
                <w:sz w:val="22"/>
                <w:lang w:eastAsia="en-US"/>
              </w:rPr>
            </w:pPr>
            <w:r>
              <w:rPr>
                <w:rFonts w:hint="default" w:ascii="Times New Roman" w:hAnsi="Times New Roman" w:eastAsia="仿宋" w:cs="Times New Roman"/>
                <w:i/>
                <w:iCs/>
                <w:color w:val="auto"/>
                <w:kern w:val="0"/>
                <w:sz w:val="22"/>
                <w:lang w:eastAsia="zh-CN" w:bidi="ar"/>
              </w:rPr>
              <w:t xml:space="preserve">功率因数 </w:t>
            </w:r>
            <w:r>
              <w:rPr>
                <w:rFonts w:hint="default" w:ascii="Times New Roman" w:hAnsi="Times New Roman" w:eastAsia="仿宋" w:cs="Times New Roman"/>
                <w:i/>
                <w:iCs/>
                <w:color w:val="auto"/>
                <w:kern w:val="0"/>
                <w:sz w:val="21"/>
                <w:szCs w:val="21"/>
                <w:lang w:eastAsia="zh-CN" w:bidi="ar"/>
              </w:rPr>
              <w:t>PF</w:t>
            </w:r>
          </w:p>
        </w:tc>
      </w:tr>
      <w:tr>
        <w:tblPrEx>
          <w:tblCellMar>
            <w:top w:w="0" w:type="dxa"/>
            <w:left w:w="108" w:type="dxa"/>
            <w:bottom w:w="0" w:type="dxa"/>
            <w:right w:w="108" w:type="dxa"/>
          </w:tblCellMar>
        </w:tblPrEx>
        <w:trPr>
          <w:trHeight w:val="288" w:hRule="atLeast"/>
        </w:trPr>
        <w:tc>
          <w:tcPr>
            <w:tcW w:w="121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000000"/>
                <w:kern w:val="0"/>
                <w:sz w:val="22"/>
                <w:lang w:eastAsia="en-US"/>
              </w:rPr>
            </w:pPr>
            <w:r>
              <w:rPr>
                <w:rFonts w:hint="default" w:ascii="Times New Roman" w:hAnsi="Times New Roman" w:eastAsia="仿宋" w:cs="Times New Roman"/>
                <w:color w:val="000000"/>
                <w:kern w:val="0"/>
                <w:sz w:val="22"/>
                <w:lang w:eastAsia="zh-CN" w:bidi="ar"/>
              </w:rPr>
              <w:t>感应电机</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000000"/>
                <w:kern w:val="0"/>
                <w:sz w:val="24"/>
                <w:szCs w:val="24"/>
                <w:lang w:val="en-US" w:eastAsia="en-US"/>
              </w:rPr>
            </w:pPr>
            <w:r>
              <w:rPr>
                <w:rFonts w:hint="default" w:ascii="Times New Roman" w:hAnsi="Times New Roman" w:eastAsia="仿宋" w:cs="Times New Roman"/>
                <w:color w:val="000000"/>
                <w:kern w:val="0"/>
                <w:sz w:val="24"/>
                <w:szCs w:val="24"/>
                <w:lang w:eastAsia="zh-CN" w:bidi="ar"/>
              </w:rPr>
              <w:t>3</w:t>
            </w:r>
            <w:r>
              <w:rPr>
                <w:rFonts w:hint="eastAsia" w:ascii="Times New Roman" w:hAnsi="Times New Roman" w:eastAsia="仿宋" w:cs="Times New Roman"/>
                <w:color w:val="000000"/>
                <w:kern w:val="0"/>
                <w:sz w:val="24"/>
                <w:szCs w:val="24"/>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150HP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000000"/>
                <w:kern w:val="0"/>
                <w:sz w:val="24"/>
                <w:szCs w:val="24"/>
                <w:lang w:eastAsia="en-US"/>
              </w:rPr>
            </w:pPr>
            <w:r>
              <w:rPr>
                <w:rFonts w:hint="default" w:ascii="Times New Roman" w:hAnsi="Times New Roman" w:eastAsia="仿宋" w:cs="Times New Roman"/>
                <w:color w:val="000000"/>
                <w:kern w:val="0"/>
                <w:sz w:val="24"/>
                <w:szCs w:val="24"/>
                <w:lang w:eastAsia="zh-CN" w:bidi="ar"/>
              </w:rPr>
              <w:t>456</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133.3HP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000000"/>
                <w:kern w:val="0"/>
                <w:sz w:val="22"/>
                <w:lang w:eastAsia="en-US"/>
              </w:rPr>
            </w:pPr>
            <w:r>
              <w:rPr>
                <w:rFonts w:hint="default" w:ascii="Times New Roman" w:hAnsi="Times New Roman" w:eastAsia="仿宋" w:cs="Times New Roman"/>
                <w:color w:val="000000"/>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403hp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lang w:eastAsia="zh-CN" w:bidi="ar"/>
              </w:rPr>
              <w:t>3</w:t>
            </w:r>
            <w:r>
              <w:rPr>
                <w:rFonts w:hint="eastAsia" w:ascii="Times New Roman" w:hAnsi="Times New Roman" w:eastAsia="仿宋" w:cs="Times New Roman"/>
                <w:color w:val="000000"/>
                <w:kern w:val="0"/>
                <w:sz w:val="24"/>
                <w:szCs w:val="24"/>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lang w:eastAsia="zh-CN" w:bidi="ar"/>
              </w:rPr>
              <w:t>456</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000000"/>
                <w:kern w:val="0"/>
                <w:sz w:val="22"/>
                <w:szCs w:val="22"/>
                <w:lang w:val="en-US" w:eastAsia="zh-CN" w:bidi="ar-SA"/>
              </w:rPr>
            </w:pPr>
            <w:r>
              <w:rPr>
                <w:rFonts w:hint="default" w:ascii="Times New Roman" w:hAnsi="Times New Roman" w:eastAsia="仿宋" w:cs="Times New Roman"/>
                <w:color w:val="000000"/>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9" w:hRule="atLeast"/>
        </w:trPr>
        <w:tc>
          <w:tcPr>
            <w:tcW w:w="121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000000"/>
                <w:kern w:val="0"/>
                <w:sz w:val="22"/>
                <w:lang w:eastAsia="en-US"/>
              </w:rPr>
            </w:pPr>
            <w:r>
              <w:rPr>
                <w:rFonts w:hint="default" w:ascii="Times New Roman" w:hAnsi="Times New Roman" w:eastAsia="仿宋" w:cs="Times New Roman"/>
                <w:color w:val="000000"/>
                <w:kern w:val="0"/>
                <w:sz w:val="22"/>
                <w:lang w:eastAsia="zh-CN" w:bidi="ar"/>
              </w:rPr>
              <w:t>永磁电机</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000000"/>
                <w:kern w:val="0"/>
                <w:sz w:val="24"/>
                <w:szCs w:val="24"/>
                <w:lang w:eastAsia="en-US"/>
              </w:rPr>
            </w:pPr>
            <w:r>
              <w:rPr>
                <w:rFonts w:hint="default" w:ascii="Times New Roman" w:hAnsi="Times New Roman" w:eastAsia="仿宋" w:cs="Times New Roman"/>
                <w:color w:val="000000"/>
                <w:kern w:val="0"/>
                <w:sz w:val="24"/>
                <w:szCs w:val="24"/>
                <w:lang w:eastAsia="zh-CN" w:bidi="ar"/>
              </w:rPr>
              <w:t>350</w:t>
            </w:r>
          </w:p>
        </w:tc>
        <w:tc>
          <w:tcPr>
            <w:tcW w:w="1200"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150hp</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000000"/>
                <w:kern w:val="0"/>
                <w:sz w:val="24"/>
                <w:szCs w:val="24"/>
                <w:lang w:eastAsia="en-US"/>
              </w:rPr>
            </w:pPr>
            <w:r>
              <w:rPr>
                <w:rFonts w:hint="default" w:ascii="Times New Roman" w:hAnsi="Times New Roman" w:eastAsia="仿宋" w:cs="Times New Roman"/>
                <w:color w:val="000000"/>
                <w:kern w:val="0"/>
                <w:sz w:val="24"/>
                <w:szCs w:val="24"/>
                <w:lang w:eastAsia="zh-CN" w:bidi="ar"/>
              </w:rPr>
              <w:t>450</w:t>
            </w:r>
          </w:p>
        </w:tc>
        <w:tc>
          <w:tcPr>
            <w:tcW w:w="1200"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133.3HP</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65"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kern w:val="0"/>
                <w:sz w:val="22"/>
                <w:lang w:eastAsia="en-US"/>
              </w:rPr>
            </w:pPr>
            <w:r>
              <w:rPr>
                <w:rFonts w:hint="default" w:ascii="Times New Roman" w:hAnsi="Times New Roman" w:eastAsia="仿宋" w:cs="Times New Roman"/>
                <w:color w:val="000000"/>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403HP</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000000"/>
                <w:kern w:val="0"/>
                <w:sz w:val="24"/>
                <w:szCs w:val="24"/>
                <w:lang w:val="en-US" w:eastAsia="en-US" w:bidi="ar-SA"/>
              </w:rPr>
            </w:pPr>
            <w:r>
              <w:rPr>
                <w:rFonts w:hint="default" w:ascii="Times New Roman" w:hAnsi="Times New Roman" w:eastAsia="仿宋" w:cs="Times New Roman"/>
                <w:color w:val="000000"/>
                <w:kern w:val="0"/>
                <w:sz w:val="24"/>
                <w:szCs w:val="24"/>
                <w:lang w:eastAsia="zh-CN" w:bidi="ar"/>
              </w:rPr>
              <w:t>350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000000"/>
                <w:kern w:val="0"/>
                <w:sz w:val="24"/>
                <w:szCs w:val="24"/>
                <w:lang w:eastAsia="zh-CN" w:bidi="ar"/>
              </w:rPr>
              <w:t>450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000000"/>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仿宋" w:cs="Times New Roman"/>
                <w:color w:val="000000"/>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bl>
    <w:p>
      <w:pPr>
        <w:shd w:val="clear" w:color="000000" w:fill="auto"/>
        <w:adjustRightInd w:val="0"/>
        <w:snapToGrid w:val="0"/>
        <w:spacing w:line="360" w:lineRule="auto"/>
        <w:jc w:val="center"/>
        <w:outlineLvl w:val="1"/>
        <w:rPr>
          <w:rFonts w:hint="eastAsia" w:ascii="黑体" w:hAnsi="黑体" w:eastAsia="黑体" w:cstheme="minorBidi"/>
          <w:kern w:val="0"/>
          <w:sz w:val="36"/>
          <w:szCs w:val="36"/>
          <w:lang w:eastAsia="zh-CN"/>
        </w:rPr>
      </w:pPr>
    </w:p>
    <w:p>
      <w:pPr>
        <w:pStyle w:val="13"/>
        <w:numPr>
          <w:ilvl w:val="0"/>
          <w:numId w:val="0"/>
        </w:numPr>
        <w:spacing w:line="360" w:lineRule="auto"/>
        <w:jc w:val="both"/>
        <w:outlineLvl w:val="0"/>
        <w:rPr>
          <w:rFonts w:ascii="宋体" w:cs="宋体"/>
          <w:b/>
          <w:sz w:val="32"/>
          <w:szCs w:val="32"/>
        </w:rPr>
      </w:pPr>
      <w:r>
        <w:rPr>
          <w:rFonts w:hint="eastAsia" w:ascii="Arial Unicode MS" w:eastAsia="Arial Unicode MS" w:cs="Arial Unicode MS"/>
          <w:spacing w:val="2"/>
          <w:w w:val="99"/>
          <w:sz w:val="36"/>
          <w:szCs w:val="36"/>
        </w:rPr>
        <w:t xml:space="preserve">        </w:t>
      </w:r>
    </w:p>
    <w:p>
      <w:pPr>
        <w:pStyle w:val="6"/>
        <w:spacing w:line="360" w:lineRule="auto"/>
        <w:ind w:firstLine="420"/>
        <w:rPr>
          <w:rFonts w:ascii="宋体" w:hAnsi="宋体" w:cs="宋体"/>
          <w:color w:val="000000"/>
          <w:lang w:eastAsia="zh-CN"/>
        </w:rPr>
        <w:sectPr>
          <w:headerReference r:id="rId12" w:type="default"/>
          <w:footerReference r:id="rId13" w:type="default"/>
          <w:pgSz w:w="12240" w:h="15840"/>
          <w:pgMar w:top="1380" w:right="1720" w:bottom="1120" w:left="1720" w:header="0" w:footer="921" w:gutter="0"/>
          <w:cols w:space="720" w:num="1"/>
        </w:sectPr>
      </w:pPr>
    </w:p>
    <w:p>
      <w:pPr>
        <w:pStyle w:val="13"/>
        <w:adjustRightInd w:val="0"/>
        <w:snapToGrid w:val="0"/>
        <w:spacing w:line="360" w:lineRule="auto"/>
        <w:ind w:left="567" w:leftChars="270"/>
        <w:jc w:val="center"/>
        <w:outlineLvl w:val="0"/>
        <w:rPr>
          <w:rFonts w:ascii="黑体" w:hAnsi="黑体" w:eastAsia="黑体"/>
          <w:b/>
          <w:bCs/>
          <w:sz w:val="44"/>
          <w:szCs w:val="44"/>
        </w:rPr>
      </w:pPr>
      <w:bookmarkStart w:id="530" w:name="_Toc5427"/>
      <w:bookmarkStart w:id="531" w:name="_Toc26386"/>
      <w:r>
        <w:rPr>
          <w:rFonts w:hint="eastAsia" w:ascii="黑体" w:hAnsi="黑体" w:eastAsia="黑体"/>
          <w:b/>
          <w:bCs/>
          <w:sz w:val="44"/>
          <w:szCs w:val="44"/>
        </w:rPr>
        <w:t>第五章 书面投标文件审核的商务和技术评议表</w:t>
      </w:r>
      <w:bookmarkEnd w:id="530"/>
      <w:bookmarkEnd w:id="531"/>
    </w:p>
    <w:p>
      <w:pPr>
        <w:pStyle w:val="13"/>
        <w:spacing w:line="360" w:lineRule="auto"/>
        <w:jc w:val="center"/>
        <w:outlineLvl w:val="1"/>
        <w:rPr>
          <w:sz w:val="24"/>
        </w:rPr>
      </w:pPr>
      <w:r>
        <w:rPr>
          <w:rFonts w:hint="eastAsia"/>
          <w:sz w:val="24"/>
        </w:rPr>
        <w:t>否决项评议表</w:t>
      </w:r>
    </w:p>
    <w:p>
      <w:pPr>
        <w:pStyle w:val="13"/>
        <w:spacing w:line="360" w:lineRule="auto"/>
        <w:rPr>
          <w:rFonts w:ascii="Arial" w:hAnsi="宋体" w:cs="宋体"/>
          <w:bCs/>
          <w:kern w:val="0"/>
          <w:sz w:val="24"/>
          <w:lang w:val="zh-CN"/>
        </w:rPr>
      </w:pPr>
      <w:r>
        <w:rPr>
          <w:kern w:val="0"/>
          <w:szCs w:val="21"/>
        </w:rPr>
        <w:t>项目名称：</w:t>
      </w:r>
      <w:r>
        <w:rPr>
          <w:rFonts w:ascii="Arial" w:hAnsi="宋体" w:cs="宋体"/>
          <w:bCs/>
          <w:kern w:val="0"/>
          <w:szCs w:val="21"/>
          <w:lang w:val="zh-CN"/>
        </w:rPr>
        <w:t xml:space="preserve"> </w:t>
      </w:r>
      <w:r>
        <w:rPr>
          <w:rFonts w:hint="eastAsia" w:ascii="Arial" w:hAnsi="宋体" w:cs="宋体"/>
          <w:bCs/>
          <w:kern w:val="0"/>
          <w:sz w:val="24"/>
          <w:lang w:val="zh-CN"/>
        </w:rPr>
        <w:t>中海油能源发展股份有限公司工程技术公司永磁系列潜油电机等物资采购专有协议--标段三 供应商投标资格审查项目</w:t>
      </w:r>
    </w:p>
    <w:p>
      <w:pPr>
        <w:pStyle w:val="13"/>
        <w:spacing w:line="360" w:lineRule="auto"/>
        <w:jc w:val="left"/>
        <w:rPr>
          <w:rFonts w:hint="eastAsia" w:ascii="Arial" w:hAnsi="Arial" w:eastAsia="宋体" w:cs="Arial"/>
          <w:kern w:val="0"/>
          <w:szCs w:val="21"/>
          <w:lang w:eastAsia="zh-CN"/>
        </w:rPr>
      </w:pPr>
      <w:r>
        <w:rPr>
          <w:rFonts w:hint="eastAsia" w:ascii="Arial" w:hAnsi="Arial" w:cs="Arial"/>
          <w:kern w:val="0"/>
          <w:szCs w:val="21"/>
        </w:rPr>
        <w:t>标段（包）编号：</w:t>
      </w:r>
      <w:r>
        <w:rPr>
          <w:rFonts w:hint="eastAsia" w:ascii="Arial" w:hAnsi="Arial" w:cs="Arial"/>
          <w:kern w:val="0"/>
          <w:szCs w:val="21"/>
          <w:highlight w:val="yellow"/>
          <w:lang w:eastAsia="zh-CN"/>
        </w:rPr>
        <w:t>GK-2025-ZC-1263/01/03</w:t>
      </w:r>
    </w:p>
    <w:tbl>
      <w:tblPr>
        <w:tblStyle w:val="9"/>
        <w:tblW w:w="9311" w:type="dxa"/>
        <w:tblInd w:w="-459" w:type="dxa"/>
        <w:tblLayout w:type="autofit"/>
        <w:tblCellMar>
          <w:top w:w="0" w:type="dxa"/>
          <w:left w:w="108" w:type="dxa"/>
          <w:bottom w:w="0" w:type="dxa"/>
          <w:right w:w="108" w:type="dxa"/>
        </w:tblCellMar>
      </w:tblPr>
      <w:tblGrid>
        <w:gridCol w:w="851"/>
        <w:gridCol w:w="3742"/>
        <w:gridCol w:w="2353"/>
        <w:gridCol w:w="2365"/>
      </w:tblGrid>
      <w:tr>
        <w:tblPrEx>
          <w:tblCellMar>
            <w:top w:w="0" w:type="dxa"/>
            <w:left w:w="108" w:type="dxa"/>
            <w:bottom w:w="0" w:type="dxa"/>
            <w:right w:w="108" w:type="dxa"/>
          </w:tblCellMar>
        </w:tblPrEx>
        <w:trPr>
          <w:trHeight w:val="689" w:hRule="atLeast"/>
        </w:trPr>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序号</w:t>
            </w:r>
          </w:p>
        </w:tc>
        <w:tc>
          <w:tcPr>
            <w:tcW w:w="3742" w:type="dxa"/>
            <w:vMerge w:val="restart"/>
            <w:tcBorders>
              <w:top w:val="single" w:color="auto" w:sz="4" w:space="0"/>
              <w:left w:val="single" w:color="auto" w:sz="4" w:space="0"/>
              <w:bottom w:val="single" w:color="auto" w:sz="4" w:space="0"/>
              <w:right w:val="single" w:color="auto" w:sz="4" w:space="0"/>
              <w:tl2br w:val="single" w:color="000000" w:sz="4" w:space="0"/>
            </w:tcBorders>
            <w:noWrap w:val="0"/>
            <w:vAlign w:val="top"/>
          </w:tcPr>
          <w:p>
            <w:pPr>
              <w:pStyle w:val="13"/>
              <w:widowControl/>
              <w:ind w:right="420"/>
              <w:jc w:val="center"/>
              <w:rPr>
                <w:rFonts w:ascii="宋体" w:hAnsi="宋体" w:cs="宋体"/>
                <w:kern w:val="0"/>
                <w:szCs w:val="21"/>
              </w:rPr>
            </w:pPr>
            <w:r>
              <w:rPr>
                <w:rFonts w:hint="eastAsia" w:ascii="宋体" w:hAnsi="宋体" w:cs="宋体"/>
                <w:kern w:val="0"/>
                <w:szCs w:val="21"/>
              </w:rPr>
              <w:t xml:space="preserve">                              申请人名称                                        </w:t>
            </w:r>
            <w:r>
              <w:rPr>
                <w:rFonts w:hint="eastAsia" w:ascii="宋体" w:hAnsi="宋体" w:cs="宋体"/>
                <w:kern w:val="0"/>
                <w:szCs w:val="21"/>
              </w:rPr>
              <w:br w:type="textWrapping"/>
            </w:r>
          </w:p>
          <w:p>
            <w:pPr>
              <w:pStyle w:val="13"/>
              <w:widowControl/>
              <w:jc w:val="center"/>
              <w:rPr>
                <w:rFonts w:ascii="宋体" w:hAnsi="宋体" w:cs="宋体"/>
                <w:kern w:val="0"/>
                <w:szCs w:val="21"/>
              </w:rPr>
            </w:pPr>
          </w:p>
          <w:p>
            <w:pPr>
              <w:pStyle w:val="13"/>
              <w:widowControl/>
              <w:jc w:val="left"/>
              <w:rPr>
                <w:rFonts w:ascii="宋体" w:hAnsi="宋体" w:cs="宋体"/>
                <w:kern w:val="0"/>
                <w:szCs w:val="21"/>
              </w:rPr>
            </w:pPr>
            <w:r>
              <w:rPr>
                <w:rFonts w:hint="eastAsia" w:ascii="宋体" w:hAnsi="宋体" w:cs="宋体"/>
                <w:kern w:val="0"/>
                <w:szCs w:val="21"/>
              </w:rPr>
              <w:t>评议内容/招标文件要求</w:t>
            </w:r>
          </w:p>
        </w:tc>
        <w:tc>
          <w:tcPr>
            <w:tcW w:w="4718"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689" w:hRule="atLeast"/>
        </w:trPr>
        <w:tc>
          <w:tcPr>
            <w:tcW w:w="851" w:type="dxa"/>
            <w:vMerge w:val="continue"/>
            <w:tcBorders>
              <w:top w:val="single" w:color="auto" w:sz="4" w:space="0"/>
              <w:left w:val="single" w:color="auto" w:sz="4" w:space="0"/>
              <w:bottom w:val="single" w:color="auto" w:sz="4" w:space="0"/>
              <w:right w:val="single" w:color="auto" w:sz="4" w:space="0"/>
              <w:tl2br w:val="single" w:color="000000" w:sz="4" w:space="0"/>
            </w:tcBorders>
            <w:noWrap w:val="0"/>
            <w:vAlign w:val="center"/>
          </w:tcPr>
          <w:p>
            <w:pPr>
              <w:pStyle w:val="13"/>
              <w:widowControl/>
              <w:jc w:val="center"/>
              <w:rPr>
                <w:rFonts w:ascii="宋体" w:hAnsi="宋体" w:cs="宋体"/>
                <w:kern w:val="0"/>
                <w:szCs w:val="21"/>
              </w:rPr>
            </w:pPr>
          </w:p>
        </w:tc>
        <w:tc>
          <w:tcPr>
            <w:tcW w:w="3742"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2353" w:type="dxa"/>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申请文件响应</w:t>
            </w:r>
          </w:p>
        </w:tc>
        <w:tc>
          <w:tcPr>
            <w:tcW w:w="2365" w:type="dxa"/>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评议</w:t>
            </w:r>
          </w:p>
        </w:tc>
      </w:tr>
      <w:tr>
        <w:tblPrEx>
          <w:tblCellMar>
            <w:top w:w="0" w:type="dxa"/>
            <w:left w:w="108" w:type="dxa"/>
            <w:bottom w:w="0" w:type="dxa"/>
            <w:right w:w="108" w:type="dxa"/>
          </w:tblCellMar>
        </w:tblPrEx>
        <w:trPr>
          <w:trHeight w:val="403"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★投标人名称</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 w:val="21"/>
                <w:szCs w:val="21"/>
              </w:rPr>
            </w:pPr>
            <w:r>
              <w:rPr>
                <w:kern w:val="2"/>
                <w:sz w:val="21"/>
                <w:szCs w:val="24"/>
                <w:lang w:eastAsia="zh-CN"/>
              </w:rPr>
              <w:t>与营业执照、资质证书一致</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1427"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szCs w:val="21"/>
              </w:rPr>
            </w:pPr>
            <w:r>
              <w:rPr>
                <w:kern w:val="2"/>
                <w:sz w:val="21"/>
                <w:szCs w:val="24"/>
                <w:lang w:eastAsia="zh-CN"/>
              </w:rPr>
              <w:t>★投标函签字盖章</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sz w:val="21"/>
                <w:szCs w:val="21"/>
              </w:rPr>
            </w:pPr>
            <w:r>
              <w:rPr>
                <w:kern w:val="2"/>
                <w:sz w:val="21"/>
                <w:szCs w:val="24"/>
                <w:lang w:eastAsia="zh-CN"/>
              </w:rPr>
              <w:t>有法定代表人（单位负责人）或其委托代理人签字或加盖单位章。由法定代表人（单位负责人）签字的，应附法定代表人（单位负责人）身份证明，由代理人签字的，应附授权委托书，身份证明或授权委托书应符合“投标文件格式”的规定</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★投标有效期</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投标截止之日起120天内保持有效。</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★联合体投标</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不接受联合体投标</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★备选方案</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不允许备选方案</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★报价文件特征码</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有以下情形之一的，视为投标人相互串通投标： a.不同投标人的投标文件由同一单位或者个人编制，例如：不同投标人在集团公司数字化供应链平台上下载招标文件或上传投标文件记录的“文件制作机器码、文件创建标识码和投标电脑 MAC 地址（或“网卡序列号”）”内容任何一项一致； b.不同投标人的投标文件异常一致或者存在两处以上一致性错误； ★关于投标人违规：被认定为“属于投标人相互串通投标”“视为投标人相互串通投标”或“提供虚假投标资料”的供应商，将按照中国海油相关制度规定，对围标串标的投标人处于禁用两年及以上的处理，对提供虚假投标资料的投标人处于禁用一年及以上的处理，处理期内不能参与新的投标活动。</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★分包要求</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不允许分包。</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4593" w:type="dxa"/>
            <w:gridSpan w:val="2"/>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r>
              <w:rPr>
                <w:rFonts w:hint="eastAsia" w:ascii="宋体" w:hAnsi="宋体" w:cs="宋体"/>
                <w:szCs w:val="21"/>
              </w:rPr>
              <w:t>结论</w:t>
            </w:r>
          </w:p>
        </w:tc>
        <w:tc>
          <w:tcPr>
            <w:tcW w:w="4718" w:type="dxa"/>
            <w:gridSpan w:val="2"/>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bl>
    <w:p>
      <w:pPr>
        <w:pStyle w:val="13"/>
      </w:pPr>
      <w:r>
        <w:rPr>
          <w:rFonts w:hint="eastAsia"/>
        </w:rPr>
        <w:t>注：</w:t>
      </w:r>
    </w:p>
    <w:p>
      <w:pPr>
        <w:pStyle w:val="13"/>
        <w:rPr>
          <w:rFonts w:ascii="宋体" w:hAnsi="宋体"/>
          <w:bCs/>
          <w:sz w:val="24"/>
        </w:rPr>
      </w:pPr>
      <w:r>
        <w:rPr>
          <w:rFonts w:hint="eastAsia"/>
        </w:rPr>
        <w:t>1.申请文件响应</w:t>
      </w:r>
      <w:r>
        <w:t>可填具体的数据或填“满足”、“不满足”；</w:t>
      </w:r>
      <w:r>
        <w:rPr>
          <w:rFonts w:hint="eastAsia"/>
        </w:rPr>
        <w:t>评议栏中填写“接受”或“不接受”，结论为合格或不合格。</w:t>
      </w:r>
      <w:r>
        <w:rPr>
          <w:rFonts w:ascii="宋体" w:hAnsi="宋体"/>
          <w:bCs/>
        </w:rPr>
        <w:t>即</w:t>
      </w:r>
      <w:r>
        <w:rPr>
          <w:rFonts w:hint="eastAsia" w:ascii="宋体" w:hAnsi="宋体"/>
          <w:bCs/>
        </w:rPr>
        <w:t>有1项不满足的，</w:t>
      </w:r>
      <w:r>
        <w:rPr>
          <w:rFonts w:ascii="宋体" w:hAnsi="宋体"/>
          <w:bCs/>
        </w:rPr>
        <w:t>视为</w:t>
      </w:r>
      <w:r>
        <w:rPr>
          <w:rFonts w:hint="eastAsia" w:ascii="宋体" w:hAnsi="宋体"/>
          <w:bCs/>
        </w:rPr>
        <w:t>否决项评审结论为“</w:t>
      </w:r>
      <w:r>
        <w:rPr>
          <w:rFonts w:ascii="宋体" w:hAnsi="宋体"/>
          <w:bCs/>
        </w:rPr>
        <w:t>不合格</w:t>
      </w:r>
      <w:r>
        <w:rPr>
          <w:rFonts w:hint="eastAsia" w:ascii="宋体" w:hAnsi="宋体"/>
          <w:bCs/>
        </w:rPr>
        <w:t>”。</w:t>
      </w:r>
    </w:p>
    <w:p>
      <w:pPr>
        <w:pStyle w:val="13"/>
      </w:pPr>
    </w:p>
    <w:p>
      <w:pPr>
        <w:pStyle w:val="13"/>
      </w:pPr>
      <w:r>
        <w:rPr>
          <w:rFonts w:hint="eastAsia"/>
          <w:kern w:val="0"/>
          <w:szCs w:val="21"/>
        </w:rPr>
        <w:t>评审专家签字：</w:t>
      </w:r>
      <w:r>
        <w:rPr>
          <w:rFonts w:hint="eastAsia"/>
        </w:rPr>
        <w:t xml:space="preserve"> </w:t>
      </w:r>
    </w:p>
    <w:p>
      <w:pPr>
        <w:pStyle w:val="13"/>
        <w:spacing w:line="360" w:lineRule="auto"/>
        <w:jc w:val="center"/>
        <w:outlineLvl w:val="1"/>
        <w:rPr>
          <w:b/>
          <w:sz w:val="24"/>
        </w:rPr>
      </w:pPr>
      <w:r>
        <w:rPr>
          <w:b/>
          <w:bCs/>
          <w:kern w:val="0"/>
          <w:sz w:val="28"/>
          <w:szCs w:val="28"/>
        </w:rPr>
        <w:br w:type="page"/>
      </w:r>
      <w:r>
        <w:rPr>
          <w:rFonts w:hint="eastAsia"/>
          <w:b/>
          <w:bCs/>
          <w:kern w:val="0"/>
          <w:sz w:val="28"/>
          <w:szCs w:val="28"/>
        </w:rPr>
        <w:t>商务评议表</w:t>
      </w:r>
    </w:p>
    <w:p>
      <w:pPr>
        <w:pStyle w:val="13"/>
        <w:rPr>
          <w:rFonts w:ascii="Arial" w:hAnsi="宋体" w:cs="宋体"/>
          <w:bCs/>
          <w:kern w:val="0"/>
          <w:sz w:val="24"/>
          <w:lang w:val="zh-CN"/>
        </w:rPr>
      </w:pPr>
      <w:r>
        <w:rPr>
          <w:kern w:val="0"/>
          <w:szCs w:val="21"/>
        </w:rPr>
        <w:t>项目名称：</w:t>
      </w:r>
      <w:r>
        <w:rPr>
          <w:rFonts w:ascii="Arial" w:hAnsi="宋体" w:cs="宋体"/>
          <w:bCs/>
          <w:kern w:val="0"/>
          <w:szCs w:val="21"/>
          <w:lang w:val="zh-CN"/>
        </w:rPr>
        <w:t xml:space="preserve">  </w:t>
      </w:r>
      <w:r>
        <w:rPr>
          <w:rFonts w:hint="eastAsia" w:ascii="Arial" w:hAnsi="宋体" w:cs="宋体"/>
          <w:bCs/>
          <w:kern w:val="0"/>
          <w:sz w:val="24"/>
          <w:lang w:val="zh-CN"/>
        </w:rPr>
        <w:t>中海油能源发展股份有限公司工程技术公司永磁系列潜油电机等物资采购专有协议--标段三 供应商投标资格审查项目</w:t>
      </w:r>
    </w:p>
    <w:p>
      <w:pPr>
        <w:pStyle w:val="13"/>
        <w:spacing w:line="360" w:lineRule="auto"/>
        <w:jc w:val="left"/>
        <w:rPr>
          <w:rFonts w:hint="eastAsia" w:ascii="Arial" w:hAnsi="Arial" w:cs="Arial"/>
          <w:kern w:val="0"/>
          <w:szCs w:val="21"/>
          <w:highlight w:val="yellow"/>
          <w:lang w:eastAsia="zh-CN"/>
        </w:rPr>
      </w:pPr>
      <w:r>
        <w:rPr>
          <w:rFonts w:hint="eastAsia" w:ascii="Arial" w:hAnsi="Arial" w:cs="Arial"/>
          <w:kern w:val="0"/>
          <w:szCs w:val="21"/>
        </w:rPr>
        <w:t>标段（包）编号：</w:t>
      </w:r>
      <w:r>
        <w:rPr>
          <w:rFonts w:hint="eastAsia" w:ascii="Arial" w:hAnsi="Arial" w:cs="Arial"/>
          <w:kern w:val="0"/>
          <w:szCs w:val="21"/>
          <w:highlight w:val="yellow"/>
          <w:lang w:eastAsia="zh-CN"/>
        </w:rPr>
        <w:t>GK-2025-ZC-1263/01/03</w:t>
      </w:r>
    </w:p>
    <w:p>
      <w:pPr>
        <w:pStyle w:val="14"/>
        <w:rPr>
          <w:rFonts w:hint="eastAsia"/>
          <w:lang w:eastAsia="zh-CN"/>
        </w:rPr>
      </w:pPr>
    </w:p>
    <w:tbl>
      <w:tblPr>
        <w:tblStyle w:val="9"/>
        <w:tblpPr w:leftFromText="180" w:rightFromText="180" w:vertAnchor="text" w:horzAnchor="page" w:tblpX="503" w:tblpY="372"/>
        <w:tblOverlap w:val="never"/>
        <w:tblW w:w="9939" w:type="dxa"/>
        <w:tblInd w:w="0" w:type="dxa"/>
        <w:tblLayout w:type="autofit"/>
        <w:tblCellMar>
          <w:top w:w="0" w:type="dxa"/>
          <w:left w:w="108" w:type="dxa"/>
          <w:bottom w:w="0" w:type="dxa"/>
          <w:right w:w="108" w:type="dxa"/>
        </w:tblCellMar>
      </w:tblPr>
      <w:tblGrid>
        <w:gridCol w:w="1166"/>
        <w:gridCol w:w="5604"/>
        <w:gridCol w:w="1845"/>
        <w:gridCol w:w="1324"/>
      </w:tblGrid>
      <w:tr>
        <w:tblPrEx>
          <w:tblCellMar>
            <w:top w:w="0" w:type="dxa"/>
            <w:left w:w="108" w:type="dxa"/>
            <w:bottom w:w="0" w:type="dxa"/>
            <w:right w:w="108" w:type="dxa"/>
          </w:tblCellMar>
        </w:tblPrEx>
        <w:trPr>
          <w:trHeight w:val="395" w:hRule="atLeast"/>
        </w:trPr>
        <w:tc>
          <w:tcPr>
            <w:tcW w:w="1166" w:type="dxa"/>
            <w:vMerge w:val="restart"/>
            <w:tcBorders>
              <w:top w:val="single" w:color="auto" w:sz="4" w:space="0"/>
              <w:left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序号</w:t>
            </w:r>
          </w:p>
        </w:tc>
        <w:tc>
          <w:tcPr>
            <w:tcW w:w="5604" w:type="dxa"/>
            <w:vMerge w:val="restart"/>
            <w:tcBorders>
              <w:top w:val="single" w:color="auto" w:sz="4" w:space="0"/>
              <w:left w:val="single" w:color="auto" w:sz="4" w:space="0"/>
              <w:bottom w:val="single" w:color="auto" w:sz="4" w:space="0"/>
              <w:right w:val="single" w:color="auto" w:sz="4" w:space="0"/>
              <w:tl2br w:val="single" w:color="000000" w:sz="4" w:space="0"/>
            </w:tcBorders>
            <w:noWrap w:val="0"/>
            <w:vAlign w:val="top"/>
          </w:tcPr>
          <w:p>
            <w:pPr>
              <w:pStyle w:val="13"/>
              <w:widowControl/>
              <w:ind w:right="420"/>
              <w:jc w:val="center"/>
              <w:rPr>
                <w:rFonts w:ascii="宋体" w:hAnsi="宋体" w:cs="宋体"/>
                <w:kern w:val="0"/>
                <w:szCs w:val="21"/>
              </w:rPr>
            </w:pPr>
            <w:r>
              <w:rPr>
                <w:rFonts w:hint="eastAsia" w:ascii="宋体" w:hAnsi="宋体" w:cs="宋体"/>
                <w:kern w:val="0"/>
                <w:szCs w:val="21"/>
              </w:rPr>
              <w:t xml:space="preserve">                              申请人名称                                        </w:t>
            </w:r>
          </w:p>
          <w:p>
            <w:pPr>
              <w:pStyle w:val="13"/>
              <w:widowControl/>
              <w:rPr>
                <w:rFonts w:ascii="宋体" w:hAnsi="宋体" w:cs="宋体"/>
                <w:kern w:val="0"/>
                <w:szCs w:val="21"/>
              </w:rPr>
            </w:pPr>
          </w:p>
          <w:p>
            <w:pPr>
              <w:pStyle w:val="13"/>
              <w:widowControl/>
              <w:jc w:val="left"/>
              <w:rPr>
                <w:rFonts w:ascii="宋体" w:hAnsi="宋体" w:cs="宋体"/>
                <w:kern w:val="0"/>
                <w:szCs w:val="21"/>
              </w:rPr>
            </w:pPr>
            <w:r>
              <w:rPr>
                <w:rFonts w:hint="eastAsia" w:ascii="宋体" w:hAnsi="宋体" w:cs="宋体"/>
                <w:kern w:val="0"/>
                <w:szCs w:val="21"/>
              </w:rPr>
              <w:t>评议内容/招标文件要求</w:t>
            </w:r>
          </w:p>
        </w:tc>
        <w:tc>
          <w:tcPr>
            <w:tcW w:w="3169"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219" w:hRule="atLeast"/>
        </w:trPr>
        <w:tc>
          <w:tcPr>
            <w:tcW w:w="1166" w:type="dxa"/>
            <w:vMerge w:val="continue"/>
            <w:tcBorders>
              <w:left w:val="single" w:color="auto" w:sz="4" w:space="0"/>
              <w:bottom w:val="single" w:color="auto" w:sz="4" w:space="0"/>
              <w:right w:val="single" w:color="auto" w:sz="4" w:space="0"/>
              <w:tl2br w:val="single" w:color="000000" w:sz="4" w:space="0"/>
            </w:tcBorders>
            <w:noWrap w:val="0"/>
            <w:vAlign w:val="center"/>
          </w:tcPr>
          <w:p>
            <w:pPr>
              <w:pStyle w:val="13"/>
              <w:widowControl/>
              <w:jc w:val="center"/>
              <w:rPr>
                <w:rFonts w:ascii="宋体" w:hAnsi="宋体" w:cs="宋体"/>
                <w:kern w:val="0"/>
                <w:szCs w:val="21"/>
              </w:rPr>
            </w:pPr>
          </w:p>
        </w:tc>
        <w:tc>
          <w:tcPr>
            <w:tcW w:w="5604"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申请文件响应</w:t>
            </w: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评议</w:t>
            </w: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kern w:val="2"/>
                <w:sz w:val="21"/>
                <w:szCs w:val="24"/>
                <w:lang w:eastAsia="zh-CN"/>
              </w:rPr>
            </w:pPr>
            <w:r>
              <w:rPr>
                <w:kern w:val="2"/>
                <w:sz w:val="21"/>
                <w:szCs w:val="24"/>
                <w:lang w:eastAsia="zh-CN"/>
              </w:rPr>
              <w:t>★营业执照</w:t>
            </w:r>
            <w:r>
              <w:rPr>
                <w:rFonts w:hint="eastAsia"/>
                <w:kern w:val="2"/>
                <w:sz w:val="21"/>
                <w:szCs w:val="24"/>
                <w:lang w:eastAsia="zh-CN"/>
              </w:rPr>
              <w:t xml:space="preserve">：投标人须是中华人民共和国境内具有独立承担民事责任能力的法人，或具备国家认可经营资格的其他组织。  </w:t>
            </w:r>
          </w:p>
          <w:p>
            <w:pPr>
              <w:jc w:val="both"/>
              <w:rPr>
                <w:rFonts w:hint="eastAsia"/>
                <w:kern w:val="2"/>
                <w:sz w:val="21"/>
                <w:szCs w:val="24"/>
                <w:lang w:eastAsia="zh-CN"/>
              </w:rPr>
            </w:pPr>
            <w:r>
              <w:rPr>
                <w:rFonts w:hint="eastAsia"/>
                <w:kern w:val="2"/>
                <w:sz w:val="21"/>
                <w:szCs w:val="24"/>
                <w:lang w:eastAsia="zh-CN"/>
              </w:rPr>
              <w:t>1）投标人具有合法有效的企业法人营业执照、税务登记证及组织机构代码证或证照合一的营业执照，投标时需提供原件扫描件（原件备查）。</w:t>
            </w:r>
          </w:p>
          <w:p>
            <w:pPr>
              <w:jc w:val="both"/>
              <w:rPr>
                <w:rFonts w:hint="eastAsia"/>
                <w:kern w:val="2"/>
                <w:sz w:val="21"/>
                <w:szCs w:val="24"/>
                <w:lang w:eastAsia="zh-CN"/>
              </w:rPr>
            </w:pPr>
            <w:r>
              <w:rPr>
                <w:rFonts w:hint="eastAsia"/>
                <w:kern w:val="2"/>
                <w:sz w:val="21"/>
                <w:szCs w:val="24"/>
                <w:lang w:eastAsia="zh-CN"/>
              </w:rPr>
              <w:t>2）投标人为事业单位的，应具有合法有效的事业单位法人证书，投标时需提供原件扫描件（原件备查）。</w:t>
            </w:r>
          </w:p>
          <w:p>
            <w:pPr>
              <w:jc w:val="both"/>
              <w:rPr>
                <w:rFonts w:hint="eastAsia" w:ascii="宋体" w:hAnsi="宋体" w:eastAsia="宋体" w:cs="宋体"/>
                <w:kern w:val="0"/>
                <w:szCs w:val="21"/>
                <w:lang w:eastAsia="zh-CN"/>
              </w:rPr>
            </w:pPr>
            <w:r>
              <w:rPr>
                <w:rFonts w:hint="eastAsia"/>
                <w:kern w:val="2"/>
                <w:sz w:val="21"/>
                <w:szCs w:val="24"/>
                <w:lang w:eastAsia="zh-CN"/>
              </w:rPr>
              <w:t>投标人为分公司的，提供具有合法有效的营业执照和上级法人单位授权书（授权该分公司投标），认可该分公司和上级法人单位的资质、资格和业绩，不认可同一上级法人单位的其它分公司的资质、资格和业绩，投标时需提供原件扫描件（原件备查）。分公司与上级法人单位只可一家参与投标，同时参与投标的，投标均无效。</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kern w:val="2"/>
                <w:sz w:val="21"/>
                <w:szCs w:val="24"/>
                <w:lang w:eastAsia="zh-CN"/>
              </w:rPr>
            </w:pPr>
            <w:r>
              <w:rPr>
                <w:kern w:val="2"/>
                <w:sz w:val="21"/>
                <w:szCs w:val="24"/>
                <w:lang w:eastAsia="zh-CN"/>
              </w:rPr>
              <w:t>★业绩要求（开标环节需要公开）</w:t>
            </w:r>
            <w:r>
              <w:rPr>
                <w:rFonts w:hint="eastAsia"/>
                <w:kern w:val="2"/>
                <w:sz w:val="21"/>
                <w:szCs w:val="24"/>
                <w:lang w:eastAsia="zh-CN"/>
              </w:rPr>
              <w:t>：1）投标人合同签订时间在2020年1月1日至投标截止时间之前，具有1个已完成的永磁潜油电机或永磁转子总成的销售或</w:t>
            </w:r>
            <w:r>
              <w:rPr>
                <w:rFonts w:hint="eastAsia"/>
                <w:kern w:val="2"/>
                <w:sz w:val="21"/>
                <w:szCs w:val="24"/>
                <w:lang w:val="en-US" w:eastAsia="zh-CN"/>
              </w:rPr>
              <w:t>加工制造或</w:t>
            </w:r>
            <w:r>
              <w:rPr>
                <w:rFonts w:hint="eastAsia"/>
                <w:kern w:val="2"/>
                <w:sz w:val="21"/>
                <w:szCs w:val="24"/>
                <w:lang w:eastAsia="zh-CN"/>
              </w:rPr>
              <w:t xml:space="preserve">租赁业绩合同，并提供相应业绩证明文件。   </w:t>
            </w:r>
          </w:p>
          <w:p>
            <w:pPr>
              <w:jc w:val="both"/>
              <w:rPr>
                <w:rFonts w:hint="eastAsia"/>
                <w:kern w:val="2"/>
                <w:sz w:val="21"/>
                <w:szCs w:val="24"/>
                <w:lang w:eastAsia="zh-CN"/>
              </w:rPr>
            </w:pPr>
            <w:r>
              <w:rPr>
                <w:rFonts w:hint="eastAsia"/>
                <w:kern w:val="2"/>
                <w:sz w:val="21"/>
                <w:szCs w:val="24"/>
                <w:lang w:eastAsia="zh-CN"/>
              </w:rPr>
              <w:t xml:space="preserve">2）投标人提供的业绩证明文件包括：具有法律效力的业绩合同和到货验收证明材料。（提示：以上2项资料，缺少任1项将视为无效业绩导致废标） A、业绩合同应至少涵盖：合同首页、合同签署页（具有签字或盖章、合同签署时间）、供货名称、数量及关键技术指标等内容；B、到货验收材料需提供由购买方或使用方（签字或盖章）的交货验收单或出具货物验收合格的其他证明文件或结算发票。（提示：按要求提供相关资料，以上各项内容必须完全涵盖，否则将视为无效业绩导致废标）  </w:t>
            </w:r>
          </w:p>
          <w:p>
            <w:pPr>
              <w:jc w:val="both"/>
              <w:rPr>
                <w:rFonts w:hint="eastAsia"/>
                <w:kern w:val="2"/>
                <w:sz w:val="21"/>
                <w:szCs w:val="24"/>
                <w:lang w:eastAsia="zh-CN"/>
              </w:rPr>
            </w:pPr>
            <w:r>
              <w:rPr>
                <w:rFonts w:hint="eastAsia"/>
                <w:kern w:val="2"/>
                <w:sz w:val="21"/>
                <w:szCs w:val="24"/>
                <w:lang w:eastAsia="zh-CN"/>
              </w:rPr>
              <w:t xml:space="preserve">3）若业绩合同为年度协议，除提供年度协议外，还应至少提供1项已完成供货的订单、及由购买方或使用方（签字或盖章）的交货验收单或出具货物验收合格的其他证明文件或结算发票。同一个年协合同提供1项订单算为1个有效业绩。（提示：提供的业绩证明材料必须完全涵盖以上内容，否则视为无效业绩，将导致废标）   </w:t>
            </w:r>
          </w:p>
          <w:p>
            <w:pPr>
              <w:jc w:val="both"/>
              <w:rPr>
                <w:rFonts w:hint="eastAsia"/>
                <w:kern w:val="2"/>
                <w:sz w:val="21"/>
                <w:szCs w:val="24"/>
                <w:lang w:eastAsia="zh-CN"/>
              </w:rPr>
            </w:pPr>
            <w:r>
              <w:rPr>
                <w:rFonts w:hint="eastAsia"/>
                <w:kern w:val="2"/>
                <w:sz w:val="21"/>
                <w:szCs w:val="24"/>
                <w:lang w:eastAsia="zh-CN"/>
              </w:rPr>
              <w:t xml:space="preserve">4）未提供业绩证明文件或提供的业绩证明文件无法认定上述业绩要求的，视为无效业绩。 </w:t>
            </w:r>
          </w:p>
          <w:p>
            <w:pPr>
              <w:jc w:val="both"/>
              <w:rPr>
                <w:rFonts w:ascii="宋体" w:hAnsi="宋体" w:cs="宋体"/>
                <w:kern w:val="0"/>
                <w:szCs w:val="21"/>
              </w:rPr>
            </w:pPr>
            <w:r>
              <w:rPr>
                <w:rFonts w:hint="eastAsia"/>
                <w:kern w:val="2"/>
                <w:sz w:val="21"/>
                <w:szCs w:val="24"/>
                <w:lang w:eastAsia="zh-CN"/>
              </w:rPr>
              <w:t xml:space="preserve">5）原件备查。    </w:t>
            </w:r>
            <w:r>
              <w:rPr>
                <w:rFonts w:hint="eastAsia" w:ascii="宋体" w:hAnsi="宋体" w:eastAsia="宋体" w:cs="微软雅黑"/>
                <w:sz w:val="21"/>
                <w:szCs w:val="21"/>
                <w:lang w:eastAsia="zh-CN"/>
              </w:rPr>
              <w:t xml:space="preserve">    </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b w:val="0"/>
                <w:color w:val="000000"/>
                <w:sz w:val="21"/>
                <w:szCs w:val="24"/>
                <w:u w:val="none"/>
                <w:lang w:eastAsia="zh-CN"/>
              </w:rPr>
            </w:pPr>
            <w:r>
              <w:rPr>
                <w:kern w:val="2"/>
                <w:sz w:val="21"/>
                <w:szCs w:val="24"/>
                <w:lang w:eastAsia="zh-CN"/>
              </w:rPr>
              <w:t>★资质、业绩信息公开的要求投标人务必确保开标环节“资质、业绩信息”中公开的资质、业绩内容与投标文件中提供的资质、业绩内容一致。资质、业绩信息应在开标环节进行信息公开。未按要求在开标阶段进行公开的资质、业绩信息，评标阶段不予认可。开标结束前，招标项目经理通过开标页面对话框工具，与所有投标人逐一确认公开的资质、业绩信息是否与投标文件中一致。如不一致，投标人可在开标环节提出询问，将开标环节未公示但投标文件中已提供的资质、业绩在对话框中公开，投标人补充公开的信息视同满足信息公开要求，招标项目经理如实记录并提交评标委员会评审。</w:t>
            </w:r>
          </w:p>
        </w:tc>
        <w:tc>
          <w:tcPr>
            <w:tcW w:w="1845" w:type="dxa"/>
            <w:tcBorders>
              <w:top w:val="nil"/>
              <w:left w:val="nil"/>
              <w:bottom w:val="single" w:color="auto" w:sz="4" w:space="0"/>
              <w:right w:val="single" w:color="auto" w:sz="4" w:space="0"/>
            </w:tcBorders>
            <w:noWrap w:val="0"/>
            <w:vAlign w:val="center"/>
          </w:tcPr>
          <w:p>
            <w:pPr>
              <w:ind w:right="11" w:rightChars="0"/>
              <w:rPr>
                <w:rFonts w:hint="eastAsia" w:ascii="宋体" w:hAnsi="宋体" w:eastAsia="宋体" w:cs="宋体"/>
                <w:b w:val="0"/>
                <w:kern w:val="2"/>
                <w:sz w:val="21"/>
                <w:szCs w:val="24"/>
                <w:lang w:val="en-US" w:eastAsia="zh-CN" w:bidi="ar-SA"/>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default" w:ascii="宋体" w:hAnsi="宋体" w:eastAsia="宋体" w:cs="宋体"/>
                <w:kern w:val="0"/>
                <w:szCs w:val="21"/>
                <w:lang w:val="en-US" w:eastAsia="zh-CN"/>
              </w:rPr>
            </w:pPr>
            <w:r>
              <w:rPr>
                <w:rFonts w:hint="eastAsia" w:ascii="宋体" w:hAnsi="宋体" w:cs="宋体"/>
                <w:kern w:val="0"/>
                <w:szCs w:val="21"/>
                <w:lang w:val="en-US" w:eastAsia="zh-CN"/>
              </w:rPr>
              <w:t>4</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ascii="宋体" w:hAnsi="宋体" w:eastAsia="宋体" w:cs="宋体"/>
                <w:color w:val="000000"/>
                <w:kern w:val="2"/>
                <w:sz w:val="21"/>
                <w:szCs w:val="21"/>
                <w:lang w:bidi="ar"/>
              </w:rPr>
            </w:pPr>
            <w:r>
              <w:rPr>
                <w:kern w:val="2"/>
                <w:sz w:val="21"/>
                <w:szCs w:val="24"/>
                <w:lang w:eastAsia="zh-CN"/>
              </w:rPr>
              <w:t>★信誉要求</w:t>
            </w:r>
            <w:r>
              <w:rPr>
                <w:rFonts w:hint="eastAsia"/>
                <w:kern w:val="2"/>
                <w:sz w:val="21"/>
                <w:szCs w:val="24"/>
                <w:lang w:eastAsia="zh-CN"/>
              </w:rPr>
              <w:t>：</w:t>
            </w:r>
            <w:r>
              <w:rPr>
                <w:kern w:val="2"/>
                <w:sz w:val="21"/>
                <w:szCs w:val="24"/>
                <w:lang w:eastAsia="zh-CN"/>
              </w:rPr>
              <w:t>（1）投标人自2021年1月1日起至投标截止时间止，投标人或其法定代表人、拟委任的项目负责人不得有行贿犯罪行为。为便于招标人复核，投标人应自行到中国裁判文书网；（http://wenshu.court.gov.cn）查询本单位及其法定代表人、拟委任的项目负责人的行贿犯罪信息，确认没有行贿犯罪；
（2）投标人承诺：中国海油在职员工（不含正式派出的）未有在投标人单位担任股东、法人代表、董事、监事和其他任职人员的情形。注：（上述带网站网址的信誉要求条款，投标人请自行查询，将查询结果加盖公章后放入投标文件）。以上所述投标人，包括分包商和联合体成员。</w:t>
            </w:r>
          </w:p>
        </w:tc>
        <w:tc>
          <w:tcPr>
            <w:tcW w:w="1845" w:type="dxa"/>
            <w:tcBorders>
              <w:top w:val="nil"/>
              <w:left w:val="nil"/>
              <w:bottom w:val="single" w:color="auto" w:sz="4" w:space="0"/>
              <w:right w:val="single" w:color="auto" w:sz="4" w:space="0"/>
            </w:tcBorders>
            <w:noWrap w:val="0"/>
            <w:vAlign w:val="center"/>
          </w:tcPr>
          <w:p>
            <w:pPr>
              <w:pStyle w:val="27"/>
              <w:rPr>
                <w:rFonts w:hint="default" w:ascii="宋体" w:hAnsi="宋体" w:eastAsia="宋体" w:cs="宋体"/>
                <w:color w:val="000000"/>
                <w:kern w:val="2"/>
                <w:sz w:val="21"/>
                <w:szCs w:val="21"/>
                <w:lang w:val="en-US" w:eastAsia="zh-CN" w:bidi="ar"/>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default" w:ascii="宋体" w:hAnsi="宋体" w:eastAsia="宋体" w:cs="宋体"/>
                <w:kern w:val="0"/>
                <w:szCs w:val="21"/>
                <w:lang w:val="en-US" w:eastAsia="zh-CN"/>
              </w:rPr>
            </w:pPr>
            <w:r>
              <w:rPr>
                <w:rFonts w:hint="eastAsia" w:ascii="宋体" w:hAnsi="宋体" w:cs="宋体"/>
                <w:kern w:val="0"/>
                <w:szCs w:val="21"/>
                <w:lang w:val="en-US" w:eastAsia="zh-CN"/>
              </w:rPr>
              <w:t>5</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ascii="宋体" w:hAnsi="宋体" w:cs="宋体"/>
                <w:kern w:val="0"/>
                <w:szCs w:val="21"/>
              </w:rPr>
            </w:pPr>
            <w:r>
              <w:rPr>
                <w:kern w:val="2"/>
                <w:sz w:val="21"/>
                <w:szCs w:val="24"/>
                <w:lang w:eastAsia="zh-CN"/>
              </w:rPr>
              <w:t>★制造商要求本次招标仅接受投标人为投标货物的制造商，不接受代理商、贸易商参与投标，不接受代加工贴牌制造。投标时提供厂房证明资料：若自有厂房提供厂房产权证</w:t>
            </w:r>
            <w:r>
              <w:rPr>
                <w:rFonts w:hint="eastAsia"/>
                <w:kern w:val="2"/>
                <w:sz w:val="21"/>
                <w:szCs w:val="24"/>
                <w:lang w:val="en-US" w:eastAsia="zh-CN"/>
              </w:rPr>
              <w:t>或土地使用证</w:t>
            </w:r>
            <w:r>
              <w:rPr>
                <w:kern w:val="2"/>
                <w:sz w:val="21"/>
                <w:szCs w:val="24"/>
                <w:lang w:eastAsia="zh-CN"/>
              </w:rPr>
              <w:t xml:space="preserve">，若租赁厂房提供有效的租赁合同。  </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kern w:val="0"/>
                <w:szCs w:val="21"/>
                <w:lang w:eastAsia="zh-CN"/>
              </w:rPr>
            </w:pPr>
            <w:r>
              <w:rPr>
                <w:rFonts w:hint="eastAsia" w:ascii="宋体" w:hAnsi="宋体" w:cs="宋体"/>
                <w:kern w:val="0"/>
                <w:szCs w:val="21"/>
                <w:lang w:val="en-US" w:eastAsia="zh-CN"/>
              </w:rPr>
              <w:t>6</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left"/>
              <w:rPr>
                <w:rFonts w:ascii="宋体" w:hAnsi="宋体" w:cs="宋体"/>
                <w:kern w:val="0"/>
                <w:szCs w:val="21"/>
              </w:rPr>
            </w:pPr>
            <w:r>
              <w:rPr>
                <w:rFonts w:hint="eastAsia" w:ascii="宋体" w:hAnsi="宋体" w:cs="宋体"/>
                <w:szCs w:val="21"/>
              </w:rPr>
              <w:t>商务合同条款</w:t>
            </w:r>
            <w:r>
              <w:rPr>
                <w:rFonts w:hint="eastAsia" w:ascii="宋体" w:hAnsi="宋体" w:cs="宋体"/>
                <w:kern w:val="0"/>
                <w:szCs w:val="21"/>
              </w:rPr>
              <w:t>：对商务合同其他条款无异议；</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7</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财务报表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投标人提供（</w:t>
            </w:r>
            <w:r>
              <w:rPr>
                <w:rStyle w:val="34"/>
                <w:rFonts w:eastAsia="宋体"/>
                <w:lang w:val="en-US" w:eastAsia="zh-CN" w:bidi="ar"/>
              </w:rPr>
              <w:t>2021</w:t>
            </w:r>
            <w:r>
              <w:rPr>
                <w:rStyle w:val="35"/>
                <w:lang w:val="en-US" w:eastAsia="zh-CN" w:bidi="ar"/>
              </w:rPr>
              <w:t>年</w:t>
            </w:r>
            <w:r>
              <w:rPr>
                <w:rStyle w:val="34"/>
                <w:rFonts w:eastAsia="宋体"/>
                <w:lang w:val="en-US" w:eastAsia="zh-CN" w:bidi="ar"/>
              </w:rPr>
              <w:t>- 2023</w:t>
            </w:r>
            <w:r>
              <w:rPr>
                <w:rStyle w:val="35"/>
                <w:lang w:val="en-US" w:eastAsia="zh-CN" w:bidi="ar"/>
              </w:rPr>
              <w:t>年）经会计事务所或审计机构审计的财务报表，包含资产负债表、现金流量表、利润表。成立时间少于投标人须知前附表规定年份的，应提供自成立以来的财务报表。投标人为分公司的，应提供上级法人单位的经会计师事务所或审计机构审计的上述年度财务会计报表。</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8</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付款条件和方法</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按照年度合同下单价金额及采购订单确认实际数量结算付款。卖方在每批次实际交付货物并经买方执行方验收合格后，向买方执行方提供有效增值税专用发票及相关支持文件（具体见买方执行用户下达的采购订单中的要求），买方在收到有效增值税专用发票及相关支持文件并审核无误后</w:t>
            </w:r>
            <w:r>
              <w:rPr>
                <w:rStyle w:val="34"/>
                <w:rFonts w:eastAsia="宋体"/>
                <w:lang w:val="en-US" w:eastAsia="zh-CN" w:bidi="ar"/>
              </w:rPr>
              <w:t>45</w:t>
            </w:r>
            <w:r>
              <w:rPr>
                <w:rStyle w:val="35"/>
                <w:lang w:val="en-US" w:eastAsia="zh-CN" w:bidi="ar"/>
              </w:rPr>
              <w:t>日内支付订单价款。如付款到期日为非银行工作日，则付款到期日顺延至下一个银行工作日。</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9</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使用法律和仲裁</w:t>
            </w:r>
            <w:r>
              <w:rPr>
                <w:rFonts w:hint="eastAsia" w:ascii="宋体" w:hAnsi="宋体" w:cs="宋体"/>
                <w:i w:val="0"/>
                <w:iCs w:val="0"/>
                <w:color w:val="000000"/>
                <w:kern w:val="0"/>
                <w:sz w:val="21"/>
                <w:szCs w:val="21"/>
                <w:u w:val="none"/>
                <w:lang w:val="en-US" w:eastAsia="zh-CN" w:bidi="ar"/>
              </w:rPr>
              <w:t>：</w:t>
            </w:r>
            <w:r>
              <w:rPr>
                <w:rFonts w:hint="default" w:ascii="Calibri" w:hAnsi="Calibri" w:eastAsia="宋体" w:cs="Calibri"/>
                <w:i w:val="0"/>
                <w:iCs w:val="0"/>
                <w:color w:val="000000"/>
                <w:kern w:val="0"/>
                <w:sz w:val="21"/>
                <w:szCs w:val="21"/>
                <w:u w:val="none"/>
                <w:lang w:val="en-US" w:eastAsia="zh-CN" w:bidi="ar"/>
              </w:rPr>
              <w:t>(1)</w:t>
            </w:r>
            <w:r>
              <w:rPr>
                <w:rStyle w:val="35"/>
                <w:lang w:val="en-US" w:eastAsia="zh-CN" w:bidi="ar"/>
              </w:rPr>
              <w:t xml:space="preserve">适用中华人民共和国法律 </w:t>
            </w:r>
            <w:r>
              <w:rPr>
                <w:rStyle w:val="34"/>
                <w:rFonts w:eastAsia="宋体"/>
                <w:lang w:val="en-US" w:eastAsia="zh-CN" w:bidi="ar"/>
              </w:rPr>
              <w:t>(2)</w:t>
            </w:r>
            <w:r>
              <w:rPr>
                <w:rStyle w:val="35"/>
                <w:lang w:val="en-US" w:eastAsia="zh-CN" w:bidi="ar"/>
              </w:rPr>
              <w:t>提交天津仲裁委员会进行仲裁。仲裁地点在天津 。</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left"/>
              <w:rPr>
                <w:rFonts w:ascii="宋体" w:hAnsi="宋体" w:cs="宋体"/>
                <w:kern w:val="0"/>
                <w:szCs w:val="21"/>
              </w:rPr>
            </w:pPr>
            <w:r>
              <w:rPr>
                <w:rFonts w:hint="eastAsia" w:ascii="宋体" w:hAnsi="宋体" w:cs="宋体"/>
                <w:kern w:val="0"/>
                <w:szCs w:val="21"/>
              </w:rPr>
              <w:t>★</w:t>
            </w:r>
            <w:r>
              <w:rPr>
                <w:rFonts w:hint="eastAsia" w:ascii="宋体" w:hAnsi="宋体" w:cs="宋体"/>
                <w:bCs/>
                <w:szCs w:val="21"/>
              </w:rPr>
              <w:t>商务指标偏离累计</w:t>
            </w:r>
            <w:r>
              <w:rPr>
                <w:rFonts w:hint="eastAsia" w:ascii="宋体" w:hAnsi="宋体" w:cs="宋体"/>
                <w:b/>
                <w:bCs/>
                <w:szCs w:val="21"/>
                <w:u w:val="single"/>
              </w:rPr>
              <w:t xml:space="preserve"> 2 </w:t>
            </w:r>
            <w:r>
              <w:rPr>
                <w:rFonts w:hint="eastAsia" w:ascii="宋体" w:hAnsi="宋体" w:cs="宋体"/>
                <w:b/>
                <w:bCs/>
                <w:szCs w:val="21"/>
              </w:rPr>
              <w:t>项的，</w:t>
            </w:r>
            <w:r>
              <w:rPr>
                <w:rFonts w:hint="eastAsia" w:ascii="宋体" w:hAnsi="宋体" w:cs="宋体"/>
                <w:bCs/>
                <w:szCs w:val="21"/>
              </w:rPr>
              <w:t>即视为商务评审结论为“不合格”。</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6770" w:type="dxa"/>
            <w:gridSpan w:val="2"/>
            <w:tcBorders>
              <w:top w:val="single" w:color="auto" w:sz="4" w:space="0"/>
              <w:left w:val="single" w:color="auto" w:sz="4" w:space="0"/>
              <w:bottom w:val="single" w:color="auto" w:sz="4" w:space="0"/>
              <w:right w:val="single" w:color="000000"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结论</w:t>
            </w:r>
          </w:p>
        </w:tc>
        <w:tc>
          <w:tcPr>
            <w:tcW w:w="3169"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bl>
    <w:p>
      <w:pPr>
        <w:pStyle w:val="13"/>
        <w:spacing w:line="360" w:lineRule="auto"/>
        <w:jc w:val="left"/>
        <w:rPr>
          <w:rFonts w:ascii="Arial" w:hAnsi="Arial" w:cs="Arial"/>
          <w:kern w:val="0"/>
          <w:szCs w:val="21"/>
        </w:rPr>
      </w:pPr>
    </w:p>
    <w:p>
      <w:pPr>
        <w:pStyle w:val="14"/>
      </w:pPr>
    </w:p>
    <w:p>
      <w:pPr>
        <w:pStyle w:val="13"/>
      </w:pPr>
      <w:r>
        <w:rPr>
          <w:rFonts w:hint="eastAsia"/>
        </w:rPr>
        <w:t>注：</w:t>
      </w:r>
    </w:p>
    <w:p>
      <w:pPr>
        <w:pStyle w:val="13"/>
        <w:rPr>
          <w:rFonts w:ascii="宋体" w:hAnsi="宋体"/>
          <w:bCs/>
          <w:sz w:val="24"/>
        </w:rPr>
      </w:pPr>
      <w:r>
        <w:rPr>
          <w:rFonts w:hint="eastAsia"/>
        </w:rPr>
        <w:t>1.申请文件响应</w:t>
      </w:r>
      <w:r>
        <w:t>可填具体的数据或填“满足”、“不满足”；</w:t>
      </w:r>
      <w:r>
        <w:rPr>
          <w:rFonts w:hint="eastAsia"/>
        </w:rPr>
        <w:t>评议栏中填写“接受”或“不接受”，结论为合格或不合格。</w:t>
      </w:r>
      <w:r>
        <w:rPr>
          <w:rFonts w:hint="eastAsia" w:ascii="宋体" w:hAnsi="宋体"/>
          <w:bCs/>
        </w:rPr>
        <w:t>商务</w:t>
      </w:r>
      <w:r>
        <w:rPr>
          <w:rFonts w:ascii="宋体" w:hAnsi="宋体"/>
          <w:bCs/>
        </w:rPr>
        <w:t>指标</w:t>
      </w:r>
      <w:r>
        <w:rPr>
          <w:rFonts w:hint="eastAsia" w:ascii="宋体" w:hAnsi="宋体"/>
          <w:bCs/>
        </w:rPr>
        <w:t>偏离累计</w:t>
      </w:r>
      <w:r>
        <w:rPr>
          <w:rFonts w:hint="eastAsia" w:ascii="宋体" w:hAnsi="宋体"/>
          <w:b/>
          <w:bCs/>
          <w:u w:val="single"/>
        </w:rPr>
        <w:t xml:space="preserve"> </w:t>
      </w:r>
      <w:r>
        <w:rPr>
          <w:rFonts w:ascii="宋体" w:hAnsi="宋体"/>
          <w:b/>
          <w:bCs/>
          <w:u w:val="single"/>
        </w:rPr>
        <w:t>2</w:t>
      </w:r>
      <w:r>
        <w:rPr>
          <w:rFonts w:hint="eastAsia" w:ascii="宋体" w:hAnsi="宋体"/>
          <w:b/>
          <w:bCs/>
          <w:u w:val="single"/>
        </w:rPr>
        <w:t xml:space="preserve"> </w:t>
      </w:r>
      <w:r>
        <w:rPr>
          <w:rFonts w:ascii="宋体" w:hAnsi="宋体"/>
          <w:b/>
          <w:bCs/>
        </w:rPr>
        <w:t>项</w:t>
      </w:r>
      <w:r>
        <w:rPr>
          <w:rFonts w:hint="eastAsia" w:ascii="宋体" w:hAnsi="宋体"/>
          <w:bCs/>
        </w:rPr>
        <w:t>的，</w:t>
      </w:r>
      <w:r>
        <w:rPr>
          <w:rFonts w:ascii="宋体" w:hAnsi="宋体"/>
          <w:bCs/>
        </w:rPr>
        <w:t>即视为</w:t>
      </w:r>
      <w:r>
        <w:rPr>
          <w:rFonts w:hint="eastAsia" w:ascii="宋体" w:hAnsi="宋体"/>
          <w:bCs/>
        </w:rPr>
        <w:t>商务评审结论为“</w:t>
      </w:r>
      <w:r>
        <w:rPr>
          <w:rFonts w:ascii="宋体" w:hAnsi="宋体"/>
          <w:bCs/>
        </w:rPr>
        <w:t>不合格</w:t>
      </w:r>
      <w:r>
        <w:rPr>
          <w:rFonts w:hint="eastAsia" w:ascii="宋体" w:hAnsi="宋体"/>
          <w:bCs/>
        </w:rPr>
        <w:t>”。</w:t>
      </w:r>
    </w:p>
    <w:p>
      <w:pPr>
        <w:pStyle w:val="13"/>
      </w:pPr>
    </w:p>
    <w:p>
      <w:pPr>
        <w:pStyle w:val="13"/>
      </w:pPr>
      <w:r>
        <w:rPr>
          <w:rFonts w:hint="eastAsia"/>
          <w:kern w:val="0"/>
          <w:szCs w:val="21"/>
        </w:rPr>
        <w:t>评审专家签字：</w:t>
      </w:r>
      <w:r>
        <w:rPr>
          <w:rFonts w:hint="eastAsia"/>
        </w:rPr>
        <w:t xml:space="preserve"> </w:t>
      </w:r>
    </w:p>
    <w:p>
      <w:pPr>
        <w:pStyle w:val="13"/>
      </w:pPr>
    </w:p>
    <w:p>
      <w:pPr>
        <w:pStyle w:val="13"/>
        <w:autoSpaceDE w:val="0"/>
        <w:autoSpaceDN w:val="0"/>
        <w:adjustRightInd w:val="0"/>
        <w:spacing w:line="440" w:lineRule="exact"/>
        <w:ind w:right="-533" w:rightChars="-254"/>
        <w:jc w:val="center"/>
        <w:outlineLvl w:val="1"/>
        <w:rPr>
          <w:b/>
          <w:bCs/>
          <w:kern w:val="0"/>
          <w:sz w:val="28"/>
          <w:szCs w:val="28"/>
        </w:rPr>
      </w:pPr>
      <w:r>
        <w:br w:type="page"/>
      </w:r>
      <w:bookmarkStart w:id="532" w:name="_Hlk131767466"/>
      <w:r>
        <w:rPr>
          <w:b/>
          <w:bCs/>
          <w:color w:val="000000"/>
          <w:kern w:val="0"/>
          <w:sz w:val="28"/>
          <w:szCs w:val="28"/>
        </w:rPr>
        <w:t>技术评议表</w:t>
      </w:r>
    </w:p>
    <w:p>
      <w:pPr>
        <w:pStyle w:val="13"/>
        <w:rPr>
          <w:rFonts w:ascii="Arial" w:hAnsi="宋体" w:cs="宋体"/>
          <w:bCs/>
          <w:kern w:val="0"/>
          <w:sz w:val="24"/>
          <w:lang w:val="zh-CN"/>
        </w:rPr>
      </w:pPr>
      <w:r>
        <w:rPr>
          <w:color w:val="000000"/>
          <w:kern w:val="0"/>
          <w:szCs w:val="21"/>
        </w:rPr>
        <w:t>项目名称：</w:t>
      </w:r>
      <w:r>
        <w:rPr>
          <w:rFonts w:ascii="Arial" w:hAnsi="宋体" w:cs="宋体"/>
          <w:bCs/>
          <w:color w:val="000000"/>
          <w:kern w:val="0"/>
          <w:szCs w:val="21"/>
          <w:lang w:val="zh-CN"/>
        </w:rPr>
        <w:t xml:space="preserve">  </w:t>
      </w:r>
      <w:r>
        <w:rPr>
          <w:rFonts w:hint="eastAsia" w:ascii="Arial" w:hAnsi="宋体" w:cs="宋体"/>
          <w:bCs/>
          <w:color w:val="000000"/>
          <w:kern w:val="0"/>
          <w:sz w:val="24"/>
          <w:lang w:val="zh-CN"/>
        </w:rPr>
        <w:t>中海油能源发展股份有限公司工程技术公司永磁系列潜油电机等物资采购专有协议--标段三 供应商投标资格审查项目</w:t>
      </w:r>
    </w:p>
    <w:p>
      <w:pPr>
        <w:pStyle w:val="13"/>
        <w:rPr>
          <w:rFonts w:ascii="Arial" w:hAnsi="宋体" w:cs="宋体"/>
          <w:bCs/>
          <w:kern w:val="0"/>
          <w:szCs w:val="21"/>
          <w:lang w:val="zh-CN"/>
        </w:rPr>
      </w:pPr>
      <w:r>
        <w:rPr>
          <w:rFonts w:hint="eastAsia" w:ascii="Arial" w:hAnsi="宋体" w:cs="宋体"/>
          <w:bCs/>
          <w:color w:val="000000"/>
          <w:kern w:val="0"/>
          <w:szCs w:val="21"/>
          <w:lang w:val="zh-CN"/>
        </w:rPr>
        <w:t>标段（包）编号：</w:t>
      </w:r>
      <w:r>
        <w:rPr>
          <w:rFonts w:hint="eastAsia" w:ascii="Arial" w:hAnsi="Arial" w:cs="Arial"/>
          <w:kern w:val="0"/>
          <w:szCs w:val="21"/>
          <w:highlight w:val="yellow"/>
          <w:lang w:eastAsia="zh-CN"/>
        </w:rPr>
        <w:t>GK-2025-ZC-1263/01/03</w:t>
      </w:r>
      <w:r>
        <w:rPr>
          <w:rFonts w:ascii="Arial" w:hAnsi="宋体" w:cs="宋体"/>
          <w:bCs/>
          <w:color w:val="000000"/>
          <w:kern w:val="0"/>
          <w:szCs w:val="21"/>
          <w:lang w:val="zh-CN"/>
        </w:rPr>
        <w:t xml:space="preserve"> </w:t>
      </w:r>
    </w:p>
    <w:tbl>
      <w:tblPr>
        <w:tblStyle w:val="9"/>
        <w:tblW w:w="9073" w:type="dxa"/>
        <w:tblInd w:w="-431" w:type="dxa"/>
        <w:tblLayout w:type="fixed"/>
        <w:tblCellMar>
          <w:top w:w="0" w:type="dxa"/>
          <w:left w:w="108" w:type="dxa"/>
          <w:bottom w:w="0" w:type="dxa"/>
          <w:right w:w="108" w:type="dxa"/>
        </w:tblCellMar>
      </w:tblPr>
      <w:tblGrid>
        <w:gridCol w:w="568"/>
        <w:gridCol w:w="1134"/>
        <w:gridCol w:w="5538"/>
        <w:gridCol w:w="841"/>
        <w:gridCol w:w="992"/>
      </w:tblGrid>
      <w:tr>
        <w:tblPrEx>
          <w:tblCellMar>
            <w:top w:w="0" w:type="dxa"/>
            <w:left w:w="108" w:type="dxa"/>
            <w:bottom w:w="0" w:type="dxa"/>
            <w:right w:w="108" w:type="dxa"/>
          </w:tblCellMar>
        </w:tblPrEx>
        <w:trPr>
          <w:trHeight w:val="427" w:hRule="atLeast"/>
        </w:trPr>
        <w:tc>
          <w:tcPr>
            <w:tcW w:w="568" w:type="dxa"/>
            <w:vMerge w:val="restart"/>
            <w:tcBorders>
              <w:top w:val="single" w:color="auto" w:sz="4" w:space="0"/>
              <w:left w:val="single" w:color="auto" w:sz="4" w:space="0"/>
              <w:right w:val="single" w:color="auto" w:sz="4" w:space="0"/>
            </w:tcBorders>
            <w:noWrap w:val="0"/>
            <w:vAlign w:val="center"/>
          </w:tcPr>
          <w:p>
            <w:pPr>
              <w:pStyle w:val="13"/>
              <w:widowControl/>
              <w:jc w:val="center"/>
              <w:rPr>
                <w:rFonts w:ascii="宋体" w:hAnsi="宋体"/>
                <w:kern w:val="0"/>
                <w:szCs w:val="21"/>
              </w:rPr>
            </w:pPr>
            <w:r>
              <w:rPr>
                <w:rFonts w:hint="eastAsia" w:ascii="宋体" w:hAnsi="宋体"/>
                <w:color w:val="000000"/>
                <w:kern w:val="0"/>
                <w:szCs w:val="21"/>
              </w:rPr>
              <w:t>序号</w:t>
            </w:r>
          </w:p>
        </w:tc>
        <w:tc>
          <w:tcPr>
            <w:tcW w:w="6672" w:type="dxa"/>
            <w:gridSpan w:val="2"/>
            <w:vMerge w:val="restart"/>
            <w:tcBorders>
              <w:top w:val="single" w:color="auto" w:sz="4" w:space="0"/>
              <w:left w:val="single" w:color="auto" w:sz="4" w:space="0"/>
              <w:right w:val="single" w:color="auto" w:sz="4" w:space="0"/>
              <w:tl2br w:val="single" w:color="000000" w:sz="4" w:space="0"/>
            </w:tcBorders>
            <w:noWrap w:val="0"/>
            <w:vAlign w:val="top"/>
          </w:tcPr>
          <w:p>
            <w:pPr>
              <w:pStyle w:val="13"/>
              <w:widowControl/>
              <w:ind w:right="420"/>
              <w:jc w:val="center"/>
              <w:rPr>
                <w:rFonts w:ascii="宋体" w:hAnsi="宋体"/>
                <w:kern w:val="0"/>
                <w:szCs w:val="21"/>
              </w:rPr>
            </w:pPr>
          </w:p>
          <w:p>
            <w:pPr>
              <w:pStyle w:val="13"/>
              <w:widowControl/>
              <w:ind w:right="420"/>
              <w:jc w:val="center"/>
              <w:rPr>
                <w:rFonts w:ascii="宋体" w:hAnsi="宋体"/>
                <w:kern w:val="0"/>
                <w:szCs w:val="21"/>
              </w:rPr>
            </w:pPr>
            <w:r>
              <w:rPr>
                <w:rFonts w:hint="eastAsia" w:ascii="宋体" w:hAnsi="宋体"/>
                <w:color w:val="000000"/>
                <w:kern w:val="0"/>
                <w:szCs w:val="21"/>
              </w:rPr>
              <w:t xml:space="preserve">                                        申请人名称</w:t>
            </w:r>
          </w:p>
          <w:p>
            <w:pPr>
              <w:pStyle w:val="13"/>
              <w:widowControl/>
              <w:rPr>
                <w:rFonts w:ascii="宋体" w:hAnsi="宋体"/>
                <w:kern w:val="0"/>
                <w:szCs w:val="21"/>
              </w:rPr>
            </w:pPr>
            <w:r>
              <w:rPr>
                <w:rFonts w:hint="eastAsia" w:ascii="宋体" w:hAnsi="宋体"/>
                <w:color w:val="000000"/>
                <w:kern w:val="0"/>
                <w:szCs w:val="21"/>
              </w:rPr>
              <w:t>评议内容</w:t>
            </w:r>
            <w:r>
              <w:rPr>
                <w:rFonts w:ascii="宋体" w:hAnsi="宋体"/>
                <w:color w:val="000000"/>
                <w:kern w:val="0"/>
                <w:szCs w:val="21"/>
              </w:rPr>
              <w:t>/</w:t>
            </w:r>
            <w:r>
              <w:rPr>
                <w:rFonts w:hint="eastAsia" w:ascii="宋体" w:hAnsi="宋体"/>
                <w:color w:val="000000"/>
                <w:kern w:val="0"/>
                <w:szCs w:val="21"/>
              </w:rPr>
              <w:t>招标文件要求</w:t>
            </w:r>
          </w:p>
        </w:tc>
        <w:tc>
          <w:tcPr>
            <w:tcW w:w="1833"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601" w:hRule="atLeast"/>
        </w:trPr>
        <w:tc>
          <w:tcPr>
            <w:tcW w:w="568" w:type="dxa"/>
            <w:vMerge w:val="continue"/>
            <w:tcBorders>
              <w:left w:val="single" w:color="auto" w:sz="4" w:space="0"/>
              <w:bottom w:val="single" w:color="auto" w:sz="4" w:space="0"/>
              <w:right w:val="single" w:color="auto" w:sz="4" w:space="0"/>
              <w:tl2br w:val="single" w:color="000000" w:sz="4" w:space="0"/>
            </w:tcBorders>
            <w:noWrap w:val="0"/>
            <w:vAlign w:val="center"/>
          </w:tcPr>
          <w:p>
            <w:pPr>
              <w:pStyle w:val="13"/>
              <w:widowControl/>
              <w:jc w:val="center"/>
              <w:rPr>
                <w:rFonts w:ascii="宋体" w:hAnsi="宋体"/>
                <w:kern w:val="0"/>
                <w:szCs w:val="21"/>
              </w:rPr>
            </w:pPr>
          </w:p>
        </w:tc>
        <w:tc>
          <w:tcPr>
            <w:tcW w:w="6672" w:type="dxa"/>
            <w:gridSpan w:val="2"/>
            <w:vMerge w:val="continue"/>
            <w:tcBorders>
              <w:left w:val="single" w:color="auto" w:sz="4" w:space="0"/>
              <w:bottom w:val="single" w:color="auto" w:sz="4" w:space="0"/>
              <w:right w:val="single" w:color="auto" w:sz="4" w:space="0"/>
              <w:tl2br w:val="single" w:color="000000" w:sz="4" w:space="0"/>
            </w:tcBorders>
            <w:noWrap w:val="0"/>
            <w:vAlign w:val="top"/>
          </w:tcPr>
          <w:p>
            <w:pPr>
              <w:pStyle w:val="13"/>
              <w:widowControl/>
              <w:jc w:val="center"/>
              <w:rPr>
                <w:rFonts w:ascii="宋体" w:hAnsi="宋体"/>
                <w:kern w:val="0"/>
                <w:szCs w:val="21"/>
              </w:rPr>
            </w:pPr>
          </w:p>
        </w:tc>
        <w:tc>
          <w:tcPr>
            <w:tcW w:w="841"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申请文件响应</w:t>
            </w:r>
          </w:p>
        </w:tc>
        <w:tc>
          <w:tcPr>
            <w:tcW w:w="992"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评议</w:t>
            </w: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kern w:val="2"/>
                <w:lang w:eastAsia="zh-CN"/>
              </w:rPr>
            </w:pPr>
            <w:r>
              <w:rPr>
                <w:rFonts w:hint="eastAsia" w:ascii="宋体" w:hAnsi="宋体" w:eastAsia="宋体" w:cs="宋体"/>
                <w:i w:val="0"/>
                <w:iCs w:val="0"/>
                <w:color w:val="0D0D0D"/>
                <w:kern w:val="0"/>
                <w:sz w:val="18"/>
                <w:szCs w:val="18"/>
                <w:u w:val="none"/>
                <w:lang w:val="en-US" w:eastAsia="zh-CN" w:bidi="ar"/>
              </w:rPr>
              <w:t>★350电机系列，功率，功率因数和效率要求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cs="宋体"/>
                <w:szCs w:val="21"/>
              </w:rPr>
            </w:pPr>
            <w:r>
              <w:rPr>
                <w:rFonts w:hint="eastAsia" w:ascii="宋体" w:hAnsi="宋体" w:eastAsia="宋体" w:cs="宋体"/>
                <w:i w:val="0"/>
                <w:iCs w:val="0"/>
                <w:color w:val="0D0D0D"/>
                <w:kern w:val="0"/>
                <w:sz w:val="18"/>
                <w:szCs w:val="18"/>
                <w:u w:val="none"/>
                <w:lang w:val="en-US" w:eastAsia="zh-CN" w:bidi="ar"/>
              </w:rPr>
              <w:t>投标人投标时提供：</w:t>
            </w:r>
            <w:r>
              <w:rPr>
                <w:rFonts w:hint="eastAsia" w:ascii="宋体" w:hAnsi="宋体" w:eastAsia="宋体" w:cs="宋体"/>
                <w:i w:val="0"/>
                <w:iCs w:val="0"/>
                <w:color w:val="0D0D0D"/>
                <w:kern w:val="0"/>
                <w:sz w:val="18"/>
                <w:szCs w:val="18"/>
                <w:highlight w:val="none"/>
                <w:u w:val="none"/>
                <w:lang w:val="en-US" w:eastAsia="zh-CN" w:bidi="ar"/>
              </w:rPr>
              <w:t>经CCS、ABS、BV、DN</w:t>
            </w:r>
            <w:r>
              <w:rPr>
                <w:rFonts w:hint="eastAsia" w:ascii="宋体" w:hAnsi="宋体" w:eastAsia="宋体" w:cs="宋体"/>
                <w:i w:val="0"/>
                <w:iCs w:val="0"/>
                <w:color w:val="0D0D0D"/>
                <w:kern w:val="0"/>
                <w:sz w:val="18"/>
                <w:szCs w:val="18"/>
                <w:u w:val="none"/>
                <w:lang w:val="en-US" w:eastAsia="zh-CN" w:bidi="ar"/>
              </w:rPr>
              <w:t>V第三方实验机构中的任意一家认证的测试报告（</w:t>
            </w:r>
            <w:r>
              <w:rPr>
                <w:rFonts w:hint="default" w:ascii="宋体" w:hAnsi="宋体" w:eastAsia="宋体" w:cs="宋体"/>
                <w:i w:val="0"/>
                <w:iCs w:val="0"/>
                <w:color w:val="0D0D0D"/>
                <w:kern w:val="0"/>
                <w:sz w:val="18"/>
                <w:szCs w:val="18"/>
                <w:u w:val="none"/>
                <w:lang w:val="en-US" w:eastAsia="zh-CN" w:bidi="ar"/>
              </w:rPr>
              <w:t>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潜油永磁同步电机350系列,额定功率为150HP,电机要求80%负载率以下时功率因数0.82以上，效率为82%以上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cs="宋体"/>
                <w:szCs w:val="21"/>
              </w:rPr>
            </w:pPr>
            <w:r>
              <w:rPr>
                <w:rFonts w:hint="eastAsia" w:ascii="宋体" w:hAnsi="宋体" w:eastAsia="宋体" w:cs="宋体"/>
                <w:i w:val="0"/>
                <w:iCs w:val="0"/>
                <w:color w:val="0D0D0D"/>
                <w:kern w:val="0"/>
                <w:sz w:val="18"/>
                <w:szCs w:val="18"/>
                <w:u w:val="none"/>
                <w:lang w:val="en-US" w:eastAsia="zh-CN" w:bidi="ar"/>
              </w:rPr>
              <w:t>★450电机系列，功率，功率因数和效率要求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eastAsia="宋体" w:cs="宋体"/>
                <w:lang w:eastAsia="zh-CN"/>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潜油永磁同步电机为450系列。额定功率为117HP、133.3HP、166HP、183.3HP、216.6HP。全系列电机要求80%负载率下功率因数0.88以上，效率为86%以上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潜油永磁同步电机为562系列。额定功率为183HP、220HP、293HP、367HP、477HP。全系列电机要求80%负载率下功率因数0.93以上，效率93%以上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★电机适用井温和本体耐温等级以及永磁体要求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投标人在投标文件中承诺满足：电机适用井温：180℃，本体耐温等级204℃。同时为保证电机效率，要求</w:t>
            </w:r>
            <w:r>
              <w:rPr>
                <w:rFonts w:hint="default" w:ascii="宋体" w:hAnsi="宋体" w:eastAsia="宋体" w:cs="宋体"/>
                <w:i w:val="0"/>
                <w:iCs w:val="0"/>
                <w:color w:val="0D0D0D"/>
                <w:kern w:val="0"/>
                <w:sz w:val="18"/>
                <w:szCs w:val="18"/>
                <w:u w:val="none"/>
                <w:lang w:val="en-US" w:eastAsia="zh-CN" w:bidi="ar"/>
              </w:rPr>
              <w:t>转子采用永磁体，永磁体耐温不低于204℃，材质选用钕铁硼（NdFeB）或更高级别的钐钴（SmCo）材质及以上等级，</w:t>
            </w:r>
            <w:r>
              <w:rPr>
                <w:rFonts w:hint="eastAsia" w:ascii="宋体" w:hAnsi="宋体" w:eastAsia="宋体" w:cs="宋体"/>
                <w:i w:val="0"/>
                <w:iCs w:val="0"/>
                <w:color w:val="0D0D0D"/>
                <w:kern w:val="0"/>
                <w:sz w:val="18"/>
                <w:szCs w:val="18"/>
                <w:u w:val="none"/>
                <w:lang w:val="en-US" w:eastAsia="zh-CN" w:bidi="ar"/>
              </w:rPr>
              <w:t>满足对磁场强度和温度稳定性的高要求。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★电机运行能力要求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电机额定同步转速为3000RPM，频率为100Hz。并且具备在此转速区间内稳定运行的能力，提供额定负载转速3000rpm下的出厂测试报告</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★电机、保护器接口尺寸要求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投标人在投标文件中承诺满足：电机、潜油保护器上下接口尺寸符合《机械采油公司潜油电泵产品接口参数明细》（见附件一）要求。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★电机规格数据表要求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投标时提供电机规格数据表（技术要求5.1 -12项表格），</w:t>
            </w:r>
            <w:r>
              <w:rPr>
                <w:rFonts w:hint="default" w:ascii="宋体" w:hAnsi="宋体" w:eastAsia="宋体" w:cs="宋体"/>
                <w:i w:val="0"/>
                <w:iCs w:val="0"/>
                <w:color w:val="0D0D0D"/>
                <w:kern w:val="0"/>
                <w:sz w:val="18"/>
                <w:szCs w:val="18"/>
                <w:u w:val="none"/>
                <w:lang w:val="en-US" w:eastAsia="zh-CN" w:bidi="ar"/>
              </w:rPr>
              <w:t>至少包含：3000rpm转速下、频率为100Hz对应的额定功率、额定电压、额定电流、长度等数据，350系列功率范围至少覆盖：83~166HP，450系列功率范围至少覆盖：83~216.6HP、562系列功率范围至少覆盖183~697HP</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★保护器运行能力要求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保护器在额定同步转速为3000rpm、频率为100Hz具备稳定运行的能力，提供额定负载下转速3000rpm、频率为100Hz下的出厂测试报告</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★450和562系列电机转子磁钢要求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磁钢要求：采用4级内嵌式设计，磁钢等级为N40EH，要求有防腐镀层，镀层方式为NiCuNi，交货态为预充磁，充磁后剩磁要求在12.5k-12.8k高斯</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★永磁电机与感应电机效率、功率因数对比表要求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w:t>
            </w:r>
            <w:r>
              <w:rPr>
                <w:rFonts w:hint="default" w:ascii="宋体" w:hAnsi="宋体" w:eastAsia="宋体" w:cs="宋体"/>
                <w:i w:val="0"/>
                <w:iCs w:val="0"/>
                <w:color w:val="0D0D0D"/>
                <w:kern w:val="0"/>
                <w:sz w:val="18"/>
                <w:szCs w:val="18"/>
                <w:u w:val="none"/>
                <w:lang w:val="en-US" w:eastAsia="zh-CN" w:bidi="ar"/>
              </w:rPr>
              <w:t>在投标时参照附件七：《永磁电机与感应电机效率、功率因数对比表》提供不少于5种功率下不同规格的永磁电机效率和功率因数对比数据并付相应的试验曲线图与感应电机进行对比。</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shd w:val="clear" w:fill="FFFFFF" w:themeFill="background1"/>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★电机试验方法要求与测试参数设置和测试项目要求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yellow"/>
                <w:u w:val="none"/>
                <w:lang w:val="en-US" w:eastAsia="zh-CN" w:bidi="ar"/>
              </w:rPr>
            </w:pPr>
            <w:r>
              <w:rPr>
                <w:rFonts w:hint="eastAsia" w:ascii="宋体" w:hAnsi="宋体" w:eastAsia="宋体" w:cs="宋体"/>
                <w:i w:val="0"/>
                <w:iCs w:val="0"/>
                <w:color w:val="auto"/>
                <w:kern w:val="0"/>
                <w:sz w:val="18"/>
                <w:szCs w:val="18"/>
                <w:highlight w:val="yellow"/>
                <w:u w:val="none"/>
                <w:lang w:val="en-US" w:eastAsia="zh-CN" w:bidi="ar"/>
              </w:rPr>
              <w:t>投标人投标时需承诺满足以下要求：</w:t>
            </w:r>
          </w:p>
          <w:p>
            <w:pPr>
              <w:pStyle w:val="5"/>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由第三方实验机构（CCS、ABS、BV、DNV）中的任意一家、招标人机采公司以及公开资格预初步评审合格的投标人依次在招标人现场共同见证投标人所提供的电机和HAILOONG LIFT品牌的OTS400</w:t>
            </w:r>
            <w:r>
              <w:rPr>
                <w:rFonts w:hint="default" w:ascii="宋体" w:hAnsi="宋体" w:eastAsia="宋体" w:cs="宋体"/>
                <w:i w:val="0"/>
                <w:iCs w:val="0"/>
                <w:color w:val="auto"/>
                <w:kern w:val="0"/>
                <w:sz w:val="18"/>
                <w:szCs w:val="18"/>
                <w:highlight w:val="yellow"/>
                <w:u w:val="none"/>
                <w:lang w:val="en-US" w:eastAsia="zh-CN" w:bidi="ar"/>
              </w:rPr>
              <w:t>变频器</w:t>
            </w:r>
            <w:r>
              <w:rPr>
                <w:rFonts w:hint="eastAsia" w:ascii="宋体" w:hAnsi="宋体" w:eastAsia="宋体" w:cs="宋体"/>
                <w:i w:val="0"/>
                <w:iCs w:val="0"/>
                <w:color w:val="auto"/>
                <w:kern w:val="0"/>
                <w:sz w:val="18"/>
                <w:szCs w:val="18"/>
                <w:highlight w:val="yellow"/>
                <w:u w:val="none"/>
                <w:lang w:val="en-US" w:eastAsia="zh-CN" w:bidi="ar"/>
              </w:rPr>
              <w:t>匹配性试验。</w:t>
            </w:r>
            <w:r>
              <w:rPr>
                <w:rFonts w:hint="eastAsia" w:ascii="宋体" w:hAnsi="宋体" w:eastAsia="宋体" w:cs="宋体"/>
                <w:i w:val="0"/>
                <w:iCs w:val="0"/>
                <w:color w:val="auto"/>
                <w:kern w:val="0"/>
                <w:sz w:val="18"/>
                <w:szCs w:val="18"/>
                <w:highlight w:val="none"/>
                <w:u w:val="none"/>
                <w:lang w:val="en-US" w:eastAsia="zh-CN" w:bidi="ar"/>
              </w:rPr>
              <w:t>试验要求：</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r>
              <w:rPr>
                <w:rFonts w:hint="default" w:ascii="宋体" w:hAnsi="宋体" w:eastAsia="宋体" w:cs="宋体"/>
                <w:i w:val="0"/>
                <w:iCs w:val="0"/>
                <w:color w:val="auto"/>
                <w:kern w:val="0"/>
                <w:sz w:val="18"/>
                <w:szCs w:val="18"/>
                <w:highlight w:val="none"/>
                <w:u w:val="none"/>
                <w:lang w:val="en-US" w:eastAsia="zh-CN" w:bidi="ar"/>
              </w:rPr>
              <w:t>测试电机的型号要求如下：</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提供450系列电机</w:t>
            </w:r>
            <w:r>
              <w:rPr>
                <w:rFonts w:hint="eastAsia" w:ascii="宋体" w:hAnsi="宋体" w:eastAsia="宋体" w:cs="宋体"/>
                <w:i w:val="0"/>
                <w:iCs w:val="0"/>
                <w:color w:val="auto"/>
                <w:kern w:val="0"/>
                <w:sz w:val="18"/>
                <w:szCs w:val="18"/>
                <w:highlight w:val="none"/>
                <w:u w:val="none"/>
                <w:lang w:val="en-US" w:eastAsia="zh-CN" w:bidi="ar"/>
              </w:rPr>
              <w:t>。</w:t>
            </w:r>
            <w:r>
              <w:rPr>
                <w:rFonts w:hint="default" w:ascii="宋体" w:hAnsi="宋体" w:eastAsia="宋体" w:cs="宋体"/>
                <w:i w:val="0"/>
                <w:iCs w:val="0"/>
                <w:color w:val="auto"/>
                <w:kern w:val="0"/>
                <w:sz w:val="18"/>
                <w:szCs w:val="18"/>
                <w:highlight w:val="none"/>
                <w:u w:val="none"/>
                <w:lang w:val="en-US" w:eastAsia="zh-CN" w:bidi="ar"/>
              </w:rPr>
              <w:t>电机运行额定转速3000RPM，</w:t>
            </w:r>
            <w:r>
              <w:rPr>
                <w:rFonts w:hint="eastAsia" w:ascii="宋体" w:hAnsi="宋体" w:eastAsia="宋体" w:cs="宋体"/>
                <w:i w:val="0"/>
                <w:iCs w:val="0"/>
                <w:color w:val="auto"/>
                <w:kern w:val="0"/>
                <w:sz w:val="18"/>
                <w:szCs w:val="18"/>
                <w:highlight w:val="none"/>
                <w:u w:val="none"/>
                <w:lang w:val="en-US" w:eastAsia="zh-CN" w:bidi="ar"/>
              </w:rPr>
              <w:t>测试</w:t>
            </w:r>
            <w:r>
              <w:rPr>
                <w:rFonts w:hint="default" w:ascii="宋体" w:hAnsi="宋体" w:eastAsia="宋体" w:cs="宋体"/>
                <w:i w:val="0"/>
                <w:iCs w:val="0"/>
                <w:color w:val="auto"/>
                <w:kern w:val="0"/>
                <w:sz w:val="18"/>
                <w:szCs w:val="18"/>
                <w:highlight w:val="none"/>
                <w:u w:val="none"/>
                <w:lang w:val="en-US" w:eastAsia="zh-CN" w:bidi="ar"/>
              </w:rPr>
              <w:t>在3000RPM@100Hz下可以稳定运行</w:t>
            </w:r>
            <w:r>
              <w:rPr>
                <w:rFonts w:hint="eastAsia" w:ascii="宋体" w:hAnsi="宋体" w:eastAsia="宋体" w:cs="宋体"/>
                <w:i w:val="0"/>
                <w:iCs w:val="0"/>
                <w:color w:val="auto"/>
                <w:kern w:val="0"/>
                <w:sz w:val="18"/>
                <w:szCs w:val="18"/>
                <w:highlight w:val="none"/>
                <w:u w:val="none"/>
                <w:lang w:val="en-US" w:eastAsia="zh-CN" w:bidi="ar"/>
              </w:rPr>
              <w:t>，并提供</w:t>
            </w:r>
            <w:r>
              <w:rPr>
                <w:rFonts w:hint="default" w:ascii="宋体" w:hAnsi="宋体" w:eastAsia="宋体" w:cs="宋体"/>
                <w:i w:val="0"/>
                <w:iCs w:val="0"/>
                <w:color w:val="auto"/>
                <w:kern w:val="0"/>
                <w:sz w:val="18"/>
                <w:szCs w:val="18"/>
                <w:highlight w:val="none"/>
                <w:u w:val="none"/>
                <w:lang w:val="en-US" w:eastAsia="zh-CN" w:bidi="ar"/>
              </w:rPr>
              <w:t>经CCS、ABS、BV、DNV第三方实验机构中的任意一家认证的测试报告</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2）投标人</w:t>
            </w:r>
            <w:r>
              <w:rPr>
                <w:rFonts w:hint="default" w:ascii="宋体" w:hAnsi="宋体" w:eastAsia="宋体" w:cs="宋体"/>
                <w:i w:val="0"/>
                <w:iCs w:val="0"/>
                <w:color w:val="auto"/>
                <w:kern w:val="0"/>
                <w:sz w:val="18"/>
                <w:szCs w:val="18"/>
                <w:highlight w:val="none"/>
                <w:u w:val="none"/>
                <w:lang w:val="en-US" w:eastAsia="zh-CN" w:bidi="ar"/>
              </w:rPr>
              <w:t>在</w:t>
            </w:r>
            <w:r>
              <w:rPr>
                <w:rFonts w:hint="eastAsia" w:ascii="宋体" w:hAnsi="宋体" w:eastAsia="宋体" w:cs="宋体"/>
                <w:i w:val="0"/>
                <w:iCs w:val="0"/>
                <w:color w:val="auto"/>
                <w:kern w:val="0"/>
                <w:sz w:val="18"/>
                <w:szCs w:val="18"/>
                <w:highlight w:val="none"/>
                <w:u w:val="none"/>
                <w:lang w:val="en-US" w:eastAsia="zh-CN" w:bidi="ar"/>
              </w:rPr>
              <w:t>测试期间需</w:t>
            </w:r>
            <w:r>
              <w:rPr>
                <w:rFonts w:hint="default" w:ascii="宋体" w:hAnsi="宋体" w:eastAsia="宋体" w:cs="宋体"/>
                <w:i w:val="0"/>
                <w:iCs w:val="0"/>
                <w:color w:val="auto"/>
                <w:kern w:val="0"/>
                <w:sz w:val="18"/>
                <w:szCs w:val="18"/>
                <w:highlight w:val="none"/>
                <w:u w:val="none"/>
                <w:lang w:val="en-US" w:eastAsia="zh-CN" w:bidi="ar"/>
              </w:rPr>
              <w:t>提供变频器压频比控制设置参数表，</w:t>
            </w:r>
            <w:r>
              <w:rPr>
                <w:rFonts w:hint="eastAsia" w:ascii="宋体" w:hAnsi="宋体" w:eastAsia="宋体" w:cs="宋体"/>
                <w:i w:val="0"/>
                <w:iCs w:val="0"/>
                <w:color w:val="auto"/>
                <w:kern w:val="0"/>
                <w:sz w:val="18"/>
                <w:szCs w:val="18"/>
                <w:highlight w:val="none"/>
                <w:u w:val="none"/>
                <w:lang w:val="en-US" w:eastAsia="zh-CN" w:bidi="ar"/>
              </w:rPr>
              <w:t>由</w:t>
            </w:r>
            <w:r>
              <w:rPr>
                <w:rFonts w:hint="default" w:ascii="宋体" w:hAnsi="宋体" w:eastAsia="宋体" w:cs="宋体"/>
                <w:i w:val="0"/>
                <w:iCs w:val="0"/>
                <w:color w:val="auto"/>
                <w:kern w:val="0"/>
                <w:sz w:val="18"/>
                <w:szCs w:val="18"/>
                <w:highlight w:val="none"/>
                <w:u w:val="none"/>
                <w:lang w:val="en-US" w:eastAsia="zh-CN" w:bidi="ar"/>
              </w:rPr>
              <w:t>CCS、ABS、BV、DNV第三方实验机构中的任意一家</w:t>
            </w:r>
            <w:r>
              <w:rPr>
                <w:rFonts w:hint="eastAsia" w:ascii="宋体" w:hAnsi="宋体" w:eastAsia="宋体" w:cs="宋体"/>
                <w:i w:val="0"/>
                <w:iCs w:val="0"/>
                <w:color w:val="auto"/>
                <w:kern w:val="0"/>
                <w:sz w:val="18"/>
                <w:szCs w:val="18"/>
                <w:highlight w:val="none"/>
                <w:u w:val="none"/>
                <w:lang w:val="en-US" w:eastAsia="zh-CN" w:bidi="ar"/>
              </w:rPr>
              <w:t>在测试期间</w:t>
            </w:r>
            <w:r>
              <w:rPr>
                <w:rFonts w:hint="default" w:ascii="宋体" w:hAnsi="宋体" w:eastAsia="宋体" w:cs="宋体"/>
                <w:i w:val="0"/>
                <w:iCs w:val="0"/>
                <w:color w:val="auto"/>
                <w:kern w:val="0"/>
                <w:sz w:val="18"/>
                <w:szCs w:val="18"/>
                <w:highlight w:val="none"/>
                <w:u w:val="none"/>
                <w:lang w:val="en-US" w:eastAsia="zh-CN" w:bidi="ar"/>
              </w:rPr>
              <w:t>根据</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提供的压频比参数设置表进行试验验证复核</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①投标人的</w:t>
            </w:r>
            <w:r>
              <w:rPr>
                <w:rFonts w:hint="default" w:ascii="宋体" w:hAnsi="宋体" w:eastAsia="宋体" w:cs="宋体"/>
                <w:i w:val="0"/>
                <w:iCs w:val="0"/>
                <w:color w:val="auto"/>
                <w:kern w:val="0"/>
                <w:sz w:val="18"/>
                <w:szCs w:val="18"/>
                <w:highlight w:val="none"/>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②</w:t>
            </w:r>
            <w:r>
              <w:rPr>
                <w:rFonts w:hint="default" w:ascii="宋体" w:hAnsi="宋体" w:eastAsia="宋体" w:cs="宋体"/>
                <w:i w:val="0"/>
                <w:iCs w:val="0"/>
                <w:color w:val="auto"/>
                <w:kern w:val="0"/>
                <w:sz w:val="18"/>
                <w:szCs w:val="18"/>
                <w:highlight w:val="none"/>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③</w:t>
            </w:r>
            <w:r>
              <w:rPr>
                <w:rFonts w:hint="default" w:ascii="宋体" w:hAnsi="宋体" w:eastAsia="宋体" w:cs="宋体"/>
                <w:i w:val="0"/>
                <w:iCs w:val="0"/>
                <w:color w:val="auto"/>
                <w:kern w:val="0"/>
                <w:sz w:val="18"/>
                <w:szCs w:val="18"/>
                <w:highlight w:val="none"/>
                <w:u w:val="none"/>
                <w:lang w:val="en-US" w:eastAsia="zh-CN" w:bidi="ar"/>
              </w:rPr>
              <w:t>见证测试项目及评价表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auto"/>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r>
              <w:rPr>
                <w:rFonts w:hint="default" w:ascii="宋体" w:hAnsi="宋体" w:eastAsia="宋体" w:cs="宋体"/>
                <w:i w:val="0"/>
                <w:iCs w:val="0"/>
                <w:color w:val="auto"/>
                <w:kern w:val="0"/>
                <w:sz w:val="18"/>
                <w:szCs w:val="18"/>
                <w:highlight w:val="none"/>
                <w:u w:val="none"/>
                <w:lang w:val="en-US" w:eastAsia="zh-CN" w:bidi="ar"/>
              </w:rPr>
              <w:t>试验方法应符合GB/T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r>
              <w:rPr>
                <w:rFonts w:hint="default" w:ascii="宋体" w:hAnsi="宋体" w:eastAsia="宋体" w:cs="宋体"/>
                <w:i w:val="0"/>
                <w:iCs w:val="0"/>
                <w:color w:val="auto"/>
                <w:kern w:val="0"/>
                <w:sz w:val="18"/>
                <w:szCs w:val="18"/>
                <w:highlight w:val="yellow"/>
                <w:u w:val="none"/>
                <w:lang w:val="en-US" w:eastAsia="zh-CN" w:bidi="ar"/>
              </w:rPr>
              <w:t>。</w:t>
            </w:r>
          </w:p>
          <w:p>
            <w:pPr>
              <w:pStyle w:val="5"/>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auto"/>
                <w:kern w:val="0"/>
                <w:sz w:val="18"/>
                <w:szCs w:val="18"/>
                <w:highlight w:val="none"/>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auto"/>
                <w:kern w:val="0"/>
                <w:sz w:val="18"/>
                <w:szCs w:val="18"/>
                <w:highlight w:val="none"/>
                <w:u w:val="none"/>
                <w:lang w:val="en-US" w:eastAsia="zh-CN" w:bidi="ar"/>
              </w:rPr>
              <w:t>HAILOONG LIFT品牌的</w:t>
            </w:r>
            <w:r>
              <w:rPr>
                <w:rFonts w:hint="eastAsia" w:ascii="宋体" w:hAnsi="宋体" w:eastAsia="宋体" w:cs="宋体"/>
                <w:i w:val="0"/>
                <w:iCs w:val="0"/>
                <w:color w:val="auto"/>
                <w:kern w:val="0"/>
                <w:sz w:val="18"/>
                <w:szCs w:val="18"/>
                <w:highlight w:val="none"/>
                <w:u w:val="none"/>
                <w:lang w:val="en-US" w:eastAsia="zh-CN" w:bidi="ar"/>
              </w:rPr>
              <w:t>OTS400</w:t>
            </w:r>
            <w:r>
              <w:rPr>
                <w:rFonts w:hint="default" w:ascii="宋体" w:hAnsi="宋体" w:eastAsia="宋体" w:cs="宋体"/>
                <w:i w:val="0"/>
                <w:iCs w:val="0"/>
                <w:color w:val="auto"/>
                <w:kern w:val="0"/>
                <w:sz w:val="18"/>
                <w:szCs w:val="18"/>
                <w:highlight w:val="none"/>
                <w:u w:val="none"/>
                <w:lang w:val="en-US" w:eastAsia="zh-CN" w:bidi="ar"/>
              </w:rPr>
              <w:t>变频器</w:t>
            </w:r>
            <w:r>
              <w:rPr>
                <w:rFonts w:hint="eastAsia" w:ascii="宋体" w:hAnsi="宋体" w:eastAsia="宋体" w:cs="宋体"/>
                <w:i w:val="0"/>
                <w:iCs w:val="0"/>
                <w:color w:val="auto"/>
                <w:kern w:val="0"/>
                <w:sz w:val="18"/>
                <w:szCs w:val="18"/>
                <w:highlight w:val="none"/>
                <w:u w:val="none"/>
                <w:lang w:val="en-US" w:eastAsia="zh-CN" w:bidi="ar"/>
              </w:rPr>
              <w:t>和</w:t>
            </w:r>
            <w:r>
              <w:rPr>
                <w:rFonts w:hint="default" w:ascii="宋体" w:hAnsi="宋体" w:eastAsia="宋体" w:cs="宋体"/>
                <w:i w:val="0"/>
                <w:iCs w:val="0"/>
                <w:color w:val="auto"/>
                <w:kern w:val="0"/>
                <w:sz w:val="18"/>
                <w:szCs w:val="18"/>
                <w:highlight w:val="none"/>
                <w:u w:val="none"/>
                <w:lang w:val="en-US" w:eastAsia="zh-CN" w:bidi="ar"/>
              </w:rPr>
              <w:t>HAILOONG DS1系列泵工况</w:t>
            </w:r>
            <w:r>
              <w:rPr>
                <w:rFonts w:hint="eastAsia" w:ascii="宋体" w:hAnsi="宋体" w:eastAsia="宋体" w:cs="宋体"/>
                <w:i w:val="0"/>
                <w:iCs w:val="0"/>
                <w:color w:val="auto"/>
                <w:kern w:val="0"/>
                <w:sz w:val="18"/>
                <w:szCs w:val="18"/>
                <w:highlight w:val="none"/>
                <w:u w:val="none"/>
                <w:lang w:val="en-US" w:eastAsia="zh-CN" w:bidi="ar"/>
              </w:rPr>
              <w:t>，投标人提供电机并送往机械采油东沽试验车间。</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r>
              <w:rPr>
                <w:rFonts w:hint="default" w:ascii="宋体" w:hAnsi="宋体" w:eastAsia="宋体" w:cs="宋体"/>
                <w:i w:val="0"/>
                <w:iCs w:val="0"/>
                <w:color w:val="auto"/>
                <w:kern w:val="0"/>
                <w:sz w:val="18"/>
                <w:szCs w:val="18"/>
                <w:highlight w:val="none"/>
                <w:u w:val="none"/>
                <w:lang w:val="en-US" w:eastAsia="zh-CN" w:bidi="ar"/>
              </w:rPr>
              <w:t>第三方机构测试期间发生的所有见证费用由</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，测试期间运输电机等测试物资发生的往返运费由投标人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keepNext w:val="0"/>
              <w:keepLines w:val="0"/>
              <w:widowControl/>
              <w:suppressLineNumbers w:val="0"/>
              <w:shd w:val="clear" w:fill="FFFFFF" w:themeFill="background1"/>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auto"/>
                <w:kern w:val="0"/>
                <w:sz w:val="18"/>
                <w:szCs w:val="18"/>
                <w:highlight w:val="none"/>
                <w:u w:val="none"/>
                <w:lang w:val="en-US" w:eastAsia="zh-CN" w:bidi="ar"/>
              </w:rPr>
              <w:t>6）投标人的电机和</w:t>
            </w:r>
            <w:r>
              <w:rPr>
                <w:rFonts w:hint="default" w:ascii="宋体" w:hAnsi="宋体" w:eastAsia="宋体" w:cs="宋体"/>
                <w:i w:val="0"/>
                <w:iCs w:val="0"/>
                <w:color w:val="auto"/>
                <w:kern w:val="0"/>
                <w:sz w:val="18"/>
                <w:szCs w:val="18"/>
                <w:highlight w:val="none"/>
                <w:u w:val="none"/>
                <w:lang w:val="en-US" w:eastAsia="zh-CN" w:bidi="ar"/>
              </w:rPr>
              <w:t>HAILOONG LIFT品牌的</w:t>
            </w:r>
            <w:r>
              <w:rPr>
                <w:rFonts w:hint="eastAsia" w:ascii="宋体" w:hAnsi="宋体" w:eastAsia="宋体" w:cs="宋体"/>
                <w:i w:val="0"/>
                <w:iCs w:val="0"/>
                <w:color w:val="auto"/>
                <w:kern w:val="0"/>
                <w:sz w:val="18"/>
                <w:szCs w:val="18"/>
                <w:highlight w:val="none"/>
                <w:u w:val="none"/>
                <w:lang w:val="en-US" w:eastAsia="zh-CN" w:bidi="ar"/>
              </w:rPr>
              <w:t>OTS400</w:t>
            </w:r>
            <w:r>
              <w:rPr>
                <w:rFonts w:hint="default" w:ascii="宋体" w:hAnsi="宋体" w:eastAsia="宋体" w:cs="宋体"/>
                <w:i w:val="0"/>
                <w:iCs w:val="0"/>
                <w:color w:val="auto"/>
                <w:kern w:val="0"/>
                <w:sz w:val="18"/>
                <w:szCs w:val="18"/>
                <w:highlight w:val="none"/>
                <w:u w:val="none"/>
                <w:lang w:val="en-US" w:eastAsia="zh-CN" w:bidi="ar"/>
              </w:rPr>
              <w:t>变频器</w:t>
            </w:r>
            <w:r>
              <w:rPr>
                <w:rFonts w:hint="eastAsia" w:ascii="宋体" w:hAnsi="宋体" w:eastAsia="宋体" w:cs="宋体"/>
                <w:i w:val="0"/>
                <w:iCs w:val="0"/>
                <w:color w:val="auto"/>
                <w:kern w:val="0"/>
                <w:sz w:val="18"/>
                <w:szCs w:val="18"/>
                <w:highlight w:val="none"/>
                <w:u w:val="none"/>
                <w:lang w:val="en-US" w:eastAsia="zh-CN" w:bidi="ar"/>
              </w:rPr>
              <w:t>匹配性试验成功，该投标人被判定为资格预审合格。如投标人的电机和</w:t>
            </w:r>
            <w:r>
              <w:rPr>
                <w:rFonts w:hint="default" w:ascii="宋体" w:hAnsi="宋体" w:eastAsia="宋体" w:cs="宋体"/>
                <w:i w:val="0"/>
                <w:iCs w:val="0"/>
                <w:color w:val="auto"/>
                <w:kern w:val="0"/>
                <w:sz w:val="18"/>
                <w:szCs w:val="18"/>
                <w:highlight w:val="none"/>
                <w:u w:val="none"/>
                <w:lang w:val="en-US" w:eastAsia="zh-CN" w:bidi="ar"/>
              </w:rPr>
              <w:t>HAILOONG LIFT品牌的</w:t>
            </w:r>
            <w:r>
              <w:rPr>
                <w:rFonts w:hint="eastAsia" w:ascii="宋体" w:hAnsi="宋体" w:eastAsia="宋体" w:cs="宋体"/>
                <w:i w:val="0"/>
                <w:iCs w:val="0"/>
                <w:color w:val="auto"/>
                <w:kern w:val="0"/>
                <w:sz w:val="18"/>
                <w:szCs w:val="18"/>
                <w:highlight w:val="none"/>
                <w:u w:val="none"/>
                <w:lang w:val="en-US" w:eastAsia="zh-CN" w:bidi="ar"/>
              </w:rPr>
              <w:t>OTS400</w:t>
            </w:r>
            <w:r>
              <w:rPr>
                <w:rFonts w:hint="default" w:ascii="宋体" w:hAnsi="宋体" w:eastAsia="宋体" w:cs="宋体"/>
                <w:i w:val="0"/>
                <w:iCs w:val="0"/>
                <w:color w:val="auto"/>
                <w:kern w:val="0"/>
                <w:sz w:val="18"/>
                <w:szCs w:val="18"/>
                <w:highlight w:val="none"/>
                <w:u w:val="none"/>
                <w:lang w:val="en-US" w:eastAsia="zh-CN" w:bidi="ar"/>
              </w:rPr>
              <w:t>变频器</w:t>
            </w:r>
            <w:r>
              <w:rPr>
                <w:rFonts w:hint="eastAsia" w:ascii="宋体" w:hAnsi="宋体" w:eastAsia="宋体" w:cs="宋体"/>
                <w:i w:val="0"/>
                <w:iCs w:val="0"/>
                <w:color w:val="auto"/>
                <w:kern w:val="0"/>
                <w:sz w:val="18"/>
                <w:szCs w:val="18"/>
                <w:highlight w:val="none"/>
                <w:u w:val="none"/>
                <w:lang w:val="en-US" w:eastAsia="zh-CN" w:bidi="ar"/>
              </w:rPr>
              <w:t>匹配性试验失败，则投标人被判定为资格预审不合格。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潜油永磁电机转子要求动平衡测试，动平衡质量级别不低于G6.3（6.3mm/s），卖方在投标时出具450和562系列潜油永磁电机转子的动平衡测试报告。</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★投标人生产能力要求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卖方需具备30天交付20台潜油永磁电机的生产能力，（投标时卖方提供30天交付30台潜油永磁电机生产能力的证明材料，证明材料包含但不限于生产计划、生产工时计算、产能计算书等相关文件）。且卖方接到买方通知后（以邮件或联络函的形式），需在7天内按照买方要求将潜油电机交付到买方指定库房</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★中标方备货要求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乙方在合同签订后，需备年度合同总金额10%的物资。具体备货物资规格型号在合同签订后，甲方将以邮件或联络函的形式通知乙方。具体交货期以买方订单为准</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★投标人生产设备要求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需有自己的生产设备，投标时需提供与投标公司名称一致的生产设备采购合同或发票和照片。生产设备至少包括电机定子叠压机、定子调直设备、定子嵌线台架、真空浸漆装置、永磁电机总装台</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highlight w:val="yellow"/>
                <w:u w:val="none"/>
                <w:lang w:val="en-US" w:eastAsia="zh-CN" w:bidi="ar"/>
              </w:rPr>
              <w:t>（如合同/发票上的设备/物资名称能与本项要求的名称不一致，但是能实现相应的主要功能，即视为具备该设备，符合要求）。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★投标人检验设备要求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需有自己的检验设备,投标时需提供与投标公司名称一致的检验设备采购合同或发票和照片，合同中检验设备的数量应满足本招标书要求的最低产能。检验设备至少包括高压电火花机、磁矩检测仪（剩磁检测设备）、磁通计、光学影像尺寸测量仪、示波器、功率分析仪、扭矩分析仪、电机试验测试系统及在线监测系统</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highlight w:val="yellow"/>
                <w:u w:val="none"/>
                <w:lang w:val="en-US" w:eastAsia="zh-CN" w:bidi="ar"/>
              </w:rPr>
              <w:t>（如合同/发票上的设备/物资名称能与本项要求的名称不一致，但是能实现相应的主要功能，即视为具备该设备，符合要求）。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★中标方履约保证金要求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其他特殊要求：合同签订前需签订招标方认可的银行开具的履约保函（保额</w:t>
            </w:r>
            <w:r>
              <w:rPr>
                <w:rFonts w:hint="eastAsia" w:ascii="宋体" w:hAnsi="宋体" w:eastAsia="宋体" w:cs="宋体"/>
                <w:i w:val="0"/>
                <w:iCs w:val="0"/>
                <w:color w:val="000000"/>
                <w:kern w:val="0"/>
                <w:sz w:val="18"/>
                <w:szCs w:val="18"/>
                <w:highlight w:val="yellow"/>
                <w:u w:val="none"/>
                <w:lang w:val="en-US" w:eastAsia="zh-CN" w:bidi="ar"/>
              </w:rPr>
              <w:t>20万元</w:t>
            </w:r>
            <w:r>
              <w:rPr>
                <w:rFonts w:hint="eastAsia" w:ascii="宋体" w:hAnsi="宋体" w:eastAsia="宋体" w:cs="宋体"/>
                <w:i w:val="0"/>
                <w:iCs w:val="0"/>
                <w:color w:val="000000"/>
                <w:kern w:val="0"/>
                <w:sz w:val="18"/>
                <w:szCs w:val="18"/>
                <w:highlight w:val="none"/>
                <w:u w:val="none"/>
                <w:lang w:val="en-US" w:eastAsia="zh-CN" w:bidi="ar"/>
              </w:rPr>
              <w:t>）或向招标方监管账户打入履约保证金（</w:t>
            </w:r>
            <w:r>
              <w:rPr>
                <w:rFonts w:hint="eastAsia" w:ascii="宋体" w:hAnsi="宋体" w:eastAsia="宋体" w:cs="宋体"/>
                <w:i w:val="0"/>
                <w:iCs w:val="0"/>
                <w:color w:val="000000"/>
                <w:kern w:val="0"/>
                <w:sz w:val="18"/>
                <w:szCs w:val="18"/>
                <w:highlight w:val="yellow"/>
                <w:u w:val="none"/>
                <w:lang w:val="en-US" w:eastAsia="zh-CN" w:bidi="ar"/>
              </w:rPr>
              <w:t>20万元</w:t>
            </w:r>
            <w:r>
              <w:rPr>
                <w:rFonts w:hint="eastAsia" w:ascii="宋体" w:hAnsi="宋体" w:eastAsia="宋体" w:cs="宋体"/>
                <w:i w:val="0"/>
                <w:iCs w:val="0"/>
                <w:color w:val="000000"/>
                <w:kern w:val="0"/>
                <w:sz w:val="18"/>
                <w:szCs w:val="18"/>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招标方认可银行名录：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en-US" w:bidi="ar"/>
              </w:rPr>
              <w:t>6家国有大型银行：中国银行、中国农业银行、中国建设银行、中国工商银行、中国邮政储蓄银行、交通银行</w:t>
            </w:r>
            <w:r>
              <w:rPr>
                <w:rFonts w:hint="eastAsia" w:ascii="宋体" w:hAnsi="宋体" w:eastAsia="宋体" w:cs="宋体"/>
                <w:i w:val="0"/>
                <w:iCs w:val="0"/>
                <w:color w:val="000000"/>
                <w:kern w:val="0"/>
                <w:sz w:val="18"/>
                <w:szCs w:val="18"/>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highlight w:val="none"/>
                <w:u w:val="none"/>
                <w:lang w:val="en-US" w:eastAsia="en-US" w:bidi="ar"/>
              </w:rPr>
              <w:t>9家上市股份制商业银行：招商银行、浦发银行、中信银行、中国光大银行、华夏银行、中国民生银行、平安银行、兴业银行、浙商银行。</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电机的转子要求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投标人在投标文件中承诺满足：永磁电机为四极，转子永磁体采用内嵌式结构。</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电机的电磁线耐交流电压等级要求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电磁线的选择应具备适用于高压、高频等复杂工况，在高电压</w:t>
            </w:r>
            <w:r>
              <w:rPr>
                <w:rFonts w:hint="eastAsia" w:ascii="宋体" w:hAnsi="宋体" w:eastAsia="宋体" w:cs="宋体"/>
                <w:i w:val="0"/>
                <w:iCs w:val="0"/>
                <w:color w:val="0D0D0D"/>
                <w:kern w:val="0"/>
                <w:sz w:val="18"/>
                <w:szCs w:val="18"/>
                <w:u w:val="none"/>
                <w:lang w:val="en-US" w:eastAsia="zh-CN" w:bidi="ar"/>
              </w:rPr>
              <w:t>下能够有效抵抗电晕放电现象</w:t>
            </w:r>
            <w:r>
              <w:rPr>
                <w:rFonts w:hint="default" w:ascii="宋体" w:hAnsi="宋体" w:eastAsia="宋体" w:cs="宋体"/>
                <w:i w:val="0"/>
                <w:iCs w:val="0"/>
                <w:color w:val="0D0D0D"/>
                <w:kern w:val="0"/>
                <w:sz w:val="18"/>
                <w:szCs w:val="18"/>
                <w:u w:val="none"/>
                <w:lang w:val="en-US" w:eastAsia="zh-CN" w:bidi="ar"/>
              </w:rPr>
              <w:t>，以降低电磁干扰和</w:t>
            </w:r>
            <w:r>
              <w:rPr>
                <w:rFonts w:hint="eastAsia" w:ascii="宋体" w:hAnsi="宋体" w:eastAsia="宋体" w:cs="宋体"/>
                <w:i w:val="0"/>
                <w:iCs w:val="0"/>
                <w:color w:val="0D0D0D"/>
                <w:kern w:val="0"/>
                <w:sz w:val="18"/>
                <w:szCs w:val="18"/>
                <w:u w:val="none"/>
                <w:lang w:val="en-US" w:eastAsia="zh-CN" w:bidi="ar"/>
              </w:rPr>
              <w:t>能量损失。</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电机密封圈材质要求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投标人在投标文件中承诺满足：密封圈采用AFLAS材料，耐温等级不低于204℃，并提供AFLAS材质报告。</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电机轴材质要求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投标人在投标文件中承诺满足：电机轴采用42CrMo高强度合金钢及以上材质。</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电机电机三相绕组不平衡率要求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投标人在投标文件中承诺满足：电机三相绕组直流电阻不平衡率不得大于3%。</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电机预注油要求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投标人在投标文件中承诺满足：成品电机应预注新的合格电机油，电机油耐温不低于200℃，电机到货静置24小时后，无渗漏。</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电机承压和密封要求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投标人在投标文件中承诺满足：整机能承受压力为0.5MPa气压，历时5min的密封性能试验，各密封连接部位不泄漏。</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保护器适用井温和本体耐温等级要求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投标人在投标文件中承诺满足：适用井温：180℃，本体耐温等级204℃</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保护器轴向承载力要求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投标人在投标文件中承诺满足：保护器采用高承载止推轴承。为满足要求，338系列保护器轴向承载力≥1.3吨；400系列保护器轴向承载力≥2.5吨.540系列保护器轴向承载力≥5吨。</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保护器密封圈及胶囊材质要求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保护器密封圈及胶囊采用AFLAS，耐温不低于204℃，并提供AFLAS材质报告。</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防腐电机材质要求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在腐蚀环境下，与井液接触部件要求具有防腐蚀性能。壳体采用9Cr1Mo，接头、底座采用2Cr13，连接螺栓和垫片应采用MonelK-500，其他与井液接触的零部件按照CO2和H2S腐蚀要求进行配置。送货文件应提供材质化学成分及机械性能检测报告，并注明炉号等可追溯性标识信息。</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防腐保护器材质要求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采用防腐材质，与井液接触部件具有防 CO2腐蚀功能。要求的防腐配置如下：头、座采用 416 SS，</w:t>
            </w:r>
            <w:r>
              <w:rPr>
                <w:rFonts w:hint="eastAsia" w:ascii="宋体" w:hAnsi="宋体" w:eastAsia="宋体" w:cs="宋体"/>
                <w:i w:val="0"/>
                <w:iCs w:val="0"/>
                <w:color w:val="0D0D0D"/>
                <w:kern w:val="0"/>
                <w:sz w:val="18"/>
                <w:szCs w:val="18"/>
                <w:u w:val="none"/>
                <w:lang w:val="en-US" w:eastAsia="zh-CN" w:bidi="ar"/>
              </w:rPr>
              <w:t>轴材质采用</w:t>
            </w:r>
            <w:r>
              <w:rPr>
                <w:rFonts w:hint="default" w:ascii="宋体" w:hAnsi="宋体" w:eastAsia="宋体" w:cs="宋体"/>
                <w:i w:val="0"/>
                <w:iCs w:val="0"/>
                <w:color w:val="0D0D0D"/>
                <w:kern w:val="0"/>
                <w:sz w:val="18"/>
                <w:szCs w:val="18"/>
                <w:u w:val="none"/>
                <w:lang w:val="en-US" w:eastAsia="zh-CN" w:bidi="ar"/>
              </w:rPr>
              <w:t>Monel K500，壳体采用 9Cr1Mo，橡胶件采用 HSN，花键套采用 1Cr18Ni9Ti 或 2Cr13，连接螺栓、丝堵、注油阀采用 Monel K500。</w:t>
            </w:r>
            <w:r>
              <w:rPr>
                <w:rFonts w:hint="eastAsia" w:ascii="宋体" w:hAnsi="宋体" w:eastAsia="宋体" w:cs="宋体"/>
                <w:i w:val="0"/>
                <w:iCs w:val="0"/>
                <w:color w:val="0D0D0D"/>
                <w:kern w:val="0"/>
                <w:sz w:val="18"/>
                <w:szCs w:val="18"/>
                <w:u w:val="none"/>
                <w:lang w:val="en-US" w:eastAsia="zh-CN" w:bidi="ar"/>
              </w:rPr>
              <w:t>送货文件应提供材质化学成分及机械性能检测报告，并注明炉号等可追溯性标识信息。</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防砂保护器结构要求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投标人在投标文件中承诺满足：潜油防砂保护器上端采用工程技术甩砂环结构、设计有沉砂腔和泄砂孔。</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Inconel 718高强度轴材质保护器材质要求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投标人在投标文件中承诺满足：轴材质为Inconel 718高强度轴，花键套材质为Monel K500材质。</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450系列转子总成外径要求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投标人在投标文件中承诺满足：转子总成外径：50.63 +0.02 -0.03mm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450系列转子总成内径要求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投标人在投标文件中承诺满足：转子总成内径：25.00 +0.07 +0.03mm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450系列转子总长和硅钢片材质要求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投标人在投标文件中承诺满足：转子总长：346 +0.05 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转子铁芯要求采用自叠铆工艺冲压叠铆完成，硅钢片材质为50W470；</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450系列转子铁芯垂直度和同轴度要求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投标人在投标文件中承诺满足：加工成型的转子铁芯要求垂直度0.08mm，内外径同轴度0.05mm；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质量及可追溯要求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投标人在投标文件中承诺满足：转子总成采用序列号管理，且在转子表面有激光打标的序列号，禁止采用机械打标方式。转子铁芯及磁钢要求有批次号管理，且可在需要时进行追溯至生产日期及员工姓名；</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投标人在投标文件中承诺满足：潜油永磁电机转子要求动平衡测试，动平衡质量级别不低于G6.3（6.3mm/s）。</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450系列定子要求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投标人在投标文件中承诺满足：按照加工图纸尺寸及公差要求对产品的外径、内径、角度、长度、倒角尺寸、粗糙度等进行100%全检，确保所有产品加工尺寸都在图纸尺寸范围内，图纸见附件四。</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562系列转子总成外径要求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投标人在投标文件中承诺满足：转子总成外径：68.9+0.05mm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562系列转子总成内径要求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投标人在投标文件中承诺满足：转子总成内径：35.02 +0.05 0mm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562系列转子总长和硅钢片材质要求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投标人在投标文件中承诺满足：转子总长：400 +0.15mm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转子铁芯要求采用自叠铆工艺冲压叠铆完成，硅钢片材质为50W470；</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562系列转子铁芯垂直度和同轴度要求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投标人在投标文件中承诺满足：加工成型的转子铁芯要求垂直度0.08mm，内外径同轴度0.05mm；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质量及可追溯要求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质量及可追溯要求：转子总成采用序列号管理，且在转子表面有激光打标的序列号，禁止采用机械打标方式。转子铁芯及磁钢要求有批次号管理，且可在需要时进行追溯至生产日期及员工姓名；</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投标人在投标文件中承诺满足：潜油永磁电机转子要求动平衡测试，动平衡质量级别不低于G6.3（6.3mm/s）。</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562系列定子要求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投标人在投标文件中承诺满足：按照加工图纸尺寸及公差要求对产品的外径、内径、角度、长度、倒角尺寸、粗糙度等进行100%全检，确保所有产品加工尺寸都在图纸尺寸范围内，图纸见附件四。</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质保期要求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投标人在投标文件中承诺满足：质保期要求：下井后1300天，或检验合格入库后1600天，以先到为准。</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赔偿条款要求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（1）由于产品质量原因，导致产品下井后正常运转小于100天，卖方需赔偿买方2倍相同规格潜油电泵机组等额的人民币；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（2）由于产品质量原因，导致产品下井后正常运转大于100天（含）小于500天，卖方需赔偿买方1.5倍相同规格潜油电泵机组等额的人民币；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（3）由于产品质量原因，导致产品下井后正常运转大于500天（含）小于1300天，卖方需赔偿买方1倍相同规格潜油电泵机组等额的人民币；</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卖方首次订单产品验证要求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乙方首次订单提供的产品在买方场地进行试验时，如果出现电机与变频器型号不匹配的情况或者电机在空载到额定负载范围内出现异常振动现象等适配性问题，乙方有两个月产品整改期限，如果整改后产品在买方场地再次进行试验时，仍出现电机与变频器型号不匹配的情况或者电机在空载到额定负载范围内出现异常振动现象等适配性问题，买方有权终止合同，保留处罚卖方履约异常的权利，同时卖方应赔偿买方全额履约保证金</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卖方订单执行要求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乙方自合同生效后连续两次或一年内三次无法承接（不可抗力除外）订单，将视为供应商不能履约，此品类协议终止</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承诺项</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sz w:val="21"/>
                <w:szCs w:val="21"/>
                <w:lang w:val="en-US" w:eastAsia="zh-CN"/>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投标人在投标文件中承诺满足”的条款，要求投标人书面承诺</w:t>
            </w:r>
            <w:r>
              <w:rPr>
                <w:rFonts w:hint="eastAsia" w:ascii="宋体" w:hAnsi="宋体" w:cs="宋体"/>
                <w:i w:val="0"/>
                <w:iCs w:val="0"/>
                <w:color w:val="0D0D0D"/>
                <w:kern w:val="0"/>
                <w:sz w:val="18"/>
                <w:szCs w:val="18"/>
                <w:u w:val="none"/>
                <w:lang w:val="en-US" w:eastAsia="zh-CN" w:bidi="ar"/>
              </w:rPr>
              <w:t>，格式自拟。</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000000"/>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其它</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cs="宋体"/>
                <w:color w:val="000000"/>
                <w:szCs w:val="24"/>
              </w:rPr>
            </w:pPr>
            <w:r>
              <w:rPr>
                <w:rFonts w:hint="eastAsia" w:ascii="宋体" w:hAnsi="宋体" w:eastAsia="宋体" w:cs="宋体"/>
                <w:i w:val="0"/>
                <w:iCs w:val="0"/>
                <w:color w:val="0D0D0D"/>
                <w:kern w:val="0"/>
                <w:sz w:val="18"/>
                <w:szCs w:val="18"/>
                <w:u w:val="none"/>
                <w:lang w:val="en-US" w:eastAsia="zh-CN" w:bidi="ar"/>
              </w:rPr>
              <w:t>不存在国家法规和招标文件明确否决投标的其它条款和要求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hint="eastAsia" w:ascii="宋体" w:hAnsi="宋体" w:eastAsia="宋体" w:cs="宋体"/>
                <w:color w:val="000000"/>
                <w:sz w:val="21"/>
                <w:lang w:eastAsia="zh-CN"/>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一般指标偏离</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color w:val="000000"/>
                <w:sz w:val="21"/>
                <w:lang w:eastAsia="zh-CN"/>
              </w:rPr>
            </w:pPr>
            <w:r>
              <w:rPr>
                <w:rFonts w:hint="eastAsia" w:ascii="宋体" w:hAnsi="宋体" w:eastAsia="宋体" w:cs="宋体"/>
                <w:i w:val="0"/>
                <w:iCs w:val="0"/>
                <w:color w:val="0D0D0D"/>
                <w:kern w:val="0"/>
                <w:sz w:val="18"/>
                <w:szCs w:val="18"/>
                <w:u w:val="none"/>
                <w:lang w:val="en-US" w:eastAsia="zh-CN" w:bidi="ar"/>
              </w:rPr>
              <w:t>商务一般指标和技术一般指标中累计达到</w:t>
            </w:r>
            <w:r>
              <w:rPr>
                <w:rFonts w:hint="eastAsia" w:ascii="宋体" w:hAnsi="宋体" w:cs="宋体"/>
                <w:i w:val="0"/>
                <w:iCs w:val="0"/>
                <w:color w:val="0D0D0D"/>
                <w:kern w:val="0"/>
                <w:sz w:val="18"/>
                <w:szCs w:val="18"/>
                <w:u w:val="none"/>
                <w:lang w:val="en-US" w:eastAsia="zh-CN" w:bidi="ar"/>
              </w:rPr>
              <w:t>4</w:t>
            </w:r>
            <w:r>
              <w:rPr>
                <w:rFonts w:hint="eastAsia" w:ascii="宋体" w:hAnsi="宋体" w:eastAsia="宋体" w:cs="宋体"/>
                <w:i w:val="0"/>
                <w:iCs w:val="0"/>
                <w:color w:val="0D0D0D"/>
                <w:kern w:val="0"/>
                <w:sz w:val="18"/>
                <w:szCs w:val="18"/>
                <w:u w:val="none"/>
                <w:lang w:val="en-US" w:eastAsia="zh-CN" w:bidi="ar"/>
              </w:rPr>
              <w:t>项不满足招标文件要求的，结论为不合格。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502" w:hRule="atLeast"/>
        </w:trPr>
        <w:tc>
          <w:tcPr>
            <w:tcW w:w="7240" w:type="dxa"/>
            <w:gridSpan w:val="3"/>
            <w:tcBorders>
              <w:top w:val="single" w:color="auto" w:sz="4" w:space="0"/>
              <w:left w:val="single" w:color="auto" w:sz="4" w:space="0"/>
              <w:bottom w:val="single" w:color="auto" w:sz="4" w:space="0"/>
              <w:right w:val="single" w:color="000000"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结论</w:t>
            </w:r>
          </w:p>
        </w:tc>
        <w:tc>
          <w:tcPr>
            <w:tcW w:w="1833"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bl>
    <w:p>
      <w:pPr>
        <w:pStyle w:val="13"/>
        <w:jc w:val="left"/>
        <w:rPr>
          <w:rFonts w:ascii="宋体" w:hAnsi="宋体" w:cs="Arial"/>
          <w:b/>
          <w:kern w:val="0"/>
          <w:sz w:val="24"/>
        </w:rPr>
      </w:pPr>
    </w:p>
    <w:p>
      <w:pPr>
        <w:pStyle w:val="13"/>
        <w:jc w:val="left"/>
        <w:rPr>
          <w:b/>
        </w:rPr>
      </w:pPr>
      <w:r>
        <w:rPr>
          <w:rFonts w:hint="eastAsia" w:ascii="宋体" w:hAnsi="宋体" w:cs="Arial"/>
          <w:b/>
          <w:color w:val="000000"/>
          <w:kern w:val="0"/>
          <w:sz w:val="24"/>
        </w:rPr>
        <w:t>注：</w:t>
      </w:r>
    </w:p>
    <w:p>
      <w:pPr>
        <w:pStyle w:val="13"/>
        <w:widowControl/>
        <w:ind w:left="-1134" w:leftChars="-540"/>
        <w:rPr>
          <w:rFonts w:ascii="宋体" w:hAnsi="宋体" w:cs="Arial"/>
          <w:kern w:val="0"/>
          <w:szCs w:val="21"/>
        </w:rPr>
      </w:pPr>
      <w:r>
        <w:rPr>
          <w:rFonts w:hint="eastAsia" w:ascii="宋体" w:hAnsi="宋体" w:cs="Arial"/>
          <w:color w:val="000000"/>
          <w:kern w:val="0"/>
          <w:szCs w:val="21"/>
        </w:rPr>
        <w:t>1. 表格中：技术参数栏可填具体的数据或填“满足”、“不满足”；评议栏可填“符合”或“不符合”。</w:t>
      </w:r>
    </w:p>
    <w:p>
      <w:pPr>
        <w:pStyle w:val="13"/>
        <w:widowControl/>
        <w:ind w:left="-1134" w:leftChars="-540"/>
        <w:rPr>
          <w:rFonts w:ascii="宋体" w:hAnsi="宋体" w:cs="Arial"/>
          <w:kern w:val="0"/>
          <w:szCs w:val="21"/>
        </w:rPr>
      </w:pPr>
      <w:r>
        <w:rPr>
          <w:rFonts w:hint="eastAsia" w:ascii="宋体" w:hAnsi="宋体" w:cs="Arial"/>
          <w:color w:val="000000"/>
          <w:kern w:val="0"/>
          <w:szCs w:val="21"/>
        </w:rPr>
        <w:t>2.</w:t>
      </w:r>
      <w:r>
        <w:rPr>
          <w:rFonts w:hint="eastAsia" w:ascii="宋体" w:hAnsi="宋体"/>
          <w:bCs/>
          <w:color w:val="000000"/>
          <w:szCs w:val="21"/>
        </w:rPr>
        <w:t>带“★”的指标均为关键项指标，其余指标为一般技术指标。</w:t>
      </w:r>
      <w:r>
        <w:rPr>
          <w:rFonts w:hint="eastAsia" w:ascii="宋体" w:hAnsi="宋体" w:cs="Arial"/>
          <w:bCs/>
          <w:color w:val="000000"/>
          <w:kern w:val="0"/>
          <w:szCs w:val="21"/>
        </w:rPr>
        <w:t>关键项指标有一项为“不符合”</w:t>
      </w:r>
      <w:r>
        <w:rPr>
          <w:rFonts w:hint="eastAsia" w:ascii="宋体" w:hAnsi="宋体" w:cs="Arial"/>
          <w:color w:val="000000"/>
          <w:kern w:val="0"/>
          <w:szCs w:val="21"/>
        </w:rPr>
        <w:t>，技术评议结论即为“不合格”；一般技术指标，</w:t>
      </w:r>
    </w:p>
    <w:p>
      <w:pPr>
        <w:pStyle w:val="13"/>
        <w:autoSpaceDE w:val="0"/>
        <w:autoSpaceDN w:val="0"/>
        <w:adjustRightInd w:val="0"/>
        <w:spacing w:line="360" w:lineRule="auto"/>
        <w:ind w:left="-1134" w:leftChars="-540" w:right="-533" w:rightChars="-254"/>
        <w:rPr>
          <w:rFonts w:ascii="宋体" w:hAnsi="宋体"/>
          <w:bCs/>
          <w:szCs w:val="21"/>
        </w:rPr>
      </w:pPr>
      <w:r>
        <w:rPr>
          <w:rFonts w:hint="eastAsia" w:ascii="宋体" w:hAnsi="宋体" w:cs="Arial"/>
          <w:color w:val="000000"/>
          <w:kern w:val="0"/>
          <w:szCs w:val="21"/>
        </w:rPr>
        <w:t>实质性偏离，评议栏应填“不符合”，一般技术指标偏离累计达到 项的，</w:t>
      </w:r>
      <w:r>
        <w:rPr>
          <w:rFonts w:hint="eastAsia" w:ascii="宋体" w:hAnsi="宋体"/>
          <w:bCs/>
          <w:color w:val="000000"/>
          <w:szCs w:val="21"/>
        </w:rPr>
        <w:t>即视为技术评议结论为“不合格”。</w:t>
      </w:r>
    </w:p>
    <w:p>
      <w:pPr>
        <w:pStyle w:val="13"/>
        <w:autoSpaceDE w:val="0"/>
        <w:autoSpaceDN w:val="0"/>
        <w:adjustRightInd w:val="0"/>
        <w:spacing w:line="360" w:lineRule="auto"/>
        <w:ind w:left="-1134" w:leftChars="-540" w:right="-533" w:rightChars="-254"/>
        <w:rPr>
          <w:rFonts w:ascii="宋体" w:hAnsi="宋体"/>
          <w:bCs/>
          <w:szCs w:val="21"/>
        </w:rPr>
        <w:sectPr>
          <w:footerReference r:id="rId14" w:type="first"/>
          <w:pgSz w:w="11906" w:h="16838"/>
          <w:pgMar w:top="1440" w:right="1800" w:bottom="1440" w:left="1800" w:header="851" w:footer="992" w:gutter="0"/>
          <w:cols w:space="720" w:num="1"/>
          <w:titlePg/>
          <w:docGrid w:linePitch="312" w:charSpace="0"/>
        </w:sectPr>
      </w:pPr>
    </w:p>
    <w:p>
      <w:pPr>
        <w:pStyle w:val="14"/>
      </w:pPr>
    </w:p>
    <w:bookmarkEnd w:id="532"/>
    <w:p>
      <w:pPr>
        <w:pStyle w:val="13"/>
      </w:pPr>
      <w:bookmarkStart w:id="533" w:name="_Toc19562"/>
      <w:bookmarkStart w:id="534" w:name="_Toc2171"/>
      <w:r>
        <w:rPr>
          <w:rFonts w:hint="eastAsia" w:ascii="黑体" w:hAnsi="黑体" w:eastAsia="黑体"/>
          <w:b/>
          <w:bCs/>
          <w:sz w:val="44"/>
          <w:szCs w:val="44"/>
        </w:rPr>
        <w:t xml:space="preserve">第六章 </w:t>
      </w:r>
      <w:r>
        <w:rPr>
          <w:rFonts w:hint="eastAsia"/>
        </w:rPr>
        <w:t xml:space="preserve"> </w:t>
      </w:r>
      <w:r>
        <w:rPr>
          <w:rFonts w:hint="eastAsia" w:ascii="黑体" w:hAnsi="黑体" w:eastAsia="黑体"/>
          <w:b/>
          <w:bCs/>
          <w:sz w:val="44"/>
          <w:szCs w:val="44"/>
        </w:rPr>
        <w:t>资格预审申请文件格式</w:t>
      </w:r>
      <w:bookmarkEnd w:id="533"/>
      <w:bookmarkEnd w:id="534"/>
    </w:p>
    <w:p>
      <w:pPr>
        <w:pStyle w:val="13"/>
        <w:spacing w:line="400" w:lineRule="exact"/>
        <w:jc w:val="center"/>
        <w:outlineLvl w:val="1"/>
        <w:rPr>
          <w:b/>
          <w:sz w:val="28"/>
          <w:szCs w:val="28"/>
        </w:rPr>
      </w:pPr>
      <w:r>
        <w:rPr>
          <w:rFonts w:hint="eastAsia"/>
          <w:b/>
          <w:sz w:val="28"/>
          <w:szCs w:val="28"/>
        </w:rPr>
        <w:t>目    录</w:t>
      </w:r>
    </w:p>
    <w:p>
      <w:pPr>
        <w:pStyle w:val="13"/>
        <w:spacing w:line="400" w:lineRule="exact"/>
        <w:jc w:val="center"/>
        <w:rPr>
          <w:sz w:val="28"/>
          <w:szCs w:val="28"/>
        </w:rPr>
      </w:pPr>
    </w:p>
    <w:p>
      <w:pPr>
        <w:pStyle w:val="13"/>
        <w:numPr>
          <w:ilvl w:val="0"/>
          <w:numId w:val="48"/>
        </w:numPr>
        <w:spacing w:line="400" w:lineRule="exact"/>
        <w:ind w:left="0" w:firstLine="0"/>
        <w:outlineLvl w:val="1"/>
        <w:rPr>
          <w:sz w:val="28"/>
          <w:szCs w:val="28"/>
        </w:rPr>
      </w:pPr>
      <w:r>
        <w:rPr>
          <w:rFonts w:hint="eastAsia"/>
          <w:sz w:val="28"/>
          <w:szCs w:val="28"/>
        </w:rPr>
        <w:t>资格预审申请文件封面</w:t>
      </w:r>
    </w:p>
    <w:p>
      <w:pPr>
        <w:pStyle w:val="13"/>
        <w:numPr>
          <w:ilvl w:val="0"/>
          <w:numId w:val="48"/>
        </w:numPr>
        <w:spacing w:line="400" w:lineRule="exact"/>
        <w:ind w:left="0" w:firstLine="0"/>
        <w:outlineLvl w:val="1"/>
        <w:rPr>
          <w:sz w:val="28"/>
          <w:szCs w:val="28"/>
        </w:rPr>
      </w:pPr>
      <w:r>
        <w:rPr>
          <w:rFonts w:hint="eastAsia"/>
          <w:sz w:val="28"/>
          <w:szCs w:val="28"/>
        </w:rPr>
        <w:t>法人代表授权书</w:t>
      </w:r>
    </w:p>
    <w:p>
      <w:pPr>
        <w:pStyle w:val="13"/>
        <w:numPr>
          <w:ilvl w:val="0"/>
          <w:numId w:val="48"/>
        </w:numPr>
        <w:spacing w:line="400" w:lineRule="exact"/>
        <w:ind w:left="0" w:firstLine="0"/>
        <w:outlineLvl w:val="1"/>
        <w:rPr>
          <w:sz w:val="28"/>
          <w:szCs w:val="28"/>
        </w:rPr>
      </w:pPr>
      <w:r>
        <w:rPr>
          <w:rFonts w:hint="eastAsia"/>
          <w:sz w:val="28"/>
          <w:szCs w:val="28"/>
        </w:rPr>
        <w:t>法定代表人身份证明</w:t>
      </w:r>
    </w:p>
    <w:p>
      <w:pPr>
        <w:pStyle w:val="13"/>
        <w:numPr>
          <w:ilvl w:val="0"/>
          <w:numId w:val="48"/>
        </w:numPr>
        <w:spacing w:line="400" w:lineRule="exact"/>
        <w:ind w:left="0" w:firstLine="0"/>
        <w:outlineLvl w:val="1"/>
        <w:rPr>
          <w:sz w:val="28"/>
          <w:szCs w:val="28"/>
        </w:rPr>
      </w:pPr>
      <w:r>
        <w:rPr>
          <w:rFonts w:hint="eastAsia"/>
          <w:sz w:val="28"/>
          <w:szCs w:val="28"/>
        </w:rPr>
        <w:t>营业执照</w:t>
      </w:r>
    </w:p>
    <w:p>
      <w:pPr>
        <w:pStyle w:val="13"/>
        <w:numPr>
          <w:ilvl w:val="0"/>
          <w:numId w:val="48"/>
        </w:numPr>
        <w:spacing w:line="400" w:lineRule="exact"/>
        <w:ind w:left="0" w:firstLine="0"/>
        <w:outlineLvl w:val="1"/>
        <w:rPr>
          <w:sz w:val="28"/>
          <w:szCs w:val="28"/>
        </w:rPr>
      </w:pPr>
      <w:r>
        <w:rPr>
          <w:rFonts w:hint="eastAsia"/>
          <w:sz w:val="28"/>
          <w:szCs w:val="28"/>
        </w:rPr>
        <w:t>承诺书</w:t>
      </w:r>
    </w:p>
    <w:p>
      <w:pPr>
        <w:pStyle w:val="13"/>
        <w:numPr>
          <w:ilvl w:val="0"/>
          <w:numId w:val="48"/>
        </w:numPr>
        <w:spacing w:line="400" w:lineRule="exact"/>
        <w:ind w:left="0" w:firstLine="0"/>
        <w:outlineLvl w:val="1"/>
        <w:rPr>
          <w:sz w:val="28"/>
          <w:szCs w:val="28"/>
        </w:rPr>
      </w:pPr>
      <w:r>
        <w:rPr>
          <w:rFonts w:hint="eastAsia"/>
          <w:sz w:val="28"/>
          <w:szCs w:val="28"/>
        </w:rPr>
        <w:t>公司简介及公司组织架构图</w:t>
      </w:r>
    </w:p>
    <w:p>
      <w:pPr>
        <w:pStyle w:val="13"/>
        <w:numPr>
          <w:ilvl w:val="0"/>
          <w:numId w:val="48"/>
        </w:numPr>
        <w:spacing w:line="400" w:lineRule="exact"/>
        <w:outlineLvl w:val="1"/>
        <w:rPr>
          <w:sz w:val="28"/>
          <w:szCs w:val="28"/>
        </w:rPr>
      </w:pPr>
      <w:r>
        <w:rPr>
          <w:rFonts w:hint="eastAsia"/>
          <w:sz w:val="28"/>
          <w:szCs w:val="28"/>
        </w:rPr>
        <w:t>近三年（</w:t>
      </w:r>
      <w:r>
        <w:rPr>
          <w:rFonts w:hint="eastAsia"/>
          <w:sz w:val="28"/>
          <w:szCs w:val="28"/>
          <w:lang w:eastAsia="zh-CN"/>
        </w:rPr>
        <w:t>202</w:t>
      </w:r>
      <w:r>
        <w:rPr>
          <w:rFonts w:hint="eastAsia"/>
          <w:sz w:val="28"/>
          <w:szCs w:val="28"/>
          <w:lang w:val="en-US" w:eastAsia="zh-CN"/>
        </w:rPr>
        <w:t>1</w:t>
      </w:r>
      <w:r>
        <w:rPr>
          <w:rFonts w:hint="eastAsia"/>
          <w:sz w:val="28"/>
          <w:szCs w:val="28"/>
          <w:lang w:eastAsia="zh-CN"/>
        </w:rPr>
        <w:t>-202</w:t>
      </w:r>
      <w:r>
        <w:rPr>
          <w:rFonts w:hint="eastAsia"/>
          <w:sz w:val="28"/>
          <w:szCs w:val="28"/>
          <w:lang w:val="en-US" w:eastAsia="zh-CN"/>
        </w:rPr>
        <w:t>3</w:t>
      </w:r>
      <w:r>
        <w:rPr>
          <w:rFonts w:hint="eastAsia"/>
          <w:sz w:val="28"/>
          <w:szCs w:val="28"/>
        </w:rPr>
        <w:t>年）经审计的财务报表</w:t>
      </w:r>
      <w:r>
        <w:rPr>
          <w:sz w:val="28"/>
          <w:szCs w:val="28"/>
        </w:rPr>
        <w:t xml:space="preserve"> </w:t>
      </w:r>
    </w:p>
    <w:p>
      <w:pPr>
        <w:pStyle w:val="13"/>
        <w:numPr>
          <w:ilvl w:val="0"/>
          <w:numId w:val="48"/>
        </w:numPr>
        <w:spacing w:line="400" w:lineRule="exact"/>
        <w:ind w:left="0" w:firstLine="0"/>
        <w:outlineLvl w:val="1"/>
        <w:rPr>
          <w:sz w:val="28"/>
          <w:szCs w:val="28"/>
        </w:rPr>
      </w:pPr>
      <w:r>
        <w:rPr>
          <w:rFonts w:hint="eastAsia"/>
          <w:sz w:val="28"/>
          <w:szCs w:val="28"/>
        </w:rPr>
        <w:t>相关证书（如有）</w:t>
      </w:r>
    </w:p>
    <w:p>
      <w:pPr>
        <w:pStyle w:val="13"/>
        <w:numPr>
          <w:ilvl w:val="0"/>
          <w:numId w:val="48"/>
        </w:numPr>
        <w:spacing w:line="400" w:lineRule="exact"/>
        <w:ind w:left="0" w:firstLine="0"/>
        <w:outlineLvl w:val="1"/>
        <w:rPr>
          <w:sz w:val="28"/>
          <w:szCs w:val="28"/>
        </w:rPr>
      </w:pPr>
      <w:r>
        <w:rPr>
          <w:rFonts w:hint="eastAsia"/>
          <w:sz w:val="28"/>
          <w:szCs w:val="28"/>
        </w:rPr>
        <w:t>投标材料质量标准的详细描述</w:t>
      </w:r>
    </w:p>
    <w:p>
      <w:pPr>
        <w:pStyle w:val="13"/>
        <w:numPr>
          <w:ilvl w:val="0"/>
          <w:numId w:val="48"/>
        </w:numPr>
        <w:spacing w:line="400" w:lineRule="exact"/>
        <w:ind w:left="0" w:firstLine="0"/>
        <w:outlineLvl w:val="1"/>
        <w:rPr>
          <w:sz w:val="28"/>
          <w:szCs w:val="28"/>
        </w:rPr>
      </w:pPr>
      <w:r>
        <w:rPr>
          <w:rFonts w:hint="eastAsia"/>
          <w:sz w:val="28"/>
          <w:szCs w:val="28"/>
        </w:rPr>
        <w:t>业绩合同扫描件</w:t>
      </w:r>
    </w:p>
    <w:p>
      <w:pPr>
        <w:pStyle w:val="13"/>
        <w:numPr>
          <w:ilvl w:val="0"/>
          <w:numId w:val="48"/>
        </w:numPr>
        <w:spacing w:line="400" w:lineRule="exact"/>
        <w:ind w:left="0" w:firstLine="0"/>
        <w:outlineLvl w:val="1"/>
        <w:rPr>
          <w:sz w:val="28"/>
          <w:szCs w:val="28"/>
        </w:rPr>
      </w:pPr>
      <w:r>
        <w:rPr>
          <w:rFonts w:hint="eastAsia"/>
          <w:sz w:val="28"/>
          <w:szCs w:val="28"/>
        </w:rPr>
        <w:t>提交的资格预审申请文件的电子版</w:t>
      </w:r>
    </w:p>
    <w:p>
      <w:pPr>
        <w:pStyle w:val="13"/>
        <w:numPr>
          <w:ilvl w:val="0"/>
          <w:numId w:val="48"/>
        </w:numPr>
        <w:spacing w:line="400" w:lineRule="exact"/>
        <w:ind w:left="0" w:firstLine="0"/>
        <w:outlineLvl w:val="1"/>
        <w:rPr>
          <w:sz w:val="28"/>
          <w:szCs w:val="28"/>
        </w:rPr>
      </w:pPr>
      <w:r>
        <w:rPr>
          <w:rFonts w:hint="eastAsia"/>
          <w:sz w:val="28"/>
          <w:szCs w:val="28"/>
        </w:rPr>
        <w:t>信誉证明材料</w:t>
      </w:r>
    </w:p>
    <w:p>
      <w:pPr>
        <w:pStyle w:val="13"/>
        <w:numPr>
          <w:ilvl w:val="0"/>
          <w:numId w:val="48"/>
        </w:numPr>
        <w:spacing w:line="400" w:lineRule="exact"/>
        <w:ind w:left="0" w:firstLine="0"/>
        <w:outlineLvl w:val="1"/>
        <w:rPr>
          <w:sz w:val="28"/>
          <w:szCs w:val="28"/>
        </w:rPr>
      </w:pPr>
      <w:r>
        <w:rPr>
          <w:rFonts w:hint="eastAsia"/>
          <w:sz w:val="28"/>
          <w:szCs w:val="28"/>
        </w:rPr>
        <w:t>供货计划、生产能力和保障措施</w:t>
      </w:r>
    </w:p>
    <w:p>
      <w:pPr>
        <w:pStyle w:val="13"/>
        <w:numPr>
          <w:ilvl w:val="0"/>
          <w:numId w:val="48"/>
        </w:numPr>
        <w:spacing w:line="400" w:lineRule="exact"/>
        <w:ind w:left="0" w:firstLine="0"/>
        <w:outlineLvl w:val="1"/>
        <w:rPr>
          <w:sz w:val="28"/>
          <w:szCs w:val="28"/>
        </w:rPr>
      </w:pPr>
      <w:r>
        <w:rPr>
          <w:rFonts w:hint="eastAsia"/>
          <w:sz w:val="28"/>
          <w:szCs w:val="28"/>
        </w:rPr>
        <w:t>售后服务和现场技术支持方案</w:t>
      </w:r>
    </w:p>
    <w:p>
      <w:pPr>
        <w:pStyle w:val="13"/>
        <w:numPr>
          <w:ilvl w:val="0"/>
          <w:numId w:val="48"/>
        </w:numPr>
        <w:spacing w:line="400" w:lineRule="exact"/>
        <w:ind w:left="0" w:firstLine="0"/>
        <w:outlineLvl w:val="1"/>
        <w:rPr>
          <w:sz w:val="28"/>
          <w:szCs w:val="28"/>
        </w:rPr>
      </w:pPr>
      <w:r>
        <w:rPr>
          <w:rFonts w:hint="eastAsia"/>
          <w:sz w:val="28"/>
          <w:szCs w:val="28"/>
        </w:rPr>
        <w:t>申请人认为有必要提交的其他支持性材料</w:t>
      </w:r>
    </w:p>
    <w:p>
      <w:pPr>
        <w:pStyle w:val="13"/>
        <w:numPr>
          <w:ilvl w:val="0"/>
          <w:numId w:val="48"/>
        </w:numPr>
        <w:spacing w:line="400" w:lineRule="exact"/>
        <w:ind w:left="0" w:firstLine="0"/>
        <w:outlineLvl w:val="1"/>
        <w:rPr>
          <w:sz w:val="28"/>
          <w:szCs w:val="28"/>
        </w:rPr>
      </w:pPr>
      <w:r>
        <w:rPr>
          <w:rFonts w:hint="eastAsia"/>
          <w:sz w:val="28"/>
          <w:szCs w:val="28"/>
        </w:rPr>
        <w:t>商务偏离表</w:t>
      </w:r>
    </w:p>
    <w:p>
      <w:pPr>
        <w:pStyle w:val="13"/>
        <w:numPr>
          <w:ilvl w:val="0"/>
          <w:numId w:val="48"/>
        </w:numPr>
        <w:spacing w:line="400" w:lineRule="exact"/>
        <w:ind w:left="0" w:firstLine="0"/>
        <w:outlineLvl w:val="1"/>
        <w:rPr>
          <w:sz w:val="28"/>
          <w:szCs w:val="28"/>
        </w:rPr>
      </w:pPr>
      <w:r>
        <w:rPr>
          <w:rFonts w:hint="eastAsia"/>
          <w:sz w:val="28"/>
          <w:szCs w:val="28"/>
        </w:rPr>
        <w:t>技术偏离表</w:t>
      </w:r>
    </w:p>
    <w:p>
      <w:pPr>
        <w:pStyle w:val="13"/>
        <w:numPr>
          <w:ilvl w:val="0"/>
          <w:numId w:val="48"/>
        </w:numPr>
        <w:spacing w:line="400" w:lineRule="exact"/>
        <w:ind w:left="0" w:firstLine="0"/>
        <w:outlineLvl w:val="1"/>
        <w:rPr>
          <w:sz w:val="28"/>
          <w:szCs w:val="28"/>
        </w:rPr>
      </w:pPr>
      <w:r>
        <w:rPr>
          <w:rFonts w:hint="eastAsia"/>
          <w:sz w:val="28"/>
          <w:szCs w:val="28"/>
        </w:rPr>
        <w:t>投标函</w:t>
      </w:r>
    </w:p>
    <w:p>
      <w:pPr>
        <w:pStyle w:val="13"/>
        <w:spacing w:line="400" w:lineRule="exact"/>
        <w:outlineLvl w:val="1"/>
        <w:rPr>
          <w:sz w:val="28"/>
          <w:szCs w:val="28"/>
        </w:rPr>
      </w:pPr>
      <w:r>
        <w:rPr>
          <w:rFonts w:hint="eastAsia"/>
          <w:sz w:val="28"/>
          <w:szCs w:val="28"/>
        </w:rPr>
        <w:t>19）对本项目技术要求的其他响应文件</w:t>
      </w:r>
    </w:p>
    <w:p>
      <w:pPr>
        <w:pStyle w:val="13"/>
        <w:spacing w:line="400" w:lineRule="exact"/>
        <w:rPr>
          <w:sz w:val="28"/>
          <w:szCs w:val="28"/>
        </w:rPr>
      </w:pPr>
    </w:p>
    <w:p>
      <w:pPr>
        <w:pStyle w:val="13"/>
        <w:spacing w:line="400" w:lineRule="exact"/>
        <w:rPr>
          <w:sz w:val="28"/>
          <w:szCs w:val="28"/>
        </w:rPr>
        <w:sectPr>
          <w:pgSz w:w="11906" w:h="16838"/>
          <w:pgMar w:top="1440" w:right="1800" w:bottom="1440" w:left="1800" w:header="851" w:footer="992" w:gutter="0"/>
          <w:cols w:space="720" w:num="1"/>
          <w:titlePg/>
          <w:docGrid w:linePitch="312" w:charSpace="0"/>
        </w:sectPr>
      </w:pPr>
    </w:p>
    <w:p>
      <w:pPr>
        <w:pStyle w:val="13"/>
        <w:spacing w:after="100" w:afterAutospacing="1" w:line="400" w:lineRule="exact"/>
        <w:rPr>
          <w:b/>
          <w:sz w:val="28"/>
          <w:szCs w:val="28"/>
        </w:rPr>
      </w:pPr>
      <w:r>
        <w:rPr>
          <w:rFonts w:hint="eastAsia"/>
          <w:b/>
          <w:sz w:val="28"/>
          <w:szCs w:val="28"/>
        </w:rPr>
        <w:t>1）资格预审申请文件封面</w:t>
      </w: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00" w:lineRule="exact"/>
        <w:jc w:val="center"/>
        <w:outlineLvl w:val="0"/>
        <w:rPr>
          <w:rFonts w:ascii="黑体" w:eastAsia="黑体"/>
          <w:sz w:val="28"/>
          <w:szCs w:val="28"/>
        </w:rPr>
      </w:pPr>
      <w:bookmarkStart w:id="535" w:name="_Toc10497"/>
      <w:bookmarkStart w:id="536" w:name="_Toc16225"/>
      <w:r>
        <w:rPr>
          <w:rFonts w:hint="eastAsia" w:ascii="黑体" w:eastAsia="黑体"/>
          <w:sz w:val="28"/>
          <w:szCs w:val="28"/>
        </w:rPr>
        <w:t>中海油能源发展股份有限公司</w:t>
      </w:r>
      <w:bookmarkEnd w:id="535"/>
      <w:bookmarkEnd w:id="536"/>
    </w:p>
    <w:p>
      <w:pPr>
        <w:pStyle w:val="13"/>
        <w:spacing w:line="400" w:lineRule="exact"/>
        <w:jc w:val="center"/>
        <w:outlineLvl w:val="0"/>
        <w:rPr>
          <w:rFonts w:ascii="黑体" w:eastAsia="黑体"/>
          <w:sz w:val="28"/>
          <w:szCs w:val="28"/>
        </w:rPr>
      </w:pPr>
      <w:bookmarkStart w:id="537" w:name="_Toc24660"/>
      <w:bookmarkStart w:id="538" w:name="_Toc12638"/>
      <w:r>
        <w:rPr>
          <w:rFonts w:hint="eastAsia" w:ascii="黑体" w:eastAsia="黑体"/>
          <w:sz w:val="28"/>
          <w:szCs w:val="28"/>
          <w:lang w:eastAsia="zh-CN"/>
        </w:rPr>
        <w:t>工程技术公司永磁系列潜油电机等物资采购专有协议--标段三</w:t>
      </w:r>
      <w:r>
        <w:rPr>
          <w:rFonts w:hint="eastAsia" w:ascii="黑体" w:eastAsia="黑体"/>
          <w:sz w:val="28"/>
          <w:szCs w:val="28"/>
        </w:rPr>
        <w:t xml:space="preserve"> </w:t>
      </w:r>
    </w:p>
    <w:p>
      <w:pPr>
        <w:pStyle w:val="13"/>
        <w:spacing w:line="400" w:lineRule="exact"/>
        <w:jc w:val="center"/>
        <w:outlineLvl w:val="0"/>
        <w:rPr>
          <w:rFonts w:ascii="黑体" w:eastAsia="黑体"/>
          <w:sz w:val="28"/>
          <w:szCs w:val="28"/>
        </w:rPr>
      </w:pPr>
      <w:r>
        <w:rPr>
          <w:rFonts w:hint="eastAsia" w:ascii="黑体" w:eastAsia="黑体"/>
          <w:sz w:val="28"/>
          <w:szCs w:val="28"/>
        </w:rPr>
        <w:t>供应商</w:t>
      </w:r>
      <w:bookmarkEnd w:id="537"/>
      <w:bookmarkEnd w:id="538"/>
      <w:bookmarkStart w:id="539" w:name="_Toc1251"/>
      <w:bookmarkStart w:id="540" w:name="_Toc12778"/>
      <w:r>
        <w:rPr>
          <w:rFonts w:hint="eastAsia" w:ascii="黑体" w:eastAsia="黑体"/>
          <w:sz w:val="28"/>
          <w:szCs w:val="28"/>
        </w:rPr>
        <w:t>资格审查项目</w:t>
      </w:r>
      <w:bookmarkEnd w:id="539"/>
      <w:bookmarkEnd w:id="540"/>
    </w:p>
    <w:p>
      <w:pPr>
        <w:pStyle w:val="13"/>
        <w:jc w:val="center"/>
        <w:rPr>
          <w:sz w:val="28"/>
          <w:szCs w:val="28"/>
        </w:rPr>
      </w:pPr>
    </w:p>
    <w:p>
      <w:pPr>
        <w:pStyle w:val="13"/>
        <w:jc w:val="center"/>
        <w:rPr>
          <w:sz w:val="28"/>
          <w:szCs w:val="28"/>
        </w:rPr>
      </w:pPr>
    </w:p>
    <w:p>
      <w:pPr>
        <w:pStyle w:val="13"/>
        <w:jc w:val="center"/>
        <w:outlineLvl w:val="1"/>
        <w:rPr>
          <w:rFonts w:ascii="黑体" w:eastAsia="黑体"/>
          <w:sz w:val="44"/>
          <w:szCs w:val="44"/>
        </w:rPr>
      </w:pPr>
      <w:r>
        <w:rPr>
          <w:rFonts w:hint="eastAsia" w:ascii="黑体" w:eastAsia="黑体"/>
          <w:sz w:val="44"/>
          <w:szCs w:val="44"/>
        </w:rPr>
        <w:t>资格预审申请文件</w:t>
      </w:r>
    </w:p>
    <w:p>
      <w:pPr>
        <w:pStyle w:val="13"/>
        <w:jc w:val="center"/>
        <w:outlineLvl w:val="1"/>
        <w:rPr>
          <w:rFonts w:ascii="黑体" w:eastAsia="黑体"/>
          <w:sz w:val="44"/>
          <w:szCs w:val="44"/>
        </w:rPr>
      </w:pPr>
      <w:r>
        <w:rPr>
          <w:rFonts w:hint="eastAsia" w:ascii="黑体" w:eastAsia="黑体"/>
          <w:sz w:val="44"/>
          <w:szCs w:val="44"/>
        </w:rPr>
        <w:t>采办包（中海油能源发展股份有限公司</w:t>
      </w:r>
      <w:r>
        <w:rPr>
          <w:rFonts w:hint="eastAsia" w:ascii="黑体" w:eastAsia="黑体"/>
          <w:sz w:val="44"/>
          <w:szCs w:val="44"/>
          <w:lang w:eastAsia="zh-CN"/>
        </w:rPr>
        <w:t>工程技术公司永磁系列潜油电机等物资采购专有协议--标段三</w:t>
      </w:r>
      <w:r>
        <w:rPr>
          <w:rFonts w:hint="eastAsia" w:ascii="黑体" w:eastAsia="黑体"/>
          <w:sz w:val="44"/>
          <w:szCs w:val="44"/>
        </w:rPr>
        <w:t xml:space="preserve"> ）：</w:t>
      </w:r>
    </w:p>
    <w:p>
      <w:pPr>
        <w:pStyle w:val="13"/>
        <w:spacing w:line="400" w:lineRule="exact"/>
      </w:pPr>
    </w:p>
    <w:p>
      <w:pPr>
        <w:pStyle w:val="13"/>
        <w:spacing w:line="400" w:lineRule="exact"/>
      </w:pPr>
    </w:p>
    <w:p>
      <w:pPr>
        <w:pStyle w:val="13"/>
        <w:spacing w:line="400" w:lineRule="exact"/>
        <w:jc w:val="center"/>
        <w:outlineLvl w:val="1"/>
      </w:pPr>
      <w:r>
        <w:rPr>
          <w:rFonts w:hint="eastAsia"/>
        </w:rPr>
        <w:t>资格预审编号： XXXXXXXX</w:t>
      </w: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80" w:lineRule="auto"/>
        <w:ind w:firstLine="1260" w:firstLineChars="450"/>
        <w:outlineLvl w:val="1"/>
        <w:rPr>
          <w:rFonts w:ascii="黑体" w:eastAsia="黑体"/>
          <w:sz w:val="28"/>
          <w:szCs w:val="28"/>
        </w:rPr>
      </w:pPr>
      <w:r>
        <w:rPr>
          <w:rFonts w:hint="eastAsia" w:ascii="黑体" w:eastAsia="黑体"/>
          <w:sz w:val="28"/>
          <w:szCs w:val="28"/>
        </w:rPr>
        <w:t>申请人：</w:t>
      </w:r>
      <w:r>
        <w:rPr>
          <w:rFonts w:hint="eastAsia"/>
          <w:u w:val="single"/>
        </w:rPr>
        <w:t xml:space="preserve">                               </w:t>
      </w:r>
      <w:r>
        <w:rPr>
          <w:rFonts w:hint="eastAsia" w:ascii="黑体" w:eastAsia="黑体"/>
          <w:sz w:val="28"/>
          <w:szCs w:val="28"/>
        </w:rPr>
        <w:t>（盖单位章）</w:t>
      </w:r>
    </w:p>
    <w:p>
      <w:pPr>
        <w:pStyle w:val="13"/>
        <w:spacing w:line="480" w:lineRule="auto"/>
        <w:jc w:val="center"/>
        <w:outlineLvl w:val="0"/>
        <w:rPr>
          <w:rFonts w:ascii="黑体" w:eastAsia="黑体"/>
          <w:sz w:val="28"/>
          <w:szCs w:val="28"/>
        </w:rPr>
      </w:pPr>
      <w:bookmarkStart w:id="541" w:name="_Toc7437"/>
      <w:bookmarkStart w:id="542" w:name="_Toc25139"/>
      <w:r>
        <w:rPr>
          <w:rFonts w:hint="eastAsia" w:ascii="黑体" w:eastAsia="黑体"/>
          <w:sz w:val="28"/>
          <w:szCs w:val="28"/>
        </w:rPr>
        <w:t>法定代表人或其委托代理人：</w:t>
      </w:r>
      <w:r>
        <w:rPr>
          <w:rFonts w:hint="eastAsia"/>
          <w:u w:val="single"/>
        </w:rPr>
        <w:t xml:space="preserve">            </w:t>
      </w:r>
      <w:r>
        <w:rPr>
          <w:rFonts w:hint="eastAsia" w:ascii="黑体" w:eastAsia="黑体"/>
          <w:sz w:val="28"/>
          <w:szCs w:val="28"/>
        </w:rPr>
        <w:t>（签字）</w:t>
      </w:r>
      <w:bookmarkEnd w:id="541"/>
      <w:bookmarkEnd w:id="542"/>
    </w:p>
    <w:p>
      <w:pPr>
        <w:pStyle w:val="13"/>
        <w:spacing w:after="100" w:afterAutospacing="1" w:line="400" w:lineRule="exact"/>
        <w:ind w:left="420"/>
        <w:jc w:val="center"/>
        <w:outlineLvl w:val="0"/>
        <w:rPr>
          <w:rFonts w:ascii="黑体" w:eastAsia="黑体"/>
          <w:sz w:val="28"/>
          <w:szCs w:val="28"/>
        </w:rPr>
      </w:pPr>
      <w:bookmarkStart w:id="543" w:name="_Toc1468"/>
      <w:bookmarkStart w:id="544" w:name="_Toc10300"/>
      <w:r>
        <w:rPr>
          <w:rFonts w:hint="eastAsia" w:ascii="黑体" w:eastAsia="黑体"/>
          <w:sz w:val="28"/>
          <w:szCs w:val="28"/>
        </w:rPr>
        <w:t>202</w:t>
      </w:r>
      <w:r>
        <w:rPr>
          <w:rFonts w:hint="eastAsia" w:ascii="黑体" w:eastAsia="黑体"/>
          <w:sz w:val="28"/>
          <w:szCs w:val="28"/>
          <w:lang w:val="en-US" w:eastAsia="zh-CN"/>
        </w:rPr>
        <w:t>5</w:t>
      </w:r>
      <w:r>
        <w:rPr>
          <w:rFonts w:hint="eastAsia" w:ascii="黑体" w:eastAsia="黑体"/>
          <w:sz w:val="28"/>
          <w:szCs w:val="28"/>
        </w:rPr>
        <w:t>年XX月XX日</w:t>
      </w:r>
      <w:bookmarkEnd w:id="543"/>
      <w:bookmarkEnd w:id="544"/>
    </w:p>
    <w:p>
      <w:pPr>
        <w:pStyle w:val="4"/>
        <w:ind w:firstLine="0" w:firstLineChars="0"/>
        <w:rPr>
          <w:rFonts w:ascii="黑体" w:eastAsia="黑体"/>
          <w:sz w:val="18"/>
          <w:szCs w:val="18"/>
        </w:rPr>
      </w:pPr>
    </w:p>
    <w:p>
      <w:pPr>
        <w:pStyle w:val="13"/>
        <w:autoSpaceDE w:val="0"/>
        <w:autoSpaceDN w:val="0"/>
        <w:adjustRightInd w:val="0"/>
        <w:ind w:right="84" w:rightChars="40"/>
        <w:sectPr>
          <w:footerReference r:id="rId15" w:type="first"/>
          <w:pgSz w:w="11906" w:h="16838"/>
          <w:pgMar w:top="1440" w:right="1800" w:bottom="1440" w:left="1800" w:header="851" w:footer="992" w:gutter="0"/>
          <w:cols w:space="720" w:num="1"/>
          <w:titlePg/>
          <w:docGrid w:linePitch="312" w:charSpace="0"/>
        </w:sectPr>
      </w:pPr>
    </w:p>
    <w:p>
      <w:pPr>
        <w:pStyle w:val="13"/>
        <w:spacing w:after="100" w:afterAutospacing="1" w:line="400" w:lineRule="exact"/>
        <w:rPr>
          <w:b/>
          <w:sz w:val="28"/>
          <w:szCs w:val="28"/>
        </w:rPr>
      </w:pPr>
      <w:r>
        <w:rPr>
          <w:rFonts w:hint="eastAsia"/>
          <w:b/>
          <w:sz w:val="28"/>
          <w:szCs w:val="28"/>
        </w:rPr>
        <w:t>2）法人代表授权书</w:t>
      </w:r>
    </w:p>
    <w:p>
      <w:pPr>
        <w:pStyle w:val="13"/>
        <w:autoSpaceDE w:val="0"/>
        <w:autoSpaceDN w:val="0"/>
        <w:adjustRightInd w:val="0"/>
        <w:ind w:right="84" w:rightChars="40"/>
        <w:rPr>
          <w:rFonts w:ascii="黑体" w:hAnsi="黑体" w:eastAsia="黑体"/>
          <w:sz w:val="24"/>
        </w:rPr>
      </w:pPr>
    </w:p>
    <w:p>
      <w:pPr>
        <w:pStyle w:val="13"/>
        <w:spacing w:line="400" w:lineRule="exact"/>
        <w:rPr>
          <w:szCs w:val="21"/>
        </w:rPr>
      </w:pPr>
    </w:p>
    <w:p>
      <w:pPr>
        <w:pStyle w:val="13"/>
        <w:spacing w:line="400" w:lineRule="exact"/>
        <w:rPr>
          <w:szCs w:val="21"/>
        </w:rPr>
      </w:pPr>
    </w:p>
    <w:p>
      <w:pPr>
        <w:pStyle w:val="13"/>
        <w:spacing w:line="400" w:lineRule="exact"/>
        <w:jc w:val="center"/>
        <w:outlineLvl w:val="0"/>
        <w:rPr>
          <w:b/>
          <w:sz w:val="30"/>
          <w:szCs w:val="30"/>
        </w:rPr>
      </w:pPr>
      <w:r>
        <w:rPr>
          <w:rFonts w:hint="eastAsia"/>
          <w:b/>
          <w:sz w:val="30"/>
          <w:szCs w:val="30"/>
        </w:rPr>
        <w:t>法人代表授权书</w:t>
      </w:r>
    </w:p>
    <w:p>
      <w:pPr>
        <w:pStyle w:val="13"/>
        <w:spacing w:line="400" w:lineRule="exact"/>
        <w:rPr>
          <w:szCs w:val="21"/>
        </w:rPr>
      </w:pPr>
    </w:p>
    <w:p>
      <w:pPr>
        <w:pStyle w:val="13"/>
        <w:spacing w:line="400" w:lineRule="exact"/>
        <w:rPr>
          <w:szCs w:val="21"/>
        </w:rPr>
      </w:pPr>
    </w:p>
    <w:p>
      <w:pPr>
        <w:pStyle w:val="13"/>
        <w:spacing w:line="360" w:lineRule="auto"/>
        <w:ind w:right="-533" w:rightChars="-254" w:firstLine="600" w:firstLineChars="25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（申请人名称）位于</w:t>
      </w:r>
      <w:r>
        <w:rPr>
          <w:rFonts w:hint="eastAsia"/>
          <w:sz w:val="24"/>
          <w:u w:val="single"/>
        </w:rPr>
        <w:t xml:space="preserve">                    </w:t>
      </w:r>
      <w:r>
        <w:rPr>
          <w:rFonts w:hint="eastAsia"/>
          <w:sz w:val="24"/>
        </w:rPr>
        <w:t xml:space="preserve">          </w:t>
      </w:r>
    </w:p>
    <w:p>
      <w:pPr>
        <w:pStyle w:val="13"/>
        <w:spacing w:line="360" w:lineRule="auto"/>
        <w:ind w:right="-533" w:rightChars="-254"/>
        <w:rPr>
          <w:sz w:val="24"/>
        </w:rPr>
      </w:pPr>
      <w:r>
        <w:rPr>
          <w:rFonts w:hint="eastAsia"/>
          <w:sz w:val="24"/>
          <w:u w:val="single"/>
        </w:rPr>
        <w:t xml:space="preserve">                     </w:t>
      </w:r>
      <w:r>
        <w:rPr>
          <w:rFonts w:hint="eastAsia"/>
          <w:sz w:val="24"/>
        </w:rPr>
        <w:t>（法定地址）的法定代表人，现委托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中海油能源发展股份有限公司</w:t>
      </w:r>
      <w:r>
        <w:rPr>
          <w:rFonts w:hint="eastAsia"/>
          <w:sz w:val="24"/>
          <w:u w:val="single"/>
          <w:lang w:eastAsia="zh-CN"/>
        </w:rPr>
        <w:t>工程技术公司永磁系列潜油电机等物资采购专有协议--标段三</w:t>
      </w:r>
      <w:r>
        <w:rPr>
          <w:rFonts w:hint="eastAsia"/>
          <w:sz w:val="24"/>
          <w:u w:val="single"/>
        </w:rPr>
        <w:t xml:space="preserve"> 供应商资格审查项目采办包</w:t>
      </w:r>
      <w:r>
        <w:rPr>
          <w:rFonts w:hint="eastAsia"/>
          <w:sz w:val="24"/>
        </w:rPr>
        <w:t>投标文件、签订合同和处理有关事宜，其法律后果由我方承担。</w:t>
      </w:r>
    </w:p>
    <w:p>
      <w:pPr>
        <w:pStyle w:val="13"/>
        <w:spacing w:line="360" w:lineRule="auto"/>
        <w:ind w:right="-533" w:rightChars="-254"/>
        <w:rPr>
          <w:sz w:val="24"/>
        </w:rPr>
      </w:pPr>
      <w:r>
        <w:rPr>
          <w:rFonts w:hint="eastAsia"/>
          <w:sz w:val="24"/>
        </w:rPr>
        <w:t>委托期限：</w:t>
      </w:r>
      <w:r>
        <w:rPr>
          <w:rFonts w:hint="eastAsia"/>
          <w:sz w:val="24"/>
          <w:u w:val="single"/>
        </w:rPr>
        <w:t xml:space="preserve">                                </w:t>
      </w:r>
    </w:p>
    <w:p>
      <w:pPr>
        <w:pStyle w:val="13"/>
        <w:spacing w:line="360" w:lineRule="auto"/>
        <w:ind w:right="-533" w:rightChars="-254"/>
        <w:rPr>
          <w:sz w:val="24"/>
        </w:rPr>
      </w:pPr>
      <w:r>
        <w:rPr>
          <w:rFonts w:hint="eastAsia"/>
          <w:sz w:val="24"/>
        </w:rPr>
        <w:t>代理人无转委托权。</w:t>
      </w:r>
    </w:p>
    <w:p>
      <w:pPr>
        <w:pStyle w:val="13"/>
        <w:spacing w:line="360" w:lineRule="auto"/>
        <w:ind w:right="-533" w:rightChars="-254"/>
        <w:rPr>
          <w:sz w:val="24"/>
        </w:rPr>
      </w:pPr>
      <w:r>
        <w:rPr>
          <w:rFonts w:hint="eastAsia"/>
          <w:sz w:val="24"/>
        </w:rPr>
        <w:t>附：法定代表人身份证明</w:t>
      </w:r>
    </w:p>
    <w:p>
      <w:pPr>
        <w:pStyle w:val="13"/>
        <w:spacing w:line="360" w:lineRule="auto"/>
        <w:ind w:right="-533" w:rightChars="-254"/>
        <w:rPr>
          <w:sz w:val="24"/>
        </w:rPr>
      </w:pPr>
    </w:p>
    <w:p>
      <w:pPr>
        <w:pStyle w:val="13"/>
        <w:spacing w:line="360" w:lineRule="auto"/>
        <w:ind w:right="-533" w:rightChars="-254"/>
        <w:rPr>
          <w:sz w:val="24"/>
        </w:rPr>
      </w:pP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 xml:space="preserve">申请人： </w:t>
      </w:r>
      <w:r>
        <w:rPr>
          <w:rFonts w:hint="eastAsia"/>
          <w:sz w:val="24"/>
          <w:u w:val="single"/>
        </w:rPr>
        <w:t xml:space="preserve">                         </w:t>
      </w:r>
      <w:r>
        <w:rPr>
          <w:rFonts w:hint="eastAsia"/>
          <w:sz w:val="24"/>
        </w:rPr>
        <w:t>（盖单位章）</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法定代表人：</w:t>
      </w:r>
      <w:r>
        <w:rPr>
          <w:rFonts w:hint="eastAsia"/>
          <w:sz w:val="24"/>
          <w:u w:val="single"/>
        </w:rPr>
        <w:t xml:space="preserve">                          </w:t>
      </w:r>
      <w:r>
        <w:rPr>
          <w:rFonts w:hint="eastAsia"/>
          <w:sz w:val="24"/>
        </w:rPr>
        <w:t>（签字）</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身份证号码：</w:t>
      </w:r>
      <w:r>
        <w:rPr>
          <w:rFonts w:hint="eastAsia"/>
          <w:sz w:val="24"/>
          <w:u w:val="single"/>
        </w:rPr>
        <w:t xml:space="preserve">                             </w:t>
      </w:r>
      <w:r>
        <w:rPr>
          <w:rFonts w:hint="eastAsia"/>
          <w:sz w:val="24"/>
        </w:rPr>
        <w:t xml:space="preserve">   </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委托代理人：</w:t>
      </w:r>
      <w:r>
        <w:rPr>
          <w:rFonts w:hint="eastAsia"/>
          <w:sz w:val="24"/>
          <w:u w:val="single"/>
        </w:rPr>
        <w:t xml:space="preserve">                          </w:t>
      </w:r>
      <w:r>
        <w:rPr>
          <w:rFonts w:hint="eastAsia"/>
          <w:sz w:val="24"/>
        </w:rPr>
        <w:t>（签字）</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身份证号码：</w:t>
      </w:r>
      <w:r>
        <w:rPr>
          <w:rFonts w:hint="eastAsia"/>
          <w:sz w:val="24"/>
          <w:u w:val="single"/>
        </w:rPr>
        <w:t xml:space="preserve">                                </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 xml:space="preserve">日期： </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13"/>
        <w:autoSpaceDE w:val="0"/>
        <w:autoSpaceDN w:val="0"/>
        <w:adjustRightInd w:val="0"/>
        <w:spacing w:line="360" w:lineRule="auto"/>
        <w:rPr>
          <w:rFonts w:ascii="宋体" w:hAnsi="宋体"/>
          <w:b/>
          <w:bCs/>
          <w:sz w:val="32"/>
          <w:szCs w:val="32"/>
          <w:lang w:val="zh-CN"/>
        </w:rPr>
        <w:sectPr>
          <w:footerReference r:id="rId16" w:type="first"/>
          <w:pgSz w:w="11906" w:h="16838"/>
          <w:pgMar w:top="1440" w:right="1800" w:bottom="1440" w:left="1800" w:header="851" w:footer="992" w:gutter="0"/>
          <w:cols w:space="720" w:num="1"/>
          <w:titlePg/>
          <w:docGrid w:linePitch="312" w:charSpace="0"/>
        </w:sectPr>
      </w:pPr>
    </w:p>
    <w:p>
      <w:pPr>
        <w:pStyle w:val="13"/>
        <w:spacing w:after="100" w:afterAutospacing="1" w:line="400" w:lineRule="exact"/>
        <w:rPr>
          <w:b/>
          <w:sz w:val="28"/>
          <w:szCs w:val="28"/>
        </w:rPr>
      </w:pPr>
      <w:r>
        <w:rPr>
          <w:rFonts w:hint="eastAsia"/>
          <w:b/>
          <w:sz w:val="28"/>
          <w:szCs w:val="28"/>
        </w:rPr>
        <w:t>3）法定代表人身份证明</w:t>
      </w:r>
    </w:p>
    <w:p>
      <w:pPr>
        <w:pStyle w:val="13"/>
        <w:spacing w:line="400" w:lineRule="exact"/>
        <w:jc w:val="center"/>
        <w:rPr>
          <w:b/>
          <w:sz w:val="30"/>
          <w:szCs w:val="30"/>
        </w:rPr>
      </w:pPr>
    </w:p>
    <w:p>
      <w:pPr>
        <w:pStyle w:val="13"/>
        <w:spacing w:line="400" w:lineRule="exact"/>
        <w:jc w:val="center"/>
        <w:outlineLvl w:val="0"/>
        <w:rPr>
          <w:b/>
          <w:sz w:val="30"/>
          <w:szCs w:val="30"/>
        </w:rPr>
      </w:pPr>
      <w:bookmarkStart w:id="545" w:name="_Toc10265"/>
      <w:bookmarkStart w:id="546" w:name="_Toc21346"/>
      <w:r>
        <w:rPr>
          <w:rFonts w:hint="eastAsia"/>
          <w:b/>
          <w:sz w:val="30"/>
          <w:szCs w:val="30"/>
        </w:rPr>
        <w:t>四、法定代表人身份证明</w:t>
      </w:r>
      <w:bookmarkEnd w:id="545"/>
      <w:bookmarkEnd w:id="546"/>
    </w:p>
    <w:p>
      <w:pPr>
        <w:pStyle w:val="13"/>
        <w:spacing w:line="400" w:lineRule="exact"/>
        <w:jc w:val="center"/>
        <w:rPr>
          <w:b/>
          <w:sz w:val="30"/>
          <w:szCs w:val="30"/>
        </w:rPr>
      </w:pPr>
    </w:p>
    <w:p>
      <w:pPr>
        <w:pStyle w:val="13"/>
        <w:topLinePunct/>
        <w:spacing w:line="600" w:lineRule="exact"/>
        <w:rPr>
          <w:bCs/>
          <w:sz w:val="24"/>
          <w:u w:val="single"/>
        </w:rPr>
      </w:pPr>
      <w:r>
        <w:rPr>
          <w:bCs/>
          <w:sz w:val="24"/>
        </w:rPr>
        <w:t>申请人名称：</w:t>
      </w:r>
      <w:r>
        <w:rPr>
          <w:bCs/>
          <w:sz w:val="24"/>
          <w:u w:val="single"/>
        </w:rPr>
        <w:t xml:space="preserve">                         </w:t>
      </w:r>
    </w:p>
    <w:p>
      <w:pPr>
        <w:pStyle w:val="13"/>
        <w:topLinePunct/>
        <w:spacing w:line="600" w:lineRule="exact"/>
        <w:rPr>
          <w:bCs/>
          <w:sz w:val="24"/>
        </w:rPr>
      </w:pPr>
      <w:r>
        <w:rPr>
          <w:bCs/>
          <w:sz w:val="24"/>
        </w:rPr>
        <w:t>单位性质：</w:t>
      </w:r>
      <w:r>
        <w:rPr>
          <w:bCs/>
          <w:sz w:val="24"/>
          <w:u w:val="single"/>
        </w:rPr>
        <w:t xml:space="preserve">                           </w:t>
      </w:r>
    </w:p>
    <w:p>
      <w:pPr>
        <w:pStyle w:val="13"/>
        <w:topLinePunct/>
        <w:spacing w:line="600" w:lineRule="exact"/>
        <w:rPr>
          <w:bCs/>
          <w:sz w:val="24"/>
        </w:rPr>
      </w:pPr>
      <w:r>
        <w:rPr>
          <w:bCs/>
          <w:sz w:val="24"/>
        </w:rPr>
        <w:t>成立时间：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p>
    <w:p>
      <w:pPr>
        <w:pStyle w:val="13"/>
        <w:topLinePunct/>
        <w:spacing w:line="600" w:lineRule="exact"/>
        <w:rPr>
          <w:bCs/>
          <w:sz w:val="24"/>
        </w:rPr>
      </w:pPr>
      <w:r>
        <w:rPr>
          <w:bCs/>
          <w:sz w:val="24"/>
        </w:rPr>
        <w:t>经营期限：</w:t>
      </w:r>
      <w:r>
        <w:rPr>
          <w:bCs/>
          <w:sz w:val="24"/>
          <w:u w:val="single"/>
        </w:rPr>
        <w:t xml:space="preserve">            </w:t>
      </w:r>
    </w:p>
    <w:p>
      <w:pPr>
        <w:pStyle w:val="13"/>
        <w:topLinePunct/>
        <w:spacing w:line="600" w:lineRule="exact"/>
        <w:rPr>
          <w:bCs/>
          <w:sz w:val="24"/>
          <w:u w:val="single"/>
        </w:rPr>
      </w:pPr>
      <w:r>
        <w:rPr>
          <w:bCs/>
          <w:sz w:val="24"/>
        </w:rPr>
        <w:t>姓名：</w:t>
      </w:r>
      <w:r>
        <w:rPr>
          <w:bCs/>
          <w:sz w:val="24"/>
          <w:u w:val="single"/>
        </w:rPr>
        <w:t xml:space="preserve">         </w:t>
      </w:r>
      <w:r>
        <w:rPr>
          <w:bCs/>
          <w:sz w:val="24"/>
        </w:rPr>
        <w:t>性别：</w:t>
      </w:r>
      <w:r>
        <w:rPr>
          <w:bCs/>
          <w:sz w:val="24"/>
          <w:u w:val="single"/>
        </w:rPr>
        <w:t xml:space="preserve">          </w:t>
      </w:r>
      <w:r>
        <w:rPr>
          <w:bCs/>
          <w:sz w:val="24"/>
        </w:rPr>
        <w:t>年龄：</w:t>
      </w:r>
      <w:r>
        <w:rPr>
          <w:bCs/>
          <w:sz w:val="24"/>
          <w:u w:val="single"/>
        </w:rPr>
        <w:t xml:space="preserve">        </w:t>
      </w:r>
      <w:r>
        <w:rPr>
          <w:rFonts w:hint="eastAsia"/>
          <w:bCs/>
          <w:sz w:val="24"/>
          <w:u w:val="single"/>
        </w:rPr>
        <w:t xml:space="preserve"> </w:t>
      </w:r>
      <w:r>
        <w:rPr>
          <w:bCs/>
          <w:sz w:val="24"/>
        </w:rPr>
        <w:t>职务：</w:t>
      </w:r>
      <w:r>
        <w:rPr>
          <w:bCs/>
          <w:sz w:val="24"/>
          <w:u w:val="single"/>
        </w:rPr>
        <w:t xml:space="preserve">        </w:t>
      </w:r>
      <w:r>
        <w:rPr>
          <w:rFonts w:hint="eastAsia"/>
          <w:bCs/>
          <w:sz w:val="24"/>
          <w:u w:val="single"/>
        </w:rPr>
        <w:t xml:space="preserve"> </w:t>
      </w:r>
    </w:p>
    <w:p>
      <w:pPr>
        <w:pStyle w:val="13"/>
        <w:topLinePunct/>
        <w:spacing w:line="600" w:lineRule="exact"/>
        <w:rPr>
          <w:bCs/>
          <w:sz w:val="24"/>
        </w:rPr>
      </w:pPr>
      <w:r>
        <w:rPr>
          <w:bCs/>
          <w:sz w:val="24"/>
        </w:rPr>
        <w:t>系</w:t>
      </w:r>
      <w:r>
        <w:rPr>
          <w:bCs/>
          <w:sz w:val="24"/>
          <w:u w:val="single"/>
        </w:rPr>
        <w:t xml:space="preserve">                   </w:t>
      </w:r>
      <w:r>
        <w:rPr>
          <w:rFonts w:hint="eastAsia"/>
          <w:bCs/>
          <w:sz w:val="24"/>
        </w:rPr>
        <w:t>（</w:t>
      </w:r>
      <w:r>
        <w:rPr>
          <w:bCs/>
          <w:sz w:val="24"/>
        </w:rPr>
        <w:t>申请人名称</w:t>
      </w:r>
      <w:r>
        <w:rPr>
          <w:rFonts w:hint="eastAsia"/>
          <w:bCs/>
          <w:sz w:val="24"/>
        </w:rPr>
        <w:t>）</w:t>
      </w:r>
      <w:r>
        <w:rPr>
          <w:bCs/>
          <w:sz w:val="24"/>
        </w:rPr>
        <w:t>的法定代表人。</w:t>
      </w:r>
    </w:p>
    <w:p>
      <w:pPr>
        <w:pStyle w:val="13"/>
        <w:topLinePunct/>
        <w:spacing w:line="600" w:lineRule="exact"/>
        <w:ind w:firstLine="480" w:firstLineChars="200"/>
        <w:rPr>
          <w:bCs/>
          <w:sz w:val="24"/>
        </w:rPr>
      </w:pPr>
      <w:r>
        <w:rPr>
          <w:bCs/>
          <w:sz w:val="24"/>
        </w:rPr>
        <w:t>特此证明。</w:t>
      </w:r>
    </w:p>
    <w:p>
      <w:pPr>
        <w:pStyle w:val="13"/>
        <w:topLinePunct/>
        <w:spacing w:line="440" w:lineRule="exact"/>
        <w:rPr>
          <w:bCs/>
          <w:sz w:val="24"/>
        </w:rPr>
      </w:pPr>
    </w:p>
    <w:p>
      <w:pPr>
        <w:pStyle w:val="13"/>
        <w:topLinePunct/>
        <w:spacing w:line="440" w:lineRule="exact"/>
        <w:rPr>
          <w:bCs/>
          <w:sz w:val="24"/>
        </w:rPr>
      </w:pPr>
    </w:p>
    <w:p>
      <w:pPr>
        <w:pStyle w:val="13"/>
        <w:topLinePunct/>
        <w:spacing w:line="440" w:lineRule="exact"/>
        <w:rPr>
          <w:bCs/>
          <w:sz w:val="24"/>
        </w:rPr>
      </w:pPr>
      <w:r>
        <w:rPr>
          <w:bCs/>
          <w:sz w:val="24"/>
        </w:rPr>
        <w:t xml:space="preserve">                             申请人：</w:t>
      </w:r>
      <w:r>
        <w:rPr>
          <w:bCs/>
          <w:sz w:val="24"/>
          <w:u w:val="single"/>
        </w:rPr>
        <w:t xml:space="preserve">           </w:t>
      </w:r>
      <w:r>
        <w:rPr>
          <w:bCs/>
          <w:sz w:val="24"/>
        </w:rPr>
        <w:t>（盖单位章）</w:t>
      </w:r>
    </w:p>
    <w:p>
      <w:pPr>
        <w:pStyle w:val="13"/>
        <w:topLinePunct/>
        <w:spacing w:line="440" w:lineRule="exact"/>
        <w:rPr>
          <w:bCs/>
          <w:sz w:val="24"/>
        </w:rPr>
      </w:pPr>
      <w:r>
        <w:rPr>
          <w:bCs/>
          <w:sz w:val="24"/>
        </w:rPr>
        <w:t xml:space="preserve">                             </w:t>
      </w:r>
    </w:p>
    <w:p>
      <w:pPr>
        <w:pStyle w:val="13"/>
        <w:topLinePunct/>
        <w:spacing w:line="440" w:lineRule="exact"/>
        <w:ind w:firstLine="3480" w:firstLineChars="1450"/>
        <w:rPr>
          <w:bCs/>
          <w:sz w:val="24"/>
        </w:rPr>
      </w:pPr>
      <w:r>
        <w:rPr>
          <w:rFonts w:hint="eastAsia"/>
          <w:bCs/>
          <w:sz w:val="24"/>
        </w:rPr>
        <w:t>日期：</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p>
    <w:p>
      <w:pPr>
        <w:pStyle w:val="13"/>
        <w:spacing w:after="100" w:afterAutospacing="1" w:line="400" w:lineRule="exact"/>
        <w:rPr>
          <w:rFonts w:ascii="宋体" w:hAnsi="宋体"/>
          <w:b/>
          <w:sz w:val="28"/>
          <w:szCs w:val="28"/>
        </w:rPr>
      </w:pPr>
      <w:r>
        <w:rPr>
          <w:b/>
        </w:rPr>
        <w:br w:type="page"/>
      </w:r>
      <w:r>
        <w:rPr>
          <w:rFonts w:hint="eastAsia"/>
          <w:b/>
        </w:rPr>
        <w:t>4</w:t>
      </w:r>
      <w:r>
        <w:rPr>
          <w:rFonts w:hint="eastAsia"/>
          <w:b/>
          <w:sz w:val="28"/>
          <w:szCs w:val="28"/>
        </w:rPr>
        <w:t>）营业执照</w:t>
      </w:r>
    </w:p>
    <w:p>
      <w:pPr>
        <w:pStyle w:val="13"/>
        <w:autoSpaceDE w:val="0"/>
        <w:autoSpaceDN w:val="0"/>
        <w:adjustRightInd w:val="0"/>
        <w:spacing w:line="360" w:lineRule="auto"/>
        <w:ind w:right="84" w:rightChars="40"/>
        <w:rPr>
          <w:rFonts w:ascii="宋体" w:hAnsi="宋体"/>
          <w:b/>
          <w:szCs w:val="20"/>
        </w:rPr>
      </w:pPr>
      <w:r>
        <w:rPr>
          <w:rFonts w:hint="eastAsia" w:ascii="宋体" w:hAnsi="宋体"/>
          <w:b/>
          <w:szCs w:val="20"/>
        </w:rPr>
        <w:t>（此附件提供</w:t>
      </w:r>
      <w:r>
        <w:rPr>
          <w:rFonts w:ascii="宋体" w:hAnsi="宋体"/>
          <w:b/>
          <w:szCs w:val="20"/>
        </w:rPr>
        <w:t>营业执照复印件,加盖公章）</w:t>
      </w:r>
    </w:p>
    <w:p>
      <w:pPr>
        <w:pStyle w:val="28"/>
        <w:tabs>
          <w:tab w:val="left" w:pos="142"/>
        </w:tabs>
        <w:adjustRightInd w:val="0"/>
        <w:snapToGrid w:val="0"/>
        <w:spacing w:line="276" w:lineRule="auto"/>
        <w:ind w:right="10"/>
        <w:outlineLvl w:val="0"/>
        <w:rPr>
          <w:rFonts w:ascii="宋体" w:hAnsi="宋体" w:cs="宋体"/>
          <w:b/>
          <w:sz w:val="24"/>
          <w:szCs w:val="24"/>
          <w:lang w:eastAsia="zh-CN"/>
        </w:rPr>
      </w:pPr>
      <w:r>
        <w:rPr>
          <w:rFonts w:ascii="宋体" w:hAnsi="宋体"/>
          <w:b/>
          <w:szCs w:val="20"/>
          <w:lang w:eastAsia="zh-CN"/>
        </w:rPr>
        <w:br w:type="page"/>
      </w:r>
      <w:bookmarkStart w:id="547" w:name="_Toc16801"/>
      <w:bookmarkStart w:id="548" w:name="_Toc28345"/>
      <w:r>
        <w:rPr>
          <w:rFonts w:hint="eastAsia"/>
          <w:b/>
          <w:sz w:val="28"/>
          <w:szCs w:val="28"/>
          <w:lang w:eastAsia="zh-CN"/>
        </w:rPr>
        <w:t>5）承诺书</w:t>
      </w:r>
      <w:bookmarkEnd w:id="547"/>
      <w:bookmarkEnd w:id="548"/>
    </w:p>
    <w:p>
      <w:pPr>
        <w:pStyle w:val="13"/>
        <w:jc w:val="center"/>
        <w:outlineLvl w:val="0"/>
        <w:rPr>
          <w:rFonts w:ascii="宋体" w:hAnsi="宋体" w:cs="宋体"/>
          <w:b/>
          <w:sz w:val="24"/>
        </w:rPr>
      </w:pPr>
      <w:bookmarkStart w:id="549" w:name="_Toc2272"/>
      <w:bookmarkStart w:id="550" w:name="_Toc12671"/>
      <w:r>
        <w:rPr>
          <w:rFonts w:hint="eastAsia" w:ascii="宋体" w:hAnsi="宋体" w:cs="宋体"/>
          <w:b/>
          <w:sz w:val="24"/>
        </w:rPr>
        <w:t>供应商承诺书</w:t>
      </w:r>
      <w:bookmarkEnd w:id="549"/>
      <w:bookmarkEnd w:id="550"/>
    </w:p>
    <w:p>
      <w:pPr>
        <w:pStyle w:val="13"/>
        <w:jc w:val="center"/>
        <w:rPr>
          <w:rFonts w:ascii="宋体" w:hAnsi="宋体" w:cs="宋体"/>
          <w:b/>
          <w:sz w:val="24"/>
        </w:rPr>
      </w:pPr>
    </w:p>
    <w:p>
      <w:pPr>
        <w:pStyle w:val="13"/>
        <w:rPr>
          <w:rFonts w:ascii="宋体" w:hAnsi="宋体" w:cs="宋体"/>
          <w:sz w:val="24"/>
        </w:rPr>
      </w:pPr>
    </w:p>
    <w:p>
      <w:pPr>
        <w:keepNext w:val="0"/>
        <w:keepLines w:val="0"/>
        <w:widowControl/>
        <w:suppressLineNumbers w:val="0"/>
        <w:spacing w:before="0" w:beforeAutospacing="0" w:after="0" w:afterAutospacing="0"/>
        <w:ind w:left="0" w:right="0"/>
        <w:jc w:val="both"/>
        <w:rPr>
          <w:rFonts w:hint="eastAsia" w:ascii="宋体" w:hAnsi="宋体" w:eastAsia="宋体" w:cs="宋体"/>
          <w:b/>
          <w:kern w:val="2"/>
          <w:sz w:val="21"/>
          <w:szCs w:val="21"/>
          <w:lang w:eastAsia="zh-CN"/>
        </w:rPr>
      </w:pPr>
      <w:r>
        <w:rPr>
          <w:rFonts w:ascii="Calibri" w:hAnsi="Calibri" w:eastAsia="宋体" w:cs="Times New Roman"/>
          <w:kern w:val="2"/>
          <w:sz w:val="21"/>
          <w:szCs w:val="21"/>
          <w:lang w:eastAsia="zh-CN" w:bidi="ar"/>
        </w:rPr>
        <w:t xml:space="preserve"> </w:t>
      </w:r>
      <w:r>
        <w:rPr>
          <w:rFonts w:hint="eastAsia" w:ascii="宋体" w:hAnsi="宋体" w:eastAsia="宋体" w:cs="宋体"/>
          <w:b/>
          <w:color w:val="000000"/>
          <w:kern w:val="2"/>
          <w:sz w:val="21"/>
          <w:szCs w:val="21"/>
          <w:lang w:eastAsia="zh-CN" w:bidi="ar"/>
        </w:rPr>
        <w:t>中海油能源发展股份有限公司：</w:t>
      </w:r>
    </w:p>
    <w:p>
      <w:pPr>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 xml:space="preserve">我公司 </w:t>
      </w: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存在 / □不存在 以下情况（以下所有框内都需要标记，不存在的打×，存在的情况打√并附详细信息在表格中）：</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□经查询“信用中国”网站（https://www.creditchina.gov.cn/）</w:t>
      </w:r>
      <w:r>
        <w:rPr>
          <w:rFonts w:hint="eastAsia" w:ascii="宋体" w:hAnsi="宋体" w:eastAsia="宋体" w:cs="宋体"/>
          <w:color w:val="000000"/>
          <w:kern w:val="2"/>
          <w:sz w:val="21"/>
          <w:szCs w:val="21"/>
          <w:highlight w:val="yellow"/>
          <w:lang w:eastAsia="zh-CN" w:bidi="ar"/>
        </w:rPr>
        <w:t>或</w:t>
      </w:r>
      <w:r>
        <w:rPr>
          <w:rFonts w:hint="eastAsia" w:ascii="宋体" w:hAnsi="宋体" w:eastAsia="宋体" w:cs="宋体"/>
          <w:color w:val="000000"/>
          <w:kern w:val="2"/>
          <w:sz w:val="21"/>
          <w:szCs w:val="21"/>
          <w:lang w:eastAsia="zh-CN" w:bidi="ar"/>
        </w:rPr>
        <w:t>“中国执行信息公开</w:t>
      </w:r>
    </w:p>
    <w:p>
      <w:pPr>
        <w:keepNext w:val="0"/>
        <w:keepLines w:val="0"/>
        <w:widowControl/>
        <w:suppressLineNumbers w:val="0"/>
        <w:spacing w:before="0" w:beforeAutospacing="0" w:after="0" w:afterAutospacing="0" w:line="360" w:lineRule="auto"/>
        <w:ind w:left="0" w:right="0" w:firstLine="210" w:firstLineChars="10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网”网站（http://zxgk.court.gov.cn/），被列入失信被执行人名单；</w:t>
      </w:r>
    </w:p>
    <w:p>
      <w:pPr>
        <w:keepNext w:val="0"/>
        <w:keepLines w:val="0"/>
        <w:widowControl/>
        <w:suppressLineNumbers w:val="0"/>
        <w:spacing w:before="0" w:beforeAutospacing="0" w:after="0" w:afterAutospacing="0" w:line="360" w:lineRule="auto"/>
        <w:ind w:left="210" w:right="0" w:hanging="210" w:hangingChars="10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□经查询“国家企业信用信息公示系统”（http://www.gsxt.gov.cn），被列入严重违法失信企业名单；</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1"/>
          <w:szCs w:val="21"/>
          <w:lang w:eastAsia="zh-CN"/>
        </w:rPr>
      </w:pP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经查询“中国裁判文书网”（http://wenshu.court.gov.cn），近三年存在行贿犯罪记录；</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经确认，我公司存在中国海油员工（不含中国海油正式派出的）、</w:t>
      </w:r>
      <w:r>
        <w:rPr>
          <w:rFonts w:hint="eastAsia" w:ascii="宋体" w:hAnsi="宋体" w:eastAsia="宋体" w:cs="宋体"/>
          <w:color w:val="000000"/>
          <w:kern w:val="2"/>
          <w:sz w:val="21"/>
          <w:szCs w:val="21"/>
          <w:highlight w:val="yellow"/>
          <w:lang w:eastAsia="zh-CN" w:bidi="ar"/>
        </w:rPr>
        <w:t>海油发展离职未满三年的员工在我公司担任股东、法人代表、董事、监事和其他任职人员；</w:t>
      </w:r>
    </w:p>
    <w:p>
      <w:pPr>
        <w:keepNext w:val="0"/>
        <w:keepLines w:val="0"/>
        <w:suppressLineNumbers w:val="0"/>
        <w:spacing w:before="0" w:beforeAutospacing="0" w:after="0" w:afterAutospacing="0" w:line="360" w:lineRule="auto"/>
        <w:ind w:left="0" w:right="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highlight w:val="yellow"/>
          <w:lang w:eastAsia="zh-CN" w:bidi="ar"/>
        </w:rPr>
        <w:t>£</w:t>
      </w:r>
      <w:r>
        <w:rPr>
          <w:rFonts w:hint="eastAsia" w:ascii="宋体" w:hAnsi="宋体" w:eastAsia="宋体" w:cs="宋体"/>
          <w:color w:val="000000"/>
          <w:kern w:val="2"/>
          <w:sz w:val="21"/>
          <w:szCs w:val="21"/>
          <w:highlight w:val="yellow"/>
          <w:lang w:eastAsia="zh-CN" w:bidi="ar"/>
        </w:rPr>
        <w:t>我公司承诺与农民工签订劳动合同，及时、足额发放工资、缴纳社会保险费用；</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highlight w:val="yellow"/>
          <w:lang w:eastAsia="zh-CN" w:bidi="ar"/>
        </w:rPr>
        <w:t>£</w:t>
      </w:r>
      <w:r>
        <w:rPr>
          <w:rFonts w:hint="eastAsia" w:ascii="宋体" w:hAnsi="宋体" w:eastAsia="宋体" w:cs="宋体"/>
          <w:color w:val="000000"/>
          <w:kern w:val="2"/>
          <w:sz w:val="21"/>
          <w:szCs w:val="21"/>
          <w:highlight w:val="yellow"/>
          <w:lang w:eastAsia="zh-CN" w:bidi="ar"/>
        </w:rPr>
        <w:t>我公司承诺</w:t>
      </w:r>
      <w:r>
        <w:rPr>
          <w:rFonts w:hint="eastAsia" w:ascii="宋体" w:hAnsi="宋体" w:eastAsia="宋体" w:cs="宋体"/>
          <w:kern w:val="2"/>
          <w:sz w:val="21"/>
          <w:szCs w:val="21"/>
          <w:highlight w:val="yellow"/>
          <w:lang w:eastAsia="zh-CN" w:bidi="ar"/>
        </w:rPr>
        <w:t>积极响应国家节能减排和绿色环保政策，切实推进绿色供应链建设；</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FF"/>
          <w:kern w:val="2"/>
          <w:sz w:val="21"/>
          <w:szCs w:val="21"/>
          <w:lang w:eastAsia="zh-CN"/>
        </w:rPr>
      </w:pPr>
      <w:r>
        <w:rPr>
          <w:rFonts w:ascii="Wingdings 2" w:hAnsi="Wingdings 2" w:eastAsia="Wingdings 2" w:cs="Wingdings 2"/>
          <w:color w:val="0000FF"/>
          <w:kern w:val="2"/>
          <w:sz w:val="21"/>
          <w:szCs w:val="21"/>
          <w:lang w:eastAsia="zh-CN" w:bidi="ar"/>
        </w:rPr>
        <w:t>£</w:t>
      </w:r>
      <w:r>
        <w:rPr>
          <w:rFonts w:hint="eastAsia" w:ascii="宋体" w:hAnsi="宋体" w:eastAsia="宋体" w:cs="宋体"/>
          <w:color w:val="0000FF"/>
          <w:kern w:val="2"/>
          <w:sz w:val="21"/>
          <w:szCs w:val="21"/>
          <w:lang w:eastAsia="zh-CN" w:bidi="ar"/>
        </w:rPr>
        <w:t>单位负责人为同一人或者存在控股、管理关系的不同单位，不得参加同一标段投标或者未划分标段的同一招标项目投标。（公开买方式适用）</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b/>
          <w:color w:val="000000"/>
          <w:kern w:val="2"/>
          <w:sz w:val="21"/>
          <w:szCs w:val="21"/>
          <w:lang w:eastAsia="zh-CN"/>
        </w:rPr>
      </w:pPr>
      <w:r>
        <w:rPr>
          <w:rFonts w:ascii="Wingdings 2" w:hAnsi="Wingdings 2" w:eastAsia="Wingdings 2" w:cs="Wingdings 2"/>
          <w:color w:val="0000FF"/>
          <w:kern w:val="2"/>
          <w:sz w:val="21"/>
          <w:szCs w:val="21"/>
          <w:lang w:eastAsia="zh-CN" w:bidi="ar"/>
        </w:rPr>
        <w:t>£</w:t>
      </w:r>
      <w:r>
        <w:rPr>
          <w:rFonts w:hint="eastAsia" w:ascii="宋体" w:hAnsi="宋体" w:eastAsia="宋体" w:cs="宋体"/>
          <w:color w:val="0000FF"/>
          <w:kern w:val="2"/>
          <w:sz w:val="21"/>
          <w:szCs w:val="21"/>
          <w:lang w:eastAsia="zh-CN" w:bidi="ar"/>
        </w:rPr>
        <w:t>我公司与本采购项目其他响应人存在控股关系或管理关系、单位负责人为同一人，同一自然人同时持有两家公司非公开上市股份的情形。（邀请买方式适用）</w:t>
      </w:r>
    </w:p>
    <w:p>
      <w:pPr>
        <w:keepNext w:val="0"/>
        <w:keepLines w:val="0"/>
        <w:widowControl/>
        <w:suppressLineNumbers w:val="0"/>
        <w:spacing w:before="0" w:beforeAutospacing="0" w:after="0" w:afterAutospacing="0" w:line="348" w:lineRule="auto"/>
        <w:ind w:left="0" w:right="0" w:firstLine="422" w:firstLineChars="200"/>
        <w:jc w:val="both"/>
        <w:rPr>
          <w:rFonts w:hint="eastAsia" w:ascii="宋体" w:hAnsi="宋体" w:eastAsia="宋体" w:cs="宋体"/>
          <w:kern w:val="2"/>
          <w:sz w:val="21"/>
          <w:szCs w:val="21"/>
          <w:lang w:eastAsia="zh-CN"/>
        </w:rPr>
      </w:pPr>
      <w:r>
        <w:rPr>
          <w:rFonts w:hint="eastAsia" w:ascii="宋体" w:hAnsi="宋体" w:eastAsia="宋体" w:cs="宋体"/>
          <w:b/>
          <w:bCs/>
          <w:color w:val="000000"/>
          <w:kern w:val="2"/>
          <w:sz w:val="21"/>
          <w:szCs w:val="21"/>
          <w:lang w:eastAsia="zh-CN" w:bidi="ar"/>
        </w:rPr>
        <w:t>郑重承诺：</w:t>
      </w:r>
      <w:r>
        <w:rPr>
          <w:rFonts w:hint="eastAsia" w:ascii="宋体" w:hAnsi="宋体" w:eastAsia="宋体" w:cs="宋体"/>
          <w:color w:val="000000"/>
          <w:kern w:val="2"/>
          <w:sz w:val="21"/>
          <w:szCs w:val="21"/>
          <w:lang w:eastAsia="zh-CN" w:bidi="ar"/>
        </w:rPr>
        <w:t>我公司在采办项目中将严格遵守法律法规和中国海油各项管理要求，不发生围标串标情况。我公司所提供信息真实、准确、合法、有效，不存在为规避中海油能源发展股份有限公司（以下简称“海油发展”）有关要求采取的变通行为；上述信息如有虚假我公司将承担相关责任，并按照中海油能源发展股份有限公司相关管理规定接受处理。我公司将严格遵守国家相关法律法规及中海油能源发展股份有限公司对供应商管理的要求，无条件接受和配合海油发展或海油发展委托的有关机构进行的与上述内容相关的核查与审计。当相关信息发生变更时将及时主动办理更新手续。</w:t>
      </w:r>
    </w:p>
    <w:p>
      <w:pPr>
        <w:keepNext w:val="0"/>
        <w:keepLines w:val="0"/>
        <w:widowControl/>
        <w:suppressLineNumbers w:val="0"/>
        <w:spacing w:before="0" w:beforeAutospacing="0" w:after="0" w:afterAutospacing="0" w:line="348" w:lineRule="auto"/>
        <w:ind w:left="0" w:right="0" w:firstLine="420" w:firstLineChars="200"/>
        <w:jc w:val="both"/>
        <w:rPr>
          <w:rFonts w:hint="eastAsia" w:ascii="宋体" w:hAnsi="宋体" w:eastAsia="宋体" w:cs="宋体"/>
          <w:kern w:val="2"/>
          <w:sz w:val="21"/>
          <w:szCs w:val="21"/>
          <w:highlight w:val="yellow"/>
          <w:lang w:eastAsia="zh-CN"/>
        </w:rPr>
      </w:pPr>
      <w:r>
        <w:rPr>
          <w:rFonts w:hint="eastAsia" w:ascii="宋体" w:hAnsi="宋体" w:eastAsia="宋体" w:cs="宋体"/>
          <w:kern w:val="2"/>
          <w:sz w:val="21"/>
          <w:szCs w:val="21"/>
          <w:highlight w:val="yellow"/>
          <w:lang w:eastAsia="zh-CN" w:bidi="ar"/>
        </w:rPr>
        <w:t xml:space="preserve"> </w:t>
      </w:r>
    </w:p>
    <w:p>
      <w:pPr>
        <w:keepNext w:val="0"/>
        <w:keepLines w:val="0"/>
        <w:widowControl/>
        <w:suppressLineNumbers w:val="0"/>
        <w:spacing w:before="0" w:beforeAutospacing="0" w:after="0" w:afterAutospacing="0" w:line="348" w:lineRule="auto"/>
        <w:ind w:left="0" w:right="0" w:firstLine="540"/>
        <w:jc w:val="both"/>
        <w:rPr>
          <w:rFonts w:ascii="Calibri" w:hAnsi="Calibri" w:eastAsia="宋体" w:cs="Times New Roman"/>
          <w:kern w:val="2"/>
          <w:sz w:val="24"/>
          <w:szCs w:val="24"/>
          <w:lang w:eastAsia="zh-CN"/>
        </w:rPr>
      </w:pPr>
      <w:r>
        <w:rPr>
          <w:rFonts w:hint="eastAsia" w:ascii="Calibri" w:hAnsi="Calibri" w:eastAsia="宋体" w:cs="Times New Roman"/>
          <w:color w:val="000000"/>
          <w:kern w:val="2"/>
          <w:sz w:val="24"/>
          <w:szCs w:val="24"/>
          <w:lang w:eastAsia="zh-CN" w:bidi="ar"/>
        </w:rPr>
        <w:t xml:space="preserve">                            </w:t>
      </w:r>
    </w:p>
    <w:p>
      <w:pPr>
        <w:keepNext w:val="0"/>
        <w:keepLines w:val="0"/>
        <w:widowControl/>
        <w:suppressLineNumbers w:val="0"/>
        <w:adjustRightInd w:val="0"/>
        <w:snapToGrid w:val="0"/>
        <w:spacing w:before="0" w:beforeAutospacing="0" w:after="0" w:afterAutospacing="0" w:line="360" w:lineRule="auto"/>
        <w:ind w:left="0" w:right="0" w:firstLine="3517" w:firstLineChars="1675"/>
        <w:jc w:val="both"/>
        <w:rPr>
          <w:rFonts w:ascii="Calibri" w:hAnsi="宋体" w:eastAsia="宋体" w:cs="Times New Roman"/>
          <w:kern w:val="2"/>
          <w:sz w:val="24"/>
          <w:szCs w:val="24"/>
          <w:lang w:eastAsia="zh-CN"/>
        </w:rPr>
      </w:pPr>
      <w:r>
        <w:rPr>
          <w:rFonts w:hint="eastAsia" w:ascii="宋体" w:hAnsi="宋体" w:eastAsia="宋体" w:cs="宋体"/>
          <w:color w:val="000000"/>
          <w:kern w:val="2"/>
          <w:sz w:val="21"/>
          <w:szCs w:val="21"/>
          <w:lang w:eastAsia="zh-CN" w:bidi="ar"/>
        </w:rPr>
        <w:t xml:space="preserve">  </w:t>
      </w:r>
      <w:r>
        <w:rPr>
          <w:rFonts w:hint="eastAsia" w:ascii="宋体" w:hAnsi="宋体" w:eastAsia="宋体" w:cs="宋体"/>
          <w:color w:val="000000"/>
          <w:kern w:val="2"/>
          <w:sz w:val="24"/>
          <w:szCs w:val="24"/>
          <w:lang w:eastAsia="zh-CN" w:bidi="ar"/>
        </w:rPr>
        <w:t>【</w:t>
      </w:r>
      <w:r>
        <w:rPr>
          <w:rFonts w:hint="eastAsia" w:ascii="宋体" w:hAnsi="宋体" w:eastAsia="宋体" w:cs="宋体"/>
          <w:i/>
          <w:color w:val="000000"/>
          <w:kern w:val="2"/>
          <w:sz w:val="24"/>
          <w:szCs w:val="24"/>
          <w:lang w:eastAsia="zh-CN" w:bidi="ar"/>
        </w:rPr>
        <w:t>填入</w:t>
      </w:r>
      <w:r>
        <w:rPr>
          <w:rFonts w:hint="eastAsia" w:ascii="宋体" w:hAnsi="宋体" w:eastAsia="宋体" w:cs="宋体"/>
          <w:b/>
          <w:i/>
          <w:color w:val="000000"/>
          <w:kern w:val="2"/>
          <w:sz w:val="24"/>
          <w:szCs w:val="24"/>
          <w:lang w:eastAsia="zh-CN" w:bidi="ar"/>
        </w:rPr>
        <w:t>投标人名称</w:t>
      </w:r>
      <w:r>
        <w:rPr>
          <w:rFonts w:hint="eastAsia" w:ascii="宋体" w:hAnsi="宋体" w:eastAsia="宋体" w:cs="宋体"/>
          <w:color w:val="000000"/>
          <w:kern w:val="2"/>
          <w:sz w:val="24"/>
          <w:szCs w:val="24"/>
          <w:lang w:eastAsia="zh-CN" w:bidi="ar"/>
        </w:rPr>
        <w:t>】（盖章）</w:t>
      </w:r>
    </w:p>
    <w:p>
      <w:pPr>
        <w:keepNext w:val="0"/>
        <w:keepLines w:val="0"/>
        <w:widowControl/>
        <w:suppressLineNumbers w:val="0"/>
        <w:snapToGrid w:val="0"/>
        <w:spacing w:before="0" w:beforeAutospacing="0" w:after="0" w:afterAutospacing="0" w:line="360" w:lineRule="auto"/>
        <w:ind w:left="210" w:leftChars="100" w:right="0" w:firstLine="3600" w:firstLineChars="1500"/>
        <w:jc w:val="both"/>
        <w:rPr>
          <w:rFonts w:ascii="Calibri" w:hAnsi="宋体" w:eastAsia="宋体" w:cs="Times New Roman"/>
          <w:kern w:val="2"/>
          <w:sz w:val="24"/>
          <w:szCs w:val="24"/>
          <w:lang w:eastAsia="zh-CN"/>
        </w:rPr>
      </w:pPr>
      <w:r>
        <w:rPr>
          <w:rFonts w:hint="eastAsia" w:ascii="宋体" w:hAnsi="宋体" w:eastAsia="宋体" w:cs="宋体"/>
          <w:color w:val="000000"/>
          <w:kern w:val="2"/>
          <w:sz w:val="24"/>
          <w:szCs w:val="24"/>
          <w:lang w:eastAsia="zh-CN" w:bidi="ar"/>
        </w:rPr>
        <w:t>法定代表人或授权代表签字：</w:t>
      </w:r>
    </w:p>
    <w:p>
      <w:pPr>
        <w:pStyle w:val="13"/>
        <w:spacing w:line="348" w:lineRule="auto"/>
        <w:ind w:firstLine="5520" w:firstLineChars="2300"/>
        <w:outlineLvl w:val="0"/>
        <w:rPr>
          <w:rFonts w:ascii="宋体" w:hAnsi="宋体" w:cs="宋体"/>
          <w:sz w:val="24"/>
        </w:rPr>
      </w:pPr>
      <w:r>
        <w:rPr>
          <w:rFonts w:hint="eastAsia" w:ascii="宋体" w:hAnsi="宋体" w:eastAsia="宋体" w:cs="宋体"/>
          <w:color w:val="000000"/>
          <w:kern w:val="2"/>
          <w:sz w:val="24"/>
          <w:szCs w:val="24"/>
          <w:lang w:eastAsia="zh-CN" w:bidi="ar"/>
        </w:rPr>
        <w:t>签订日期：</w:t>
      </w:r>
    </w:p>
    <w:p>
      <w:pPr>
        <w:pStyle w:val="4"/>
        <w:ind w:firstLine="480"/>
        <w:rPr>
          <w:rFonts w:ascii="宋体" w:hAnsi="宋体" w:cs="宋体"/>
          <w:sz w:val="24"/>
        </w:rPr>
      </w:pPr>
    </w:p>
    <w:p>
      <w:pPr>
        <w:pStyle w:val="13"/>
        <w:spacing w:line="440" w:lineRule="exact"/>
        <w:ind w:firstLine="6000" w:firstLineChars="2500"/>
        <w:rPr>
          <w:sz w:val="24"/>
        </w:rPr>
      </w:pPr>
    </w:p>
    <w:p>
      <w:pPr>
        <w:pStyle w:val="14"/>
      </w:pPr>
    </w:p>
    <w:p>
      <w:pPr>
        <w:pStyle w:val="13"/>
        <w:spacing w:line="440" w:lineRule="exact"/>
        <w:ind w:left="142"/>
        <w:rPr>
          <w:b/>
          <w:sz w:val="28"/>
          <w:szCs w:val="28"/>
        </w:rPr>
      </w:pPr>
      <w:r>
        <w:rPr>
          <w:rFonts w:hint="eastAsia"/>
          <w:b/>
          <w:sz w:val="28"/>
          <w:szCs w:val="28"/>
        </w:rPr>
        <w:t>6）公司简介及公司组织架构图</w:t>
      </w:r>
    </w:p>
    <w:p>
      <w:pPr>
        <w:pStyle w:val="29"/>
        <w:adjustRightInd w:val="0"/>
        <w:snapToGrid w:val="0"/>
        <w:spacing w:line="360" w:lineRule="auto"/>
        <w:jc w:val="left"/>
        <w:rPr>
          <w:rFonts w:hAnsi="宋体"/>
          <w:b/>
        </w:rPr>
      </w:pPr>
      <w:r>
        <w:rPr>
          <w:rFonts w:hint="eastAsia" w:hAnsi="宋体"/>
          <w:b/>
        </w:rPr>
        <w:t>（公司简介：1、主要描述企业规模、经营状况、优势特长等情况。）</w:t>
      </w:r>
    </w:p>
    <w:p>
      <w:pPr>
        <w:pStyle w:val="13"/>
        <w:widowControl/>
        <w:jc w:val="left"/>
        <w:rPr>
          <w:rFonts w:ascii="宋体" w:hAnsi="Courier New"/>
          <w:b/>
          <w:szCs w:val="28"/>
        </w:rPr>
      </w:pPr>
      <w:r>
        <w:rPr>
          <w:rFonts w:hAnsi="宋体"/>
          <w:b/>
          <w:sz w:val="28"/>
          <w:szCs w:val="28"/>
        </w:rPr>
        <w:br w:type="page"/>
      </w:r>
      <w:r>
        <w:rPr>
          <w:rFonts w:hint="eastAsia"/>
          <w:b/>
          <w:sz w:val="28"/>
          <w:szCs w:val="28"/>
        </w:rPr>
        <w:t>7）</w:t>
      </w:r>
      <w:r>
        <w:rPr>
          <w:rFonts w:hint="eastAsia" w:ascii="宋体" w:hAnsi="宋体" w:eastAsia="宋体" w:cs="宋体"/>
          <w:i w:val="0"/>
          <w:iCs w:val="0"/>
          <w:color w:val="000000"/>
          <w:kern w:val="0"/>
          <w:sz w:val="21"/>
          <w:szCs w:val="21"/>
          <w:u w:val="none"/>
          <w:lang w:val="en-US" w:eastAsia="zh-CN" w:bidi="ar"/>
        </w:rPr>
        <w:t>投标人提供（</w:t>
      </w:r>
      <w:r>
        <w:rPr>
          <w:rStyle w:val="34"/>
          <w:rFonts w:eastAsia="宋体"/>
          <w:lang w:val="en-US" w:eastAsia="zh-CN" w:bidi="ar"/>
        </w:rPr>
        <w:t>2021</w:t>
      </w:r>
      <w:r>
        <w:rPr>
          <w:rStyle w:val="35"/>
          <w:lang w:val="en-US" w:eastAsia="zh-CN" w:bidi="ar"/>
        </w:rPr>
        <w:t>年</w:t>
      </w:r>
      <w:r>
        <w:rPr>
          <w:rStyle w:val="34"/>
          <w:rFonts w:eastAsia="宋体"/>
          <w:lang w:val="en-US" w:eastAsia="zh-CN" w:bidi="ar"/>
        </w:rPr>
        <w:t>- 2023</w:t>
      </w:r>
      <w:r>
        <w:rPr>
          <w:rStyle w:val="35"/>
          <w:lang w:val="en-US" w:eastAsia="zh-CN" w:bidi="ar"/>
        </w:rPr>
        <w:t>年）经会计事务所或审计机构审计的财务报表，包含资产负债表、现金流量表、利润表。成立时间少于投标人须知前附表规定年份的，应提供自成立以来的财务报表。投标人为分公司的，应提供上级法人单位的经会计师事务所或审计机构审计的上述年度财务会计报表。</w:t>
      </w:r>
    </w:p>
    <w:p>
      <w:pPr>
        <w:pStyle w:val="29"/>
        <w:adjustRightInd w:val="0"/>
        <w:snapToGrid w:val="0"/>
        <w:spacing w:line="360" w:lineRule="auto"/>
        <w:rPr>
          <w:b/>
          <w:sz w:val="28"/>
          <w:szCs w:val="28"/>
        </w:rPr>
      </w:pPr>
      <w:r>
        <w:rPr>
          <w:rFonts w:hAnsi="宋体"/>
          <w:b/>
          <w:sz w:val="28"/>
          <w:szCs w:val="28"/>
        </w:rPr>
        <w:br w:type="page"/>
      </w:r>
      <w:r>
        <w:rPr>
          <w:rFonts w:hint="eastAsia"/>
          <w:b/>
          <w:sz w:val="28"/>
          <w:szCs w:val="28"/>
        </w:rPr>
        <w:t>8）相关证书（如有）</w:t>
      </w:r>
    </w:p>
    <w:p>
      <w:pPr>
        <w:pStyle w:val="29"/>
        <w:adjustRightInd w:val="0"/>
        <w:snapToGrid w:val="0"/>
        <w:spacing w:line="360" w:lineRule="auto"/>
        <w:jc w:val="left"/>
        <w:rPr>
          <w:rFonts w:hAnsi="宋体"/>
          <w:b/>
        </w:rPr>
      </w:pPr>
      <w:r>
        <w:rPr>
          <w:rFonts w:hint="eastAsia" w:hAnsi="宋体"/>
          <w:b/>
        </w:rPr>
        <w:t>（此附件提交有效期内的证书及附表附件包括人员资质证书等必要证书，复印件，加盖公章）</w:t>
      </w:r>
    </w:p>
    <w:p>
      <w:pPr>
        <w:pStyle w:val="29"/>
        <w:adjustRightInd w:val="0"/>
        <w:snapToGrid w:val="0"/>
        <w:spacing w:line="360" w:lineRule="auto"/>
        <w:jc w:val="left"/>
        <w:rPr>
          <w:rFonts w:hAnsi="宋体"/>
          <w:b/>
        </w:rPr>
      </w:pPr>
    </w:p>
    <w:p>
      <w:pPr>
        <w:pStyle w:val="13"/>
        <w:topLinePunct/>
        <w:adjustRightInd w:val="0"/>
        <w:snapToGrid w:val="0"/>
        <w:spacing w:line="360" w:lineRule="auto"/>
        <w:rPr>
          <w:rFonts w:ascii="黑体" w:hAnsi="黑体" w:eastAsia="黑体"/>
          <w:bCs/>
          <w:sz w:val="24"/>
        </w:rPr>
        <w:sectPr>
          <w:headerReference r:id="rId17" w:type="default"/>
          <w:footerReference r:id="rId18" w:type="default"/>
          <w:pgSz w:w="11906" w:h="16838"/>
          <w:pgMar w:top="1440" w:right="1800" w:bottom="1440" w:left="1800" w:header="851" w:footer="1020" w:gutter="0"/>
          <w:cols w:space="720" w:num="1"/>
          <w:titlePg/>
          <w:docGrid w:linePitch="312" w:charSpace="0"/>
        </w:sectPr>
      </w:pPr>
    </w:p>
    <w:p>
      <w:pPr>
        <w:pStyle w:val="13"/>
        <w:spacing w:after="100" w:afterAutospacing="1" w:line="400" w:lineRule="exact"/>
        <w:outlineLvl w:val="0"/>
        <w:rPr>
          <w:b/>
          <w:sz w:val="28"/>
          <w:szCs w:val="28"/>
        </w:rPr>
      </w:pPr>
      <w:bookmarkStart w:id="551" w:name="_Toc6849"/>
      <w:bookmarkStart w:id="552" w:name="_Toc13806"/>
      <w:r>
        <w:rPr>
          <w:rFonts w:hint="eastAsia"/>
          <w:b/>
          <w:sz w:val="28"/>
          <w:szCs w:val="28"/>
        </w:rPr>
        <w:t>9）投标材料质量标准的详细描述(</w:t>
      </w:r>
      <w:r>
        <w:rPr>
          <w:b/>
          <w:sz w:val="28"/>
          <w:szCs w:val="28"/>
        </w:rPr>
        <w:t>如有</w:t>
      </w:r>
      <w:r>
        <w:rPr>
          <w:rFonts w:hint="eastAsia"/>
          <w:b/>
          <w:sz w:val="28"/>
          <w:szCs w:val="28"/>
        </w:rPr>
        <w:t>)</w:t>
      </w:r>
      <w:bookmarkEnd w:id="551"/>
      <w:bookmarkEnd w:id="552"/>
    </w:p>
    <w:p>
      <w:pPr>
        <w:pStyle w:val="13"/>
        <w:spacing w:after="100" w:afterAutospacing="1" w:line="400" w:lineRule="exact"/>
        <w:jc w:val="center"/>
        <w:rPr>
          <w:b/>
          <w:sz w:val="28"/>
          <w:szCs w:val="28"/>
        </w:rPr>
      </w:pPr>
      <w:r>
        <w:rPr>
          <w:rFonts w:hint="eastAsia"/>
          <w:b/>
          <w:sz w:val="22"/>
          <w:szCs w:val="28"/>
        </w:rPr>
        <w:t>投标材料一览表</w:t>
      </w:r>
    </w:p>
    <w:tbl>
      <w:tblPr>
        <w:tblStyle w:val="9"/>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6"/>
        <w:gridCol w:w="1725"/>
        <w:gridCol w:w="1588"/>
        <w:gridCol w:w="1762"/>
        <w:gridCol w:w="1475"/>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1556" w:type="dxa"/>
            <w:noWrap w:val="0"/>
            <w:vAlign w:val="center"/>
          </w:tcPr>
          <w:p>
            <w:pPr>
              <w:pStyle w:val="13"/>
              <w:jc w:val="center"/>
              <w:rPr>
                <w:rFonts w:ascii="宋体" w:hAnsi="宋体"/>
                <w:b/>
                <w:szCs w:val="20"/>
              </w:rPr>
            </w:pPr>
          </w:p>
        </w:tc>
        <w:tc>
          <w:tcPr>
            <w:tcW w:w="1725" w:type="dxa"/>
            <w:noWrap w:val="0"/>
            <w:vAlign w:val="center"/>
          </w:tcPr>
          <w:p>
            <w:pPr>
              <w:pStyle w:val="13"/>
              <w:jc w:val="center"/>
              <w:rPr>
                <w:rFonts w:ascii="宋体" w:hAnsi="宋体"/>
                <w:b/>
                <w:szCs w:val="20"/>
              </w:rPr>
            </w:pPr>
          </w:p>
        </w:tc>
        <w:tc>
          <w:tcPr>
            <w:tcW w:w="1588" w:type="dxa"/>
            <w:tcBorders>
              <w:right w:val="single" w:color="auto" w:sz="4" w:space="0"/>
            </w:tcBorders>
            <w:noWrap w:val="0"/>
            <w:vAlign w:val="center"/>
          </w:tcPr>
          <w:p>
            <w:pPr>
              <w:pStyle w:val="13"/>
              <w:jc w:val="center"/>
              <w:rPr>
                <w:rFonts w:ascii="宋体" w:hAnsi="宋体"/>
                <w:b/>
                <w:szCs w:val="20"/>
              </w:rPr>
            </w:pPr>
          </w:p>
        </w:tc>
        <w:tc>
          <w:tcPr>
            <w:tcW w:w="1762" w:type="dxa"/>
            <w:tcBorders>
              <w:left w:val="single" w:color="auto" w:sz="4" w:space="0"/>
            </w:tcBorders>
            <w:noWrap w:val="0"/>
            <w:vAlign w:val="center"/>
          </w:tcPr>
          <w:p>
            <w:pPr>
              <w:pStyle w:val="13"/>
              <w:jc w:val="center"/>
              <w:rPr>
                <w:rFonts w:ascii="宋体" w:hAnsi="宋体"/>
                <w:b/>
                <w:szCs w:val="20"/>
              </w:rPr>
            </w:pPr>
          </w:p>
        </w:tc>
        <w:tc>
          <w:tcPr>
            <w:tcW w:w="1475" w:type="dxa"/>
            <w:noWrap w:val="0"/>
            <w:vAlign w:val="center"/>
          </w:tcPr>
          <w:p>
            <w:pPr>
              <w:pStyle w:val="13"/>
              <w:jc w:val="center"/>
              <w:rPr>
                <w:rFonts w:ascii="宋体" w:hAnsi="宋体"/>
                <w:b/>
                <w:szCs w:val="20"/>
              </w:rPr>
            </w:pPr>
          </w:p>
        </w:tc>
        <w:tc>
          <w:tcPr>
            <w:tcW w:w="1364" w:type="dxa"/>
            <w:noWrap w:val="0"/>
            <w:vAlign w:val="center"/>
          </w:tcPr>
          <w:p>
            <w:pPr>
              <w:pStyle w:val="13"/>
              <w:jc w:val="center"/>
              <w:rPr>
                <w:rFonts w:ascii="宋体" w:hAnsi="宋体"/>
                <w:b/>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1556" w:type="dxa"/>
            <w:noWrap w:val="0"/>
            <w:vAlign w:val="center"/>
          </w:tcPr>
          <w:p>
            <w:pPr>
              <w:pStyle w:val="13"/>
              <w:jc w:val="center"/>
            </w:pPr>
          </w:p>
        </w:tc>
        <w:tc>
          <w:tcPr>
            <w:tcW w:w="1725" w:type="dxa"/>
            <w:noWrap w:val="0"/>
            <w:vAlign w:val="center"/>
          </w:tcPr>
          <w:p>
            <w:pPr>
              <w:pStyle w:val="13"/>
              <w:jc w:val="center"/>
            </w:pPr>
          </w:p>
        </w:tc>
        <w:tc>
          <w:tcPr>
            <w:tcW w:w="1588" w:type="dxa"/>
            <w:tcBorders>
              <w:right w:val="single" w:color="auto" w:sz="4" w:space="0"/>
            </w:tcBorders>
            <w:noWrap w:val="0"/>
            <w:vAlign w:val="center"/>
          </w:tcPr>
          <w:p>
            <w:pPr>
              <w:pStyle w:val="13"/>
              <w:jc w:val="center"/>
              <w:rPr>
                <w:rFonts w:ascii="宋体" w:hAnsi="宋体"/>
                <w:szCs w:val="20"/>
              </w:rPr>
            </w:pPr>
          </w:p>
        </w:tc>
        <w:tc>
          <w:tcPr>
            <w:tcW w:w="1762" w:type="dxa"/>
            <w:tcBorders>
              <w:left w:val="single" w:color="auto" w:sz="4" w:space="0"/>
            </w:tcBorders>
            <w:noWrap w:val="0"/>
            <w:vAlign w:val="center"/>
          </w:tcPr>
          <w:p>
            <w:pPr>
              <w:pStyle w:val="13"/>
              <w:jc w:val="center"/>
              <w:rPr>
                <w:rFonts w:ascii="宋体" w:hAnsi="宋体"/>
                <w:szCs w:val="20"/>
              </w:rPr>
            </w:pPr>
          </w:p>
        </w:tc>
        <w:tc>
          <w:tcPr>
            <w:tcW w:w="1475" w:type="dxa"/>
            <w:noWrap w:val="0"/>
            <w:vAlign w:val="center"/>
          </w:tcPr>
          <w:p>
            <w:pPr>
              <w:pStyle w:val="13"/>
              <w:jc w:val="center"/>
              <w:rPr>
                <w:rFonts w:ascii="宋体" w:hAnsi="宋体"/>
                <w:szCs w:val="20"/>
              </w:rPr>
            </w:pPr>
          </w:p>
        </w:tc>
        <w:tc>
          <w:tcPr>
            <w:tcW w:w="1364" w:type="dxa"/>
            <w:noWrap w:val="0"/>
            <w:vAlign w:val="center"/>
          </w:tcPr>
          <w:p>
            <w:pPr>
              <w:pStyle w:val="13"/>
              <w:jc w:val="center"/>
              <w:rPr>
                <w:rFonts w:ascii="宋体" w:hAnsi="宋体"/>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1556" w:type="dxa"/>
            <w:noWrap w:val="0"/>
            <w:vAlign w:val="center"/>
          </w:tcPr>
          <w:p>
            <w:pPr>
              <w:pStyle w:val="13"/>
              <w:jc w:val="center"/>
            </w:pPr>
          </w:p>
        </w:tc>
        <w:tc>
          <w:tcPr>
            <w:tcW w:w="1725" w:type="dxa"/>
            <w:noWrap w:val="0"/>
            <w:vAlign w:val="center"/>
          </w:tcPr>
          <w:p>
            <w:pPr>
              <w:pStyle w:val="13"/>
              <w:jc w:val="center"/>
            </w:pPr>
          </w:p>
        </w:tc>
        <w:tc>
          <w:tcPr>
            <w:tcW w:w="1588" w:type="dxa"/>
            <w:tcBorders>
              <w:right w:val="single" w:color="auto" w:sz="4" w:space="0"/>
            </w:tcBorders>
            <w:noWrap w:val="0"/>
            <w:vAlign w:val="center"/>
          </w:tcPr>
          <w:p>
            <w:pPr>
              <w:pStyle w:val="13"/>
              <w:jc w:val="center"/>
              <w:rPr>
                <w:rFonts w:ascii="宋体" w:hAnsi="宋体"/>
                <w:szCs w:val="20"/>
              </w:rPr>
            </w:pPr>
          </w:p>
        </w:tc>
        <w:tc>
          <w:tcPr>
            <w:tcW w:w="1762" w:type="dxa"/>
            <w:tcBorders>
              <w:left w:val="single" w:color="auto" w:sz="4" w:space="0"/>
            </w:tcBorders>
            <w:noWrap w:val="0"/>
            <w:vAlign w:val="center"/>
          </w:tcPr>
          <w:p>
            <w:pPr>
              <w:pStyle w:val="13"/>
              <w:jc w:val="center"/>
              <w:rPr>
                <w:rFonts w:ascii="宋体" w:hAnsi="宋体"/>
                <w:szCs w:val="20"/>
              </w:rPr>
            </w:pPr>
          </w:p>
        </w:tc>
        <w:tc>
          <w:tcPr>
            <w:tcW w:w="1475" w:type="dxa"/>
            <w:noWrap w:val="0"/>
            <w:vAlign w:val="center"/>
          </w:tcPr>
          <w:p>
            <w:pPr>
              <w:pStyle w:val="13"/>
              <w:jc w:val="center"/>
              <w:rPr>
                <w:rFonts w:ascii="宋体" w:hAnsi="宋体"/>
                <w:szCs w:val="20"/>
              </w:rPr>
            </w:pPr>
          </w:p>
        </w:tc>
        <w:tc>
          <w:tcPr>
            <w:tcW w:w="1364" w:type="dxa"/>
            <w:noWrap w:val="0"/>
            <w:vAlign w:val="center"/>
          </w:tcPr>
          <w:p>
            <w:pPr>
              <w:pStyle w:val="13"/>
              <w:jc w:val="center"/>
              <w:rPr>
                <w:rFonts w:ascii="宋体" w:hAnsi="宋体"/>
                <w:szCs w:val="20"/>
              </w:rPr>
            </w:pPr>
          </w:p>
        </w:tc>
      </w:tr>
    </w:tbl>
    <w:p>
      <w:pPr>
        <w:pStyle w:val="13"/>
        <w:spacing w:before="156" w:beforeLines="50" w:after="156" w:afterLines="50"/>
        <w:rPr>
          <w:rFonts w:ascii="宋体" w:hAnsi="宋体"/>
          <w:b/>
          <w:szCs w:val="20"/>
        </w:rPr>
      </w:pPr>
      <w:r>
        <w:rPr>
          <w:rFonts w:hint="eastAsia" w:ascii="宋体" w:hAnsi="宋体"/>
          <w:b/>
          <w:szCs w:val="20"/>
        </w:rPr>
        <w:t>注：</w:t>
      </w:r>
    </w:p>
    <w:p>
      <w:pPr>
        <w:pStyle w:val="13"/>
        <w:spacing w:after="156" w:afterLines="50"/>
        <w:rPr>
          <w:rFonts w:ascii="宋体" w:hAnsi="宋体"/>
          <w:szCs w:val="20"/>
        </w:rPr>
      </w:pPr>
      <w:r>
        <w:rPr>
          <w:rFonts w:hint="eastAsia" w:ascii="宋体" w:hAnsi="宋体"/>
          <w:szCs w:val="20"/>
        </w:rPr>
        <w:t>1、此表格必须填写。</w:t>
      </w:r>
    </w:p>
    <w:p>
      <w:pPr>
        <w:pStyle w:val="13"/>
        <w:spacing w:line="360" w:lineRule="auto"/>
        <w:outlineLvl w:val="0"/>
        <w:rPr>
          <w:rFonts w:ascii="宋体" w:hAnsi="宋体"/>
          <w:b/>
          <w:sz w:val="28"/>
          <w:szCs w:val="28"/>
        </w:rPr>
      </w:pPr>
      <w:r>
        <w:rPr>
          <w:rFonts w:ascii="宋体" w:hAnsi="宋体"/>
          <w:b/>
          <w:szCs w:val="20"/>
        </w:rPr>
        <w:br w:type="page"/>
      </w:r>
      <w:bookmarkStart w:id="553" w:name="_Toc19463"/>
      <w:bookmarkStart w:id="554" w:name="_Toc15796"/>
      <w:r>
        <w:rPr>
          <w:rFonts w:hint="eastAsia"/>
          <w:b/>
          <w:sz w:val="28"/>
          <w:szCs w:val="28"/>
        </w:rPr>
        <w:t>10）</w:t>
      </w:r>
      <w:r>
        <w:rPr>
          <w:rFonts w:hint="eastAsia" w:ascii="宋体" w:hAnsi="宋体"/>
          <w:b/>
          <w:sz w:val="28"/>
          <w:szCs w:val="28"/>
        </w:rPr>
        <w:t>业绩</w:t>
      </w:r>
      <w:r>
        <w:rPr>
          <w:rFonts w:hint="eastAsia"/>
          <w:b/>
          <w:sz w:val="28"/>
          <w:szCs w:val="28"/>
        </w:rPr>
        <w:t>合同</w:t>
      </w:r>
      <w:r>
        <w:rPr>
          <w:rFonts w:hint="eastAsia" w:ascii="宋体" w:hAnsi="宋体"/>
          <w:b/>
          <w:sz w:val="28"/>
          <w:szCs w:val="28"/>
        </w:rPr>
        <w:t>扫描件</w:t>
      </w:r>
      <w:bookmarkEnd w:id="553"/>
      <w:bookmarkEnd w:id="554"/>
    </w:p>
    <w:p>
      <w:pPr>
        <w:pStyle w:val="13"/>
        <w:spacing w:line="440" w:lineRule="exact"/>
        <w:rPr>
          <w:rFonts w:ascii="宋体" w:hAnsi="宋体"/>
          <w:sz w:val="24"/>
        </w:rPr>
      </w:pPr>
      <w:r>
        <w:rPr>
          <w:rFonts w:hint="eastAsia" w:ascii="宋体" w:hAnsi="宋体"/>
          <w:sz w:val="24"/>
        </w:rPr>
        <w:t>（附上有关合同的用户证明或合同或经买方签发的货物订单等复印件，可不含涉及商业秘密的内容）</w:t>
      </w:r>
    </w:p>
    <w:p>
      <w:pPr>
        <w:pStyle w:val="13"/>
        <w:autoSpaceDE w:val="0"/>
        <w:autoSpaceDN w:val="0"/>
        <w:adjustRightInd w:val="0"/>
        <w:spacing w:line="259" w:lineRule="auto"/>
        <w:jc w:val="center"/>
        <w:rPr>
          <w:rFonts w:ascii="宋体" w:hAnsi="宋体"/>
          <w:sz w:val="24"/>
        </w:rPr>
      </w:pPr>
    </w:p>
    <w:tbl>
      <w:tblPr>
        <w:tblStyle w:val="9"/>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137"/>
        <w:gridCol w:w="1118"/>
        <w:gridCol w:w="922"/>
        <w:gridCol w:w="922"/>
        <w:gridCol w:w="922"/>
        <w:gridCol w:w="979"/>
        <w:gridCol w:w="787"/>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序号</w:t>
            </w: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型号/规格</w:t>
            </w: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供货时间</w:t>
            </w: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供货数量</w:t>
            </w: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业主名称</w:t>
            </w: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项目名称</w:t>
            </w: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买方联系人</w:t>
            </w: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电话</w:t>
            </w: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所附合同等在投标文件中的页码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124" w:type="dxa"/>
            <w:gridSpan w:val="3"/>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数量总计</w:t>
            </w:r>
          </w:p>
        </w:tc>
        <w:tc>
          <w:tcPr>
            <w:tcW w:w="6095" w:type="dxa"/>
            <w:gridSpan w:val="6"/>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bl>
    <w:p>
      <w:pPr>
        <w:pStyle w:val="13"/>
        <w:spacing w:line="440" w:lineRule="exact"/>
        <w:rPr>
          <w:rFonts w:ascii="宋体" w:hAnsi="宋体"/>
          <w:sz w:val="24"/>
        </w:rPr>
      </w:pPr>
    </w:p>
    <w:p>
      <w:pPr>
        <w:pStyle w:val="29"/>
        <w:adjustRightInd w:val="0"/>
        <w:snapToGrid w:val="0"/>
        <w:spacing w:line="360" w:lineRule="auto"/>
        <w:jc w:val="left"/>
        <w:rPr>
          <w:rFonts w:hAnsi="宋体"/>
          <w:b/>
        </w:rPr>
      </w:pPr>
    </w:p>
    <w:p>
      <w:pPr>
        <w:pStyle w:val="29"/>
        <w:adjustRightInd w:val="0"/>
        <w:snapToGrid w:val="0"/>
        <w:spacing w:line="360" w:lineRule="auto"/>
        <w:jc w:val="left"/>
        <w:rPr>
          <w:rFonts w:hAnsi="宋体"/>
          <w:b/>
        </w:rPr>
      </w:pPr>
    </w:p>
    <w:p>
      <w:pPr>
        <w:pStyle w:val="29"/>
        <w:adjustRightInd w:val="0"/>
        <w:snapToGrid w:val="0"/>
        <w:spacing w:line="360" w:lineRule="auto"/>
        <w:jc w:val="left"/>
        <w:rPr>
          <w:rFonts w:hAnsi="宋体"/>
          <w:b/>
        </w:rPr>
      </w:pPr>
      <w:r>
        <w:rPr>
          <w:rFonts w:hint="eastAsia" w:hAnsi="宋体"/>
          <w:b/>
        </w:rPr>
        <w:t>业绩合同要求：</w:t>
      </w:r>
    </w:p>
    <w:p>
      <w:pPr>
        <w:pStyle w:val="29"/>
        <w:numPr>
          <w:ilvl w:val="0"/>
          <w:numId w:val="49"/>
        </w:numPr>
        <w:adjustRightInd w:val="0"/>
        <w:snapToGrid w:val="0"/>
        <w:spacing w:line="360" w:lineRule="auto"/>
        <w:jc w:val="left"/>
        <w:rPr>
          <w:rFonts w:hAnsi="宋体"/>
          <w:b/>
        </w:rPr>
      </w:pPr>
      <w:r>
        <w:rPr>
          <w:rFonts w:hint="eastAsia" w:hAnsi="宋体"/>
          <w:b/>
        </w:rPr>
        <w:t>此附件所提交预审文件要求的业绩合同扫描件，扫描件必须清晰，至少包含合同封面、合同货物明细、数量、总价及签章页（须含日期）。</w:t>
      </w:r>
    </w:p>
    <w:p>
      <w:pPr>
        <w:pStyle w:val="13"/>
        <w:spacing w:after="100" w:afterAutospacing="1" w:line="400" w:lineRule="exact"/>
        <w:rPr>
          <w:rFonts w:ascii="宋体" w:hAnsi="宋体"/>
          <w:b/>
          <w:szCs w:val="20"/>
        </w:rPr>
      </w:pPr>
    </w:p>
    <w:p>
      <w:pPr>
        <w:pStyle w:val="13"/>
        <w:spacing w:line="360" w:lineRule="auto"/>
        <w:rPr>
          <w:rFonts w:ascii="宋体" w:hAnsi="宋体"/>
          <w:b/>
          <w:szCs w:val="20"/>
        </w:rPr>
      </w:pPr>
    </w:p>
    <w:p>
      <w:pPr>
        <w:pStyle w:val="13"/>
        <w:spacing w:after="100" w:afterAutospacing="1" w:line="400" w:lineRule="exact"/>
        <w:outlineLvl w:val="0"/>
        <w:rPr>
          <w:b/>
          <w:sz w:val="28"/>
          <w:szCs w:val="28"/>
        </w:rPr>
      </w:pPr>
      <w:r>
        <w:rPr>
          <w:rFonts w:ascii="宋体" w:hAnsi="宋体"/>
          <w:b/>
          <w:sz w:val="28"/>
          <w:szCs w:val="28"/>
        </w:rPr>
        <w:br w:type="page"/>
      </w:r>
      <w:bookmarkStart w:id="555" w:name="_Toc2179"/>
      <w:bookmarkStart w:id="556" w:name="_Toc30850"/>
      <w:r>
        <w:rPr>
          <w:rFonts w:hint="eastAsia"/>
          <w:b/>
          <w:sz w:val="28"/>
          <w:szCs w:val="28"/>
        </w:rPr>
        <w:t>11）提交的资格预审申请文件的电子版</w:t>
      </w:r>
      <w:bookmarkEnd w:id="555"/>
      <w:bookmarkEnd w:id="556"/>
    </w:p>
    <w:p>
      <w:pPr>
        <w:pStyle w:val="13"/>
        <w:spacing w:line="360" w:lineRule="auto"/>
        <w:ind w:left="562"/>
        <w:rPr>
          <w:b/>
          <w:sz w:val="24"/>
        </w:rPr>
      </w:pPr>
      <w:r>
        <w:rPr>
          <w:rFonts w:hint="eastAsia"/>
          <w:b/>
          <w:sz w:val="24"/>
        </w:rPr>
        <w:t>资格预审申请文件电子版提交检查表</w:t>
      </w:r>
    </w:p>
    <w:tbl>
      <w:tblPr>
        <w:tblStyle w:val="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6"/>
        <w:gridCol w:w="4488"/>
        <w:gridCol w:w="1860"/>
        <w:gridCol w:w="1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479" w:type="pct"/>
            <w:noWrap w:val="0"/>
            <w:vAlign w:val="center"/>
          </w:tcPr>
          <w:p>
            <w:pPr>
              <w:pStyle w:val="13"/>
              <w:spacing w:line="400" w:lineRule="exact"/>
              <w:jc w:val="center"/>
              <w:rPr>
                <w:b/>
                <w:szCs w:val="21"/>
              </w:rPr>
            </w:pPr>
            <w:r>
              <w:rPr>
                <w:rFonts w:hint="eastAsia"/>
                <w:b/>
                <w:szCs w:val="21"/>
              </w:rPr>
              <w:t>序号</w:t>
            </w:r>
          </w:p>
        </w:tc>
        <w:tc>
          <w:tcPr>
            <w:tcW w:w="2633" w:type="pct"/>
            <w:noWrap w:val="0"/>
            <w:vAlign w:val="center"/>
          </w:tcPr>
          <w:p>
            <w:pPr>
              <w:pStyle w:val="13"/>
              <w:spacing w:line="400" w:lineRule="exact"/>
              <w:rPr>
                <w:b/>
                <w:szCs w:val="21"/>
              </w:rPr>
            </w:pPr>
            <w:r>
              <w:rPr>
                <w:rFonts w:hint="eastAsia"/>
                <w:b/>
                <w:szCs w:val="21"/>
              </w:rPr>
              <w:t>内容</w:t>
            </w:r>
          </w:p>
        </w:tc>
        <w:tc>
          <w:tcPr>
            <w:tcW w:w="1091" w:type="pct"/>
            <w:noWrap w:val="0"/>
            <w:vAlign w:val="center"/>
          </w:tcPr>
          <w:p>
            <w:pPr>
              <w:pStyle w:val="13"/>
              <w:spacing w:line="400" w:lineRule="exact"/>
              <w:rPr>
                <w:b/>
                <w:szCs w:val="21"/>
              </w:rPr>
            </w:pPr>
            <w:r>
              <w:rPr>
                <w:rFonts w:hint="eastAsia"/>
                <w:b/>
                <w:szCs w:val="21"/>
              </w:rPr>
              <w:t>是否提交</w:t>
            </w:r>
          </w:p>
        </w:tc>
        <w:tc>
          <w:tcPr>
            <w:tcW w:w="797" w:type="pct"/>
            <w:noWrap w:val="0"/>
            <w:vAlign w:val="center"/>
          </w:tcPr>
          <w:p>
            <w:pPr>
              <w:pStyle w:val="13"/>
              <w:spacing w:line="400" w:lineRule="exact"/>
              <w:rPr>
                <w:b/>
                <w:szCs w:val="21"/>
              </w:rPr>
            </w:pPr>
            <w:r>
              <w:rPr>
                <w:rFonts w:hint="eastAsia"/>
                <w:b/>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479" w:type="pct"/>
            <w:noWrap w:val="0"/>
            <w:vAlign w:val="center"/>
          </w:tcPr>
          <w:p>
            <w:pPr>
              <w:pStyle w:val="13"/>
              <w:spacing w:line="400" w:lineRule="exact"/>
              <w:jc w:val="center"/>
              <w:rPr>
                <w:szCs w:val="21"/>
              </w:rPr>
            </w:pPr>
            <w:r>
              <w:rPr>
                <w:rFonts w:hint="eastAsia"/>
                <w:szCs w:val="21"/>
              </w:rPr>
              <w:t>1</w:t>
            </w:r>
          </w:p>
        </w:tc>
        <w:tc>
          <w:tcPr>
            <w:tcW w:w="2633" w:type="pct"/>
            <w:noWrap w:val="0"/>
            <w:vAlign w:val="center"/>
          </w:tcPr>
          <w:p>
            <w:pPr>
              <w:pStyle w:val="13"/>
              <w:spacing w:line="400" w:lineRule="exact"/>
              <w:rPr>
                <w:szCs w:val="21"/>
              </w:rPr>
            </w:pPr>
            <w:r>
              <w:rPr>
                <w:rFonts w:hint="eastAsia"/>
                <w:szCs w:val="21"/>
              </w:rPr>
              <w:t>是否“提交了的资格预审申请文件的电子版”</w:t>
            </w:r>
          </w:p>
        </w:tc>
        <w:tc>
          <w:tcPr>
            <w:tcW w:w="1091" w:type="pct"/>
            <w:noWrap w:val="0"/>
            <w:vAlign w:val="center"/>
          </w:tcPr>
          <w:p>
            <w:pPr>
              <w:pStyle w:val="13"/>
              <w:spacing w:line="400" w:lineRule="exact"/>
              <w:rPr>
                <w:szCs w:val="21"/>
              </w:rPr>
            </w:pPr>
          </w:p>
        </w:tc>
        <w:tc>
          <w:tcPr>
            <w:tcW w:w="797" w:type="pct"/>
            <w:noWrap w:val="0"/>
            <w:vAlign w:val="center"/>
          </w:tcPr>
          <w:p>
            <w:pPr>
              <w:pStyle w:val="13"/>
              <w:spacing w:line="400" w:lineRule="exact"/>
              <w:rPr>
                <w:szCs w:val="21"/>
              </w:rPr>
            </w:pPr>
          </w:p>
        </w:tc>
      </w:tr>
    </w:tbl>
    <w:p>
      <w:pPr>
        <w:pStyle w:val="13"/>
        <w:spacing w:line="360" w:lineRule="auto"/>
        <w:rPr>
          <w:rFonts w:hAnsi="宋体"/>
          <w:b/>
        </w:rPr>
      </w:pPr>
    </w:p>
    <w:p>
      <w:pPr>
        <w:pStyle w:val="13"/>
        <w:spacing w:after="100" w:afterAutospacing="1" w:line="400" w:lineRule="exact"/>
        <w:outlineLvl w:val="0"/>
        <w:rPr>
          <w:b/>
          <w:sz w:val="28"/>
          <w:szCs w:val="28"/>
        </w:rPr>
      </w:pPr>
      <w:r>
        <w:rPr>
          <w:b/>
          <w:sz w:val="28"/>
          <w:szCs w:val="28"/>
        </w:rPr>
        <w:br w:type="page"/>
      </w:r>
      <w:bookmarkStart w:id="557" w:name="_Toc14246"/>
      <w:bookmarkStart w:id="558" w:name="_Toc662"/>
      <w:r>
        <w:rPr>
          <w:rFonts w:hint="eastAsia"/>
          <w:b/>
          <w:sz w:val="28"/>
          <w:szCs w:val="28"/>
        </w:rPr>
        <w:t>12）信誉要求：</w:t>
      </w:r>
      <w:bookmarkEnd w:id="557"/>
      <w:bookmarkEnd w:id="558"/>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kern w:val="0"/>
          <w:sz w:val="21"/>
          <w:szCs w:val="21"/>
          <w:lang w:eastAsia="zh-CN" w:bidi="ar"/>
        </w:rPr>
        <w:t>（1）</w:t>
      </w:r>
      <w:r>
        <w:rPr>
          <w:rFonts w:ascii="微软雅黑" w:hAnsi="微软雅黑" w:eastAsia="微软雅黑" w:cs="微软雅黑"/>
          <w:color w:val="000000"/>
          <w:spacing w:val="-3"/>
          <w:kern w:val="0"/>
          <w:sz w:val="21"/>
          <w:szCs w:val="21"/>
          <w:lang w:eastAsia="zh-CN" w:bidi="ar"/>
        </w:rPr>
        <w:t>在信用中国”网站（https://www.creditchina.gov.cn/）和“中国执行信息公开</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spacing w:val="-3"/>
          <w:kern w:val="0"/>
          <w:sz w:val="21"/>
          <w:szCs w:val="21"/>
          <w:lang w:eastAsia="zh-CN" w:bidi="ar"/>
        </w:rPr>
        <w:t>网”网站（http://zxgk.court.gov.cn/）。</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2"/>
          <w:lang w:eastAsia="zh-CN"/>
        </w:rPr>
      </w:pPr>
      <w:r>
        <w:rPr>
          <w:rFonts w:ascii="微软雅黑" w:hAnsi="微软雅黑" w:eastAsia="微软雅黑" w:cs="宋体"/>
          <w:spacing w:val="-3"/>
          <w:kern w:val="0"/>
          <w:sz w:val="22"/>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kern w:val="0"/>
          <w:sz w:val="21"/>
          <w:szCs w:val="21"/>
          <w:lang w:eastAsia="zh-CN" w:bidi="ar"/>
        </w:rPr>
        <w:t>（2）</w:t>
      </w:r>
      <w:r>
        <w:rPr>
          <w:rFonts w:ascii="微软雅黑" w:hAnsi="微软雅黑" w:eastAsia="微软雅黑" w:cs="微软雅黑"/>
          <w:color w:val="000000"/>
          <w:spacing w:val="-3"/>
          <w:kern w:val="0"/>
          <w:sz w:val="21"/>
          <w:szCs w:val="21"/>
          <w:lang w:eastAsia="zh-CN" w:bidi="ar"/>
        </w:rPr>
        <w:t>在全国企业信用信息公示系统（http://www.gsxt.gov.cn）中查询本单位是否被列入严重违法失信企业名单。</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2"/>
          <w:lang w:eastAsia="zh-CN"/>
        </w:rPr>
      </w:pPr>
      <w:r>
        <w:rPr>
          <w:rFonts w:ascii="微软雅黑" w:hAnsi="微软雅黑" w:eastAsia="微软雅黑" w:cs="宋体"/>
          <w:spacing w:val="-3"/>
          <w:kern w:val="0"/>
          <w:sz w:val="22"/>
          <w:lang w:eastAsia="zh-CN" w:bidi="ar"/>
        </w:rPr>
        <w:t xml:space="preserve"> </w:t>
      </w:r>
    </w:p>
    <w:p>
      <w:pPr>
        <w:keepNext w:val="0"/>
        <w:keepLines w:val="0"/>
        <w:widowControl/>
        <w:suppressLineNumbers w:val="0"/>
        <w:spacing w:before="0" w:beforeAutospacing="0" w:after="0" w:afterAutospacing="0"/>
        <w:ind w:left="0" w:right="0"/>
        <w:jc w:val="both"/>
        <w:rPr>
          <w:rFonts w:ascii="微软雅黑" w:hAnsi="微软雅黑" w:eastAsia="微软雅黑" w:cs="Times New Roman"/>
          <w:kern w:val="2"/>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r>
        <w:rPr>
          <w:rFonts w:ascii="微软雅黑" w:hAnsi="微软雅黑" w:eastAsia="微软雅黑" w:cs="微软雅黑"/>
          <w:color w:val="000000"/>
          <w:spacing w:val="-3"/>
          <w:kern w:val="0"/>
          <w:sz w:val="21"/>
          <w:szCs w:val="21"/>
          <w:lang w:eastAsia="zh-CN" w:bidi="ar"/>
        </w:rPr>
        <w:t>（3）在“中国裁判文书网”（http</w:t>
      </w:r>
      <w:r>
        <w:rPr>
          <w:rFonts w:ascii="微软雅黑" w:hAnsi="微软雅黑" w:eastAsia="微软雅黑" w:cs="宋体"/>
          <w:color w:val="000000"/>
          <w:spacing w:val="-3"/>
          <w:kern w:val="0"/>
          <w:sz w:val="21"/>
          <w:szCs w:val="21"/>
          <w:lang w:eastAsia="zh-CN" w:bidi="ar"/>
        </w:rPr>
        <w:t>://wenshu.court.gov.cn</w:t>
      </w:r>
      <w:r>
        <w:rPr>
          <w:rFonts w:ascii="微软雅黑" w:hAnsi="微软雅黑" w:eastAsia="微软雅黑" w:cs="微软雅黑"/>
          <w:color w:val="000000"/>
          <w:spacing w:val="-3"/>
          <w:kern w:val="0"/>
          <w:sz w:val="21"/>
          <w:szCs w:val="21"/>
          <w:lang w:eastAsia="zh-CN" w:bidi="ar"/>
        </w:rPr>
        <w:t>）中查询本单位及其法人代表、拟委任的项目责任人是否存在行贿犯罪信息。</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pStyle w:val="13"/>
        <w:spacing w:after="100" w:afterAutospacing="1" w:line="400" w:lineRule="exact"/>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23"/>
        <w:spacing w:line="443" w:lineRule="exact"/>
        <w:ind w:right="1"/>
        <w:rPr>
          <w:rFonts w:hint="eastAsia" w:ascii="宋体" w:hAnsi="宋体" w:eastAsia="宋体"/>
          <w:b w:val="0"/>
          <w:sz w:val="24"/>
        </w:rPr>
      </w:pPr>
    </w:p>
    <w:p>
      <w:pPr>
        <w:pStyle w:val="23"/>
        <w:spacing w:line="443" w:lineRule="exact"/>
        <w:ind w:right="1"/>
        <w:rPr>
          <w:rFonts w:hint="eastAsia" w:ascii="宋体" w:hAnsi="宋体" w:eastAsia="宋体"/>
          <w:b w:val="0"/>
          <w:sz w:val="24"/>
        </w:rPr>
      </w:pPr>
    </w:p>
    <w:p>
      <w:pPr>
        <w:rPr>
          <w:rFonts w:hint="eastAsia" w:ascii="宋体" w:hAnsi="宋体" w:eastAsia="宋体"/>
          <w:b w:val="0"/>
          <w:sz w:val="24"/>
        </w:rPr>
      </w:pPr>
      <w:r>
        <w:rPr>
          <w:rFonts w:hint="eastAsia" w:ascii="宋体" w:hAnsi="宋体" w:eastAsia="宋体"/>
          <w:b w:val="0"/>
          <w:sz w:val="24"/>
        </w:rPr>
        <w:br w:type="page"/>
      </w:r>
    </w:p>
    <w:p>
      <w:pPr>
        <w:pStyle w:val="23"/>
        <w:spacing w:line="443" w:lineRule="exact"/>
        <w:ind w:right="1"/>
      </w:pPr>
      <w:r>
        <w:rPr>
          <w:rFonts w:hint="eastAsia" w:ascii="宋体" w:hAnsi="宋体" w:eastAsia="宋体"/>
          <w:b w:val="0"/>
          <w:sz w:val="24"/>
        </w:rPr>
        <w:t>c、不得被工商行政管理机关在全国企业信用信息公示系统（http://www.gsxt.gov.cn）中列入严重违法失信企业名单，申请人请自行查询，将查询结果加盖公章后放入资格预审文件</w:t>
      </w: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29"/>
        <w:adjustRightInd w:val="0"/>
        <w:snapToGrid w:val="0"/>
        <w:spacing w:line="360" w:lineRule="auto"/>
        <w:jc w:val="left"/>
        <w:outlineLvl w:val="0"/>
        <w:rPr>
          <w:b/>
          <w:sz w:val="28"/>
          <w:szCs w:val="28"/>
        </w:rPr>
      </w:pPr>
      <w:bookmarkStart w:id="559" w:name="_Toc25719"/>
      <w:bookmarkStart w:id="560" w:name="_Toc14786"/>
      <w:r>
        <w:rPr>
          <w:rFonts w:hint="eastAsia"/>
          <w:b/>
          <w:sz w:val="28"/>
          <w:szCs w:val="28"/>
        </w:rPr>
        <w:t>13）供货计划、生产能力及保障措施</w:t>
      </w:r>
      <w:bookmarkEnd w:id="559"/>
      <w:bookmarkEnd w:id="560"/>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13"/>
        <w:spacing w:after="100" w:afterAutospacing="1" w:line="400" w:lineRule="exact"/>
        <w:outlineLvl w:val="0"/>
        <w:rPr>
          <w:b/>
          <w:sz w:val="28"/>
          <w:szCs w:val="28"/>
        </w:rPr>
      </w:pPr>
      <w:r>
        <w:rPr>
          <w:b/>
          <w:sz w:val="28"/>
          <w:szCs w:val="28"/>
        </w:rPr>
        <w:br w:type="page"/>
      </w:r>
      <w:bookmarkStart w:id="561" w:name="_Toc29306"/>
      <w:bookmarkStart w:id="562" w:name="_Toc2634"/>
      <w:r>
        <w:rPr>
          <w:rFonts w:hint="eastAsia"/>
          <w:b/>
          <w:sz w:val="28"/>
          <w:szCs w:val="28"/>
        </w:rPr>
        <w:t>14）售后服务和现场技术支持方案</w:t>
      </w:r>
      <w:bookmarkEnd w:id="561"/>
      <w:bookmarkEnd w:id="562"/>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13"/>
        <w:spacing w:after="100" w:afterAutospacing="1" w:line="400" w:lineRule="exact"/>
        <w:outlineLvl w:val="0"/>
        <w:rPr>
          <w:rFonts w:ascii="宋体" w:hAnsi="宋体"/>
          <w:b/>
          <w:szCs w:val="20"/>
        </w:rPr>
      </w:pPr>
      <w:bookmarkStart w:id="563" w:name="_Toc426"/>
      <w:bookmarkStart w:id="564" w:name="_Toc5068"/>
      <w:r>
        <w:rPr>
          <w:rFonts w:hint="eastAsia"/>
          <w:b/>
          <w:sz w:val="28"/>
          <w:szCs w:val="28"/>
        </w:rPr>
        <w:t>15）申请人认为有必要提交的其他支持性材料</w:t>
      </w:r>
      <w:bookmarkEnd w:id="563"/>
      <w:bookmarkEnd w:id="564"/>
    </w:p>
    <w:p>
      <w:pPr>
        <w:pStyle w:val="13"/>
        <w:spacing w:after="100" w:afterAutospacing="1" w:line="400" w:lineRule="exact"/>
        <w:rPr>
          <w:strike/>
          <w:szCs w:val="21"/>
        </w:rPr>
      </w:pPr>
    </w:p>
    <w:p>
      <w:pPr>
        <w:pStyle w:val="13"/>
        <w:spacing w:after="100" w:afterAutospacing="1" w:line="400" w:lineRule="exact"/>
        <w:outlineLvl w:val="0"/>
        <w:rPr>
          <w:b/>
          <w:sz w:val="28"/>
          <w:szCs w:val="28"/>
        </w:rPr>
      </w:pPr>
      <w:r>
        <w:rPr>
          <w:b/>
          <w:sz w:val="28"/>
          <w:szCs w:val="28"/>
        </w:rPr>
        <w:br w:type="page"/>
      </w:r>
      <w:bookmarkStart w:id="565" w:name="_Toc18149"/>
      <w:bookmarkStart w:id="566" w:name="_Toc27612"/>
      <w:r>
        <w:rPr>
          <w:rFonts w:hint="eastAsia"/>
          <w:b/>
          <w:sz w:val="28"/>
          <w:szCs w:val="28"/>
        </w:rPr>
        <w:t>16）商务偏离表</w:t>
      </w:r>
      <w:bookmarkEnd w:id="565"/>
      <w:bookmarkEnd w:id="566"/>
    </w:p>
    <w:p>
      <w:pPr>
        <w:pStyle w:val="13"/>
        <w:spacing w:after="100" w:afterAutospacing="1" w:line="400" w:lineRule="exact"/>
        <w:rPr>
          <w:b/>
          <w:szCs w:val="21"/>
        </w:rPr>
      </w:pPr>
      <w:r>
        <w:rPr>
          <w:rFonts w:hint="eastAsia"/>
          <w:b/>
          <w:szCs w:val="21"/>
        </w:rPr>
        <w:t>（该表内容必须填写，如确认无偏差，请填写“无偏离”，且该表须盖公章。若未填写，表示无偏离。）</w:t>
      </w:r>
    </w:p>
    <w:tbl>
      <w:tblPr>
        <w:tblStyle w:val="9"/>
        <w:tblW w:w="88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2325"/>
        <w:gridCol w:w="2525"/>
        <w:gridCol w:w="1775"/>
        <w:gridCol w:w="1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trPr>
        <w:tc>
          <w:tcPr>
            <w:tcW w:w="920"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序号</w:t>
            </w:r>
          </w:p>
        </w:tc>
        <w:tc>
          <w:tcPr>
            <w:tcW w:w="2325"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招标文件商务内容</w:t>
            </w:r>
          </w:p>
        </w:tc>
        <w:tc>
          <w:tcPr>
            <w:tcW w:w="2525"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投标文件商务内容</w:t>
            </w:r>
          </w:p>
        </w:tc>
        <w:tc>
          <w:tcPr>
            <w:tcW w:w="1775"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是否偏离</w:t>
            </w:r>
          </w:p>
        </w:tc>
        <w:tc>
          <w:tcPr>
            <w:tcW w:w="1337"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920" w:type="dxa"/>
            <w:noWrap w:val="0"/>
            <w:vAlign w:val="center"/>
          </w:tcPr>
          <w:p>
            <w:pPr>
              <w:pStyle w:val="13"/>
              <w:spacing w:after="100" w:afterAutospacing="1" w:line="400" w:lineRule="exact"/>
              <w:jc w:val="center"/>
              <w:rPr>
                <w:rFonts w:ascii="宋体" w:hAnsi="宋体"/>
                <w:b/>
                <w:sz w:val="24"/>
              </w:rPr>
            </w:pPr>
          </w:p>
        </w:tc>
        <w:tc>
          <w:tcPr>
            <w:tcW w:w="2325" w:type="dxa"/>
            <w:noWrap w:val="0"/>
            <w:vAlign w:val="center"/>
          </w:tcPr>
          <w:p>
            <w:pPr>
              <w:pStyle w:val="13"/>
              <w:spacing w:after="100" w:afterAutospacing="1" w:line="400" w:lineRule="exact"/>
              <w:jc w:val="center"/>
              <w:rPr>
                <w:rFonts w:ascii="宋体" w:hAnsi="宋体"/>
                <w:b/>
                <w:sz w:val="24"/>
              </w:rPr>
            </w:pPr>
          </w:p>
        </w:tc>
        <w:tc>
          <w:tcPr>
            <w:tcW w:w="2525" w:type="dxa"/>
            <w:noWrap w:val="0"/>
            <w:vAlign w:val="center"/>
          </w:tcPr>
          <w:p>
            <w:pPr>
              <w:pStyle w:val="13"/>
              <w:spacing w:after="100" w:afterAutospacing="1" w:line="400" w:lineRule="exact"/>
              <w:jc w:val="center"/>
              <w:rPr>
                <w:rFonts w:ascii="宋体" w:hAnsi="宋体"/>
                <w:b/>
                <w:sz w:val="24"/>
              </w:rPr>
            </w:pPr>
          </w:p>
        </w:tc>
        <w:tc>
          <w:tcPr>
            <w:tcW w:w="1775" w:type="dxa"/>
            <w:noWrap w:val="0"/>
            <w:vAlign w:val="center"/>
          </w:tcPr>
          <w:p>
            <w:pPr>
              <w:pStyle w:val="13"/>
              <w:spacing w:after="100" w:afterAutospacing="1" w:line="400" w:lineRule="exact"/>
              <w:jc w:val="center"/>
              <w:rPr>
                <w:rFonts w:ascii="宋体" w:hAnsi="宋体"/>
                <w:b/>
                <w:sz w:val="24"/>
              </w:rPr>
            </w:pPr>
          </w:p>
        </w:tc>
        <w:tc>
          <w:tcPr>
            <w:tcW w:w="1337"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920" w:type="dxa"/>
            <w:noWrap w:val="0"/>
            <w:vAlign w:val="center"/>
          </w:tcPr>
          <w:p>
            <w:pPr>
              <w:pStyle w:val="13"/>
              <w:spacing w:after="100" w:afterAutospacing="1" w:line="400" w:lineRule="exact"/>
              <w:jc w:val="center"/>
              <w:rPr>
                <w:rFonts w:ascii="宋体" w:hAnsi="宋体"/>
                <w:b/>
                <w:sz w:val="24"/>
              </w:rPr>
            </w:pPr>
          </w:p>
        </w:tc>
        <w:tc>
          <w:tcPr>
            <w:tcW w:w="2325" w:type="dxa"/>
            <w:noWrap w:val="0"/>
            <w:vAlign w:val="center"/>
          </w:tcPr>
          <w:p>
            <w:pPr>
              <w:pStyle w:val="13"/>
              <w:spacing w:after="100" w:afterAutospacing="1" w:line="400" w:lineRule="exact"/>
              <w:jc w:val="center"/>
              <w:rPr>
                <w:rFonts w:ascii="宋体" w:hAnsi="宋体"/>
                <w:b/>
                <w:sz w:val="24"/>
              </w:rPr>
            </w:pPr>
          </w:p>
        </w:tc>
        <w:tc>
          <w:tcPr>
            <w:tcW w:w="2525" w:type="dxa"/>
            <w:noWrap w:val="0"/>
            <w:vAlign w:val="center"/>
          </w:tcPr>
          <w:p>
            <w:pPr>
              <w:pStyle w:val="13"/>
              <w:spacing w:after="100" w:afterAutospacing="1" w:line="400" w:lineRule="exact"/>
              <w:jc w:val="center"/>
              <w:rPr>
                <w:rFonts w:ascii="宋体" w:hAnsi="宋体"/>
                <w:b/>
                <w:sz w:val="24"/>
              </w:rPr>
            </w:pPr>
          </w:p>
        </w:tc>
        <w:tc>
          <w:tcPr>
            <w:tcW w:w="1775" w:type="dxa"/>
            <w:noWrap w:val="0"/>
            <w:vAlign w:val="center"/>
          </w:tcPr>
          <w:p>
            <w:pPr>
              <w:pStyle w:val="13"/>
              <w:spacing w:after="100" w:afterAutospacing="1" w:line="400" w:lineRule="exact"/>
              <w:jc w:val="center"/>
              <w:rPr>
                <w:rFonts w:ascii="宋体" w:hAnsi="宋体"/>
                <w:b/>
                <w:sz w:val="24"/>
              </w:rPr>
            </w:pPr>
          </w:p>
        </w:tc>
        <w:tc>
          <w:tcPr>
            <w:tcW w:w="1337"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920" w:type="dxa"/>
            <w:noWrap w:val="0"/>
            <w:vAlign w:val="center"/>
          </w:tcPr>
          <w:p>
            <w:pPr>
              <w:pStyle w:val="13"/>
              <w:spacing w:after="100" w:afterAutospacing="1" w:line="400" w:lineRule="exact"/>
              <w:jc w:val="center"/>
              <w:rPr>
                <w:rFonts w:ascii="宋体" w:hAnsi="宋体"/>
                <w:b/>
                <w:sz w:val="24"/>
              </w:rPr>
            </w:pPr>
          </w:p>
        </w:tc>
        <w:tc>
          <w:tcPr>
            <w:tcW w:w="2325" w:type="dxa"/>
            <w:noWrap w:val="0"/>
            <w:vAlign w:val="center"/>
          </w:tcPr>
          <w:p>
            <w:pPr>
              <w:pStyle w:val="13"/>
              <w:spacing w:after="100" w:afterAutospacing="1" w:line="400" w:lineRule="exact"/>
              <w:jc w:val="center"/>
              <w:rPr>
                <w:rFonts w:ascii="宋体" w:hAnsi="宋体"/>
                <w:b/>
                <w:sz w:val="24"/>
              </w:rPr>
            </w:pPr>
          </w:p>
        </w:tc>
        <w:tc>
          <w:tcPr>
            <w:tcW w:w="2525" w:type="dxa"/>
            <w:noWrap w:val="0"/>
            <w:vAlign w:val="center"/>
          </w:tcPr>
          <w:p>
            <w:pPr>
              <w:pStyle w:val="13"/>
              <w:spacing w:after="100" w:afterAutospacing="1" w:line="400" w:lineRule="exact"/>
              <w:jc w:val="center"/>
              <w:rPr>
                <w:rFonts w:ascii="宋体" w:hAnsi="宋体"/>
                <w:b/>
                <w:sz w:val="24"/>
              </w:rPr>
            </w:pPr>
          </w:p>
        </w:tc>
        <w:tc>
          <w:tcPr>
            <w:tcW w:w="1775" w:type="dxa"/>
            <w:noWrap w:val="0"/>
            <w:vAlign w:val="center"/>
          </w:tcPr>
          <w:p>
            <w:pPr>
              <w:pStyle w:val="13"/>
              <w:spacing w:after="100" w:afterAutospacing="1" w:line="400" w:lineRule="exact"/>
              <w:jc w:val="center"/>
              <w:rPr>
                <w:rFonts w:ascii="宋体" w:hAnsi="宋体"/>
                <w:b/>
                <w:sz w:val="24"/>
              </w:rPr>
            </w:pPr>
          </w:p>
        </w:tc>
        <w:tc>
          <w:tcPr>
            <w:tcW w:w="1337"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920" w:type="dxa"/>
            <w:noWrap w:val="0"/>
            <w:vAlign w:val="center"/>
          </w:tcPr>
          <w:p>
            <w:pPr>
              <w:pStyle w:val="13"/>
              <w:spacing w:after="100" w:afterAutospacing="1" w:line="400" w:lineRule="exact"/>
              <w:jc w:val="center"/>
              <w:rPr>
                <w:rFonts w:ascii="宋体" w:hAnsi="宋体"/>
                <w:b/>
                <w:sz w:val="24"/>
              </w:rPr>
            </w:pPr>
          </w:p>
        </w:tc>
        <w:tc>
          <w:tcPr>
            <w:tcW w:w="2325" w:type="dxa"/>
            <w:noWrap w:val="0"/>
            <w:vAlign w:val="center"/>
          </w:tcPr>
          <w:p>
            <w:pPr>
              <w:pStyle w:val="13"/>
              <w:spacing w:after="100" w:afterAutospacing="1" w:line="400" w:lineRule="exact"/>
              <w:jc w:val="center"/>
              <w:rPr>
                <w:rFonts w:ascii="宋体" w:hAnsi="宋体"/>
                <w:b/>
                <w:sz w:val="24"/>
              </w:rPr>
            </w:pPr>
          </w:p>
        </w:tc>
        <w:tc>
          <w:tcPr>
            <w:tcW w:w="2525" w:type="dxa"/>
            <w:noWrap w:val="0"/>
            <w:vAlign w:val="center"/>
          </w:tcPr>
          <w:p>
            <w:pPr>
              <w:pStyle w:val="13"/>
              <w:spacing w:after="100" w:afterAutospacing="1" w:line="400" w:lineRule="exact"/>
              <w:jc w:val="center"/>
              <w:rPr>
                <w:rFonts w:ascii="宋体" w:hAnsi="宋体"/>
                <w:b/>
                <w:sz w:val="24"/>
              </w:rPr>
            </w:pPr>
          </w:p>
        </w:tc>
        <w:tc>
          <w:tcPr>
            <w:tcW w:w="1775" w:type="dxa"/>
            <w:noWrap w:val="0"/>
            <w:vAlign w:val="center"/>
          </w:tcPr>
          <w:p>
            <w:pPr>
              <w:pStyle w:val="13"/>
              <w:spacing w:after="100" w:afterAutospacing="1" w:line="400" w:lineRule="exact"/>
              <w:jc w:val="center"/>
              <w:rPr>
                <w:rFonts w:ascii="宋体" w:hAnsi="宋体"/>
                <w:b/>
                <w:sz w:val="24"/>
              </w:rPr>
            </w:pPr>
          </w:p>
        </w:tc>
        <w:tc>
          <w:tcPr>
            <w:tcW w:w="1337" w:type="dxa"/>
            <w:noWrap w:val="0"/>
            <w:vAlign w:val="center"/>
          </w:tcPr>
          <w:p>
            <w:pPr>
              <w:pStyle w:val="13"/>
              <w:spacing w:after="100" w:afterAutospacing="1" w:line="400" w:lineRule="exact"/>
              <w:jc w:val="center"/>
              <w:rPr>
                <w:rFonts w:ascii="宋体" w:hAnsi="宋体"/>
                <w:b/>
                <w:sz w:val="24"/>
              </w:rPr>
            </w:pPr>
          </w:p>
        </w:tc>
      </w:tr>
    </w:tbl>
    <w:p>
      <w:pPr>
        <w:pStyle w:val="13"/>
        <w:spacing w:after="100" w:afterAutospacing="1" w:line="400" w:lineRule="exact"/>
        <w:rPr>
          <w:b/>
          <w:sz w:val="28"/>
          <w:szCs w:val="28"/>
        </w:rPr>
      </w:pPr>
      <w:r>
        <w:rPr>
          <w:b/>
          <w:sz w:val="28"/>
          <w:szCs w:val="28"/>
        </w:rPr>
        <w:t>…</w:t>
      </w:r>
    </w:p>
    <w:p>
      <w:pPr>
        <w:pStyle w:val="29"/>
        <w:adjustRightInd w:val="0"/>
        <w:snapToGrid w:val="0"/>
        <w:spacing w:line="360" w:lineRule="auto"/>
        <w:jc w:val="left"/>
        <w:outlineLvl w:val="0"/>
        <w:rPr>
          <w:b/>
          <w:sz w:val="28"/>
          <w:szCs w:val="28"/>
        </w:rPr>
      </w:pPr>
      <w:r>
        <w:rPr>
          <w:rFonts w:hAnsi="宋体"/>
          <w:b/>
        </w:rPr>
        <w:br w:type="page"/>
      </w:r>
      <w:bookmarkStart w:id="567" w:name="_Toc23473"/>
      <w:bookmarkStart w:id="568" w:name="_Toc15344"/>
      <w:r>
        <w:rPr>
          <w:rFonts w:hint="eastAsia"/>
          <w:b/>
          <w:sz w:val="28"/>
          <w:szCs w:val="28"/>
        </w:rPr>
        <w:t>17）技术偏离表</w:t>
      </w:r>
      <w:bookmarkEnd w:id="567"/>
      <w:bookmarkEnd w:id="568"/>
    </w:p>
    <w:p>
      <w:pPr>
        <w:pStyle w:val="13"/>
        <w:spacing w:after="100" w:afterAutospacing="1" w:line="400" w:lineRule="exact"/>
        <w:rPr>
          <w:b/>
          <w:szCs w:val="21"/>
        </w:rPr>
      </w:pPr>
      <w:r>
        <w:rPr>
          <w:rFonts w:hint="eastAsia"/>
          <w:b/>
          <w:szCs w:val="21"/>
        </w:rPr>
        <w:t>（该表内容必须填写，如确认无偏差，请填写“无偏离”，且该表须盖公章。若未填写，表示无偏离。）</w:t>
      </w:r>
    </w:p>
    <w:tbl>
      <w:tblPr>
        <w:tblStyle w:val="9"/>
        <w:tblW w:w="88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381"/>
        <w:gridCol w:w="2500"/>
        <w:gridCol w:w="1663"/>
        <w:gridCol w:w="1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trPr>
        <w:tc>
          <w:tcPr>
            <w:tcW w:w="1101"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序号</w:t>
            </w:r>
          </w:p>
        </w:tc>
        <w:tc>
          <w:tcPr>
            <w:tcW w:w="2381"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招标文件技术内容</w:t>
            </w:r>
          </w:p>
        </w:tc>
        <w:tc>
          <w:tcPr>
            <w:tcW w:w="2500"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投标文件技术内容</w:t>
            </w:r>
          </w:p>
        </w:tc>
        <w:tc>
          <w:tcPr>
            <w:tcW w:w="1663"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是否偏离</w:t>
            </w:r>
          </w:p>
        </w:tc>
        <w:tc>
          <w:tcPr>
            <w:tcW w:w="1162"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1101" w:type="dxa"/>
            <w:noWrap w:val="0"/>
            <w:vAlign w:val="center"/>
          </w:tcPr>
          <w:p>
            <w:pPr>
              <w:pStyle w:val="13"/>
              <w:spacing w:after="100" w:afterAutospacing="1" w:line="400" w:lineRule="exact"/>
              <w:jc w:val="center"/>
              <w:rPr>
                <w:rFonts w:ascii="宋体" w:hAnsi="宋体"/>
                <w:b/>
                <w:sz w:val="24"/>
              </w:rPr>
            </w:pPr>
          </w:p>
        </w:tc>
        <w:tc>
          <w:tcPr>
            <w:tcW w:w="2381" w:type="dxa"/>
            <w:noWrap w:val="0"/>
            <w:vAlign w:val="center"/>
          </w:tcPr>
          <w:p>
            <w:pPr>
              <w:pStyle w:val="13"/>
              <w:spacing w:after="100" w:afterAutospacing="1" w:line="400" w:lineRule="exact"/>
              <w:jc w:val="center"/>
              <w:rPr>
                <w:rFonts w:ascii="宋体" w:hAnsi="宋体"/>
                <w:b/>
                <w:sz w:val="24"/>
              </w:rPr>
            </w:pPr>
          </w:p>
        </w:tc>
        <w:tc>
          <w:tcPr>
            <w:tcW w:w="2500" w:type="dxa"/>
            <w:noWrap w:val="0"/>
            <w:vAlign w:val="center"/>
          </w:tcPr>
          <w:p>
            <w:pPr>
              <w:pStyle w:val="13"/>
              <w:spacing w:after="100" w:afterAutospacing="1" w:line="400" w:lineRule="exact"/>
              <w:jc w:val="center"/>
              <w:rPr>
                <w:rFonts w:ascii="宋体" w:hAnsi="宋体"/>
                <w:b/>
                <w:sz w:val="24"/>
              </w:rPr>
            </w:pPr>
          </w:p>
        </w:tc>
        <w:tc>
          <w:tcPr>
            <w:tcW w:w="1663" w:type="dxa"/>
            <w:noWrap w:val="0"/>
            <w:vAlign w:val="center"/>
          </w:tcPr>
          <w:p>
            <w:pPr>
              <w:pStyle w:val="13"/>
              <w:spacing w:after="100" w:afterAutospacing="1" w:line="400" w:lineRule="exact"/>
              <w:jc w:val="center"/>
              <w:rPr>
                <w:rFonts w:ascii="宋体" w:hAnsi="宋体"/>
                <w:b/>
                <w:sz w:val="24"/>
              </w:rPr>
            </w:pPr>
          </w:p>
        </w:tc>
        <w:tc>
          <w:tcPr>
            <w:tcW w:w="1162"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1101" w:type="dxa"/>
            <w:noWrap w:val="0"/>
            <w:vAlign w:val="center"/>
          </w:tcPr>
          <w:p>
            <w:pPr>
              <w:pStyle w:val="13"/>
              <w:spacing w:after="100" w:afterAutospacing="1" w:line="400" w:lineRule="exact"/>
              <w:jc w:val="center"/>
              <w:rPr>
                <w:rFonts w:ascii="宋体" w:hAnsi="宋体"/>
                <w:b/>
                <w:sz w:val="24"/>
              </w:rPr>
            </w:pPr>
          </w:p>
        </w:tc>
        <w:tc>
          <w:tcPr>
            <w:tcW w:w="2381" w:type="dxa"/>
            <w:noWrap w:val="0"/>
            <w:vAlign w:val="center"/>
          </w:tcPr>
          <w:p>
            <w:pPr>
              <w:pStyle w:val="13"/>
              <w:spacing w:after="100" w:afterAutospacing="1" w:line="400" w:lineRule="exact"/>
              <w:jc w:val="center"/>
              <w:rPr>
                <w:rFonts w:ascii="宋体" w:hAnsi="宋体"/>
                <w:b/>
                <w:sz w:val="24"/>
              </w:rPr>
            </w:pPr>
          </w:p>
        </w:tc>
        <w:tc>
          <w:tcPr>
            <w:tcW w:w="2500" w:type="dxa"/>
            <w:noWrap w:val="0"/>
            <w:vAlign w:val="center"/>
          </w:tcPr>
          <w:p>
            <w:pPr>
              <w:pStyle w:val="13"/>
              <w:spacing w:after="100" w:afterAutospacing="1" w:line="400" w:lineRule="exact"/>
              <w:jc w:val="center"/>
              <w:rPr>
                <w:rFonts w:ascii="宋体" w:hAnsi="宋体"/>
                <w:b/>
                <w:sz w:val="24"/>
              </w:rPr>
            </w:pPr>
          </w:p>
        </w:tc>
        <w:tc>
          <w:tcPr>
            <w:tcW w:w="1663" w:type="dxa"/>
            <w:noWrap w:val="0"/>
            <w:vAlign w:val="center"/>
          </w:tcPr>
          <w:p>
            <w:pPr>
              <w:pStyle w:val="13"/>
              <w:spacing w:after="100" w:afterAutospacing="1" w:line="400" w:lineRule="exact"/>
              <w:jc w:val="center"/>
              <w:rPr>
                <w:rFonts w:ascii="宋体" w:hAnsi="宋体"/>
                <w:b/>
                <w:sz w:val="24"/>
              </w:rPr>
            </w:pPr>
          </w:p>
        </w:tc>
        <w:tc>
          <w:tcPr>
            <w:tcW w:w="1162"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1101" w:type="dxa"/>
            <w:noWrap w:val="0"/>
            <w:vAlign w:val="center"/>
          </w:tcPr>
          <w:p>
            <w:pPr>
              <w:pStyle w:val="13"/>
              <w:spacing w:after="100" w:afterAutospacing="1" w:line="400" w:lineRule="exact"/>
              <w:jc w:val="center"/>
              <w:rPr>
                <w:rFonts w:ascii="宋体" w:hAnsi="宋体"/>
                <w:b/>
                <w:sz w:val="24"/>
              </w:rPr>
            </w:pPr>
          </w:p>
        </w:tc>
        <w:tc>
          <w:tcPr>
            <w:tcW w:w="2381" w:type="dxa"/>
            <w:noWrap w:val="0"/>
            <w:vAlign w:val="center"/>
          </w:tcPr>
          <w:p>
            <w:pPr>
              <w:pStyle w:val="13"/>
              <w:spacing w:after="100" w:afterAutospacing="1" w:line="400" w:lineRule="exact"/>
              <w:jc w:val="center"/>
              <w:rPr>
                <w:rFonts w:ascii="宋体" w:hAnsi="宋体"/>
                <w:b/>
                <w:sz w:val="24"/>
              </w:rPr>
            </w:pPr>
          </w:p>
        </w:tc>
        <w:tc>
          <w:tcPr>
            <w:tcW w:w="2500" w:type="dxa"/>
            <w:noWrap w:val="0"/>
            <w:vAlign w:val="center"/>
          </w:tcPr>
          <w:p>
            <w:pPr>
              <w:pStyle w:val="13"/>
              <w:spacing w:after="100" w:afterAutospacing="1" w:line="400" w:lineRule="exact"/>
              <w:jc w:val="center"/>
              <w:rPr>
                <w:rFonts w:ascii="宋体" w:hAnsi="宋体"/>
                <w:b/>
                <w:sz w:val="24"/>
              </w:rPr>
            </w:pPr>
          </w:p>
        </w:tc>
        <w:tc>
          <w:tcPr>
            <w:tcW w:w="1663" w:type="dxa"/>
            <w:noWrap w:val="0"/>
            <w:vAlign w:val="center"/>
          </w:tcPr>
          <w:p>
            <w:pPr>
              <w:pStyle w:val="13"/>
              <w:spacing w:after="100" w:afterAutospacing="1" w:line="400" w:lineRule="exact"/>
              <w:jc w:val="center"/>
              <w:rPr>
                <w:rFonts w:ascii="宋体" w:hAnsi="宋体"/>
                <w:b/>
                <w:sz w:val="24"/>
              </w:rPr>
            </w:pPr>
          </w:p>
        </w:tc>
        <w:tc>
          <w:tcPr>
            <w:tcW w:w="1162"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1101" w:type="dxa"/>
            <w:noWrap w:val="0"/>
            <w:vAlign w:val="center"/>
          </w:tcPr>
          <w:p>
            <w:pPr>
              <w:pStyle w:val="13"/>
              <w:spacing w:after="100" w:afterAutospacing="1" w:line="400" w:lineRule="exact"/>
              <w:jc w:val="center"/>
              <w:rPr>
                <w:rFonts w:ascii="宋体" w:hAnsi="宋体"/>
                <w:b/>
                <w:sz w:val="24"/>
              </w:rPr>
            </w:pPr>
          </w:p>
        </w:tc>
        <w:tc>
          <w:tcPr>
            <w:tcW w:w="2381" w:type="dxa"/>
            <w:noWrap w:val="0"/>
            <w:vAlign w:val="center"/>
          </w:tcPr>
          <w:p>
            <w:pPr>
              <w:pStyle w:val="13"/>
              <w:spacing w:after="100" w:afterAutospacing="1" w:line="400" w:lineRule="exact"/>
              <w:jc w:val="center"/>
              <w:rPr>
                <w:rFonts w:ascii="宋体" w:hAnsi="宋体"/>
                <w:b/>
                <w:sz w:val="24"/>
              </w:rPr>
            </w:pPr>
          </w:p>
        </w:tc>
        <w:tc>
          <w:tcPr>
            <w:tcW w:w="2500" w:type="dxa"/>
            <w:noWrap w:val="0"/>
            <w:vAlign w:val="center"/>
          </w:tcPr>
          <w:p>
            <w:pPr>
              <w:pStyle w:val="13"/>
              <w:spacing w:after="100" w:afterAutospacing="1" w:line="400" w:lineRule="exact"/>
              <w:jc w:val="center"/>
              <w:rPr>
                <w:rFonts w:ascii="宋体" w:hAnsi="宋体"/>
                <w:b/>
                <w:sz w:val="24"/>
              </w:rPr>
            </w:pPr>
          </w:p>
        </w:tc>
        <w:tc>
          <w:tcPr>
            <w:tcW w:w="1663" w:type="dxa"/>
            <w:noWrap w:val="0"/>
            <w:vAlign w:val="center"/>
          </w:tcPr>
          <w:p>
            <w:pPr>
              <w:pStyle w:val="13"/>
              <w:spacing w:after="100" w:afterAutospacing="1" w:line="400" w:lineRule="exact"/>
              <w:jc w:val="center"/>
              <w:rPr>
                <w:rFonts w:ascii="宋体" w:hAnsi="宋体"/>
                <w:b/>
                <w:sz w:val="24"/>
              </w:rPr>
            </w:pPr>
          </w:p>
        </w:tc>
        <w:tc>
          <w:tcPr>
            <w:tcW w:w="1162" w:type="dxa"/>
            <w:noWrap w:val="0"/>
            <w:vAlign w:val="center"/>
          </w:tcPr>
          <w:p>
            <w:pPr>
              <w:pStyle w:val="13"/>
              <w:spacing w:after="100" w:afterAutospacing="1" w:line="400" w:lineRule="exact"/>
              <w:jc w:val="center"/>
              <w:rPr>
                <w:rFonts w:ascii="宋体" w:hAnsi="宋体"/>
                <w:b/>
                <w:sz w:val="24"/>
              </w:rPr>
            </w:pPr>
          </w:p>
        </w:tc>
      </w:tr>
    </w:tbl>
    <w:p>
      <w:pPr>
        <w:pStyle w:val="13"/>
        <w:spacing w:after="100" w:afterAutospacing="1" w:line="400" w:lineRule="exact"/>
        <w:rPr>
          <w:b/>
          <w:sz w:val="28"/>
          <w:szCs w:val="28"/>
        </w:rPr>
      </w:pPr>
      <w:r>
        <w:rPr>
          <w:b/>
          <w:sz w:val="28"/>
          <w:szCs w:val="28"/>
        </w:rPr>
        <w:t>…</w:t>
      </w: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autoSpaceDE w:val="0"/>
        <w:autoSpaceDN w:val="0"/>
        <w:spacing w:line="318" w:lineRule="atLeast"/>
        <w:textAlignment w:val="bottom"/>
        <w:outlineLvl w:val="0"/>
        <w:rPr>
          <w:b/>
          <w:sz w:val="28"/>
          <w:szCs w:val="28"/>
        </w:rPr>
      </w:pPr>
      <w:bookmarkStart w:id="569" w:name="_Toc31290"/>
      <w:bookmarkStart w:id="570" w:name="_Toc24547"/>
      <w:r>
        <w:rPr>
          <w:rFonts w:hint="eastAsia"/>
          <w:b/>
          <w:sz w:val="28"/>
          <w:szCs w:val="28"/>
        </w:rPr>
        <w:t>18）                       投标函</w:t>
      </w:r>
      <w:bookmarkEnd w:id="569"/>
      <w:bookmarkEnd w:id="570"/>
    </w:p>
    <w:p>
      <w:pPr>
        <w:pStyle w:val="13"/>
        <w:autoSpaceDE w:val="0"/>
        <w:autoSpaceDN w:val="0"/>
        <w:spacing w:line="318" w:lineRule="atLeast"/>
        <w:jc w:val="center"/>
        <w:textAlignment w:val="bottom"/>
      </w:pPr>
    </w:p>
    <w:p>
      <w:pPr>
        <w:pStyle w:val="13"/>
        <w:autoSpaceDE w:val="0"/>
        <w:autoSpaceDN w:val="0"/>
        <w:spacing w:line="318" w:lineRule="atLeast"/>
        <w:jc w:val="center"/>
        <w:textAlignment w:val="bottom"/>
      </w:pPr>
    </w:p>
    <w:p>
      <w:pPr>
        <w:pStyle w:val="13"/>
        <w:autoSpaceDE w:val="0"/>
        <w:autoSpaceDN w:val="0"/>
        <w:spacing w:line="318" w:lineRule="atLeast"/>
        <w:jc w:val="center"/>
        <w:textAlignment w:val="bottom"/>
        <w:rPr>
          <w:b/>
          <w:sz w:val="32"/>
        </w:rPr>
      </w:pPr>
      <w:r>
        <w:rPr>
          <w:rFonts w:hint="eastAsia"/>
        </w:rPr>
        <w:t>（</w:t>
      </w:r>
      <w:r>
        <w:rPr>
          <w:rFonts w:hint="eastAsia"/>
          <w:b/>
          <w:sz w:val="22"/>
          <w:szCs w:val="22"/>
        </w:rPr>
        <w:t>中海油能源发展股份有限公司</w:t>
      </w:r>
      <w:r>
        <w:rPr>
          <w:rFonts w:hint="eastAsia"/>
          <w:b/>
          <w:sz w:val="22"/>
          <w:szCs w:val="22"/>
          <w:lang w:eastAsia="zh-CN"/>
        </w:rPr>
        <w:t>工程技术公司永磁系列潜油电机等物资采购专有协议--标段三</w:t>
      </w:r>
      <w:r>
        <w:rPr>
          <w:rFonts w:hint="eastAsia"/>
          <w:b/>
          <w:sz w:val="22"/>
          <w:szCs w:val="22"/>
        </w:rPr>
        <w:t xml:space="preserve"> 供应商资格审查</w:t>
      </w:r>
      <w:r>
        <w:rPr>
          <w:rFonts w:ascii="宋体" w:hAnsi="宋体" w:cs="宋体"/>
          <w:b/>
          <w:bCs/>
          <w:kern w:val="0"/>
          <w:szCs w:val="21"/>
        </w:rPr>
        <w:t>项目</w:t>
      </w:r>
      <w:r>
        <w:rPr>
          <w:rFonts w:hint="eastAsia"/>
        </w:rPr>
        <w:t>）</w:t>
      </w:r>
    </w:p>
    <w:p>
      <w:pPr>
        <w:pStyle w:val="13"/>
        <w:autoSpaceDE w:val="0"/>
        <w:autoSpaceDN w:val="0"/>
        <w:spacing w:line="480" w:lineRule="auto"/>
        <w:textAlignment w:val="bottom"/>
        <w:rPr>
          <w:rFonts w:ascii="宋体" w:hAnsi="宋体"/>
          <w:b/>
          <w:szCs w:val="21"/>
        </w:rPr>
      </w:pPr>
      <w:r>
        <w:rPr>
          <w:rFonts w:hint="eastAsia"/>
        </w:rPr>
        <w:t>致：中海油能源发展股份有限公司</w:t>
      </w:r>
    </w:p>
    <w:p>
      <w:pPr>
        <w:pStyle w:val="13"/>
        <w:ind w:left="1" w:firstLine="420" w:firstLineChars="200"/>
        <w:rPr>
          <w:rFonts w:ascii="宋体" w:hAnsi="宋体"/>
          <w:szCs w:val="21"/>
        </w:rPr>
      </w:pPr>
      <w:r>
        <w:rPr>
          <w:rFonts w:hint="eastAsia" w:ascii="宋体" w:hAnsi="宋体"/>
          <w:szCs w:val="21"/>
        </w:rPr>
        <w:t>我谨代表</w:t>
      </w:r>
      <w:r>
        <w:rPr>
          <w:rFonts w:hint="eastAsia" w:ascii="宋体" w:hAnsi="宋体"/>
          <w:szCs w:val="21"/>
          <w:u w:val="single"/>
        </w:rPr>
        <w:t xml:space="preserve">               </w:t>
      </w:r>
      <w:r>
        <w:rPr>
          <w:rFonts w:hint="eastAsia" w:ascii="宋体" w:hAnsi="宋体"/>
          <w:szCs w:val="21"/>
        </w:rPr>
        <w:t>（投标单位全称），愿意参加贵方组织的</w:t>
      </w:r>
      <w:r>
        <w:rPr>
          <w:rFonts w:hint="eastAsia" w:ascii="宋体" w:hAnsi="宋体"/>
          <w:szCs w:val="21"/>
          <w:u w:val="single"/>
        </w:rPr>
        <w:t xml:space="preserve">                </w:t>
      </w:r>
      <w:r>
        <w:rPr>
          <w:rFonts w:hint="eastAsia" w:ascii="宋体" w:hAnsi="宋体"/>
          <w:szCs w:val="21"/>
        </w:rPr>
        <w:t>及相关活动，为此：</w:t>
      </w:r>
    </w:p>
    <w:p>
      <w:pPr>
        <w:pStyle w:val="13"/>
        <w:numPr>
          <w:ilvl w:val="0"/>
          <w:numId w:val="50"/>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保证已详细审查招标书的全部内容，包括修改文件（如有的话）和有关附件，并已充分认识到我方为此必须放弃对招标书存有含糊不清，模棱两可或误解的权利。我方对招标文件存在的所有异议均已在投标偏离一览表里表明。</w:t>
      </w:r>
    </w:p>
    <w:p>
      <w:pPr>
        <w:pStyle w:val="13"/>
        <w:numPr>
          <w:ilvl w:val="0"/>
          <w:numId w:val="50"/>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提供资格预审</w:t>
      </w:r>
      <w:r>
        <w:rPr>
          <w:rFonts w:ascii="宋体" w:hAnsi="宋体"/>
          <w:szCs w:val="21"/>
        </w:rPr>
        <w:t>文件中</w:t>
      </w:r>
      <w:r>
        <w:rPr>
          <w:rFonts w:hint="eastAsia" w:ascii="宋体" w:hAnsi="宋体"/>
          <w:szCs w:val="21"/>
        </w:rPr>
        <w:t>规定的全部文件；</w:t>
      </w:r>
    </w:p>
    <w:p>
      <w:pPr>
        <w:pStyle w:val="13"/>
        <w:numPr>
          <w:ilvl w:val="0"/>
          <w:numId w:val="50"/>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愿意向贵方提供任何与该项资格预审有关的数据、情况和技术资料。</w:t>
      </w:r>
    </w:p>
    <w:p>
      <w:pPr>
        <w:pStyle w:val="13"/>
        <w:numPr>
          <w:ilvl w:val="0"/>
          <w:numId w:val="50"/>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我司</w:t>
      </w:r>
      <w:r>
        <w:rPr>
          <w:rFonts w:ascii="宋体" w:hAnsi="宋体"/>
          <w:szCs w:val="21"/>
        </w:rPr>
        <w:t>提交的</w:t>
      </w:r>
      <w:r>
        <w:rPr>
          <w:rFonts w:hint="eastAsia" w:ascii="宋体" w:hAnsi="宋体"/>
          <w:szCs w:val="21"/>
        </w:rPr>
        <w:t>资格预审</w:t>
      </w:r>
      <w:r>
        <w:rPr>
          <w:rFonts w:ascii="宋体" w:hAnsi="宋体"/>
          <w:szCs w:val="21"/>
        </w:rPr>
        <w:t>文件</w:t>
      </w:r>
      <w:r>
        <w:rPr>
          <w:rFonts w:hint="eastAsia" w:ascii="宋体" w:hAnsi="宋体"/>
          <w:szCs w:val="21"/>
        </w:rPr>
        <w:t>真实</w:t>
      </w:r>
      <w:r>
        <w:rPr>
          <w:rFonts w:ascii="宋体" w:hAnsi="宋体"/>
          <w:szCs w:val="21"/>
        </w:rPr>
        <w:t>、有效</w:t>
      </w:r>
      <w:r>
        <w:rPr>
          <w:rFonts w:hint="eastAsia" w:ascii="宋体" w:hAnsi="宋体"/>
          <w:szCs w:val="21"/>
        </w:rPr>
        <w:t>。</w:t>
      </w:r>
    </w:p>
    <w:p>
      <w:pPr>
        <w:pStyle w:val="13"/>
        <w:numPr>
          <w:ilvl w:val="0"/>
          <w:numId w:val="50"/>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与本投标有关的一切往来通讯请寄：</w:t>
      </w:r>
    </w:p>
    <w:p>
      <w:pPr>
        <w:pStyle w:val="13"/>
        <w:spacing w:line="480" w:lineRule="auto"/>
        <w:ind w:left="900"/>
        <w:rPr>
          <w:rFonts w:ascii="宋体" w:hAnsi="宋体"/>
          <w:szCs w:val="21"/>
          <w:u w:val="single"/>
        </w:rPr>
      </w:pPr>
      <w:r>
        <w:rPr>
          <w:rFonts w:hint="eastAsia" w:ascii="宋体" w:hAnsi="宋体"/>
          <w:szCs w:val="21"/>
        </w:rPr>
        <w:t>邮编：</w:t>
      </w:r>
      <w:r>
        <w:rPr>
          <w:rFonts w:hint="eastAsia" w:ascii="宋体" w:hAnsi="宋体"/>
          <w:szCs w:val="21"/>
          <w:u w:val="single"/>
        </w:rPr>
        <w:t xml:space="preserve">       </w:t>
      </w:r>
      <w:r>
        <w:rPr>
          <w:rFonts w:hint="eastAsia" w:ascii="宋体" w:hAnsi="宋体"/>
          <w:szCs w:val="21"/>
        </w:rPr>
        <w:t>，地址：</w:t>
      </w:r>
      <w:r>
        <w:rPr>
          <w:rFonts w:hint="eastAsia" w:ascii="宋体" w:hAnsi="宋体"/>
          <w:szCs w:val="21"/>
          <w:u w:val="single"/>
        </w:rPr>
        <w:t xml:space="preserve">               </w:t>
      </w:r>
    </w:p>
    <w:p>
      <w:pPr>
        <w:pStyle w:val="13"/>
        <w:spacing w:line="480" w:lineRule="auto"/>
        <w:ind w:left="900"/>
        <w:rPr>
          <w:rFonts w:ascii="宋体" w:hAnsi="宋体"/>
          <w:szCs w:val="21"/>
          <w:u w:val="single"/>
        </w:rPr>
      </w:pPr>
      <w:r>
        <w:rPr>
          <w:rFonts w:hint="eastAsia" w:ascii="宋体" w:hAnsi="宋体"/>
          <w:szCs w:val="21"/>
        </w:rPr>
        <w:t>联系人：</w:t>
      </w:r>
      <w:r>
        <w:rPr>
          <w:rFonts w:hint="eastAsia" w:ascii="宋体" w:hAnsi="宋体"/>
          <w:szCs w:val="21"/>
          <w:u w:val="single"/>
        </w:rPr>
        <w:t xml:space="preserve">         </w:t>
      </w:r>
      <w:r>
        <w:rPr>
          <w:rFonts w:hint="eastAsia" w:ascii="宋体" w:hAnsi="宋体"/>
          <w:szCs w:val="21"/>
        </w:rPr>
        <w:t>，手机：</w:t>
      </w:r>
      <w:r>
        <w:rPr>
          <w:rFonts w:hint="eastAsia" w:ascii="宋体" w:hAnsi="宋体"/>
          <w:szCs w:val="21"/>
          <w:u w:val="single"/>
        </w:rPr>
        <w:t xml:space="preserve">                     </w:t>
      </w:r>
    </w:p>
    <w:p>
      <w:pPr>
        <w:pStyle w:val="13"/>
        <w:spacing w:line="480" w:lineRule="auto"/>
        <w:ind w:left="9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p>
    <w:p>
      <w:pPr>
        <w:pStyle w:val="13"/>
        <w:spacing w:line="480" w:lineRule="auto"/>
        <w:ind w:left="900"/>
        <w:rPr>
          <w:rFonts w:ascii="宋体" w:hAnsi="宋体"/>
          <w:szCs w:val="21"/>
        </w:rPr>
      </w:pPr>
    </w:p>
    <w:p>
      <w:pPr>
        <w:pStyle w:val="13"/>
        <w:spacing w:line="480" w:lineRule="auto"/>
        <w:ind w:firstLine="5355" w:firstLineChars="2550"/>
        <w:rPr>
          <w:rFonts w:ascii="宋体" w:hAnsi="宋体"/>
          <w:szCs w:val="21"/>
          <w:u w:val="single"/>
        </w:rPr>
      </w:pPr>
      <w:r>
        <w:rPr>
          <w:rFonts w:hint="eastAsia" w:ascii="宋体" w:hAnsi="宋体"/>
          <w:szCs w:val="21"/>
        </w:rPr>
        <w:t>单位</w:t>
      </w:r>
      <w:r>
        <w:rPr>
          <w:rFonts w:ascii="宋体" w:hAnsi="宋体"/>
          <w:szCs w:val="21"/>
        </w:rPr>
        <w:t>名称</w:t>
      </w:r>
      <w:r>
        <w:rPr>
          <w:rFonts w:hint="eastAsia" w:ascii="宋体" w:hAnsi="宋体"/>
          <w:szCs w:val="21"/>
        </w:rPr>
        <w:t>（公章）</w:t>
      </w:r>
      <w:r>
        <w:rPr>
          <w:rFonts w:ascii="宋体" w:hAnsi="宋体"/>
          <w:szCs w:val="21"/>
        </w:rPr>
        <w:t>：</w:t>
      </w:r>
      <w:r>
        <w:rPr>
          <w:rFonts w:hint="eastAsia" w:ascii="宋体" w:hAnsi="宋体"/>
          <w:szCs w:val="21"/>
          <w:u w:val="single"/>
        </w:rPr>
        <w:t xml:space="preserve">                        </w:t>
      </w:r>
    </w:p>
    <w:p>
      <w:pPr>
        <w:pStyle w:val="13"/>
        <w:snapToGrid w:val="0"/>
        <w:spacing w:line="480" w:lineRule="auto"/>
        <w:ind w:left="5040" w:firstLine="315" w:firstLineChars="150"/>
        <w:rPr>
          <w:rFonts w:ascii="宋体" w:hAnsi="宋体"/>
          <w:szCs w:val="21"/>
        </w:rPr>
      </w:pPr>
      <w:r>
        <w:rPr>
          <w:rFonts w:hint="eastAsia" w:ascii="宋体" w:hAnsi="宋体"/>
          <w:szCs w:val="21"/>
        </w:rPr>
        <w:t>法人或授权代表</w:t>
      </w:r>
      <w:r>
        <w:rPr>
          <w:rFonts w:ascii="宋体" w:hAnsi="宋体"/>
          <w:szCs w:val="21"/>
        </w:rPr>
        <w:t>签字：</w:t>
      </w:r>
    </w:p>
    <w:p>
      <w:pPr>
        <w:pStyle w:val="13"/>
        <w:wordWrap w:val="0"/>
        <w:spacing w:line="480" w:lineRule="auto"/>
        <w:jc w:val="right"/>
        <w:rPr>
          <w:rFonts w:cs="Arial"/>
          <w:bCs/>
        </w:rPr>
      </w:pPr>
      <w:r>
        <w:rPr>
          <w:rFonts w:hint="eastAsia" w:ascii="宋体" w:hAnsi="宋体"/>
          <w:szCs w:val="21"/>
        </w:rPr>
        <w:t>2023年   月  日</w:t>
      </w: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outlineLvl w:val="0"/>
        <w:rPr>
          <w:rFonts w:hint="eastAsia"/>
          <w:b/>
          <w:sz w:val="28"/>
          <w:szCs w:val="28"/>
        </w:rPr>
      </w:pPr>
      <w:bookmarkStart w:id="571" w:name="_Toc31598"/>
      <w:bookmarkStart w:id="572" w:name="_Toc19918"/>
    </w:p>
    <w:p>
      <w:pPr>
        <w:pStyle w:val="13"/>
        <w:spacing w:after="100" w:afterAutospacing="1" w:line="400" w:lineRule="exact"/>
        <w:outlineLvl w:val="0"/>
        <w:rPr>
          <w:b/>
          <w:sz w:val="28"/>
          <w:szCs w:val="28"/>
        </w:rPr>
      </w:pPr>
      <w:r>
        <w:rPr>
          <w:rFonts w:hint="eastAsia"/>
          <w:b/>
          <w:sz w:val="28"/>
          <w:szCs w:val="28"/>
        </w:rPr>
        <w:t>19）对本项目技术要求的其他响应文件</w:t>
      </w:r>
      <w:bookmarkEnd w:id="571"/>
      <w:bookmarkEnd w:id="572"/>
    </w:p>
    <w:p>
      <w:pPr>
        <w:pStyle w:val="31"/>
        <w:adjustRightInd w:val="0"/>
        <w:snapToGrid w:val="0"/>
        <w:spacing w:line="360" w:lineRule="auto"/>
        <w:ind w:left="210" w:leftChars="100" w:firstLine="4200" w:firstLineChars="1500"/>
        <w:rPr>
          <w:i w:val="0"/>
          <w:iCs w:val="0"/>
          <w:lang w:eastAsia="zh-CN"/>
        </w:rPr>
      </w:pPr>
      <w:r>
        <w:rPr>
          <w:rFonts w:hint="eastAsia"/>
          <w:sz w:val="28"/>
          <w:szCs w:val="28"/>
          <w:lang w:val="en-US" w:eastAsia="zh-CN"/>
        </w:rPr>
        <w:br w:type="page"/>
      </w:r>
    </w:p>
    <w:p>
      <w:pPr>
        <w:pStyle w:val="20"/>
        <w:rPr>
          <w:rFonts w:hint="default" w:eastAsia="宋体"/>
          <w:sz w:val="28"/>
          <w:szCs w:val="28"/>
          <w:lang w:val="en-US" w:eastAsia="zh-CN"/>
        </w:rPr>
      </w:pPr>
    </w:p>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50</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lang w:val="zh-CN"/>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b/>
        <w:bCs/>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56</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12"/>
      </w:rPr>
    </w:pPr>
    <w:r>
      <w:fldChar w:fldCharType="begin"/>
    </w:r>
    <w:r>
      <w:rPr>
        <w:rStyle w:val="12"/>
        <w:highlight w:val="white"/>
      </w:rPr>
      <w:instrText xml:space="preserve">PAGE  </w:instrText>
    </w:r>
    <w:r>
      <w:fldChar w:fldCharType="separate"/>
    </w:r>
    <w:r>
      <w:rPr>
        <w:rStyle w:val="12"/>
        <w:highlight w:val="white"/>
      </w:rPr>
      <w:t>10</w: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56</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b/>
        <w:bC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22</w:t>
    </w:r>
    <w:r>
      <w:rPr>
        <w:b/>
        <w:bCs/>
        <w:sz w:val="24"/>
        <w:szCs w:val="24"/>
      </w:rPr>
      <w:fldChar w:fldCharType="end"/>
    </w:r>
    <w:r>
      <w:rPr>
        <w:lang w:val="zh-CN"/>
      </w:rPr>
      <w:t xml:space="preserve"> /</w:t>
    </w:r>
    <w:r>
      <w:rPr>
        <w:b/>
        <w:bCs/>
      </w:rPr>
      <w:t xml:space="preserve"> </w:t>
    </w:r>
    <w:r>
      <w:rPr>
        <w:b/>
        <w:bCs/>
        <w:sz w:val="24"/>
        <w:szCs w:val="24"/>
      </w:rPr>
      <w:fldChar w:fldCharType="begin"/>
    </w:r>
    <w:r>
      <w:rPr>
        <w:rFonts w:hint="eastAsia"/>
        <w:b/>
        <w:bCs/>
        <w:sz w:val="24"/>
        <w:szCs w:val="24"/>
      </w:rPr>
      <w:instrText xml:space="preserve">=</w:instrText>
    </w:r>
    <w:r>
      <w:rPr>
        <w:b/>
        <w:bCs/>
        <w:sz w:val="24"/>
        <w:szCs w:val="24"/>
      </w:rPr>
      <w:fldChar w:fldCharType="begin"/>
    </w:r>
    <w:r>
      <w:rPr>
        <w:b/>
        <w:bCs/>
        <w:sz w:val="24"/>
        <w:szCs w:val="24"/>
      </w:rPr>
      <w:instrText xml:space="preserve"> NUMPAGES </w:instrText>
    </w:r>
    <w:r>
      <w:rPr>
        <w:b/>
        <w:bCs/>
        <w:sz w:val="24"/>
        <w:szCs w:val="24"/>
      </w:rPr>
      <w:fldChar w:fldCharType="separate"/>
    </w:r>
    <w:r>
      <w:rPr>
        <w:b/>
        <w:bCs/>
        <w:sz w:val="24"/>
        <w:szCs w:val="24"/>
      </w:rPr>
      <w:instrText xml:space="preserve">80</w:instrText>
    </w:r>
    <w:r>
      <w:rPr>
        <w:b/>
        <w:bCs/>
        <w:sz w:val="24"/>
        <w:szCs w:val="24"/>
      </w:rPr>
      <w:fldChar w:fldCharType="end"/>
    </w:r>
    <w:r>
      <w:rPr>
        <w:rFonts w:hint="eastAsia"/>
        <w:b/>
        <w:bCs/>
        <w:sz w:val="24"/>
        <w:szCs w:val="24"/>
      </w:rPr>
      <w:instrText xml:space="preserve">-1</w:instrText>
    </w:r>
    <w:r>
      <w:rPr>
        <w:b/>
        <w:bCs/>
        <w:sz w:val="24"/>
        <w:szCs w:val="24"/>
      </w:rPr>
      <w:instrText xml:space="preserve">  \* Arabic  \* MERGEFORMAT</w:instrText>
    </w:r>
    <w:r>
      <w:rPr>
        <w:b/>
        <w:bCs/>
        <w:sz w:val="24"/>
        <w:szCs w:val="24"/>
      </w:rPr>
      <w:fldChar w:fldCharType="separate"/>
    </w:r>
    <w:r>
      <w:rPr>
        <w:b/>
        <w:bCs/>
      </w:rPr>
      <w:t>79</w:t>
    </w:r>
    <w:r>
      <w:rPr>
        <w:b/>
        <w:bCs/>
        <w:sz w:val="24"/>
        <w:szCs w:val="24"/>
        <w:lang w:val="zh-CN"/>
      </w:rPr>
      <w:fldChar w:fldCharType="end"/>
    </w:r>
    <w:r>
      <w:rPr>
        <w:lang w:val="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0"/>
        <w:sz w:val="18"/>
        <w:szCs w:val="18"/>
        <w:lang w:val="en-US" w:eastAsia="en-US" w:bidi="ar-SA"/>
      </w:rPr>
    </w:pPr>
    <w:r>
      <w:rPr>
        <w:rFonts w:ascii="Calibri" w:hAnsi="Calibri" w:eastAsia="宋体" w:cs="Times New Roman"/>
        <w:kern w:val="0"/>
        <w:sz w:val="18"/>
        <w:szCs w:val="18"/>
        <w:lang w:val="en-US" w:eastAsia="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0"/>
                              <w:sz w:val="18"/>
                              <w:szCs w:val="18"/>
                              <w:lang w:val="en-US" w:eastAsia="en-US" w:bidi="ar-SA"/>
                            </w:rPr>
                          </w:pPr>
                          <w:r>
                            <w:rPr>
                              <w:rFonts w:ascii="Calibri" w:hAnsi="Calibri" w:eastAsia="宋体" w:cs="Times New Roman"/>
                              <w:kern w:val="0"/>
                              <w:sz w:val="18"/>
                              <w:szCs w:val="18"/>
                              <w:lang w:val="en-US" w:eastAsia="en-US" w:bidi="ar-SA"/>
                            </w:rPr>
                            <w:fldChar w:fldCharType="begin"/>
                          </w:r>
                          <w:r>
                            <w:rPr>
                              <w:rFonts w:ascii="Calibri" w:hAnsi="Calibri" w:eastAsia="宋体" w:cs="Times New Roman"/>
                              <w:kern w:val="0"/>
                              <w:sz w:val="18"/>
                              <w:szCs w:val="18"/>
                              <w:lang w:val="en-US" w:eastAsia="en-US" w:bidi="ar-SA"/>
                            </w:rPr>
                            <w:instrText xml:space="preserve"> PAGE  \* MERGEFORMAT </w:instrText>
                          </w:r>
                          <w:r>
                            <w:rPr>
                              <w:rFonts w:ascii="Calibri" w:hAnsi="Calibri" w:eastAsia="宋体" w:cs="Times New Roman"/>
                              <w:kern w:val="0"/>
                              <w:sz w:val="18"/>
                              <w:szCs w:val="18"/>
                              <w:lang w:val="en-US" w:eastAsia="en-US" w:bidi="ar-SA"/>
                            </w:rPr>
                            <w:fldChar w:fldCharType="separate"/>
                          </w:r>
                          <w:r>
                            <w:rPr>
                              <w:rFonts w:ascii="Calibri" w:hAnsi="Calibri" w:eastAsia="宋体" w:cs="Times New Roman"/>
                              <w:kern w:val="0"/>
                              <w:sz w:val="18"/>
                              <w:szCs w:val="18"/>
                              <w:lang w:val="en-US" w:eastAsia="en-US" w:bidi="ar-SA"/>
                            </w:rPr>
                            <w:t>1</w:t>
                          </w:r>
                          <w:r>
                            <w:rPr>
                              <w:rFonts w:ascii="Calibri" w:hAnsi="Calibri" w:eastAsia="宋体" w:cs="Times New Roman"/>
                              <w:kern w:val="0"/>
                              <w:sz w:val="18"/>
                              <w:szCs w:val="18"/>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tWRY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S1ZFjICAABl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0"/>
                        <w:sz w:val="18"/>
                        <w:szCs w:val="18"/>
                        <w:lang w:val="en-US" w:eastAsia="en-US" w:bidi="ar-SA"/>
                      </w:rPr>
                    </w:pPr>
                    <w:r>
                      <w:rPr>
                        <w:rFonts w:ascii="Calibri" w:hAnsi="Calibri" w:eastAsia="宋体" w:cs="Times New Roman"/>
                        <w:kern w:val="0"/>
                        <w:sz w:val="18"/>
                        <w:szCs w:val="18"/>
                        <w:lang w:val="en-US" w:eastAsia="en-US" w:bidi="ar-SA"/>
                      </w:rPr>
                      <w:fldChar w:fldCharType="begin"/>
                    </w:r>
                    <w:r>
                      <w:rPr>
                        <w:rFonts w:ascii="Calibri" w:hAnsi="Calibri" w:eastAsia="宋体" w:cs="Times New Roman"/>
                        <w:kern w:val="0"/>
                        <w:sz w:val="18"/>
                        <w:szCs w:val="18"/>
                        <w:lang w:val="en-US" w:eastAsia="en-US" w:bidi="ar-SA"/>
                      </w:rPr>
                      <w:instrText xml:space="preserve"> PAGE  \* MERGEFORMAT </w:instrText>
                    </w:r>
                    <w:r>
                      <w:rPr>
                        <w:rFonts w:ascii="Calibri" w:hAnsi="Calibri" w:eastAsia="宋体" w:cs="Times New Roman"/>
                        <w:kern w:val="0"/>
                        <w:sz w:val="18"/>
                        <w:szCs w:val="18"/>
                        <w:lang w:val="en-US" w:eastAsia="en-US" w:bidi="ar-SA"/>
                      </w:rPr>
                      <w:fldChar w:fldCharType="separate"/>
                    </w:r>
                    <w:r>
                      <w:rPr>
                        <w:rFonts w:ascii="Calibri" w:hAnsi="Calibri" w:eastAsia="宋体" w:cs="Times New Roman"/>
                        <w:kern w:val="0"/>
                        <w:sz w:val="18"/>
                        <w:szCs w:val="18"/>
                        <w:lang w:val="en-US" w:eastAsia="en-US" w:bidi="ar-SA"/>
                      </w:rPr>
                      <w:t>1</w:t>
                    </w:r>
                    <w:r>
                      <w:rPr>
                        <w:rFonts w:ascii="Calibri" w:hAnsi="Calibri" w:eastAsia="宋体" w:cs="Times New Roman"/>
                        <w:kern w:val="0"/>
                        <w:sz w:val="18"/>
                        <w:szCs w:val="18"/>
                        <w:lang w:val="en-US" w:eastAsia="en-US" w:bidi="ar-S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0"/>
        <w:sz w:val="18"/>
        <w:szCs w:val="18"/>
        <w:lang w:val="en-US" w:eastAsia="en-US" w:bidi="ar-SA"/>
      </w:rPr>
    </w:pPr>
    <w:r>
      <w:rPr>
        <w:rFonts w:ascii="Calibri" w:hAnsi="Calibri" w:eastAsia="宋体" w:cs="Times New Roman"/>
        <w:kern w:val="0"/>
        <w:sz w:val="18"/>
        <w:szCs w:val="18"/>
        <w:lang w:val="en-US" w:eastAsia="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0"/>
                              <w:sz w:val="18"/>
                              <w:szCs w:val="18"/>
                              <w:lang w:val="en-US" w:eastAsia="en-US" w:bidi="ar-SA"/>
                            </w:rPr>
                          </w:pPr>
                          <w:r>
                            <w:rPr>
                              <w:rFonts w:ascii="Calibri" w:hAnsi="Calibri" w:eastAsia="宋体" w:cs="Times New Roman"/>
                              <w:kern w:val="0"/>
                              <w:sz w:val="18"/>
                              <w:szCs w:val="18"/>
                              <w:lang w:val="en-US" w:eastAsia="en-US" w:bidi="ar-SA"/>
                            </w:rPr>
                            <w:fldChar w:fldCharType="begin"/>
                          </w:r>
                          <w:r>
                            <w:rPr>
                              <w:rFonts w:ascii="Calibri" w:hAnsi="Calibri" w:eastAsia="宋体" w:cs="Times New Roman"/>
                              <w:kern w:val="0"/>
                              <w:sz w:val="18"/>
                              <w:szCs w:val="18"/>
                              <w:lang w:val="en-US" w:eastAsia="en-US" w:bidi="ar-SA"/>
                            </w:rPr>
                            <w:instrText xml:space="preserve"> PAGE  \* MERGEFORMAT </w:instrText>
                          </w:r>
                          <w:r>
                            <w:rPr>
                              <w:rFonts w:ascii="Calibri" w:hAnsi="Calibri" w:eastAsia="宋体" w:cs="Times New Roman"/>
                              <w:kern w:val="0"/>
                              <w:sz w:val="18"/>
                              <w:szCs w:val="18"/>
                              <w:lang w:val="en-US" w:eastAsia="en-US" w:bidi="ar-SA"/>
                            </w:rPr>
                            <w:fldChar w:fldCharType="separate"/>
                          </w:r>
                          <w:r>
                            <w:rPr>
                              <w:rFonts w:ascii="Calibri" w:hAnsi="Calibri" w:eastAsia="宋体" w:cs="Times New Roman"/>
                              <w:kern w:val="0"/>
                              <w:sz w:val="18"/>
                              <w:szCs w:val="18"/>
                              <w:lang w:val="en-US" w:eastAsia="en-US" w:bidi="ar-SA"/>
                            </w:rPr>
                            <w:t>1</w:t>
                          </w:r>
                          <w:r>
                            <w:rPr>
                              <w:rFonts w:ascii="Calibri" w:hAnsi="Calibri" w:eastAsia="宋体" w:cs="Times New Roman"/>
                              <w:kern w:val="0"/>
                              <w:sz w:val="18"/>
                              <w:szCs w:val="18"/>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0"/>
                        <w:sz w:val="18"/>
                        <w:szCs w:val="18"/>
                        <w:lang w:val="en-US" w:eastAsia="en-US" w:bidi="ar-SA"/>
                      </w:rPr>
                    </w:pPr>
                    <w:r>
                      <w:rPr>
                        <w:rFonts w:ascii="Calibri" w:hAnsi="Calibri" w:eastAsia="宋体" w:cs="Times New Roman"/>
                        <w:kern w:val="0"/>
                        <w:sz w:val="18"/>
                        <w:szCs w:val="18"/>
                        <w:lang w:val="en-US" w:eastAsia="en-US" w:bidi="ar-SA"/>
                      </w:rPr>
                      <w:fldChar w:fldCharType="begin"/>
                    </w:r>
                    <w:r>
                      <w:rPr>
                        <w:rFonts w:ascii="Calibri" w:hAnsi="Calibri" w:eastAsia="宋体" w:cs="Times New Roman"/>
                        <w:kern w:val="0"/>
                        <w:sz w:val="18"/>
                        <w:szCs w:val="18"/>
                        <w:lang w:val="en-US" w:eastAsia="en-US" w:bidi="ar-SA"/>
                      </w:rPr>
                      <w:instrText xml:space="preserve"> PAGE  \* MERGEFORMAT </w:instrText>
                    </w:r>
                    <w:r>
                      <w:rPr>
                        <w:rFonts w:ascii="Calibri" w:hAnsi="Calibri" w:eastAsia="宋体" w:cs="Times New Roman"/>
                        <w:kern w:val="0"/>
                        <w:sz w:val="18"/>
                        <w:szCs w:val="18"/>
                        <w:lang w:val="en-US" w:eastAsia="en-US" w:bidi="ar-SA"/>
                      </w:rPr>
                      <w:fldChar w:fldCharType="separate"/>
                    </w:r>
                    <w:r>
                      <w:rPr>
                        <w:rFonts w:ascii="Calibri" w:hAnsi="Calibri" w:eastAsia="宋体" w:cs="Times New Roman"/>
                        <w:kern w:val="0"/>
                        <w:sz w:val="18"/>
                        <w:szCs w:val="18"/>
                        <w:lang w:val="en-US" w:eastAsia="en-US" w:bidi="ar-SA"/>
                      </w:rPr>
                      <w:t>1</w:t>
                    </w:r>
                    <w:r>
                      <w:rPr>
                        <w:rFonts w:ascii="Calibri" w:hAnsi="Calibri" w:eastAsia="宋体" w:cs="Times New Roman"/>
                        <w:kern w:val="0"/>
                        <w:sz w:val="18"/>
                        <w:szCs w:val="18"/>
                        <w:lang w:val="en-US" w:eastAsia="en-US"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rPr>
        <w:highlight w:val="white"/>
      </w:rPr>
      <w:instrText xml:space="preserve"> PAGE   \* MERGEFORMAT </w:instrText>
    </w:r>
    <w:r>
      <w:fldChar w:fldCharType="separate"/>
    </w:r>
    <w:r>
      <w:rPr>
        <w:highlight w:val="white"/>
        <w:lang w:val="zh-CN"/>
      </w:rPr>
      <w:t>109</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25</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lang w:val="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highlight w:val="white"/>
      </w:rPr>
      <w:instrText xml:space="preserve">PAGE  </w:instrText>
    </w:r>
    <w:r>
      <w:fldChar w:fldCharType="end"/>
    </w:r>
  </w:p>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8FFD9"/>
    <w:multiLevelType w:val="singleLevel"/>
    <w:tmpl w:val="8E18FFD9"/>
    <w:lvl w:ilvl="0" w:tentative="0">
      <w:start w:val="4"/>
      <w:numFmt w:val="chineseCounting"/>
      <w:suff w:val="space"/>
      <w:lvlText w:val="第%1章"/>
      <w:lvlJc w:val="left"/>
      <w:rPr>
        <w:rFonts w:hint="eastAsia"/>
      </w:rPr>
    </w:lvl>
  </w:abstractNum>
  <w:abstractNum w:abstractNumId="1">
    <w:nsid w:val="9768AB12"/>
    <w:multiLevelType w:val="multilevel"/>
    <w:tmpl w:val="9768AB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9BB4BD87"/>
    <w:multiLevelType w:val="multilevel"/>
    <w:tmpl w:val="9BB4BD8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BDFF2576"/>
    <w:multiLevelType w:val="singleLevel"/>
    <w:tmpl w:val="BDFF2576"/>
    <w:lvl w:ilvl="0" w:tentative="0">
      <w:start w:val="1"/>
      <w:numFmt w:val="decimal"/>
      <w:suff w:val="nothing"/>
      <w:lvlText w:val="%1）"/>
      <w:lvlJc w:val="left"/>
    </w:lvl>
  </w:abstractNum>
  <w:abstractNum w:abstractNumId="4">
    <w:nsid w:val="DF84FEF5"/>
    <w:multiLevelType w:val="singleLevel"/>
    <w:tmpl w:val="DF84FEF5"/>
    <w:lvl w:ilvl="0" w:tentative="0">
      <w:start w:val="2"/>
      <w:numFmt w:val="chineseCounting"/>
      <w:suff w:val="nothing"/>
      <w:lvlText w:val="%1、"/>
      <w:lvlJc w:val="left"/>
      <w:rPr>
        <w:rFonts w:hint="eastAsia"/>
      </w:rPr>
    </w:lvl>
  </w:abstractNum>
  <w:abstractNum w:abstractNumId="5">
    <w:nsid w:val="DFBCD6E4"/>
    <w:multiLevelType w:val="singleLevel"/>
    <w:tmpl w:val="DFBCD6E4"/>
    <w:lvl w:ilvl="0" w:tentative="0">
      <w:start w:val="1"/>
      <w:numFmt w:val="lowerLetter"/>
      <w:lvlText w:val="%1."/>
      <w:lvlJc w:val="left"/>
      <w:pPr>
        <w:ind w:left="845" w:hanging="425"/>
      </w:pPr>
      <w:rPr>
        <w:rFonts w:hint="default"/>
      </w:rPr>
    </w:lvl>
  </w:abstractNum>
  <w:abstractNum w:abstractNumId="6">
    <w:nsid w:val="E0574E43"/>
    <w:multiLevelType w:val="singleLevel"/>
    <w:tmpl w:val="E0574E43"/>
    <w:lvl w:ilvl="0" w:tentative="0">
      <w:start w:val="1"/>
      <w:numFmt w:val="decimalEnclosedCircleChinese"/>
      <w:suff w:val="nothing"/>
      <w:lvlText w:val="%1　"/>
      <w:lvlJc w:val="left"/>
      <w:pPr>
        <w:ind w:left="0" w:firstLine="400"/>
      </w:pPr>
      <w:rPr>
        <w:rFonts w:hint="eastAsia"/>
      </w:rPr>
    </w:lvl>
  </w:abstractNum>
  <w:abstractNum w:abstractNumId="7">
    <w:nsid w:val="F010737B"/>
    <w:multiLevelType w:val="singleLevel"/>
    <w:tmpl w:val="F010737B"/>
    <w:lvl w:ilvl="0" w:tentative="0">
      <w:start w:val="1"/>
      <w:numFmt w:val="decimal"/>
      <w:lvlText w:val="(%1)"/>
      <w:lvlJc w:val="left"/>
      <w:pPr>
        <w:ind w:left="425" w:hanging="425"/>
      </w:pPr>
      <w:rPr>
        <w:rFonts w:hint="default"/>
      </w:rPr>
    </w:lvl>
  </w:abstractNum>
  <w:abstractNum w:abstractNumId="8">
    <w:nsid w:val="04FE4271"/>
    <w:multiLevelType w:val="multilevel"/>
    <w:tmpl w:val="04FE4271"/>
    <w:lvl w:ilvl="0" w:tentative="0">
      <w:start w:val="1"/>
      <w:numFmt w:val="decimal"/>
      <w:lvlText w:val="%1"/>
      <w:lvlJc w:val="left"/>
      <w:pPr>
        <w:ind w:left="425" w:hanging="425"/>
      </w:pPr>
      <w:rPr>
        <w:rFonts w:hint="eastAsia"/>
      </w:rPr>
    </w:lvl>
    <w:lvl w:ilvl="1" w:tentative="0">
      <w:start w:val="1"/>
      <w:numFmt w:val="decimal"/>
      <w:lvlText w:val="%10.%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77079BC"/>
    <w:multiLevelType w:val="multilevel"/>
    <w:tmpl w:val="077079B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09430C9A"/>
    <w:multiLevelType w:val="multilevel"/>
    <w:tmpl w:val="09430C9A"/>
    <w:lvl w:ilvl="0" w:tentative="0">
      <w:start w:val="3"/>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09D89A8D"/>
    <w:multiLevelType w:val="singleLevel"/>
    <w:tmpl w:val="09D89A8D"/>
    <w:lvl w:ilvl="0" w:tentative="0">
      <w:start w:val="12"/>
      <w:numFmt w:val="chineseCounting"/>
      <w:suff w:val="nothing"/>
      <w:lvlText w:val="%1、"/>
      <w:lvlJc w:val="left"/>
      <w:rPr>
        <w:rFonts w:hint="eastAsia"/>
      </w:rPr>
    </w:lvl>
  </w:abstractNum>
  <w:abstractNum w:abstractNumId="12">
    <w:nsid w:val="0C554D1B"/>
    <w:multiLevelType w:val="multilevel"/>
    <w:tmpl w:val="0C554D1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D45530D"/>
    <w:multiLevelType w:val="multilevel"/>
    <w:tmpl w:val="0D45530D"/>
    <w:lvl w:ilvl="0" w:tentative="0">
      <w:start w:val="1"/>
      <w:numFmt w:val="decimal"/>
      <w:lvlText w:val="%1"/>
      <w:lvlJc w:val="left"/>
      <w:pPr>
        <w:ind w:left="425" w:hanging="425"/>
      </w:pPr>
      <w:rPr>
        <w:rFonts w:hint="eastAsia"/>
      </w:rPr>
    </w:lvl>
    <w:lvl w:ilvl="1" w:tentative="0">
      <w:start w:val="1"/>
      <w:numFmt w:val="decimal"/>
      <w:lvlText w:val="%1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0F8DBD74"/>
    <w:multiLevelType w:val="multilevel"/>
    <w:tmpl w:val="0F8DBD74"/>
    <w:lvl w:ilvl="0" w:tentative="0">
      <w:start w:val="1"/>
      <w:numFmt w:val="decimal"/>
      <w:lvlText w:val="(%1)"/>
      <w:lvlJc w:val="left"/>
      <w:pPr>
        <w:ind w:left="584" w:hanging="480"/>
      </w:pPr>
      <w:rPr>
        <w:rFonts w:hint="default" w:ascii="宋体" w:hAnsi="宋体" w:eastAsia="宋体" w:cs="宋体"/>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15">
    <w:nsid w:val="146065A9"/>
    <w:multiLevelType w:val="multilevel"/>
    <w:tmpl w:val="146065A9"/>
    <w:lvl w:ilvl="0" w:tentative="0">
      <w:start w:val="1"/>
      <w:numFmt w:val="decimal"/>
      <w:lvlText w:val="%1"/>
      <w:lvlJc w:val="left"/>
      <w:pPr>
        <w:ind w:left="425" w:hanging="425"/>
      </w:pPr>
      <w:rPr>
        <w:rFonts w:hint="eastAsia"/>
      </w:rPr>
    </w:lvl>
    <w:lvl w:ilvl="1" w:tentative="0">
      <w:start w:val="1"/>
      <w:numFmt w:val="decimal"/>
      <w:lvlText w:val="5.%2"/>
      <w:lvlJc w:val="left"/>
      <w:pPr>
        <w:ind w:left="1134"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14B402F9"/>
    <w:multiLevelType w:val="multilevel"/>
    <w:tmpl w:val="14B402F9"/>
    <w:lvl w:ilvl="0" w:tentative="0">
      <w:start w:val="1"/>
      <w:numFmt w:val="decimal"/>
      <w:lvlText w:val="%1"/>
      <w:lvlJc w:val="left"/>
      <w:pPr>
        <w:ind w:left="425" w:hanging="425"/>
      </w:pPr>
      <w:rPr>
        <w:rFonts w:hint="eastAsia"/>
      </w:rPr>
    </w:lvl>
    <w:lvl w:ilvl="1" w:tentative="0">
      <w:start w:val="1"/>
      <w:numFmt w:val="decimal"/>
      <w:lvlText w:val="%12.%2"/>
      <w:lvlJc w:val="left"/>
      <w:pPr>
        <w:ind w:left="839"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18E07EB1"/>
    <w:multiLevelType w:val="multilevel"/>
    <w:tmpl w:val="18E07EB1"/>
    <w:lvl w:ilvl="0" w:tentative="0">
      <w:start w:val="1"/>
      <w:numFmt w:val="decimal"/>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8">
    <w:nsid w:val="197B4A74"/>
    <w:multiLevelType w:val="multilevel"/>
    <w:tmpl w:val="197B4A74"/>
    <w:lvl w:ilvl="0" w:tentative="0">
      <w:start w:val="1"/>
      <w:numFmt w:val="decimal"/>
      <w:lvlText w:val="%1"/>
      <w:lvlJc w:val="left"/>
      <w:pPr>
        <w:ind w:left="425" w:hanging="425"/>
      </w:pPr>
      <w:rPr>
        <w:rFonts w:hint="eastAsia"/>
      </w:rPr>
    </w:lvl>
    <w:lvl w:ilvl="1" w:tentative="0">
      <w:start w:val="1"/>
      <w:numFmt w:val="decimal"/>
      <w:lvlText w:val="9.%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19B44EB6"/>
    <w:multiLevelType w:val="multilevel"/>
    <w:tmpl w:val="19B44EB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rPr>
        <w:rFonts w:hint="default"/>
      </w:r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1E5DED1E"/>
    <w:multiLevelType w:val="singleLevel"/>
    <w:tmpl w:val="1E5DED1E"/>
    <w:lvl w:ilvl="0" w:tentative="0">
      <w:start w:val="1"/>
      <w:numFmt w:val="decimalEnclosedCircleChinese"/>
      <w:suff w:val="nothing"/>
      <w:lvlText w:val="%1　"/>
      <w:lvlJc w:val="left"/>
      <w:pPr>
        <w:ind w:left="0" w:firstLine="400"/>
      </w:pPr>
      <w:rPr>
        <w:rFonts w:hint="eastAsia"/>
      </w:rPr>
    </w:lvl>
  </w:abstractNum>
  <w:abstractNum w:abstractNumId="21">
    <w:nsid w:val="1F4C5196"/>
    <w:multiLevelType w:val="multilevel"/>
    <w:tmpl w:val="1F4C5196"/>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2">
    <w:nsid w:val="1FDE51BF"/>
    <w:multiLevelType w:val="multilevel"/>
    <w:tmpl w:val="1FDE51BF"/>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3">
    <w:nsid w:val="24DE45E1"/>
    <w:multiLevelType w:val="multilevel"/>
    <w:tmpl w:val="24DE45E1"/>
    <w:lvl w:ilvl="0" w:tentative="0">
      <w:start w:val="1"/>
      <w:numFmt w:val="decimal"/>
      <w:lvlText w:val="%1)"/>
      <w:lvlJc w:val="left"/>
      <w:pPr>
        <w:ind w:left="785" w:hanging="360"/>
      </w:p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24">
    <w:nsid w:val="2524D3C6"/>
    <w:multiLevelType w:val="singleLevel"/>
    <w:tmpl w:val="2524D3C6"/>
    <w:lvl w:ilvl="0" w:tentative="0">
      <w:start w:val="1"/>
      <w:numFmt w:val="decimal"/>
      <w:lvlText w:val="(%1)"/>
      <w:lvlJc w:val="left"/>
      <w:pPr>
        <w:ind w:left="425" w:hanging="425"/>
      </w:pPr>
      <w:rPr>
        <w:rFonts w:hint="default"/>
      </w:rPr>
    </w:lvl>
  </w:abstractNum>
  <w:abstractNum w:abstractNumId="25">
    <w:nsid w:val="26BC35AF"/>
    <w:multiLevelType w:val="multilevel"/>
    <w:tmpl w:val="26BC35AF"/>
    <w:lvl w:ilvl="0" w:tentative="0">
      <w:start w:val="1"/>
      <w:numFmt w:val="decimal"/>
      <w:lvlText w:val="%1)"/>
      <w:lvlJc w:val="left"/>
      <w:pPr>
        <w:ind w:left="1140" w:hanging="360"/>
      </w:p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6">
    <w:nsid w:val="288410E7"/>
    <w:multiLevelType w:val="multilevel"/>
    <w:tmpl w:val="288410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A2554DE"/>
    <w:multiLevelType w:val="singleLevel"/>
    <w:tmpl w:val="2A2554DE"/>
    <w:lvl w:ilvl="0" w:tentative="0">
      <w:start w:val="3"/>
      <w:numFmt w:val="chineseCounting"/>
      <w:suff w:val="nothing"/>
      <w:lvlText w:val="%1、"/>
      <w:lvlJc w:val="left"/>
      <w:rPr>
        <w:rFonts w:hint="eastAsia"/>
      </w:rPr>
    </w:lvl>
  </w:abstractNum>
  <w:abstractNum w:abstractNumId="28">
    <w:nsid w:val="2D303E2C"/>
    <w:multiLevelType w:val="multilevel"/>
    <w:tmpl w:val="2D303E2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9">
    <w:nsid w:val="33453B48"/>
    <w:multiLevelType w:val="singleLevel"/>
    <w:tmpl w:val="33453B48"/>
    <w:lvl w:ilvl="0" w:tentative="0">
      <w:start w:val="1"/>
      <w:numFmt w:val="decimal"/>
      <w:suff w:val="nothing"/>
      <w:lvlText w:val="（%1）"/>
      <w:lvlJc w:val="left"/>
      <w:pPr>
        <w:ind w:left="-200"/>
      </w:pPr>
    </w:lvl>
  </w:abstractNum>
  <w:abstractNum w:abstractNumId="30">
    <w:nsid w:val="40A4D484"/>
    <w:multiLevelType w:val="singleLevel"/>
    <w:tmpl w:val="40A4D484"/>
    <w:lvl w:ilvl="0" w:tentative="0">
      <w:start w:val="1"/>
      <w:numFmt w:val="decimal"/>
      <w:suff w:val="nothing"/>
      <w:lvlText w:val="%1）"/>
      <w:lvlJc w:val="left"/>
    </w:lvl>
  </w:abstractNum>
  <w:abstractNum w:abstractNumId="31">
    <w:nsid w:val="43619774"/>
    <w:multiLevelType w:val="singleLevel"/>
    <w:tmpl w:val="43619774"/>
    <w:lvl w:ilvl="0" w:tentative="0">
      <w:start w:val="1"/>
      <w:numFmt w:val="decimal"/>
      <w:suff w:val="nothing"/>
      <w:lvlText w:val="（%1）"/>
      <w:lvlJc w:val="left"/>
      <w:pPr>
        <w:ind w:left="-200"/>
      </w:pPr>
    </w:lvl>
  </w:abstractNum>
  <w:abstractNum w:abstractNumId="32">
    <w:nsid w:val="461717A7"/>
    <w:multiLevelType w:val="multilevel"/>
    <w:tmpl w:val="461717A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4B747577"/>
    <w:multiLevelType w:val="multilevel"/>
    <w:tmpl w:val="4B747577"/>
    <w:lvl w:ilvl="0" w:tentative="0">
      <w:start w:val="1"/>
      <w:numFmt w:val="decimal"/>
      <w:lvlText w:val="(%1)"/>
      <w:lvlJc w:val="left"/>
      <w:pPr>
        <w:ind w:left="584" w:hanging="480"/>
      </w:pPr>
      <w:rPr>
        <w:rFonts w:hint="default" w:ascii="宋体" w:hAnsi="宋体" w:eastAsia="宋体" w:cs="宋体"/>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34">
    <w:nsid w:val="4E83988A"/>
    <w:multiLevelType w:val="multilevel"/>
    <w:tmpl w:val="4E83988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5">
    <w:nsid w:val="501866D2"/>
    <w:multiLevelType w:val="multilevel"/>
    <w:tmpl w:val="501866D2"/>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36">
    <w:nsid w:val="52967B78"/>
    <w:multiLevelType w:val="multilevel"/>
    <w:tmpl w:val="52967B78"/>
    <w:lvl w:ilvl="0" w:tentative="0">
      <w:start w:val="1"/>
      <w:numFmt w:val="decimal"/>
      <w:lvlText w:val="%1"/>
      <w:lvlJc w:val="left"/>
      <w:pPr>
        <w:ind w:left="425" w:hanging="425"/>
      </w:pPr>
      <w:rPr>
        <w:rFonts w:hint="eastAsia"/>
      </w:rPr>
    </w:lvl>
    <w:lvl w:ilvl="1" w:tentative="0">
      <w:start w:val="1"/>
      <w:numFmt w:val="decimal"/>
      <w:lvlText w:val="7.%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7">
    <w:nsid w:val="53633D94"/>
    <w:multiLevelType w:val="singleLevel"/>
    <w:tmpl w:val="53633D94"/>
    <w:lvl w:ilvl="0" w:tentative="0">
      <w:start w:val="1"/>
      <w:numFmt w:val="decimalEnclosedCircleChinese"/>
      <w:lvlText w:val="%1　"/>
      <w:lvlJc w:val="left"/>
      <w:pPr>
        <w:ind w:left="440" w:hanging="440"/>
      </w:pPr>
      <w:rPr>
        <w:rFonts w:hint="eastAsia"/>
      </w:rPr>
    </w:lvl>
  </w:abstractNum>
  <w:abstractNum w:abstractNumId="38">
    <w:nsid w:val="63B60B61"/>
    <w:multiLevelType w:val="multilevel"/>
    <w:tmpl w:val="63B60B61"/>
    <w:lvl w:ilvl="0" w:tentative="0">
      <w:start w:val="1"/>
      <w:numFmt w:val="decimal"/>
      <w:lvlText w:val="%1)"/>
      <w:lvlJc w:val="left"/>
      <w:pPr>
        <w:ind w:left="845" w:hanging="420"/>
      </w:pPr>
      <w:rPr>
        <w:rFonts w:hint="eastAsia" w:cs="Times New Roman"/>
      </w:rPr>
    </w:lvl>
    <w:lvl w:ilvl="1" w:tentative="0">
      <w:start w:val="2"/>
      <w:numFmt w:val="decimal"/>
      <w:lvlText w:val="%2）"/>
      <w:lvlJc w:val="left"/>
      <w:pPr>
        <w:ind w:left="1205" w:hanging="360"/>
      </w:pPr>
      <w:rPr>
        <w:rFonts w:hint="default" w:hAnsi="宋体"/>
      </w:rPr>
    </w:lvl>
    <w:lvl w:ilvl="2" w:tentative="0">
      <w:start w:val="1"/>
      <w:numFmt w:val="decimal"/>
      <w:lvlText w:val="(%3)"/>
      <w:lvlJc w:val="left"/>
      <w:pPr>
        <w:ind w:left="1685" w:hanging="420"/>
      </w:pPr>
      <w:rPr>
        <w:rFonts w:hint="eastAsia" w:cs="Times New Roman"/>
      </w:rPr>
    </w:lvl>
    <w:lvl w:ilvl="3" w:tentative="0">
      <w:start w:val="1"/>
      <w:numFmt w:val="decimal"/>
      <w:lvlText w:val="%4."/>
      <w:lvlJc w:val="left"/>
      <w:pPr>
        <w:ind w:left="2105" w:hanging="420"/>
      </w:pPr>
      <w:rPr>
        <w:rFonts w:cs="Times New Roman"/>
      </w:rPr>
    </w:lvl>
    <w:lvl w:ilvl="4" w:tentative="0">
      <w:start w:val="1"/>
      <w:numFmt w:val="lowerLetter"/>
      <w:lvlText w:val="%5)"/>
      <w:lvlJc w:val="left"/>
      <w:pPr>
        <w:ind w:left="2525" w:hanging="420"/>
      </w:pPr>
      <w:rPr>
        <w:rFonts w:cs="Times New Roman"/>
      </w:rPr>
    </w:lvl>
    <w:lvl w:ilvl="5" w:tentative="0">
      <w:start w:val="1"/>
      <w:numFmt w:val="lowerRoman"/>
      <w:lvlText w:val="%6."/>
      <w:lvlJc w:val="right"/>
      <w:pPr>
        <w:ind w:left="2945" w:hanging="420"/>
      </w:pPr>
      <w:rPr>
        <w:rFonts w:cs="Times New Roman"/>
      </w:rPr>
    </w:lvl>
    <w:lvl w:ilvl="6" w:tentative="0">
      <w:start w:val="1"/>
      <w:numFmt w:val="decimal"/>
      <w:lvlText w:val="%7."/>
      <w:lvlJc w:val="left"/>
      <w:pPr>
        <w:ind w:left="3365" w:hanging="420"/>
      </w:pPr>
      <w:rPr>
        <w:rFonts w:cs="Times New Roman"/>
      </w:rPr>
    </w:lvl>
    <w:lvl w:ilvl="7" w:tentative="0">
      <w:start w:val="1"/>
      <w:numFmt w:val="lowerLetter"/>
      <w:lvlText w:val="%8)"/>
      <w:lvlJc w:val="left"/>
      <w:pPr>
        <w:ind w:left="3785" w:hanging="420"/>
      </w:pPr>
      <w:rPr>
        <w:rFonts w:cs="Times New Roman"/>
      </w:rPr>
    </w:lvl>
    <w:lvl w:ilvl="8" w:tentative="0">
      <w:start w:val="1"/>
      <w:numFmt w:val="lowerRoman"/>
      <w:lvlText w:val="%9."/>
      <w:lvlJc w:val="right"/>
      <w:pPr>
        <w:ind w:left="4205" w:hanging="420"/>
      </w:pPr>
      <w:rPr>
        <w:rFonts w:cs="Times New Roman"/>
      </w:rPr>
    </w:lvl>
  </w:abstractNum>
  <w:abstractNum w:abstractNumId="39">
    <w:nsid w:val="67FE46EA"/>
    <w:multiLevelType w:val="multilevel"/>
    <w:tmpl w:val="67FE46E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6BC4C153"/>
    <w:multiLevelType w:val="singleLevel"/>
    <w:tmpl w:val="6BC4C153"/>
    <w:lvl w:ilvl="0" w:tentative="0">
      <w:start w:val="1"/>
      <w:numFmt w:val="decimalEnclosedCircleChinese"/>
      <w:suff w:val="nothing"/>
      <w:lvlText w:val="%1　"/>
      <w:lvlJc w:val="left"/>
      <w:pPr>
        <w:ind w:left="0" w:firstLine="400"/>
      </w:pPr>
      <w:rPr>
        <w:rFonts w:hint="eastAsia"/>
      </w:rPr>
    </w:lvl>
  </w:abstractNum>
  <w:abstractNum w:abstractNumId="41">
    <w:nsid w:val="6BEF0218"/>
    <w:multiLevelType w:val="multilevel"/>
    <w:tmpl w:val="6BEF0218"/>
    <w:lvl w:ilvl="0" w:tentative="0">
      <w:start w:val="4"/>
      <w:numFmt w:val="decimal"/>
      <w:lvlText w:val="%1"/>
      <w:lvlJc w:val="left"/>
      <w:pPr>
        <w:ind w:left="425" w:hanging="425"/>
      </w:pPr>
      <w:rPr>
        <w:rFonts w:hint="eastAsia"/>
      </w:rPr>
    </w:lvl>
    <w:lvl w:ilvl="1" w:tentative="0">
      <w:start w:val="10"/>
      <w:numFmt w:val="decimal"/>
      <w:lvlText w:val="5.%2"/>
      <w:lvlJc w:val="left"/>
      <w:pPr>
        <w:ind w:left="1144"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2">
    <w:nsid w:val="77170498"/>
    <w:multiLevelType w:val="multilevel"/>
    <w:tmpl w:val="77170498"/>
    <w:lvl w:ilvl="0" w:tentative="0">
      <w:start w:val="3"/>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22"/>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3">
    <w:nsid w:val="780C2BEA"/>
    <w:multiLevelType w:val="multilevel"/>
    <w:tmpl w:val="780C2BEA"/>
    <w:lvl w:ilvl="0" w:tentative="0">
      <w:start w:val="1"/>
      <w:numFmt w:val="decimal"/>
      <w:lvlText w:val="%1)"/>
      <w:lvlJc w:val="left"/>
      <w:pPr>
        <w:ind w:left="785" w:hanging="360"/>
      </w:p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44">
    <w:nsid w:val="789C5027"/>
    <w:multiLevelType w:val="multilevel"/>
    <w:tmpl w:val="789C5027"/>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79504487"/>
    <w:multiLevelType w:val="multilevel"/>
    <w:tmpl w:val="79504487"/>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79504488"/>
    <w:multiLevelType w:val="multilevel"/>
    <w:tmpl w:val="7950448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79504489"/>
    <w:multiLevelType w:val="singleLevel"/>
    <w:tmpl w:val="79504489"/>
    <w:lvl w:ilvl="0" w:tentative="0">
      <w:start w:val="1"/>
      <w:numFmt w:val="decimal"/>
      <w:lvlText w:val="%1、"/>
      <w:lvlJc w:val="left"/>
      <w:pPr>
        <w:tabs>
          <w:tab w:val="left" w:pos="1395"/>
        </w:tabs>
        <w:ind w:left="1395" w:hanging="405"/>
      </w:pPr>
      <w:rPr>
        <w:rFonts w:hint="eastAsia"/>
      </w:rPr>
    </w:lvl>
  </w:abstractNum>
  <w:abstractNum w:abstractNumId="48">
    <w:nsid w:val="7CA1738A"/>
    <w:multiLevelType w:val="multilevel"/>
    <w:tmpl w:val="7CA1738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7FD267C8"/>
    <w:multiLevelType w:val="multilevel"/>
    <w:tmpl w:val="7FD267C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0"/>
  </w:num>
  <w:num w:numId="2">
    <w:abstractNumId w:val="0"/>
  </w:num>
  <w:num w:numId="3">
    <w:abstractNumId w:val="4"/>
  </w:num>
  <w:num w:numId="4">
    <w:abstractNumId w:val="1"/>
  </w:num>
  <w:num w:numId="5">
    <w:abstractNumId w:val="27"/>
  </w:num>
  <w:num w:numId="6">
    <w:abstractNumId w:val="49"/>
  </w:num>
  <w:num w:numId="7">
    <w:abstractNumId w:val="15"/>
  </w:num>
  <w:num w:numId="8">
    <w:abstractNumId w:val="28"/>
  </w:num>
  <w:num w:numId="9">
    <w:abstractNumId w:val="37"/>
  </w:num>
  <w:num w:numId="10">
    <w:abstractNumId w:val="32"/>
  </w:num>
  <w:num w:numId="11">
    <w:abstractNumId w:val="9"/>
  </w:num>
  <w:num w:numId="12">
    <w:abstractNumId w:val="6"/>
  </w:num>
  <w:num w:numId="13">
    <w:abstractNumId w:val="42"/>
  </w:num>
  <w:num w:numId="14">
    <w:abstractNumId w:val="48"/>
  </w:num>
  <w:num w:numId="15">
    <w:abstractNumId w:val="44"/>
  </w:num>
  <w:num w:numId="16">
    <w:abstractNumId w:val="26"/>
  </w:num>
  <w:num w:numId="17">
    <w:abstractNumId w:val="29"/>
  </w:num>
  <w:num w:numId="18">
    <w:abstractNumId w:val="12"/>
  </w:num>
  <w:num w:numId="19">
    <w:abstractNumId w:val="31"/>
  </w:num>
  <w:num w:numId="20">
    <w:abstractNumId w:val="10"/>
  </w:num>
  <w:num w:numId="21">
    <w:abstractNumId w:val="40"/>
  </w:num>
  <w:num w:numId="22">
    <w:abstractNumId w:val="34"/>
  </w:num>
  <w:num w:numId="23">
    <w:abstractNumId w:val="20"/>
  </w:num>
  <w:num w:numId="24">
    <w:abstractNumId w:val="7"/>
  </w:num>
  <w:num w:numId="25">
    <w:abstractNumId w:val="41"/>
  </w:num>
  <w:num w:numId="26">
    <w:abstractNumId w:val="33"/>
  </w:num>
  <w:num w:numId="27">
    <w:abstractNumId w:val="14"/>
  </w:num>
  <w:num w:numId="28">
    <w:abstractNumId w:val="24"/>
  </w:num>
  <w:num w:numId="29">
    <w:abstractNumId w:val="43"/>
  </w:num>
  <w:num w:numId="30">
    <w:abstractNumId w:val="23"/>
  </w:num>
  <w:num w:numId="31">
    <w:abstractNumId w:val="2"/>
  </w:num>
  <w:num w:numId="32">
    <w:abstractNumId w:val="3"/>
  </w:num>
  <w:num w:numId="33">
    <w:abstractNumId w:val="39"/>
  </w:num>
  <w:num w:numId="34">
    <w:abstractNumId w:val="36"/>
  </w:num>
  <w:num w:numId="35">
    <w:abstractNumId w:val="17"/>
  </w:num>
  <w:num w:numId="36">
    <w:abstractNumId w:val="25"/>
  </w:num>
  <w:num w:numId="37">
    <w:abstractNumId w:val="21"/>
  </w:num>
  <w:num w:numId="38">
    <w:abstractNumId w:val="35"/>
  </w:num>
  <w:num w:numId="39">
    <w:abstractNumId w:val="22"/>
  </w:num>
  <w:num w:numId="40">
    <w:abstractNumId w:val="38"/>
  </w:num>
  <w:num w:numId="41">
    <w:abstractNumId w:val="19"/>
  </w:num>
  <w:num w:numId="42">
    <w:abstractNumId w:val="18"/>
  </w:num>
  <w:num w:numId="43">
    <w:abstractNumId w:val="5"/>
  </w:num>
  <w:num w:numId="44">
    <w:abstractNumId w:val="8"/>
  </w:num>
  <w:num w:numId="45">
    <w:abstractNumId w:val="13"/>
  </w:num>
  <w:num w:numId="46">
    <w:abstractNumId w:val="11"/>
  </w:num>
  <w:num w:numId="47">
    <w:abstractNumId w:val="16"/>
  </w:num>
  <w:num w:numId="48">
    <w:abstractNumId w:val="45"/>
  </w:num>
  <w:num w:numId="49">
    <w:abstractNumId w:val="46"/>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endnotePr>
    <w:numRestart w:val="eachSect"/>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2321E"/>
    <w:rsid w:val="01D97F6B"/>
    <w:rsid w:val="025A3A6A"/>
    <w:rsid w:val="0279651D"/>
    <w:rsid w:val="034B6875"/>
    <w:rsid w:val="041617C1"/>
    <w:rsid w:val="04C44DDD"/>
    <w:rsid w:val="04D408FB"/>
    <w:rsid w:val="05161364"/>
    <w:rsid w:val="05F42F51"/>
    <w:rsid w:val="070E2AFA"/>
    <w:rsid w:val="07115CA7"/>
    <w:rsid w:val="08377C87"/>
    <w:rsid w:val="09685DFB"/>
    <w:rsid w:val="09CF2FA4"/>
    <w:rsid w:val="0A126294"/>
    <w:rsid w:val="0B1A6AC6"/>
    <w:rsid w:val="0B796AE0"/>
    <w:rsid w:val="0B914186"/>
    <w:rsid w:val="0BF409A8"/>
    <w:rsid w:val="0C2A1481"/>
    <w:rsid w:val="0C8907C3"/>
    <w:rsid w:val="0CC95508"/>
    <w:rsid w:val="0D344BB7"/>
    <w:rsid w:val="0E1A7433"/>
    <w:rsid w:val="0E642D2B"/>
    <w:rsid w:val="0EDD16F0"/>
    <w:rsid w:val="0EFD4309"/>
    <w:rsid w:val="0FE0395F"/>
    <w:rsid w:val="102E7375"/>
    <w:rsid w:val="106B567E"/>
    <w:rsid w:val="109553E4"/>
    <w:rsid w:val="12280E57"/>
    <w:rsid w:val="12576123"/>
    <w:rsid w:val="12B75243"/>
    <w:rsid w:val="150F10B2"/>
    <w:rsid w:val="15930E74"/>
    <w:rsid w:val="16157A01"/>
    <w:rsid w:val="16296A75"/>
    <w:rsid w:val="1670755D"/>
    <w:rsid w:val="16884EFF"/>
    <w:rsid w:val="17E3163D"/>
    <w:rsid w:val="17FF34EC"/>
    <w:rsid w:val="18B1550E"/>
    <w:rsid w:val="196440B8"/>
    <w:rsid w:val="1A066AA9"/>
    <w:rsid w:val="1A0E6ACF"/>
    <w:rsid w:val="1AA027BB"/>
    <w:rsid w:val="1AC54F79"/>
    <w:rsid w:val="1AE31FAA"/>
    <w:rsid w:val="1B1F0B0A"/>
    <w:rsid w:val="1BC00694"/>
    <w:rsid w:val="1C394ADA"/>
    <w:rsid w:val="1C60279C"/>
    <w:rsid w:val="1C9C4B7F"/>
    <w:rsid w:val="1D7E18EE"/>
    <w:rsid w:val="1E9822AC"/>
    <w:rsid w:val="1F741DA9"/>
    <w:rsid w:val="1F9138D8"/>
    <w:rsid w:val="1FCF33BD"/>
    <w:rsid w:val="20340B62"/>
    <w:rsid w:val="20BC55C4"/>
    <w:rsid w:val="2406762A"/>
    <w:rsid w:val="24B0471A"/>
    <w:rsid w:val="25001A40"/>
    <w:rsid w:val="25506347"/>
    <w:rsid w:val="25612860"/>
    <w:rsid w:val="269478D8"/>
    <w:rsid w:val="26A655F4"/>
    <w:rsid w:val="27062195"/>
    <w:rsid w:val="27C634CD"/>
    <w:rsid w:val="27DA216D"/>
    <w:rsid w:val="2A673E21"/>
    <w:rsid w:val="2BCB7E65"/>
    <w:rsid w:val="2BD30AF4"/>
    <w:rsid w:val="2C55584A"/>
    <w:rsid w:val="2CA50E4D"/>
    <w:rsid w:val="2D782A6B"/>
    <w:rsid w:val="2E2C1BCD"/>
    <w:rsid w:val="2E3F536B"/>
    <w:rsid w:val="2E9D013C"/>
    <w:rsid w:val="2EA3508F"/>
    <w:rsid w:val="2ECB2EFB"/>
    <w:rsid w:val="2FD31004"/>
    <w:rsid w:val="30143960"/>
    <w:rsid w:val="30542857"/>
    <w:rsid w:val="32250554"/>
    <w:rsid w:val="323A13F3"/>
    <w:rsid w:val="32886F74"/>
    <w:rsid w:val="32D373F3"/>
    <w:rsid w:val="32E4188C"/>
    <w:rsid w:val="34370DDE"/>
    <w:rsid w:val="343B1E3D"/>
    <w:rsid w:val="349D0BDD"/>
    <w:rsid w:val="36A857BA"/>
    <w:rsid w:val="36AE76C3"/>
    <w:rsid w:val="36B4704E"/>
    <w:rsid w:val="382C33B7"/>
    <w:rsid w:val="3869321C"/>
    <w:rsid w:val="38E42B66"/>
    <w:rsid w:val="3A36340C"/>
    <w:rsid w:val="3A96472B"/>
    <w:rsid w:val="3AEE26A4"/>
    <w:rsid w:val="3AFE2E55"/>
    <w:rsid w:val="3B955BCA"/>
    <w:rsid w:val="3BAB0ED8"/>
    <w:rsid w:val="3C007580"/>
    <w:rsid w:val="3C651C5E"/>
    <w:rsid w:val="3C9035EC"/>
    <w:rsid w:val="3D313141"/>
    <w:rsid w:val="3DA75332"/>
    <w:rsid w:val="3E166C6B"/>
    <w:rsid w:val="3FA13017"/>
    <w:rsid w:val="3FC60BB0"/>
    <w:rsid w:val="3FC840B3"/>
    <w:rsid w:val="40360E64"/>
    <w:rsid w:val="409D1B0D"/>
    <w:rsid w:val="40DF167D"/>
    <w:rsid w:val="41133E1C"/>
    <w:rsid w:val="414B09AC"/>
    <w:rsid w:val="418B5019"/>
    <w:rsid w:val="42390634"/>
    <w:rsid w:val="43133F65"/>
    <w:rsid w:val="432E43C4"/>
    <w:rsid w:val="43C226BA"/>
    <w:rsid w:val="43CB5CD2"/>
    <w:rsid w:val="44050A4B"/>
    <w:rsid w:val="443F5506"/>
    <w:rsid w:val="447C536B"/>
    <w:rsid w:val="453D6E18"/>
    <w:rsid w:val="46D42F41"/>
    <w:rsid w:val="489B28AD"/>
    <w:rsid w:val="48CB28FD"/>
    <w:rsid w:val="48EF6BDE"/>
    <w:rsid w:val="490779DE"/>
    <w:rsid w:val="49B642FE"/>
    <w:rsid w:val="4A3E54DC"/>
    <w:rsid w:val="4A4D176E"/>
    <w:rsid w:val="4A542F03"/>
    <w:rsid w:val="4B0C495C"/>
    <w:rsid w:val="4C870899"/>
    <w:rsid w:val="4CA6114E"/>
    <w:rsid w:val="4CA81A09"/>
    <w:rsid w:val="4CAA55D5"/>
    <w:rsid w:val="4CF878D3"/>
    <w:rsid w:val="4E8925E8"/>
    <w:rsid w:val="4F522031"/>
    <w:rsid w:val="4F9714A0"/>
    <w:rsid w:val="4FEA281C"/>
    <w:rsid w:val="50722108"/>
    <w:rsid w:val="50BA02FE"/>
    <w:rsid w:val="50BD1283"/>
    <w:rsid w:val="515B4604"/>
    <w:rsid w:val="519669E8"/>
    <w:rsid w:val="51A61200"/>
    <w:rsid w:val="522804D5"/>
    <w:rsid w:val="52AA6C2F"/>
    <w:rsid w:val="536846E4"/>
    <w:rsid w:val="53DE6642"/>
    <w:rsid w:val="53E52DB4"/>
    <w:rsid w:val="54537B65"/>
    <w:rsid w:val="55E8347F"/>
    <w:rsid w:val="567237D6"/>
    <w:rsid w:val="568026F8"/>
    <w:rsid w:val="56DE0514"/>
    <w:rsid w:val="570B4C22"/>
    <w:rsid w:val="57132F6C"/>
    <w:rsid w:val="574F1ACC"/>
    <w:rsid w:val="5B887BB7"/>
    <w:rsid w:val="5C3C317D"/>
    <w:rsid w:val="5CA81314"/>
    <w:rsid w:val="5D3430F6"/>
    <w:rsid w:val="5DAB71A1"/>
    <w:rsid w:val="5E812D98"/>
    <w:rsid w:val="5F7B6833"/>
    <w:rsid w:val="60A85FA1"/>
    <w:rsid w:val="611426B6"/>
    <w:rsid w:val="615B7448"/>
    <w:rsid w:val="621A25FF"/>
    <w:rsid w:val="62325AA7"/>
    <w:rsid w:val="635B4290"/>
    <w:rsid w:val="635E5215"/>
    <w:rsid w:val="64212D54"/>
    <w:rsid w:val="64393C7E"/>
    <w:rsid w:val="64677C45"/>
    <w:rsid w:val="653F1EA7"/>
    <w:rsid w:val="659F6A49"/>
    <w:rsid w:val="65AC7B77"/>
    <w:rsid w:val="66302AB4"/>
    <w:rsid w:val="66F0766F"/>
    <w:rsid w:val="67731E47"/>
    <w:rsid w:val="67C92C20"/>
    <w:rsid w:val="680851F3"/>
    <w:rsid w:val="685E52C7"/>
    <w:rsid w:val="68B852C3"/>
    <w:rsid w:val="68D92A13"/>
    <w:rsid w:val="69A555DF"/>
    <w:rsid w:val="6A70182F"/>
    <w:rsid w:val="6AD3024F"/>
    <w:rsid w:val="6B81166C"/>
    <w:rsid w:val="6C74577D"/>
    <w:rsid w:val="6D4312CD"/>
    <w:rsid w:val="6E7603C5"/>
    <w:rsid w:val="6EF23592"/>
    <w:rsid w:val="6FA06BAE"/>
    <w:rsid w:val="7038080C"/>
    <w:rsid w:val="705A1860"/>
    <w:rsid w:val="71617E94"/>
    <w:rsid w:val="716D3CA6"/>
    <w:rsid w:val="72326EE7"/>
    <w:rsid w:val="73216C39"/>
    <w:rsid w:val="734734E4"/>
    <w:rsid w:val="736C596A"/>
    <w:rsid w:val="739E3BBB"/>
    <w:rsid w:val="74320774"/>
    <w:rsid w:val="74890514"/>
    <w:rsid w:val="74B87FBF"/>
    <w:rsid w:val="75344F56"/>
    <w:rsid w:val="76071174"/>
    <w:rsid w:val="770D455F"/>
    <w:rsid w:val="77F7390B"/>
    <w:rsid w:val="7A011336"/>
    <w:rsid w:val="7A16385A"/>
    <w:rsid w:val="7A35088C"/>
    <w:rsid w:val="7AC77DFB"/>
    <w:rsid w:val="7ADE32A3"/>
    <w:rsid w:val="7C306D0C"/>
    <w:rsid w:val="7C9534B9"/>
    <w:rsid w:val="7D72364A"/>
    <w:rsid w:val="7E6478FC"/>
    <w:rsid w:val="7E6924EF"/>
    <w:rsid w:val="7E813419"/>
    <w:rsid w:val="7EE14738"/>
    <w:rsid w:val="7F2F6A35"/>
    <w:rsid w:val="7F961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3"/>
    <w:basedOn w:val="1"/>
    <w:next w:val="1"/>
    <w:qFormat/>
    <w:uiPriority w:val="1"/>
    <w:pPr>
      <w:outlineLvl w:val="2"/>
    </w:pPr>
    <w:rPr>
      <w:rFonts w:ascii="Microsoft YaHei UI" w:hAnsi="Microsoft YaHei UI" w:eastAsia="Microsoft YaHei UI"/>
      <w:sz w:val="28"/>
      <w:szCs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rFonts w:ascii="Calibri" w:hAnsi="Calibri"/>
      <w:sz w:val="18"/>
      <w:szCs w:val="18"/>
    </w:rPr>
  </w:style>
  <w:style w:type="paragraph" w:styleId="4">
    <w:name w:val="Normal Indent"/>
    <w:basedOn w:val="1"/>
    <w:next w:val="1"/>
    <w:qFormat/>
    <w:uiPriority w:val="0"/>
    <w:pPr>
      <w:ind w:firstLine="420" w:firstLineChars="200"/>
    </w:pPr>
  </w:style>
  <w:style w:type="paragraph" w:styleId="5">
    <w:name w:val="annotation text"/>
    <w:basedOn w:val="1"/>
    <w:qFormat/>
    <w:uiPriority w:val="0"/>
    <w:pPr>
      <w:jc w:val="left"/>
    </w:pPr>
  </w:style>
  <w:style w:type="paragraph" w:styleId="6">
    <w:name w:val="Body Text"/>
    <w:basedOn w:val="1"/>
    <w:next w:val="1"/>
    <w:qFormat/>
    <w:uiPriority w:val="1"/>
    <w:pPr>
      <w:ind w:firstLine="200" w:firstLineChars="200"/>
    </w:pPr>
    <w:rPr>
      <w:rFonts w:ascii="Microsoft YaHei UI" w:hAnsi="Microsoft YaHei UI" w:eastAsia="Microsoft YaHei UI"/>
      <w:kern w:val="0"/>
      <w:szCs w:val="21"/>
      <w:lang w:eastAsia="en-US"/>
    </w:rPr>
  </w:style>
  <w:style w:type="paragraph" w:styleId="7">
    <w:name w:val="header"/>
    <w:basedOn w:val="1"/>
    <w:unhideWhenUsed/>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8">
    <w:name w:val="toc 1"/>
    <w:basedOn w:val="1"/>
    <w:next w:val="1"/>
    <w:qFormat/>
    <w:uiPriority w:val="39"/>
    <w:pPr>
      <w:widowControl/>
      <w:overflowPunct w:val="0"/>
      <w:autoSpaceDE w:val="0"/>
      <w:autoSpaceDN w:val="0"/>
      <w:adjustRightInd w:val="0"/>
      <w:spacing w:before="120" w:after="120"/>
      <w:jc w:val="left"/>
      <w:textAlignment w:val="baseline"/>
    </w:pPr>
    <w:rPr>
      <w:caps/>
      <w:kern w:val="0"/>
      <w:sz w:val="28"/>
      <w:szCs w:val="20"/>
      <w:lang w:eastAsia="en-U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style>
  <w:style w:type="paragraph" w:customStyle="1" w:styleId="13">
    <w:name w:val="正文_0"/>
    <w:next w:val="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
    <w:name w:val="页脚_0"/>
    <w:basedOn w:val="13"/>
    <w:qFormat/>
    <w:uiPriority w:val="99"/>
    <w:pPr>
      <w:tabs>
        <w:tab w:val="center" w:pos="4153"/>
        <w:tab w:val="right" w:pos="8306"/>
      </w:tabs>
      <w:snapToGrid w:val="0"/>
      <w:jc w:val="left"/>
    </w:pPr>
    <w:rPr>
      <w:sz w:val="18"/>
      <w:szCs w:val="18"/>
    </w:rPr>
  </w:style>
  <w:style w:type="paragraph" w:customStyle="1" w:styleId="15">
    <w:name w:val="副标题1"/>
    <w:basedOn w:val="16"/>
    <w:next w:val="16"/>
    <w:qFormat/>
    <w:uiPriority w:val="0"/>
    <w:pPr>
      <w:spacing w:before="240" w:after="60" w:line="312" w:lineRule="auto"/>
      <w:jc w:val="center"/>
      <w:outlineLvl w:val="1"/>
    </w:pPr>
    <w:rPr>
      <w:rFonts w:ascii="Cambria" w:hAnsi="Cambria"/>
      <w:b/>
      <w:bCs/>
      <w:kern w:val="28"/>
      <w:sz w:val="32"/>
      <w:szCs w:val="32"/>
    </w:rPr>
  </w:style>
  <w:style w:type="paragraph" w:customStyle="1" w:styleId="16">
    <w:name w:val="正文_2_0"/>
    <w:next w:val="1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
    <w:name w:val="页脚_1_0"/>
    <w:basedOn w:val="16"/>
    <w:unhideWhenUsed/>
    <w:qFormat/>
    <w:uiPriority w:val="99"/>
    <w:pPr>
      <w:tabs>
        <w:tab w:val="center" w:pos="4153"/>
        <w:tab w:val="right" w:pos="8306"/>
      </w:tabs>
      <w:snapToGrid w:val="0"/>
      <w:jc w:val="left"/>
    </w:pPr>
    <w:rPr>
      <w:sz w:val="18"/>
      <w:szCs w:val="18"/>
    </w:rPr>
  </w:style>
  <w:style w:type="paragraph" w:customStyle="1" w:styleId="18">
    <w:name w:val="正文_0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Normal_0"/>
    <w:next w:val="21"/>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
    <w:name w:val="页脚1"/>
    <w:basedOn w:val="20"/>
    <w:unhideWhenUsed/>
    <w:qFormat/>
    <w:uiPriority w:val="99"/>
    <w:pPr>
      <w:tabs>
        <w:tab w:val="center" w:pos="4153"/>
        <w:tab w:val="right" w:pos="8306"/>
      </w:tabs>
      <w:snapToGrid w:val="0"/>
    </w:pPr>
    <w:rPr>
      <w:sz w:val="18"/>
      <w:szCs w:val="18"/>
    </w:rPr>
  </w:style>
  <w:style w:type="paragraph" w:customStyle="1" w:styleId="22">
    <w:name w:val="样式 标题 2 + Times New Roman 四号 非加粗 段前: 5 磅 段后: 0 磅 行距: 固定值 20..."/>
    <w:basedOn w:val="23"/>
    <w:qFormat/>
    <w:uiPriority w:val="0"/>
    <w:pPr>
      <w:spacing w:before="100" w:after="0" w:line="400" w:lineRule="exact"/>
    </w:pPr>
    <w:rPr>
      <w:rFonts w:ascii="Times New Roman" w:hAnsi="Times New Roman" w:cs="宋体"/>
      <w:b w:val="0"/>
      <w:bCs w:val="0"/>
      <w:sz w:val="28"/>
      <w:szCs w:val="20"/>
    </w:rPr>
  </w:style>
  <w:style w:type="paragraph" w:customStyle="1" w:styleId="23">
    <w:name w:val="标题 2_0"/>
    <w:basedOn w:val="13"/>
    <w:next w:val="13"/>
    <w:qFormat/>
    <w:uiPriority w:val="0"/>
    <w:pPr>
      <w:keepNext/>
      <w:keepLines/>
      <w:spacing w:before="260" w:after="260" w:line="413" w:lineRule="auto"/>
      <w:outlineLvl w:val="1"/>
    </w:pPr>
    <w:rPr>
      <w:rFonts w:ascii="Arial" w:hAnsi="Arial" w:eastAsia="黑体"/>
      <w:b/>
      <w:bCs/>
      <w:sz w:val="32"/>
      <w:szCs w:val="32"/>
    </w:rPr>
  </w:style>
  <w:style w:type="paragraph" w:customStyle="1" w:styleId="24">
    <w:name w:val="正文文本 3_0"/>
    <w:basedOn w:val="13"/>
    <w:qFormat/>
    <w:uiPriority w:val="0"/>
    <w:rPr>
      <w:rFonts w:ascii="宋体"/>
      <w:sz w:val="24"/>
      <w:szCs w:val="20"/>
    </w:rPr>
  </w:style>
  <w:style w:type="paragraph" w:customStyle="1" w:styleId="25">
    <w:name w:val="样式 标题 3 + (中文) 黑体 小四 非加粗 段前: 7.8 磅 段后: 0 磅 行距: 固定值 20 磅"/>
    <w:basedOn w:val="26"/>
    <w:qFormat/>
    <w:uiPriority w:val="0"/>
    <w:pPr>
      <w:spacing w:before="0" w:after="0" w:line="400" w:lineRule="exact"/>
    </w:pPr>
    <w:rPr>
      <w:rFonts w:eastAsia="黑体" w:cs="宋体"/>
      <w:b w:val="0"/>
      <w:bCs w:val="0"/>
      <w:sz w:val="24"/>
      <w:szCs w:val="20"/>
    </w:rPr>
  </w:style>
  <w:style w:type="paragraph" w:customStyle="1" w:styleId="26">
    <w:name w:val="标题 3_0"/>
    <w:basedOn w:val="13"/>
    <w:next w:val="13"/>
    <w:qFormat/>
    <w:uiPriority w:val="0"/>
    <w:pPr>
      <w:keepNext/>
      <w:keepLines/>
      <w:spacing w:before="260" w:after="260" w:line="413" w:lineRule="auto"/>
      <w:outlineLvl w:val="2"/>
    </w:pPr>
    <w:rPr>
      <w:b/>
      <w:bCs/>
      <w:sz w:val="32"/>
      <w:szCs w:val="32"/>
    </w:rPr>
  </w:style>
  <w:style w:type="paragraph" w:customStyle="1" w:styleId="27">
    <w:name w:val="Normal_1"/>
    <w:qFormat/>
    <w:uiPriority w:val="0"/>
    <w:rPr>
      <w:rFonts w:ascii="Times New Roman" w:hAnsi="Times New Roman" w:eastAsia="Times New Roman" w:cs="Times New Roman"/>
      <w:sz w:val="24"/>
      <w:szCs w:val="24"/>
    </w:rPr>
  </w:style>
  <w:style w:type="paragraph" w:customStyle="1" w:styleId="28">
    <w:name w:val="正文_1"/>
    <w:qFormat/>
    <w:uiPriority w:val="1"/>
    <w:pPr>
      <w:widowControl w:val="0"/>
      <w:ind w:right="5" w:rightChars="5"/>
    </w:pPr>
    <w:rPr>
      <w:rFonts w:ascii="Times New Roman" w:hAnsi="Times New Roman" w:eastAsia="宋体" w:cs="Times New Roman"/>
      <w:sz w:val="22"/>
      <w:szCs w:val="22"/>
      <w:lang w:val="en-US" w:eastAsia="en-US" w:bidi="ar-SA"/>
    </w:rPr>
  </w:style>
  <w:style w:type="paragraph" w:customStyle="1" w:styleId="29">
    <w:name w:val="纯文本_0"/>
    <w:basedOn w:val="13"/>
    <w:qFormat/>
    <w:uiPriority w:val="0"/>
    <w:rPr>
      <w:rFonts w:ascii="宋体" w:hAnsi="Courier New"/>
      <w:szCs w:val="20"/>
    </w:rPr>
  </w:style>
  <w:style w:type="paragraph" w:customStyle="1" w:styleId="30">
    <w:name w:val="标题 21"/>
    <w:basedOn w:val="13"/>
    <w:qFormat/>
    <w:uiPriority w:val="99"/>
    <w:pPr>
      <w:ind w:left="100" w:right="108"/>
      <w:jc w:val="left"/>
      <w:outlineLvl w:val="2"/>
    </w:pPr>
    <w:rPr>
      <w:rFonts w:ascii="Microsoft JhengHei" w:hAnsi="Microsoft JhengHei" w:eastAsia="Microsoft JhengHei" w:cs="Microsoft JhengHei"/>
      <w:b/>
      <w:bCs/>
      <w:kern w:val="0"/>
      <w:sz w:val="32"/>
      <w:szCs w:val="32"/>
      <w:lang w:eastAsia="en-US"/>
    </w:rPr>
  </w:style>
  <w:style w:type="paragraph" w:styleId="31">
    <w:name w:val="List Paragraph"/>
    <w:basedOn w:val="1"/>
    <w:qFormat/>
    <w:uiPriority w:val="34"/>
    <w:pPr>
      <w:widowControl/>
      <w:overflowPunct w:val="0"/>
      <w:autoSpaceDE w:val="0"/>
      <w:autoSpaceDN w:val="0"/>
      <w:adjustRightInd w:val="0"/>
      <w:ind w:firstLine="420" w:firstLineChars="200"/>
      <w:jc w:val="left"/>
      <w:textAlignment w:val="baseline"/>
    </w:pPr>
    <w:rPr>
      <w:kern w:val="0"/>
      <w:sz w:val="20"/>
      <w:szCs w:val="20"/>
      <w:lang w:eastAsia="en-US"/>
    </w:rPr>
  </w:style>
  <w:style w:type="paragraph" w:customStyle="1" w:styleId="32">
    <w:name w:val="页眉_0"/>
    <w:basedOn w:val="13"/>
    <w:qFormat/>
    <w:uiPriority w:val="99"/>
    <w:pPr>
      <w:pBdr>
        <w:bottom w:val="single" w:color="auto" w:sz="6" w:space="1"/>
      </w:pBdr>
      <w:tabs>
        <w:tab w:val="center" w:pos="4153"/>
        <w:tab w:val="right" w:pos="8306"/>
      </w:tabs>
      <w:snapToGrid w:val="0"/>
      <w:jc w:val="center"/>
    </w:pPr>
    <w:rPr>
      <w:sz w:val="18"/>
      <w:szCs w:val="18"/>
    </w:rPr>
  </w:style>
  <w:style w:type="table" w:customStyle="1" w:styleId="33">
    <w:name w:val="Table Grid_1"/>
    <w:basedOn w:val="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34">
    <w:name w:val="font21"/>
    <w:basedOn w:val="11"/>
    <w:qFormat/>
    <w:uiPriority w:val="0"/>
    <w:rPr>
      <w:rFonts w:hint="default" w:ascii="Calibri" w:hAnsi="Calibri" w:cs="Calibri"/>
      <w:color w:val="000000"/>
      <w:sz w:val="21"/>
      <w:szCs w:val="21"/>
      <w:u w:val="none"/>
    </w:rPr>
  </w:style>
  <w:style w:type="character" w:customStyle="1" w:styleId="35">
    <w:name w:val="font31"/>
    <w:basedOn w:val="1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2" Type="http://schemas.openxmlformats.org/officeDocument/2006/relationships/glossaryDocument" Target="glossary/document.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7e1cc60-ec53-401d-aa2d-a11434711fe7}"/>
        <w:style w:val=""/>
        <w:category>
          <w:name w:val="常规"/>
          <w:gallery w:val="placeholder"/>
        </w:category>
        <w:types>
          <w:type w:val="bbPlcHdr"/>
        </w:types>
        <w:behaviors>
          <w:behavior w:val="content"/>
        </w:behaviors>
        <w:description w:val=""/>
        <w:guid w:val="{07e1cc60-ec53-401d-aa2d-a11434711fe7}"/>
      </w:docPartPr>
      <w:docPartBody>
        <w:p>
          <w:r>
            <w:rPr>
              <w:color w:val="8080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rPr>
      <w:rFonts w:asciiTheme="minorHAnsi" w:hAnsiTheme="minorHAnsi" w:eastAsiaTheme="minorEastAsia" w:cstheme="minorBidi"/>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0</Words>
  <Characters>0</Characters>
  <Lines>0</Lines>
  <Paragraphs>0</Paragraphs>
  <TotalTime>0</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2023-11-28T01:26:00Z</dcterms:created>
  <dc:creator>chenzhl2.GLOBAL</dc:creator>
  <cp:lastModifiedBy>陈正龙</cp:lastModifiedBy>
  <dcterms:modified xsi:type="dcterms:W3CDTF">2025-05-26T00:26:10Z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A61B2127D0EA43CE8480EE3F23F20F78</vt:lpwstr>
  </property>
</Properties>
</file>